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251" w:rsidRPr="00CE26DC" w:rsidRDefault="00586B51" w:rsidP="00153FB0">
      <w:pPr>
        <w:jc w:val="right"/>
        <w:rPr>
          <w:sz w:val="24"/>
          <w:szCs w:val="24"/>
        </w:rPr>
      </w:pPr>
      <w:bookmarkStart w:id="0" w:name="_GoBack"/>
      <w:bookmarkEnd w:id="0"/>
      <w:r w:rsidRPr="00CE26DC">
        <w:rPr>
          <w:sz w:val="24"/>
          <w:szCs w:val="24"/>
        </w:rPr>
        <w:t>DA 14</w:t>
      </w:r>
      <w:r w:rsidR="00153FB0" w:rsidRPr="00CE26DC">
        <w:rPr>
          <w:sz w:val="24"/>
          <w:szCs w:val="24"/>
        </w:rPr>
        <w:t>-</w:t>
      </w:r>
      <w:r w:rsidR="00433A78">
        <w:rPr>
          <w:sz w:val="24"/>
          <w:szCs w:val="24"/>
        </w:rPr>
        <w:t>1521</w:t>
      </w:r>
    </w:p>
    <w:p w:rsidR="009C623C" w:rsidRDefault="009C623C" w:rsidP="00153FB0">
      <w:pPr>
        <w:jc w:val="right"/>
        <w:rPr>
          <w:b/>
          <w:sz w:val="24"/>
          <w:szCs w:val="24"/>
        </w:rPr>
      </w:pPr>
    </w:p>
    <w:p w:rsidR="009C623C" w:rsidRPr="00C50455" w:rsidRDefault="009C623C" w:rsidP="00153FB0">
      <w:pPr>
        <w:jc w:val="right"/>
        <w:rPr>
          <w:sz w:val="24"/>
          <w:szCs w:val="24"/>
        </w:rPr>
      </w:pPr>
    </w:p>
    <w:p w:rsidR="009D4B27" w:rsidRPr="009C623C" w:rsidRDefault="009D4B27" w:rsidP="007A1031">
      <w:pPr>
        <w:jc w:val="center"/>
        <w:rPr>
          <w:b/>
          <w:sz w:val="36"/>
          <w:szCs w:val="36"/>
        </w:rPr>
      </w:pPr>
      <w:r w:rsidRPr="009C623C">
        <w:rPr>
          <w:b/>
          <w:sz w:val="36"/>
          <w:szCs w:val="36"/>
        </w:rPr>
        <w:t>Small Entity Compliance Guide</w:t>
      </w:r>
    </w:p>
    <w:p w:rsidR="00586B51" w:rsidRPr="00891638" w:rsidRDefault="00586B51" w:rsidP="007A1031">
      <w:pPr>
        <w:jc w:val="center"/>
        <w:rPr>
          <w:b/>
          <w:sz w:val="24"/>
          <w:szCs w:val="24"/>
        </w:rPr>
      </w:pPr>
    </w:p>
    <w:p w:rsidR="005D05EA" w:rsidRPr="009C623C" w:rsidRDefault="003D1DE8" w:rsidP="009D4B27">
      <w:pPr>
        <w:jc w:val="center"/>
        <w:rPr>
          <w:b/>
          <w:sz w:val="28"/>
          <w:szCs w:val="28"/>
        </w:rPr>
      </w:pPr>
      <w:r w:rsidRPr="009C623C">
        <w:rPr>
          <w:b/>
          <w:sz w:val="28"/>
          <w:szCs w:val="28"/>
        </w:rPr>
        <w:t xml:space="preserve">FCC To Collect </w:t>
      </w:r>
      <w:r w:rsidR="00586B51" w:rsidRPr="009C623C">
        <w:rPr>
          <w:b/>
          <w:sz w:val="28"/>
          <w:szCs w:val="28"/>
        </w:rPr>
        <w:t xml:space="preserve">Data </w:t>
      </w:r>
      <w:r w:rsidR="005D05EA" w:rsidRPr="009C623C">
        <w:rPr>
          <w:b/>
          <w:sz w:val="28"/>
          <w:szCs w:val="28"/>
        </w:rPr>
        <w:t xml:space="preserve">from Providers </w:t>
      </w:r>
      <w:r w:rsidR="00586B51" w:rsidRPr="009C623C">
        <w:rPr>
          <w:b/>
          <w:sz w:val="28"/>
          <w:szCs w:val="28"/>
        </w:rPr>
        <w:t>and Purchasers</w:t>
      </w:r>
    </w:p>
    <w:p w:rsidR="006F291B" w:rsidRPr="009C623C" w:rsidRDefault="005D05EA" w:rsidP="009D4B27">
      <w:pPr>
        <w:jc w:val="center"/>
        <w:rPr>
          <w:b/>
          <w:sz w:val="28"/>
          <w:szCs w:val="28"/>
        </w:rPr>
      </w:pPr>
      <w:r w:rsidRPr="009C623C">
        <w:rPr>
          <w:b/>
          <w:sz w:val="28"/>
          <w:szCs w:val="28"/>
        </w:rPr>
        <w:t>O</w:t>
      </w:r>
      <w:r w:rsidR="00586B51" w:rsidRPr="009C623C">
        <w:rPr>
          <w:b/>
          <w:sz w:val="28"/>
          <w:szCs w:val="28"/>
        </w:rPr>
        <w:t xml:space="preserve">f </w:t>
      </w:r>
      <w:r w:rsidR="0063451F" w:rsidRPr="009C623C">
        <w:rPr>
          <w:b/>
          <w:sz w:val="28"/>
          <w:szCs w:val="28"/>
        </w:rPr>
        <w:t xml:space="preserve">Special Access </w:t>
      </w:r>
      <w:r w:rsidR="00586B51" w:rsidRPr="009C623C">
        <w:rPr>
          <w:b/>
          <w:sz w:val="28"/>
          <w:szCs w:val="28"/>
        </w:rPr>
        <w:t xml:space="preserve">Services </w:t>
      </w:r>
      <w:r w:rsidR="006F291B" w:rsidRPr="009C623C">
        <w:rPr>
          <w:b/>
          <w:sz w:val="28"/>
          <w:szCs w:val="28"/>
        </w:rPr>
        <w:t xml:space="preserve">and Certain Entities Providing “Best Efforts” </w:t>
      </w:r>
    </w:p>
    <w:p w:rsidR="005D05EA" w:rsidRPr="009C623C" w:rsidRDefault="006F291B" w:rsidP="009D4B27">
      <w:pPr>
        <w:jc w:val="center"/>
        <w:rPr>
          <w:b/>
          <w:sz w:val="28"/>
          <w:szCs w:val="28"/>
        </w:rPr>
      </w:pPr>
      <w:r w:rsidRPr="009C623C">
        <w:rPr>
          <w:b/>
          <w:sz w:val="28"/>
          <w:szCs w:val="28"/>
        </w:rPr>
        <w:t xml:space="preserve">Services </w:t>
      </w:r>
      <w:r w:rsidR="00586B51" w:rsidRPr="009C623C">
        <w:rPr>
          <w:b/>
          <w:sz w:val="28"/>
          <w:szCs w:val="28"/>
        </w:rPr>
        <w:t>in Price Cap Areas</w:t>
      </w:r>
    </w:p>
    <w:p w:rsidR="0026688F" w:rsidRPr="00C50455" w:rsidRDefault="0026688F" w:rsidP="009D4B27">
      <w:pPr>
        <w:jc w:val="center"/>
        <w:rPr>
          <w:bCs/>
          <w:sz w:val="24"/>
          <w:szCs w:val="24"/>
        </w:rPr>
      </w:pPr>
    </w:p>
    <w:p w:rsidR="009D4B27" w:rsidRPr="00C50455" w:rsidRDefault="006F291B" w:rsidP="009D4B27">
      <w:pPr>
        <w:jc w:val="center"/>
        <w:rPr>
          <w:sz w:val="24"/>
          <w:szCs w:val="24"/>
        </w:rPr>
      </w:pPr>
      <w:r>
        <w:rPr>
          <w:bCs/>
          <w:sz w:val="24"/>
          <w:szCs w:val="24"/>
        </w:rPr>
        <w:t>FCC 12-153</w:t>
      </w:r>
      <w:r w:rsidR="007A1031" w:rsidRPr="00C50455">
        <w:rPr>
          <w:bCs/>
          <w:sz w:val="24"/>
          <w:szCs w:val="24"/>
        </w:rPr>
        <w:t xml:space="preserve">; </w:t>
      </w:r>
      <w:r w:rsidR="004455D5">
        <w:rPr>
          <w:bCs/>
          <w:sz w:val="24"/>
          <w:szCs w:val="24"/>
        </w:rPr>
        <w:t xml:space="preserve">DA 14-1327; </w:t>
      </w:r>
      <w:r w:rsidR="0063451F" w:rsidRPr="00C50455">
        <w:rPr>
          <w:spacing w:val="-2"/>
          <w:sz w:val="24"/>
          <w:szCs w:val="24"/>
        </w:rPr>
        <w:t>WC Docket No</w:t>
      </w:r>
      <w:r w:rsidR="009D4B27" w:rsidRPr="00C50455">
        <w:rPr>
          <w:spacing w:val="-2"/>
          <w:sz w:val="24"/>
          <w:szCs w:val="24"/>
        </w:rPr>
        <w:t>.</w:t>
      </w:r>
      <w:r w:rsidR="0063451F" w:rsidRPr="00C50455">
        <w:rPr>
          <w:spacing w:val="-2"/>
          <w:sz w:val="24"/>
          <w:szCs w:val="24"/>
        </w:rPr>
        <w:t xml:space="preserve"> 05-25, RM-10593</w:t>
      </w:r>
      <w:r w:rsidR="009D4B27" w:rsidRPr="00C50455">
        <w:rPr>
          <w:spacing w:val="-2"/>
          <w:sz w:val="24"/>
          <w:szCs w:val="24"/>
        </w:rPr>
        <w:t xml:space="preserve"> </w:t>
      </w:r>
    </w:p>
    <w:p w:rsidR="009D4B27" w:rsidRPr="00C50455" w:rsidRDefault="009D4B27" w:rsidP="009D4B27">
      <w:pPr>
        <w:rPr>
          <w:sz w:val="24"/>
          <w:szCs w:val="24"/>
        </w:rPr>
      </w:pPr>
    </w:p>
    <w:p w:rsidR="00D266D9" w:rsidRPr="00D266D9" w:rsidRDefault="009C623C" w:rsidP="009C623C">
      <w:pPr>
        <w:jc w:val="center"/>
        <w:rPr>
          <w:b/>
          <w:bCs/>
          <w:sz w:val="24"/>
          <w:szCs w:val="24"/>
          <w:u w:val="single"/>
        </w:rPr>
      </w:pPr>
      <w:r w:rsidRPr="009C623C">
        <w:rPr>
          <w:b/>
          <w:bCs/>
          <w:sz w:val="24"/>
          <w:szCs w:val="24"/>
        </w:rPr>
        <w:t xml:space="preserve">   </w:t>
      </w:r>
      <w:r w:rsidR="00D266D9" w:rsidRPr="00D266D9">
        <w:rPr>
          <w:b/>
          <w:bCs/>
          <w:sz w:val="24"/>
          <w:szCs w:val="24"/>
          <w:u w:val="single"/>
        </w:rPr>
        <w:t xml:space="preserve">DATA COLLECTION RESPONSES ARE DUE </w:t>
      </w:r>
      <w:r w:rsidR="00FF1C82">
        <w:rPr>
          <w:b/>
          <w:bCs/>
          <w:sz w:val="24"/>
          <w:szCs w:val="24"/>
          <w:u w:val="single"/>
        </w:rPr>
        <w:t xml:space="preserve">BY </w:t>
      </w:r>
      <w:r w:rsidR="00D266D9" w:rsidRPr="00D266D9">
        <w:rPr>
          <w:b/>
          <w:bCs/>
          <w:sz w:val="24"/>
          <w:szCs w:val="24"/>
          <w:u w:val="single"/>
        </w:rPr>
        <w:t>DECEMBER 15, 2014</w:t>
      </w:r>
    </w:p>
    <w:p w:rsidR="00D266D9" w:rsidRDefault="00D266D9" w:rsidP="00D266D9">
      <w:pPr>
        <w:jc w:val="center"/>
        <w:rPr>
          <w:bCs/>
          <w:sz w:val="24"/>
          <w:szCs w:val="24"/>
        </w:rPr>
      </w:pPr>
    </w:p>
    <w:p w:rsidR="00AF7A8F" w:rsidRPr="009C623C" w:rsidRDefault="009D4B27" w:rsidP="009D4B27">
      <w:pPr>
        <w:tabs>
          <w:tab w:val="left" w:pos="360"/>
        </w:tabs>
        <w:ind w:left="1080" w:right="720"/>
        <w:jc w:val="both"/>
        <w:rPr>
          <w:b/>
          <w:sz w:val="22"/>
          <w:szCs w:val="22"/>
        </w:rPr>
      </w:pPr>
      <w:r w:rsidRPr="009C623C">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jurisdictions—to 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As a result, in any civil or administrative action against a small entity for a violation of a rule or rules, the content of the Small Entity Compliance Guide may be considered only as evidence of the reasonableness or appropriateness of proposed fines, penalties or damages.  This Guide may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AF7A8F" w:rsidRPr="009C623C" w:rsidRDefault="00AF7A8F" w:rsidP="009D4B27">
      <w:pPr>
        <w:tabs>
          <w:tab w:val="left" w:pos="360"/>
        </w:tabs>
        <w:ind w:left="1080" w:right="720"/>
        <w:jc w:val="both"/>
        <w:rPr>
          <w:b/>
          <w:sz w:val="22"/>
          <w:szCs w:val="22"/>
        </w:rPr>
      </w:pPr>
    </w:p>
    <w:p w:rsidR="005D05EA" w:rsidRPr="009C623C" w:rsidRDefault="00521E75" w:rsidP="005D05EA">
      <w:pPr>
        <w:tabs>
          <w:tab w:val="left" w:pos="360"/>
        </w:tabs>
        <w:ind w:left="1080" w:right="720"/>
        <w:jc w:val="both"/>
        <w:rPr>
          <w:b/>
          <w:sz w:val="22"/>
          <w:szCs w:val="22"/>
        </w:rPr>
      </w:pPr>
      <w:r w:rsidRPr="009C623C">
        <w:rPr>
          <w:b/>
          <w:sz w:val="22"/>
          <w:szCs w:val="22"/>
        </w:rPr>
        <w:t xml:space="preserve">In any civil or administrative action against a small entity for a violation of rules, the content of the </w:t>
      </w:r>
      <w:r w:rsidR="008127EF" w:rsidRPr="009C623C">
        <w:rPr>
          <w:b/>
          <w:sz w:val="22"/>
          <w:szCs w:val="22"/>
        </w:rPr>
        <w:t>S</w:t>
      </w:r>
      <w:r w:rsidRPr="009C623C">
        <w:rPr>
          <w:b/>
          <w:sz w:val="22"/>
          <w:szCs w:val="22"/>
        </w:rPr>
        <w:t>mall Entity</w:t>
      </w:r>
      <w:r w:rsidR="008127EF" w:rsidRPr="009C623C">
        <w:rPr>
          <w:b/>
          <w:sz w:val="22"/>
          <w:szCs w:val="22"/>
        </w:rPr>
        <w:t xml:space="preserve"> </w:t>
      </w:r>
      <w:r w:rsidRPr="009C623C">
        <w:rPr>
          <w:b/>
          <w:sz w:val="22"/>
          <w:szCs w:val="22"/>
        </w:rPr>
        <w:t>Compliance Guide may</w:t>
      </w:r>
      <w:r w:rsidR="00F10791" w:rsidRPr="009C623C">
        <w:rPr>
          <w:b/>
          <w:sz w:val="22"/>
          <w:szCs w:val="22"/>
        </w:rPr>
        <w:t xml:space="preserve"> </w:t>
      </w:r>
      <w:r w:rsidRPr="009C623C">
        <w:rPr>
          <w:b/>
          <w:sz w:val="22"/>
          <w:szCs w:val="22"/>
        </w:rPr>
        <w:t xml:space="preserve">be considered as evidence of the reasonableness or appropriateness of proposed fines, penalties and damages. </w:t>
      </w:r>
      <w:r w:rsidR="009D4B27" w:rsidRPr="009C623C">
        <w:rPr>
          <w:b/>
          <w:sz w:val="22"/>
          <w:szCs w:val="22"/>
        </w:rPr>
        <w:t xml:space="preserve">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r w:rsidR="005D05EA" w:rsidRPr="009C623C">
        <w:rPr>
          <w:b/>
          <w:sz w:val="22"/>
          <w:szCs w:val="22"/>
        </w:rPr>
        <w:t xml:space="preserve">  </w:t>
      </w:r>
    </w:p>
    <w:p w:rsidR="005D05EA" w:rsidRPr="009C623C" w:rsidRDefault="009D4B27" w:rsidP="009C623C">
      <w:pPr>
        <w:tabs>
          <w:tab w:val="left" w:pos="360"/>
        </w:tabs>
        <w:ind w:left="1080" w:right="720"/>
        <w:jc w:val="center"/>
        <w:rPr>
          <w:b/>
          <w:color w:val="000000"/>
          <w:sz w:val="22"/>
          <w:szCs w:val="22"/>
        </w:rPr>
      </w:pPr>
      <w:r w:rsidRPr="009C623C">
        <w:rPr>
          <w:b/>
          <w:color w:val="000000"/>
          <w:sz w:val="22"/>
          <w:szCs w:val="22"/>
        </w:rPr>
        <w:t>1-888-CALL-FCC (1-888-225-5322)</w:t>
      </w:r>
    </w:p>
    <w:p w:rsidR="005D05EA" w:rsidRPr="009C623C" w:rsidRDefault="005D05EA" w:rsidP="009C623C">
      <w:pPr>
        <w:tabs>
          <w:tab w:val="left" w:pos="360"/>
        </w:tabs>
        <w:ind w:left="1080" w:right="720"/>
        <w:jc w:val="center"/>
        <w:rPr>
          <w:b/>
          <w:color w:val="000000"/>
          <w:sz w:val="22"/>
          <w:szCs w:val="22"/>
        </w:rPr>
      </w:pPr>
      <w:r w:rsidRPr="009C623C">
        <w:rPr>
          <w:b/>
          <w:color w:val="000000"/>
          <w:sz w:val="22"/>
          <w:szCs w:val="22"/>
        </w:rPr>
        <w:t>TTY: 1-888-TELL-FCC </w:t>
      </w:r>
      <w:r w:rsidR="009D4B27" w:rsidRPr="009C623C">
        <w:rPr>
          <w:b/>
          <w:color w:val="000000"/>
          <w:sz w:val="22"/>
          <w:szCs w:val="22"/>
        </w:rPr>
        <w:t>(1-888-835-5322)</w:t>
      </w:r>
    </w:p>
    <w:p w:rsidR="009C623C" w:rsidRDefault="009D4B27" w:rsidP="009C623C">
      <w:pPr>
        <w:tabs>
          <w:tab w:val="left" w:pos="3060"/>
        </w:tabs>
        <w:ind w:left="360" w:firstLine="720"/>
        <w:jc w:val="center"/>
        <w:rPr>
          <w:b/>
          <w:color w:val="000000"/>
          <w:sz w:val="22"/>
          <w:szCs w:val="22"/>
        </w:rPr>
      </w:pPr>
      <w:r w:rsidRPr="009C623C">
        <w:rPr>
          <w:b/>
          <w:color w:val="000000"/>
          <w:sz w:val="22"/>
          <w:szCs w:val="22"/>
        </w:rPr>
        <w:t>Fax: 202-418-0232</w:t>
      </w:r>
    </w:p>
    <w:p w:rsidR="00891638" w:rsidRDefault="00891638" w:rsidP="00153FB0">
      <w:pPr>
        <w:contextualSpacing/>
        <w:jc w:val="center"/>
        <w:rPr>
          <w:b/>
          <w:sz w:val="24"/>
          <w:szCs w:val="24"/>
        </w:rPr>
      </w:pPr>
    </w:p>
    <w:p w:rsidR="00CE1FB5" w:rsidRPr="00891638" w:rsidRDefault="00CE1FB5" w:rsidP="00153FB0">
      <w:pPr>
        <w:contextualSpacing/>
        <w:jc w:val="center"/>
        <w:rPr>
          <w:sz w:val="24"/>
          <w:szCs w:val="24"/>
        </w:rPr>
      </w:pPr>
      <w:r w:rsidRPr="00891638">
        <w:rPr>
          <w:b/>
          <w:sz w:val="24"/>
          <w:szCs w:val="24"/>
        </w:rPr>
        <w:lastRenderedPageBreak/>
        <w:t>Table of Contents</w:t>
      </w:r>
    </w:p>
    <w:p w:rsidR="00CE1FB5" w:rsidRPr="00C50455" w:rsidRDefault="00CE1FB5" w:rsidP="00CE1FB5">
      <w:pPr>
        <w:spacing w:line="360" w:lineRule="auto"/>
        <w:contextualSpacing/>
        <w:jc w:val="center"/>
        <w:rPr>
          <w:sz w:val="24"/>
          <w:szCs w:val="24"/>
        </w:rPr>
      </w:pPr>
    </w:p>
    <w:p w:rsidR="00CE1FB5" w:rsidRPr="00C50455" w:rsidRDefault="00CE1FB5" w:rsidP="00CE1FB5">
      <w:pPr>
        <w:spacing w:line="360" w:lineRule="auto"/>
        <w:contextualSpacing/>
        <w:jc w:val="center"/>
        <w:rPr>
          <w:sz w:val="24"/>
          <w:szCs w:val="24"/>
        </w:rPr>
      </w:pPr>
    </w:p>
    <w:p w:rsidR="00850A3C" w:rsidRPr="00C50455" w:rsidRDefault="008A4D99" w:rsidP="00786134">
      <w:pPr>
        <w:pStyle w:val="ListParagraph"/>
        <w:numPr>
          <w:ilvl w:val="0"/>
          <w:numId w:val="1"/>
        </w:numPr>
        <w:spacing w:line="360" w:lineRule="auto"/>
        <w:ind w:left="0" w:firstLine="0"/>
        <w:rPr>
          <w:rFonts w:ascii="Times New Roman" w:hAnsi="Times New Roman" w:cs="Times New Roman"/>
          <w:sz w:val="24"/>
          <w:szCs w:val="24"/>
        </w:rPr>
      </w:pPr>
      <w:r w:rsidRPr="00C50455">
        <w:rPr>
          <w:rFonts w:ascii="Times New Roman" w:hAnsi="Times New Roman" w:cs="Times New Roman"/>
          <w:sz w:val="24"/>
          <w:szCs w:val="24"/>
        </w:rPr>
        <w:t xml:space="preserve">INTRODUCTION. . . </w:t>
      </w:r>
      <w:r w:rsidR="00850A3C" w:rsidRPr="00C50455">
        <w:rPr>
          <w:rFonts w:ascii="Times New Roman" w:hAnsi="Times New Roman" w:cs="Times New Roman"/>
          <w:sz w:val="24"/>
          <w:szCs w:val="24"/>
        </w:rPr>
        <w:t>. . . . . . . . . . . . . . . . . . . . . . . . . . . . . . . . . . . . . . . . . . . . . . .  . . .</w:t>
      </w:r>
      <w:r w:rsidR="009A2B0F">
        <w:rPr>
          <w:rFonts w:ascii="Times New Roman" w:hAnsi="Times New Roman" w:cs="Times New Roman"/>
          <w:sz w:val="24"/>
          <w:szCs w:val="24"/>
        </w:rPr>
        <w:t xml:space="preserve"> . 3</w:t>
      </w:r>
    </w:p>
    <w:p w:rsidR="00263FD4" w:rsidRPr="00C50455" w:rsidRDefault="00263FD4" w:rsidP="00ED2544">
      <w:pPr>
        <w:pStyle w:val="ListParagraph"/>
        <w:numPr>
          <w:ilvl w:val="0"/>
          <w:numId w:val="1"/>
        </w:numPr>
        <w:spacing w:line="360" w:lineRule="auto"/>
        <w:ind w:left="0" w:firstLine="0"/>
        <w:rPr>
          <w:rFonts w:ascii="Times New Roman" w:hAnsi="Times New Roman" w:cs="Times New Roman"/>
          <w:sz w:val="24"/>
          <w:szCs w:val="24"/>
        </w:rPr>
      </w:pPr>
      <w:r w:rsidRPr="00C50455">
        <w:rPr>
          <w:rFonts w:ascii="Times New Roman" w:hAnsi="Times New Roman" w:cs="Times New Roman"/>
          <w:sz w:val="24"/>
          <w:szCs w:val="24"/>
        </w:rPr>
        <w:t>OBJECTIVES OF THE PROCEEDING. . . . . . . . . . . . . . . . . . . . .</w:t>
      </w:r>
      <w:r w:rsidR="009A2B0F">
        <w:rPr>
          <w:rFonts w:ascii="Times New Roman" w:hAnsi="Times New Roman" w:cs="Times New Roman"/>
          <w:sz w:val="24"/>
          <w:szCs w:val="24"/>
        </w:rPr>
        <w:t xml:space="preserve"> . . . . . . . . . . . . . . . . 3</w:t>
      </w:r>
    </w:p>
    <w:p w:rsidR="00604B4F" w:rsidRDefault="00CE1FB5" w:rsidP="00F723D5">
      <w:pPr>
        <w:pStyle w:val="ListParagraph"/>
        <w:numPr>
          <w:ilvl w:val="0"/>
          <w:numId w:val="1"/>
        </w:numPr>
        <w:spacing w:line="360" w:lineRule="auto"/>
        <w:ind w:left="0" w:firstLine="0"/>
        <w:rPr>
          <w:rFonts w:ascii="Times New Roman" w:hAnsi="Times New Roman" w:cs="Times New Roman"/>
          <w:sz w:val="24"/>
          <w:szCs w:val="24"/>
        </w:rPr>
      </w:pPr>
      <w:r w:rsidRPr="00C50455">
        <w:rPr>
          <w:rFonts w:ascii="Times New Roman" w:hAnsi="Times New Roman" w:cs="Times New Roman"/>
          <w:sz w:val="24"/>
          <w:szCs w:val="24"/>
        </w:rPr>
        <w:t>COMPLIANCE REQUIREMENTS</w:t>
      </w:r>
      <w:r w:rsidR="008A4D99" w:rsidRPr="00C50455">
        <w:rPr>
          <w:rFonts w:ascii="Times New Roman" w:hAnsi="Times New Roman" w:cs="Times New Roman"/>
          <w:sz w:val="24"/>
          <w:szCs w:val="24"/>
        </w:rPr>
        <w:t xml:space="preserve">. . . . . . . . . . . . . . . . . . . . . . . . . . </w:t>
      </w:r>
      <w:r w:rsidR="00850A3C" w:rsidRPr="00C50455">
        <w:rPr>
          <w:rFonts w:ascii="Times New Roman" w:hAnsi="Times New Roman" w:cs="Times New Roman"/>
          <w:sz w:val="24"/>
          <w:szCs w:val="24"/>
        </w:rPr>
        <w:t xml:space="preserve">. . . . . . </w:t>
      </w:r>
      <w:r w:rsidR="009A2B0F">
        <w:rPr>
          <w:rFonts w:ascii="Times New Roman" w:hAnsi="Times New Roman" w:cs="Times New Roman"/>
          <w:sz w:val="24"/>
          <w:szCs w:val="24"/>
        </w:rPr>
        <w:t>.</w:t>
      </w:r>
      <w:r w:rsidR="00850A3C" w:rsidRPr="00C50455">
        <w:rPr>
          <w:rFonts w:ascii="Times New Roman" w:hAnsi="Times New Roman" w:cs="Times New Roman"/>
          <w:sz w:val="24"/>
          <w:szCs w:val="24"/>
        </w:rPr>
        <w:t xml:space="preserve"> . . . . . . .</w:t>
      </w:r>
      <w:r w:rsidR="009A2B0F">
        <w:rPr>
          <w:rFonts w:ascii="Times New Roman" w:hAnsi="Times New Roman" w:cs="Times New Roman"/>
          <w:sz w:val="24"/>
          <w:szCs w:val="24"/>
        </w:rPr>
        <w:t xml:space="preserve">  4</w:t>
      </w:r>
      <w:r w:rsidR="00850A3C" w:rsidRPr="00C50455">
        <w:rPr>
          <w:rFonts w:ascii="Times New Roman" w:hAnsi="Times New Roman" w:cs="Times New Roman"/>
          <w:sz w:val="24"/>
          <w:szCs w:val="24"/>
        </w:rPr>
        <w:t xml:space="preserve"> </w:t>
      </w:r>
    </w:p>
    <w:p w:rsidR="007A407A" w:rsidRPr="00C50455" w:rsidRDefault="007A407A" w:rsidP="00F723D5">
      <w:pPr>
        <w:pStyle w:val="ListParagraph"/>
        <w:numPr>
          <w:ilvl w:val="0"/>
          <w:numId w:val="1"/>
        </w:numPr>
        <w:spacing w:line="360" w:lineRule="auto"/>
        <w:ind w:left="0" w:firstLine="0"/>
        <w:rPr>
          <w:rFonts w:ascii="Times New Roman" w:hAnsi="Times New Roman" w:cs="Times New Roman"/>
          <w:sz w:val="24"/>
          <w:szCs w:val="24"/>
        </w:rPr>
      </w:pPr>
      <w:r>
        <w:rPr>
          <w:rFonts w:ascii="Times New Roman" w:hAnsi="Times New Roman" w:cs="Times New Roman"/>
          <w:sz w:val="24"/>
          <w:szCs w:val="24"/>
        </w:rPr>
        <w:t>RESPONDING TO THE DATA COLLECTION . . . . . . . . . . . . . . . . . . . . . . . . . . . . .</w:t>
      </w:r>
      <w:r w:rsidR="009A2B0F">
        <w:rPr>
          <w:rFonts w:ascii="Times New Roman" w:hAnsi="Times New Roman" w:cs="Times New Roman"/>
          <w:sz w:val="24"/>
          <w:szCs w:val="24"/>
        </w:rPr>
        <w:t xml:space="preserve">  9</w:t>
      </w:r>
    </w:p>
    <w:p w:rsidR="00CE1FB5" w:rsidRPr="00C50455" w:rsidRDefault="00CE1FB5" w:rsidP="00F723D5">
      <w:pPr>
        <w:pStyle w:val="ListParagraph"/>
        <w:numPr>
          <w:ilvl w:val="0"/>
          <w:numId w:val="1"/>
        </w:numPr>
        <w:spacing w:line="360" w:lineRule="auto"/>
        <w:ind w:left="0" w:firstLine="0"/>
        <w:rPr>
          <w:rFonts w:ascii="Times New Roman" w:hAnsi="Times New Roman" w:cs="Times New Roman"/>
          <w:sz w:val="24"/>
          <w:szCs w:val="24"/>
        </w:rPr>
      </w:pPr>
      <w:r w:rsidRPr="00C50455">
        <w:rPr>
          <w:rFonts w:ascii="Times New Roman" w:hAnsi="Times New Roman" w:cs="Times New Roman"/>
          <w:sz w:val="24"/>
          <w:szCs w:val="24"/>
        </w:rPr>
        <w:t>COMPLIANCE DATES</w:t>
      </w:r>
      <w:r w:rsidR="008A4D99" w:rsidRPr="00C50455">
        <w:rPr>
          <w:rFonts w:ascii="Times New Roman" w:hAnsi="Times New Roman" w:cs="Times New Roman"/>
          <w:sz w:val="24"/>
          <w:szCs w:val="24"/>
        </w:rPr>
        <w:t>. . . . . . . . . . . . . . . . . . . . . . . . . . . . . . . . . . . . . . . . . .</w:t>
      </w:r>
      <w:r w:rsidR="00604B4F" w:rsidRPr="00C50455">
        <w:rPr>
          <w:rFonts w:ascii="Times New Roman" w:hAnsi="Times New Roman" w:cs="Times New Roman"/>
          <w:sz w:val="24"/>
          <w:szCs w:val="24"/>
        </w:rPr>
        <w:t xml:space="preserve"> . . . . </w:t>
      </w:r>
      <w:r w:rsidR="00850A3C" w:rsidRPr="00C50455">
        <w:rPr>
          <w:rFonts w:ascii="Times New Roman" w:hAnsi="Times New Roman" w:cs="Times New Roman"/>
          <w:sz w:val="24"/>
          <w:szCs w:val="24"/>
        </w:rPr>
        <w:t>. . .</w:t>
      </w:r>
      <w:r w:rsidR="009A2B0F">
        <w:rPr>
          <w:rFonts w:ascii="Times New Roman" w:hAnsi="Times New Roman" w:cs="Times New Roman"/>
          <w:sz w:val="24"/>
          <w:szCs w:val="24"/>
        </w:rPr>
        <w:t xml:space="preserve">  9</w:t>
      </w:r>
    </w:p>
    <w:p w:rsidR="00CE1FB5" w:rsidRPr="00C50455" w:rsidRDefault="00CE1FB5" w:rsidP="00454DFB">
      <w:pPr>
        <w:pStyle w:val="ListParagraph"/>
        <w:numPr>
          <w:ilvl w:val="0"/>
          <w:numId w:val="1"/>
        </w:numPr>
        <w:spacing w:line="360" w:lineRule="auto"/>
        <w:rPr>
          <w:rFonts w:ascii="Times New Roman" w:hAnsi="Times New Roman" w:cs="Times New Roman"/>
          <w:sz w:val="24"/>
          <w:szCs w:val="24"/>
        </w:rPr>
      </w:pPr>
      <w:r w:rsidRPr="00C50455">
        <w:rPr>
          <w:rFonts w:ascii="Times New Roman" w:hAnsi="Times New Roman" w:cs="Times New Roman"/>
          <w:sz w:val="24"/>
          <w:szCs w:val="24"/>
        </w:rPr>
        <w:t>IMPORTANT DEFINITIONS</w:t>
      </w:r>
      <w:r w:rsidR="008A4D99" w:rsidRPr="00C50455">
        <w:rPr>
          <w:rFonts w:ascii="Times New Roman" w:hAnsi="Times New Roman" w:cs="Times New Roman"/>
          <w:sz w:val="24"/>
          <w:szCs w:val="24"/>
        </w:rPr>
        <w:t>. . . . . . . . . . . . . . . . . . . . . . . . . . . . . . . . . . . . . . . . . . .</w:t>
      </w:r>
      <w:r w:rsidR="00850A3C" w:rsidRPr="00C50455">
        <w:rPr>
          <w:rFonts w:ascii="Times New Roman" w:hAnsi="Times New Roman" w:cs="Times New Roman"/>
          <w:sz w:val="24"/>
          <w:szCs w:val="24"/>
        </w:rPr>
        <w:t xml:space="preserve"> </w:t>
      </w:r>
      <w:r w:rsidR="008A4D99" w:rsidRPr="00C50455">
        <w:rPr>
          <w:rFonts w:ascii="Times New Roman" w:hAnsi="Times New Roman" w:cs="Times New Roman"/>
          <w:sz w:val="24"/>
          <w:szCs w:val="24"/>
        </w:rPr>
        <w:t>.</w:t>
      </w:r>
      <w:r w:rsidR="009A2B0F">
        <w:rPr>
          <w:rFonts w:ascii="Times New Roman" w:hAnsi="Times New Roman" w:cs="Times New Roman"/>
          <w:sz w:val="24"/>
          <w:szCs w:val="24"/>
        </w:rPr>
        <w:t xml:space="preserve">  9</w:t>
      </w:r>
    </w:p>
    <w:p w:rsidR="00F36039" w:rsidRPr="007F27B8" w:rsidRDefault="00CE1FB5" w:rsidP="00F266FB">
      <w:pPr>
        <w:pStyle w:val="ListParagraph"/>
        <w:numPr>
          <w:ilvl w:val="0"/>
          <w:numId w:val="1"/>
        </w:numPr>
        <w:spacing w:after="120" w:line="360" w:lineRule="auto"/>
        <w:rPr>
          <w:rFonts w:ascii="Times New Roman" w:hAnsi="Times New Roman" w:cs="Times New Roman"/>
          <w:sz w:val="24"/>
          <w:szCs w:val="24"/>
        </w:rPr>
      </w:pPr>
      <w:r w:rsidRPr="00C50455">
        <w:rPr>
          <w:rFonts w:ascii="Times New Roman" w:hAnsi="Times New Roman" w:cs="Times New Roman"/>
          <w:sz w:val="24"/>
          <w:szCs w:val="24"/>
        </w:rPr>
        <w:t>WEB LINKS</w:t>
      </w:r>
      <w:r w:rsidR="00F36039" w:rsidRPr="00C50455">
        <w:rPr>
          <w:rFonts w:ascii="Times New Roman" w:hAnsi="Times New Roman" w:cs="Times New Roman"/>
          <w:sz w:val="24"/>
          <w:szCs w:val="24"/>
        </w:rPr>
        <w:t>. . . . . . . . . . . . . . . . . . . . . . . . . . . . . . . . . . . . . . . . . . . .</w:t>
      </w:r>
      <w:r w:rsidRPr="00C50455">
        <w:rPr>
          <w:rFonts w:ascii="Times New Roman" w:hAnsi="Times New Roman" w:cs="Times New Roman"/>
          <w:sz w:val="24"/>
          <w:szCs w:val="24"/>
        </w:rPr>
        <w:t xml:space="preserve"> </w:t>
      </w:r>
      <w:r w:rsidR="009A2B0F">
        <w:rPr>
          <w:rFonts w:ascii="Times New Roman" w:hAnsi="Times New Roman" w:cs="Times New Roman"/>
          <w:sz w:val="24"/>
          <w:szCs w:val="24"/>
        </w:rPr>
        <w:t>. . . . . . . . . . . . . . 11</w:t>
      </w:r>
    </w:p>
    <w:p w:rsidR="00CE1FB5" w:rsidRPr="00C50455" w:rsidRDefault="00CE1FB5" w:rsidP="00F266FB">
      <w:pPr>
        <w:pStyle w:val="ListParagraph"/>
        <w:numPr>
          <w:ilvl w:val="0"/>
          <w:numId w:val="1"/>
        </w:numPr>
        <w:spacing w:before="120" w:line="360" w:lineRule="auto"/>
        <w:rPr>
          <w:rFonts w:ascii="Times New Roman" w:hAnsi="Times New Roman" w:cs="Times New Roman"/>
          <w:sz w:val="24"/>
          <w:szCs w:val="24"/>
        </w:rPr>
      </w:pPr>
      <w:r w:rsidRPr="00C50455">
        <w:rPr>
          <w:rFonts w:ascii="Times New Roman" w:hAnsi="Times New Roman" w:cs="Times New Roman"/>
          <w:sz w:val="24"/>
          <w:szCs w:val="24"/>
        </w:rPr>
        <w:t>CITATIONS</w:t>
      </w:r>
      <w:r w:rsidR="008A4D99" w:rsidRPr="00C50455">
        <w:rPr>
          <w:rFonts w:ascii="Times New Roman" w:hAnsi="Times New Roman" w:cs="Times New Roman"/>
          <w:sz w:val="24"/>
          <w:szCs w:val="24"/>
        </w:rPr>
        <w:t xml:space="preserve">. . . . . . . . . . . . . . . . . . . . . . . . . . . . . . . . . . . . . . . </w:t>
      </w:r>
      <w:r w:rsidR="00850A3C" w:rsidRPr="00C50455">
        <w:rPr>
          <w:rFonts w:ascii="Times New Roman" w:hAnsi="Times New Roman" w:cs="Times New Roman"/>
          <w:sz w:val="24"/>
          <w:szCs w:val="24"/>
        </w:rPr>
        <w:t xml:space="preserve">. . . </w:t>
      </w:r>
      <w:r w:rsidR="009A2B0F">
        <w:rPr>
          <w:rFonts w:ascii="Times New Roman" w:hAnsi="Times New Roman" w:cs="Times New Roman"/>
          <w:sz w:val="24"/>
          <w:szCs w:val="24"/>
        </w:rPr>
        <w:t>. . . . . . . . . . . . . . . .  11</w:t>
      </w:r>
    </w:p>
    <w:p w:rsidR="00153FB0" w:rsidRPr="00C50455" w:rsidRDefault="00153FB0" w:rsidP="00D23E03">
      <w:pPr>
        <w:contextualSpacing/>
        <w:jc w:val="center"/>
        <w:rPr>
          <w:rFonts w:eastAsia="Calibri"/>
          <w:b/>
          <w:sz w:val="24"/>
          <w:szCs w:val="24"/>
        </w:rPr>
      </w:pPr>
      <w:r w:rsidRPr="00C50455">
        <w:rPr>
          <w:sz w:val="24"/>
          <w:szCs w:val="24"/>
        </w:rPr>
        <w:br w:type="page"/>
      </w:r>
      <w:r w:rsidRPr="00C50455">
        <w:rPr>
          <w:rFonts w:eastAsia="Calibri"/>
          <w:b/>
          <w:sz w:val="24"/>
          <w:szCs w:val="24"/>
        </w:rPr>
        <w:lastRenderedPageBreak/>
        <w:t>SMALL ENTITY COMPLIANCE GUIDE</w:t>
      </w:r>
    </w:p>
    <w:p w:rsidR="00153FB0" w:rsidRPr="00C50455" w:rsidRDefault="00153FB0" w:rsidP="00D23E03">
      <w:pPr>
        <w:spacing w:after="200"/>
        <w:contextualSpacing/>
        <w:jc w:val="center"/>
        <w:rPr>
          <w:rFonts w:eastAsia="Calibri"/>
          <w:b/>
          <w:sz w:val="24"/>
          <w:szCs w:val="24"/>
        </w:rPr>
      </w:pPr>
      <w:r w:rsidRPr="00C50455">
        <w:rPr>
          <w:rFonts w:eastAsia="Calibri"/>
          <w:b/>
          <w:sz w:val="24"/>
          <w:szCs w:val="24"/>
        </w:rPr>
        <w:t>Special Access Data Collection</w:t>
      </w:r>
    </w:p>
    <w:p w:rsidR="00153FB0" w:rsidRPr="00C50455" w:rsidRDefault="00153FB0" w:rsidP="00D23E03">
      <w:pPr>
        <w:spacing w:after="200"/>
        <w:contextualSpacing/>
        <w:jc w:val="center"/>
        <w:rPr>
          <w:rFonts w:eastAsia="Calibri"/>
          <w:b/>
          <w:sz w:val="24"/>
          <w:szCs w:val="24"/>
        </w:rPr>
      </w:pPr>
    </w:p>
    <w:p w:rsidR="00153FB0" w:rsidRPr="00C50455" w:rsidRDefault="00153FB0" w:rsidP="00D23E03">
      <w:pPr>
        <w:spacing w:after="200"/>
        <w:contextualSpacing/>
        <w:jc w:val="center"/>
        <w:rPr>
          <w:rFonts w:eastAsia="Calibri"/>
          <w:sz w:val="24"/>
          <w:szCs w:val="24"/>
        </w:rPr>
      </w:pPr>
      <w:r w:rsidRPr="00C50455">
        <w:rPr>
          <w:rFonts w:eastAsia="Calibri"/>
          <w:sz w:val="24"/>
          <w:szCs w:val="24"/>
        </w:rPr>
        <w:t>WC Docket No. 05-25</w:t>
      </w:r>
    </w:p>
    <w:p w:rsidR="00153FB0" w:rsidRPr="00C50455" w:rsidRDefault="00153FB0" w:rsidP="00D23E03">
      <w:pPr>
        <w:spacing w:after="200"/>
        <w:contextualSpacing/>
        <w:jc w:val="center"/>
        <w:rPr>
          <w:rFonts w:eastAsia="Calibri"/>
          <w:sz w:val="24"/>
          <w:szCs w:val="24"/>
        </w:rPr>
      </w:pPr>
      <w:r w:rsidRPr="00C50455">
        <w:rPr>
          <w:rFonts w:eastAsia="Calibri"/>
          <w:sz w:val="24"/>
          <w:szCs w:val="24"/>
        </w:rPr>
        <w:t>RM-10593</w:t>
      </w:r>
    </w:p>
    <w:p w:rsidR="00153FB0" w:rsidRPr="00C50455" w:rsidRDefault="00153FB0" w:rsidP="00D23E03">
      <w:pPr>
        <w:spacing w:after="200"/>
        <w:contextualSpacing/>
        <w:jc w:val="center"/>
        <w:rPr>
          <w:rFonts w:eastAsia="Calibri"/>
          <w:sz w:val="24"/>
          <w:szCs w:val="24"/>
        </w:rPr>
      </w:pPr>
    </w:p>
    <w:p w:rsidR="008A4D99" w:rsidRPr="00C50455" w:rsidRDefault="008A4D99" w:rsidP="0069159D">
      <w:pPr>
        <w:tabs>
          <w:tab w:val="left" w:pos="540"/>
        </w:tabs>
        <w:spacing w:after="200"/>
        <w:contextualSpacing/>
        <w:rPr>
          <w:rFonts w:eastAsia="Calibri"/>
          <w:b/>
          <w:sz w:val="24"/>
          <w:szCs w:val="24"/>
        </w:rPr>
      </w:pPr>
      <w:r w:rsidRPr="00C50455">
        <w:rPr>
          <w:rFonts w:eastAsia="Calibri"/>
          <w:b/>
          <w:sz w:val="24"/>
          <w:szCs w:val="24"/>
        </w:rPr>
        <w:t xml:space="preserve">I.   </w:t>
      </w:r>
      <w:r w:rsidR="0069159D" w:rsidRPr="00C50455">
        <w:rPr>
          <w:rFonts w:eastAsia="Calibri"/>
          <w:b/>
          <w:sz w:val="24"/>
          <w:szCs w:val="24"/>
        </w:rPr>
        <w:tab/>
      </w:r>
      <w:r w:rsidRPr="00C50455">
        <w:rPr>
          <w:rFonts w:eastAsia="Calibri"/>
          <w:b/>
          <w:sz w:val="24"/>
          <w:szCs w:val="24"/>
        </w:rPr>
        <w:t>INTRODUCTION</w:t>
      </w:r>
    </w:p>
    <w:p w:rsidR="00153FB0" w:rsidRPr="00C50455" w:rsidRDefault="00153FB0" w:rsidP="00604B4F">
      <w:pPr>
        <w:pStyle w:val="ListParagraph"/>
        <w:numPr>
          <w:ilvl w:val="1"/>
          <w:numId w:val="1"/>
        </w:numPr>
        <w:rPr>
          <w:rFonts w:ascii="Times New Roman" w:eastAsia="Calibri" w:hAnsi="Times New Roman" w:cs="Times New Roman"/>
          <w:b/>
          <w:sz w:val="24"/>
          <w:szCs w:val="24"/>
        </w:rPr>
      </w:pPr>
      <w:r w:rsidRPr="00C50455">
        <w:rPr>
          <w:rFonts w:ascii="Times New Roman" w:eastAsia="Calibri" w:hAnsi="Times New Roman" w:cs="Times New Roman"/>
          <w:b/>
          <w:sz w:val="24"/>
          <w:szCs w:val="24"/>
        </w:rPr>
        <w:t>W</w:t>
      </w:r>
      <w:r w:rsidR="000468A2">
        <w:rPr>
          <w:rFonts w:ascii="Times New Roman" w:eastAsia="Calibri" w:hAnsi="Times New Roman" w:cs="Times New Roman"/>
          <w:b/>
          <w:sz w:val="24"/>
          <w:szCs w:val="24"/>
        </w:rPr>
        <w:t>hat is special access service</w:t>
      </w:r>
      <w:r w:rsidRPr="00C50455">
        <w:rPr>
          <w:rFonts w:ascii="Times New Roman" w:eastAsia="Calibri" w:hAnsi="Times New Roman" w:cs="Times New Roman"/>
          <w:b/>
          <w:sz w:val="24"/>
          <w:szCs w:val="24"/>
        </w:rPr>
        <w:t>?</w:t>
      </w:r>
    </w:p>
    <w:p w:rsidR="00545575" w:rsidRPr="00C50455" w:rsidRDefault="00956328" w:rsidP="008750B3">
      <w:pPr>
        <w:spacing w:after="200"/>
        <w:ind w:left="1080"/>
        <w:contextualSpacing/>
        <w:rPr>
          <w:rFonts w:eastAsia="Calibri"/>
          <w:b/>
          <w:sz w:val="24"/>
          <w:szCs w:val="24"/>
        </w:rPr>
      </w:pPr>
      <w:r w:rsidRPr="00C50455">
        <w:rPr>
          <w:rFonts w:eastAsia="Calibri"/>
          <w:sz w:val="24"/>
          <w:szCs w:val="24"/>
        </w:rPr>
        <w:t xml:space="preserve">Special </w:t>
      </w:r>
      <w:r w:rsidR="004644B2">
        <w:rPr>
          <w:rFonts w:eastAsia="Calibri"/>
          <w:sz w:val="24"/>
          <w:szCs w:val="24"/>
        </w:rPr>
        <w:t>a</w:t>
      </w:r>
      <w:r w:rsidRPr="00C50455">
        <w:rPr>
          <w:rFonts w:eastAsia="Calibri"/>
          <w:sz w:val="24"/>
          <w:szCs w:val="24"/>
        </w:rPr>
        <w:t xml:space="preserve">ccess </w:t>
      </w:r>
      <w:r w:rsidR="004455D5">
        <w:rPr>
          <w:rFonts w:eastAsia="Calibri"/>
          <w:sz w:val="24"/>
          <w:szCs w:val="24"/>
        </w:rPr>
        <w:t xml:space="preserve">is the non-switched </w:t>
      </w:r>
      <w:r w:rsidR="007F5C6D" w:rsidRPr="00C50455">
        <w:rPr>
          <w:rFonts w:eastAsia="Calibri"/>
          <w:sz w:val="24"/>
          <w:szCs w:val="24"/>
        </w:rPr>
        <w:t>transport</w:t>
      </w:r>
      <w:r w:rsidR="00A7750D" w:rsidRPr="00C50455">
        <w:rPr>
          <w:rFonts w:eastAsia="Calibri"/>
          <w:sz w:val="24"/>
          <w:szCs w:val="24"/>
        </w:rPr>
        <w:t xml:space="preserve"> </w:t>
      </w:r>
      <w:r w:rsidR="004455D5">
        <w:rPr>
          <w:rFonts w:eastAsia="Calibri"/>
          <w:sz w:val="24"/>
          <w:szCs w:val="24"/>
        </w:rPr>
        <w:t xml:space="preserve">of </w:t>
      </w:r>
      <w:r w:rsidR="00A7750D" w:rsidRPr="00C50455">
        <w:rPr>
          <w:rFonts w:eastAsia="Calibri"/>
          <w:sz w:val="24"/>
          <w:szCs w:val="24"/>
        </w:rPr>
        <w:t xml:space="preserve">voice and data over </w:t>
      </w:r>
      <w:r w:rsidRPr="00C50455">
        <w:rPr>
          <w:rFonts w:eastAsia="Calibri"/>
          <w:sz w:val="24"/>
          <w:szCs w:val="24"/>
        </w:rPr>
        <w:t xml:space="preserve">a dedicated transmission line between two or more designated </w:t>
      </w:r>
      <w:r w:rsidR="00A7750D" w:rsidRPr="00C50455">
        <w:rPr>
          <w:rFonts w:eastAsia="Calibri"/>
          <w:sz w:val="24"/>
          <w:szCs w:val="24"/>
        </w:rPr>
        <w:t>points</w:t>
      </w:r>
      <w:r w:rsidR="00286466" w:rsidRPr="00C50455">
        <w:rPr>
          <w:rFonts w:eastAsia="Calibri"/>
          <w:sz w:val="24"/>
          <w:szCs w:val="24"/>
        </w:rPr>
        <w:t xml:space="preserve">.  </w:t>
      </w:r>
      <w:r w:rsidRPr="00C50455">
        <w:rPr>
          <w:rFonts w:eastAsia="Calibri"/>
          <w:sz w:val="24"/>
          <w:szCs w:val="24"/>
        </w:rPr>
        <w:t xml:space="preserve">For example, wireless providers use high capacity special access lines to send voice and data from cell towers to their mobile switching center where the call is then switched to the sender’s intended recipient.  Individual consumers, small businesses, government offices, hospitals, medical offices, schools, libraries, ATMs and credit card readers use special access to either connect to a dedicated network or to an Internet </w:t>
      </w:r>
      <w:r w:rsidR="00497A91" w:rsidRPr="00C50455">
        <w:rPr>
          <w:rFonts w:eastAsia="Calibri"/>
          <w:sz w:val="24"/>
          <w:szCs w:val="24"/>
        </w:rPr>
        <w:t xml:space="preserve">service provider </w:t>
      </w:r>
      <w:r w:rsidRPr="00C50455">
        <w:rPr>
          <w:rFonts w:eastAsia="Calibri"/>
          <w:sz w:val="24"/>
          <w:szCs w:val="24"/>
        </w:rPr>
        <w:t>for the completion of the transmission via the Internet.</w:t>
      </w:r>
    </w:p>
    <w:p w:rsidR="003E5883" w:rsidRPr="00C50455" w:rsidRDefault="003E5883" w:rsidP="008750B3">
      <w:pPr>
        <w:spacing w:after="200"/>
        <w:ind w:left="1080"/>
        <w:contextualSpacing/>
        <w:rPr>
          <w:rFonts w:eastAsia="Calibri"/>
          <w:sz w:val="24"/>
          <w:szCs w:val="24"/>
        </w:rPr>
      </w:pPr>
    </w:p>
    <w:p w:rsidR="00153FB0" w:rsidRPr="00C50455" w:rsidRDefault="00E81B80" w:rsidP="00E81B80">
      <w:pPr>
        <w:spacing w:after="200"/>
        <w:contextualSpacing/>
        <w:rPr>
          <w:rFonts w:eastAsia="Calibri"/>
          <w:b/>
          <w:sz w:val="24"/>
          <w:szCs w:val="24"/>
        </w:rPr>
      </w:pPr>
      <w:r w:rsidRPr="00C50455">
        <w:rPr>
          <w:rFonts w:eastAsia="Calibri"/>
          <w:b/>
          <w:sz w:val="24"/>
          <w:szCs w:val="24"/>
        </w:rPr>
        <w:t xml:space="preserve">II.   </w:t>
      </w:r>
      <w:r w:rsidR="00153FB0" w:rsidRPr="00C50455">
        <w:rPr>
          <w:rFonts w:eastAsia="Calibri"/>
          <w:b/>
          <w:sz w:val="24"/>
          <w:szCs w:val="24"/>
        </w:rPr>
        <w:t>OBJECTIVES OF THE PROCEEDING</w:t>
      </w:r>
    </w:p>
    <w:p w:rsidR="008750B3" w:rsidRPr="00C50455" w:rsidRDefault="008750B3" w:rsidP="008750B3">
      <w:pPr>
        <w:spacing w:after="200"/>
        <w:contextualSpacing/>
        <w:rPr>
          <w:rFonts w:eastAsia="Calibri"/>
          <w:sz w:val="24"/>
          <w:szCs w:val="24"/>
        </w:rPr>
      </w:pPr>
    </w:p>
    <w:p w:rsidR="00E81B80" w:rsidRPr="00A5725E" w:rsidRDefault="00C42B0A" w:rsidP="00A7750D">
      <w:pPr>
        <w:spacing w:after="200"/>
        <w:ind w:left="1080"/>
        <w:contextualSpacing/>
        <w:rPr>
          <w:rFonts w:eastAsia="Calibri"/>
          <w:sz w:val="24"/>
          <w:szCs w:val="24"/>
        </w:rPr>
      </w:pPr>
      <w:r w:rsidRPr="00C50455">
        <w:rPr>
          <w:rFonts w:eastAsia="Calibri"/>
          <w:sz w:val="24"/>
          <w:szCs w:val="24"/>
        </w:rPr>
        <w:t xml:space="preserve">The FCC is reviewing its special access regulations for the larger traditional phone companies—the “price cap” </w:t>
      </w:r>
      <w:r w:rsidR="00A7750D" w:rsidRPr="00C50455">
        <w:rPr>
          <w:rFonts w:eastAsia="Calibri"/>
          <w:sz w:val="24"/>
          <w:szCs w:val="24"/>
        </w:rPr>
        <w:t xml:space="preserve">incumbent local exchange </w:t>
      </w:r>
      <w:r w:rsidRPr="00C50455">
        <w:rPr>
          <w:rFonts w:eastAsia="Calibri"/>
          <w:sz w:val="24"/>
          <w:szCs w:val="24"/>
        </w:rPr>
        <w:t>carriers</w:t>
      </w:r>
      <w:r w:rsidR="00A7750D" w:rsidRPr="00C50455">
        <w:rPr>
          <w:rFonts w:eastAsia="Calibri"/>
          <w:sz w:val="24"/>
          <w:szCs w:val="24"/>
        </w:rPr>
        <w:t xml:space="preserve"> (ILECs)</w:t>
      </w:r>
      <w:r w:rsidR="00E81B80" w:rsidRPr="00C50455">
        <w:rPr>
          <w:rFonts w:eastAsia="Calibri"/>
          <w:sz w:val="24"/>
          <w:szCs w:val="24"/>
        </w:rPr>
        <w:t xml:space="preserve"> such as AT&amp;T, Verizon, Qwest, etc.</w:t>
      </w:r>
      <w:r w:rsidR="00A7750D" w:rsidRPr="00C50455">
        <w:rPr>
          <w:rFonts w:eastAsia="Calibri"/>
          <w:sz w:val="24"/>
          <w:szCs w:val="24"/>
        </w:rPr>
        <w:t>—</w:t>
      </w:r>
      <w:r w:rsidRPr="00C50455">
        <w:rPr>
          <w:rFonts w:eastAsia="Calibri"/>
          <w:sz w:val="24"/>
          <w:szCs w:val="24"/>
        </w:rPr>
        <w:t>to determine whether the</w:t>
      </w:r>
      <w:r w:rsidR="00C12DC6" w:rsidRPr="00C50455">
        <w:rPr>
          <w:rFonts w:eastAsia="Calibri"/>
          <w:sz w:val="24"/>
          <w:szCs w:val="24"/>
        </w:rPr>
        <w:t xml:space="preserve"> </w:t>
      </w:r>
      <w:r w:rsidR="00A7750D" w:rsidRPr="00C50455">
        <w:rPr>
          <w:rFonts w:eastAsia="Calibri"/>
          <w:sz w:val="24"/>
          <w:szCs w:val="24"/>
        </w:rPr>
        <w:t xml:space="preserve">FCC’s special access </w:t>
      </w:r>
      <w:r w:rsidR="00C12DC6" w:rsidRPr="00C50455">
        <w:rPr>
          <w:rFonts w:eastAsia="Calibri"/>
          <w:sz w:val="24"/>
          <w:szCs w:val="24"/>
        </w:rPr>
        <w:t xml:space="preserve">rules are working to </w:t>
      </w:r>
      <w:r w:rsidR="00F14013" w:rsidRPr="00C50455">
        <w:rPr>
          <w:rFonts w:eastAsia="Calibri"/>
          <w:sz w:val="24"/>
          <w:szCs w:val="24"/>
        </w:rPr>
        <w:t>ensure just and reasonable rates</w:t>
      </w:r>
      <w:r w:rsidR="005C3159" w:rsidRPr="00C50455">
        <w:rPr>
          <w:rFonts w:eastAsia="Calibri"/>
          <w:sz w:val="24"/>
          <w:szCs w:val="24"/>
        </w:rPr>
        <w:t>, terms, and conditions</w:t>
      </w:r>
      <w:r w:rsidR="00F14013" w:rsidRPr="00C50455">
        <w:rPr>
          <w:rFonts w:eastAsia="Calibri"/>
          <w:sz w:val="24"/>
          <w:szCs w:val="24"/>
        </w:rPr>
        <w:t xml:space="preserve"> for special access service and </w:t>
      </w:r>
      <w:r w:rsidR="00C12DC6" w:rsidRPr="00C50455">
        <w:rPr>
          <w:rFonts w:eastAsia="Calibri"/>
          <w:sz w:val="24"/>
          <w:szCs w:val="24"/>
        </w:rPr>
        <w:t xml:space="preserve">promote competition and investment in the special access market.  </w:t>
      </w:r>
    </w:p>
    <w:p w:rsidR="00E81B80" w:rsidRPr="00C50455" w:rsidRDefault="00E81B80" w:rsidP="003D1DE8">
      <w:pPr>
        <w:spacing w:after="200"/>
        <w:ind w:left="1080"/>
        <w:contextualSpacing/>
        <w:rPr>
          <w:rFonts w:eastAsia="Calibri"/>
          <w:sz w:val="24"/>
          <w:szCs w:val="24"/>
        </w:rPr>
      </w:pPr>
    </w:p>
    <w:p w:rsidR="004A7553" w:rsidRPr="00C50455" w:rsidRDefault="003D1DE8" w:rsidP="003D1DE8">
      <w:pPr>
        <w:spacing w:after="200"/>
        <w:ind w:left="1080"/>
        <w:contextualSpacing/>
        <w:rPr>
          <w:rFonts w:eastAsia="Calibri"/>
          <w:sz w:val="24"/>
          <w:szCs w:val="24"/>
        </w:rPr>
      </w:pPr>
      <w:r w:rsidRPr="00C50455">
        <w:rPr>
          <w:rFonts w:eastAsia="Calibri"/>
          <w:sz w:val="24"/>
          <w:szCs w:val="24"/>
        </w:rPr>
        <w:t xml:space="preserve">On December 11, 2012, the </w:t>
      </w:r>
      <w:r w:rsidR="00A7750D" w:rsidRPr="00C50455">
        <w:rPr>
          <w:rFonts w:eastAsia="Calibri"/>
          <w:sz w:val="24"/>
          <w:szCs w:val="24"/>
        </w:rPr>
        <w:t xml:space="preserve">FCC </w:t>
      </w:r>
      <w:r w:rsidRPr="00C50455">
        <w:rPr>
          <w:rFonts w:eastAsia="Calibri"/>
          <w:sz w:val="24"/>
          <w:szCs w:val="24"/>
        </w:rPr>
        <w:t xml:space="preserve">adopted a Report and Order and Further Notice of Proposed Rulemaking requiring </w:t>
      </w:r>
      <w:r w:rsidR="006F291B">
        <w:rPr>
          <w:rFonts w:eastAsia="Calibri"/>
          <w:sz w:val="24"/>
          <w:szCs w:val="24"/>
        </w:rPr>
        <w:t>p</w:t>
      </w:r>
      <w:r w:rsidRPr="00C50455">
        <w:rPr>
          <w:rFonts w:eastAsia="Calibri"/>
          <w:sz w:val="24"/>
          <w:szCs w:val="24"/>
        </w:rPr>
        <w:t xml:space="preserve">roviders and </w:t>
      </w:r>
      <w:r w:rsidR="006F291B">
        <w:rPr>
          <w:rFonts w:eastAsia="Calibri"/>
          <w:sz w:val="24"/>
          <w:szCs w:val="24"/>
        </w:rPr>
        <w:t>p</w:t>
      </w:r>
      <w:r w:rsidRPr="00C50455">
        <w:rPr>
          <w:rFonts w:eastAsia="Calibri"/>
          <w:sz w:val="24"/>
          <w:szCs w:val="24"/>
        </w:rPr>
        <w:t xml:space="preserve">urchasers of special access and certain entities providing </w:t>
      </w:r>
      <w:r w:rsidR="006F291B">
        <w:rPr>
          <w:rFonts w:eastAsia="Calibri"/>
          <w:sz w:val="24"/>
          <w:szCs w:val="24"/>
        </w:rPr>
        <w:t>b</w:t>
      </w:r>
      <w:r w:rsidRPr="00C50455">
        <w:rPr>
          <w:rFonts w:eastAsia="Calibri"/>
          <w:sz w:val="24"/>
          <w:szCs w:val="24"/>
        </w:rPr>
        <w:t xml:space="preserve">est </w:t>
      </w:r>
      <w:r w:rsidR="006F291B">
        <w:rPr>
          <w:rFonts w:eastAsia="Calibri"/>
          <w:sz w:val="24"/>
          <w:szCs w:val="24"/>
        </w:rPr>
        <w:t>e</w:t>
      </w:r>
      <w:r w:rsidR="00C322FC" w:rsidRPr="00C50455">
        <w:rPr>
          <w:rFonts w:eastAsia="Calibri"/>
          <w:sz w:val="24"/>
          <w:szCs w:val="24"/>
        </w:rPr>
        <w:t>fforts</w:t>
      </w:r>
      <w:r w:rsidRPr="00C50455">
        <w:rPr>
          <w:rFonts w:eastAsia="Calibri"/>
          <w:sz w:val="24"/>
          <w:szCs w:val="24"/>
        </w:rPr>
        <w:t xml:space="preserve"> </w:t>
      </w:r>
      <w:r w:rsidR="006F291B">
        <w:rPr>
          <w:rFonts w:eastAsia="Calibri"/>
          <w:sz w:val="24"/>
          <w:szCs w:val="24"/>
        </w:rPr>
        <w:t>b</w:t>
      </w:r>
      <w:r w:rsidR="00286466" w:rsidRPr="00C50455">
        <w:rPr>
          <w:rFonts w:eastAsia="Calibri"/>
          <w:sz w:val="24"/>
          <w:szCs w:val="24"/>
        </w:rPr>
        <w:t xml:space="preserve">usiness </w:t>
      </w:r>
      <w:r w:rsidR="006F291B">
        <w:rPr>
          <w:rFonts w:eastAsia="Calibri"/>
          <w:sz w:val="24"/>
          <w:szCs w:val="24"/>
        </w:rPr>
        <w:t>b</w:t>
      </w:r>
      <w:r w:rsidR="00C322FC" w:rsidRPr="00C50455">
        <w:rPr>
          <w:rFonts w:eastAsia="Calibri"/>
          <w:sz w:val="24"/>
          <w:szCs w:val="24"/>
        </w:rPr>
        <w:t xml:space="preserve">roadband Internet </w:t>
      </w:r>
      <w:r w:rsidR="006F291B">
        <w:rPr>
          <w:rFonts w:eastAsia="Calibri"/>
          <w:sz w:val="24"/>
          <w:szCs w:val="24"/>
        </w:rPr>
        <w:t>a</w:t>
      </w:r>
      <w:r w:rsidR="00286466" w:rsidRPr="00C50455">
        <w:rPr>
          <w:rFonts w:eastAsia="Calibri"/>
          <w:sz w:val="24"/>
          <w:szCs w:val="24"/>
        </w:rPr>
        <w:t xml:space="preserve">ccess </w:t>
      </w:r>
      <w:r w:rsidR="006F291B">
        <w:rPr>
          <w:rFonts w:eastAsia="Calibri"/>
          <w:sz w:val="24"/>
          <w:szCs w:val="24"/>
        </w:rPr>
        <w:t>s</w:t>
      </w:r>
      <w:r w:rsidRPr="00C50455">
        <w:rPr>
          <w:rFonts w:eastAsia="Calibri"/>
          <w:sz w:val="24"/>
          <w:szCs w:val="24"/>
        </w:rPr>
        <w:t>ervice to submit data and</w:t>
      </w:r>
      <w:r w:rsidR="0095081B" w:rsidRPr="00C50455">
        <w:rPr>
          <w:rFonts w:eastAsia="Calibri"/>
          <w:sz w:val="24"/>
          <w:szCs w:val="24"/>
        </w:rPr>
        <w:t xml:space="preserve"> information</w:t>
      </w:r>
      <w:r w:rsidRPr="00C50455">
        <w:rPr>
          <w:rFonts w:eastAsia="Calibri"/>
          <w:sz w:val="24"/>
          <w:szCs w:val="24"/>
        </w:rPr>
        <w:t xml:space="preserve">.  </w:t>
      </w:r>
      <w:r w:rsidR="00E8512A">
        <w:rPr>
          <w:rFonts w:eastAsia="Calibri"/>
          <w:sz w:val="24"/>
          <w:szCs w:val="24"/>
        </w:rPr>
        <w:t xml:space="preserve">The order included an “initial version” of the data collection questions.  </w:t>
      </w:r>
      <w:r w:rsidR="006F291B" w:rsidRPr="00A5725E">
        <w:rPr>
          <w:sz w:val="24"/>
          <w:szCs w:val="24"/>
        </w:rPr>
        <w:t xml:space="preserve">On September 18, 2013, the </w:t>
      </w:r>
      <w:r w:rsidR="00E8512A">
        <w:rPr>
          <w:sz w:val="24"/>
          <w:szCs w:val="24"/>
        </w:rPr>
        <w:t xml:space="preserve">FCC’s Wireline Competition </w:t>
      </w:r>
      <w:r w:rsidR="006F291B" w:rsidRPr="00A5725E">
        <w:rPr>
          <w:sz w:val="24"/>
          <w:szCs w:val="24"/>
        </w:rPr>
        <w:t xml:space="preserve">Bureau </w:t>
      </w:r>
      <w:r w:rsidR="00E8512A">
        <w:rPr>
          <w:sz w:val="24"/>
          <w:szCs w:val="24"/>
        </w:rPr>
        <w:t xml:space="preserve">(Bureau) </w:t>
      </w:r>
      <w:r w:rsidR="006F291B" w:rsidRPr="00A5725E">
        <w:rPr>
          <w:sz w:val="24"/>
          <w:szCs w:val="24"/>
        </w:rPr>
        <w:t>released an order clarifying the scope of the collection, providing instructions on how to respond to the data collection questions, and providing a list of all modifications and amendments to the data collection questions and definitions</w:t>
      </w:r>
      <w:r w:rsidR="00E8512A">
        <w:rPr>
          <w:sz w:val="24"/>
          <w:szCs w:val="24"/>
        </w:rPr>
        <w:t xml:space="preserve"> based on feedback received from industry</w:t>
      </w:r>
      <w:r w:rsidR="006F291B" w:rsidRPr="00A5725E">
        <w:rPr>
          <w:sz w:val="24"/>
          <w:szCs w:val="24"/>
        </w:rPr>
        <w:t>.</w:t>
      </w:r>
      <w:r w:rsidR="00E8512A" w:rsidRPr="00A5725E">
        <w:rPr>
          <w:sz w:val="24"/>
          <w:szCs w:val="24"/>
        </w:rPr>
        <w:t xml:space="preserve">  </w:t>
      </w:r>
      <w:r w:rsidR="00E8512A">
        <w:rPr>
          <w:sz w:val="24"/>
          <w:szCs w:val="24"/>
        </w:rPr>
        <w:t xml:space="preserve">The </w:t>
      </w:r>
      <w:r w:rsidR="002D67F3">
        <w:rPr>
          <w:sz w:val="24"/>
          <w:szCs w:val="24"/>
        </w:rPr>
        <w:t>FCC</w:t>
      </w:r>
      <w:r w:rsidR="00E8512A">
        <w:rPr>
          <w:sz w:val="24"/>
          <w:szCs w:val="24"/>
        </w:rPr>
        <w:t xml:space="preserve"> then submitted the collection to the </w:t>
      </w:r>
      <w:r w:rsidR="00E8512A" w:rsidRPr="00C50455">
        <w:rPr>
          <w:rFonts w:eastAsia="Calibri"/>
          <w:sz w:val="24"/>
          <w:szCs w:val="24"/>
        </w:rPr>
        <w:t>Office of Management and Budget (OMB)</w:t>
      </w:r>
      <w:r w:rsidR="00E8512A">
        <w:rPr>
          <w:rFonts w:eastAsia="Calibri"/>
          <w:sz w:val="24"/>
          <w:szCs w:val="24"/>
        </w:rPr>
        <w:t xml:space="preserve"> for approval </w:t>
      </w:r>
      <w:r w:rsidR="00A92A3A">
        <w:rPr>
          <w:rFonts w:eastAsia="Calibri"/>
          <w:sz w:val="24"/>
          <w:szCs w:val="24"/>
        </w:rPr>
        <w:t>(</w:t>
      </w:r>
      <w:r w:rsidR="00A92A3A" w:rsidRPr="00A92A3A">
        <w:rPr>
          <w:rFonts w:eastAsia="Calibri"/>
          <w:sz w:val="24"/>
          <w:szCs w:val="24"/>
        </w:rPr>
        <w:t>OMB Control No. 3060-1197</w:t>
      </w:r>
      <w:r w:rsidR="00A92A3A">
        <w:rPr>
          <w:rFonts w:eastAsia="Calibri"/>
          <w:sz w:val="24"/>
          <w:szCs w:val="24"/>
        </w:rPr>
        <w:t>)</w:t>
      </w:r>
      <w:r w:rsidR="00A92A3A" w:rsidRPr="00A92A3A">
        <w:rPr>
          <w:rFonts w:eastAsia="Calibri"/>
          <w:sz w:val="24"/>
          <w:szCs w:val="24"/>
        </w:rPr>
        <w:t xml:space="preserve"> </w:t>
      </w:r>
      <w:r w:rsidR="00E8512A">
        <w:rPr>
          <w:rFonts w:eastAsia="Calibri"/>
          <w:sz w:val="24"/>
          <w:szCs w:val="24"/>
        </w:rPr>
        <w:t xml:space="preserve">pursuant to the </w:t>
      </w:r>
      <w:r w:rsidR="00E8512A" w:rsidRPr="00C50455">
        <w:rPr>
          <w:rFonts w:eastAsia="Calibri"/>
          <w:sz w:val="24"/>
          <w:szCs w:val="24"/>
        </w:rPr>
        <w:t>Paperwork Reduction Act (PRA)</w:t>
      </w:r>
      <w:r w:rsidR="00E8512A">
        <w:rPr>
          <w:rFonts w:eastAsia="Calibri"/>
          <w:sz w:val="24"/>
          <w:szCs w:val="24"/>
        </w:rPr>
        <w:t>.</w:t>
      </w:r>
      <w:r w:rsidR="00E8512A" w:rsidRPr="00C50455">
        <w:rPr>
          <w:rFonts w:eastAsia="Calibri"/>
          <w:sz w:val="24"/>
          <w:szCs w:val="24"/>
        </w:rPr>
        <w:t xml:space="preserve"> </w:t>
      </w:r>
      <w:r w:rsidR="00E8512A">
        <w:rPr>
          <w:rFonts w:eastAsia="Calibri"/>
          <w:sz w:val="24"/>
          <w:szCs w:val="24"/>
        </w:rPr>
        <w:t xml:space="preserve"> OMB approved the collection on August 15, 2014</w:t>
      </w:r>
      <w:r w:rsidR="004B5AD6">
        <w:rPr>
          <w:rFonts w:eastAsia="Calibri"/>
          <w:sz w:val="24"/>
          <w:szCs w:val="24"/>
        </w:rPr>
        <w:t>,</w:t>
      </w:r>
      <w:r w:rsidR="00E8512A">
        <w:rPr>
          <w:rFonts w:eastAsia="Calibri"/>
          <w:sz w:val="24"/>
          <w:szCs w:val="24"/>
        </w:rPr>
        <w:t xml:space="preserve"> subject to changes.  On September 15, 2014, t</w:t>
      </w:r>
      <w:r w:rsidR="00F14013" w:rsidRPr="00C50455">
        <w:rPr>
          <w:rFonts w:eastAsia="Calibri"/>
          <w:sz w:val="24"/>
          <w:szCs w:val="24"/>
        </w:rPr>
        <w:t xml:space="preserve">he </w:t>
      </w:r>
      <w:r w:rsidR="00E8512A">
        <w:rPr>
          <w:rFonts w:eastAsia="Calibri"/>
          <w:sz w:val="24"/>
          <w:szCs w:val="24"/>
        </w:rPr>
        <w:t xml:space="preserve">Bureau released an </w:t>
      </w:r>
      <w:r w:rsidR="00017EFE" w:rsidRPr="00C50455">
        <w:rPr>
          <w:rFonts w:eastAsia="Calibri"/>
          <w:sz w:val="24"/>
          <w:szCs w:val="24"/>
        </w:rPr>
        <w:t>O</w:t>
      </w:r>
      <w:r w:rsidR="00F14013" w:rsidRPr="00C50455">
        <w:rPr>
          <w:rFonts w:eastAsia="Calibri"/>
          <w:sz w:val="24"/>
          <w:szCs w:val="24"/>
        </w:rPr>
        <w:t>rder</w:t>
      </w:r>
      <w:r w:rsidR="00017EFE" w:rsidRPr="00C50455">
        <w:rPr>
          <w:rFonts w:eastAsia="Calibri"/>
          <w:sz w:val="24"/>
          <w:szCs w:val="24"/>
        </w:rPr>
        <w:t xml:space="preserve"> on Reconsideration</w:t>
      </w:r>
      <w:r w:rsidR="00F14013" w:rsidRPr="00C50455">
        <w:rPr>
          <w:rFonts w:eastAsia="Calibri"/>
          <w:sz w:val="24"/>
          <w:szCs w:val="24"/>
        </w:rPr>
        <w:t xml:space="preserve"> </w:t>
      </w:r>
      <w:r w:rsidR="00E8512A">
        <w:rPr>
          <w:rFonts w:eastAsia="Calibri"/>
          <w:sz w:val="24"/>
          <w:szCs w:val="24"/>
        </w:rPr>
        <w:t xml:space="preserve">amending the collection to reflect the approval received from OMB and </w:t>
      </w:r>
      <w:r w:rsidR="00F14013" w:rsidRPr="00C50455">
        <w:rPr>
          <w:rFonts w:eastAsia="Calibri"/>
          <w:sz w:val="24"/>
          <w:szCs w:val="24"/>
        </w:rPr>
        <w:t>announc</w:t>
      </w:r>
      <w:r w:rsidR="00E8512A">
        <w:rPr>
          <w:rFonts w:eastAsia="Calibri"/>
          <w:sz w:val="24"/>
          <w:szCs w:val="24"/>
        </w:rPr>
        <w:t>ing</w:t>
      </w:r>
      <w:r w:rsidRPr="00C50455">
        <w:rPr>
          <w:rFonts w:eastAsia="Calibri"/>
          <w:sz w:val="24"/>
          <w:szCs w:val="24"/>
        </w:rPr>
        <w:t xml:space="preserve"> a December 1</w:t>
      </w:r>
      <w:r w:rsidR="00E8512A">
        <w:rPr>
          <w:rFonts w:eastAsia="Calibri"/>
          <w:sz w:val="24"/>
          <w:szCs w:val="24"/>
        </w:rPr>
        <w:t>5</w:t>
      </w:r>
      <w:r w:rsidRPr="00C50455">
        <w:rPr>
          <w:rFonts w:eastAsia="Calibri"/>
          <w:sz w:val="24"/>
          <w:szCs w:val="24"/>
        </w:rPr>
        <w:t>, 2014</w:t>
      </w:r>
      <w:r w:rsidR="004B5AD6">
        <w:rPr>
          <w:rFonts w:eastAsia="Calibri"/>
          <w:sz w:val="24"/>
          <w:szCs w:val="24"/>
        </w:rPr>
        <w:t>,</w:t>
      </w:r>
      <w:r w:rsidRPr="00C50455">
        <w:rPr>
          <w:rFonts w:eastAsia="Calibri"/>
          <w:sz w:val="24"/>
          <w:szCs w:val="24"/>
        </w:rPr>
        <w:t xml:space="preserve"> deadline by which parties are required to submit data and information.  </w:t>
      </w:r>
    </w:p>
    <w:p w:rsidR="005C3159" w:rsidRPr="00C50455" w:rsidRDefault="005C3159" w:rsidP="003D1DE8">
      <w:pPr>
        <w:spacing w:after="200"/>
        <w:ind w:left="1080"/>
        <w:contextualSpacing/>
        <w:rPr>
          <w:rFonts w:eastAsia="Calibri"/>
          <w:sz w:val="24"/>
          <w:szCs w:val="24"/>
        </w:rPr>
      </w:pPr>
    </w:p>
    <w:p w:rsidR="005C3159" w:rsidRPr="00C50455" w:rsidRDefault="005C3159" w:rsidP="00DA3831">
      <w:pPr>
        <w:spacing w:after="200"/>
        <w:ind w:left="1080"/>
        <w:contextualSpacing/>
        <w:rPr>
          <w:rFonts w:eastAsia="Calibri"/>
          <w:sz w:val="24"/>
          <w:szCs w:val="24"/>
        </w:rPr>
      </w:pPr>
      <w:r w:rsidRPr="00C50455">
        <w:rPr>
          <w:rFonts w:eastAsia="Calibri"/>
          <w:sz w:val="24"/>
          <w:szCs w:val="24"/>
        </w:rPr>
        <w:t>The FCC will collect information on the full array of special access services, including</w:t>
      </w:r>
      <w:r w:rsidR="00286466" w:rsidRPr="00C50455">
        <w:rPr>
          <w:rFonts w:eastAsia="Calibri"/>
          <w:sz w:val="24"/>
          <w:szCs w:val="24"/>
        </w:rPr>
        <w:t xml:space="preserve"> </w:t>
      </w:r>
      <w:r w:rsidR="00944EC9" w:rsidRPr="00C50455">
        <w:rPr>
          <w:rFonts w:eastAsia="Calibri"/>
          <w:sz w:val="24"/>
          <w:szCs w:val="24"/>
        </w:rPr>
        <w:t>Circuit-B</w:t>
      </w:r>
      <w:r w:rsidR="00286466" w:rsidRPr="00C50455">
        <w:rPr>
          <w:rFonts w:eastAsia="Calibri"/>
          <w:sz w:val="24"/>
          <w:szCs w:val="24"/>
        </w:rPr>
        <w:t xml:space="preserve">ased </w:t>
      </w:r>
      <w:r w:rsidR="00944EC9" w:rsidRPr="00C50455">
        <w:rPr>
          <w:rFonts w:eastAsia="Calibri"/>
          <w:sz w:val="24"/>
          <w:szCs w:val="24"/>
        </w:rPr>
        <w:t>D</w:t>
      </w:r>
      <w:r w:rsidR="00286466" w:rsidRPr="00C50455">
        <w:rPr>
          <w:rFonts w:eastAsia="Calibri"/>
          <w:sz w:val="24"/>
          <w:szCs w:val="24"/>
        </w:rPr>
        <w:t xml:space="preserve">edicated </w:t>
      </w:r>
      <w:r w:rsidR="00944EC9" w:rsidRPr="00C50455">
        <w:rPr>
          <w:rFonts w:eastAsia="Calibri"/>
          <w:sz w:val="24"/>
          <w:szCs w:val="24"/>
        </w:rPr>
        <w:t>S</w:t>
      </w:r>
      <w:r w:rsidR="00286466" w:rsidRPr="00C50455">
        <w:rPr>
          <w:rFonts w:eastAsia="Calibri"/>
          <w:sz w:val="24"/>
          <w:szCs w:val="24"/>
        </w:rPr>
        <w:t>ervices such as</w:t>
      </w:r>
      <w:r w:rsidRPr="00C50455">
        <w:rPr>
          <w:rFonts w:eastAsia="Calibri"/>
          <w:sz w:val="24"/>
          <w:szCs w:val="24"/>
        </w:rPr>
        <w:t xml:space="preserve"> DS1s and DS3s, and </w:t>
      </w:r>
      <w:r w:rsidR="00944EC9" w:rsidRPr="00C50455">
        <w:rPr>
          <w:rFonts w:eastAsia="Calibri"/>
          <w:sz w:val="24"/>
          <w:szCs w:val="24"/>
        </w:rPr>
        <w:t>P</w:t>
      </w:r>
      <w:r w:rsidRPr="00C50455">
        <w:rPr>
          <w:rFonts w:eastAsia="Calibri"/>
          <w:sz w:val="24"/>
          <w:szCs w:val="24"/>
        </w:rPr>
        <w:t>acket-</w:t>
      </w:r>
      <w:r w:rsidR="00944EC9" w:rsidRPr="00C50455">
        <w:rPr>
          <w:rFonts w:eastAsia="Calibri"/>
          <w:sz w:val="24"/>
          <w:szCs w:val="24"/>
        </w:rPr>
        <w:t>B</w:t>
      </w:r>
      <w:r w:rsidRPr="00C50455">
        <w:rPr>
          <w:rFonts w:eastAsia="Calibri"/>
          <w:sz w:val="24"/>
          <w:szCs w:val="24"/>
        </w:rPr>
        <w:t xml:space="preserve">ased </w:t>
      </w:r>
      <w:r w:rsidR="00944EC9" w:rsidRPr="00C50455">
        <w:rPr>
          <w:rFonts w:eastAsia="Calibri"/>
          <w:sz w:val="24"/>
          <w:szCs w:val="24"/>
        </w:rPr>
        <w:t>D</w:t>
      </w:r>
      <w:r w:rsidRPr="00C50455">
        <w:rPr>
          <w:rFonts w:eastAsia="Calibri"/>
          <w:sz w:val="24"/>
          <w:szCs w:val="24"/>
        </w:rPr>
        <w:t xml:space="preserve">edicated </w:t>
      </w:r>
      <w:r w:rsidR="00944EC9" w:rsidRPr="00C50455">
        <w:rPr>
          <w:rFonts w:eastAsia="Calibri"/>
          <w:sz w:val="24"/>
          <w:szCs w:val="24"/>
        </w:rPr>
        <w:t>S</w:t>
      </w:r>
      <w:r w:rsidRPr="00C50455">
        <w:rPr>
          <w:rFonts w:eastAsia="Calibri"/>
          <w:sz w:val="24"/>
          <w:szCs w:val="24"/>
        </w:rPr>
        <w:t xml:space="preserve">ervices such as Ethernet. </w:t>
      </w:r>
      <w:r w:rsidR="00BA0578">
        <w:rPr>
          <w:rFonts w:eastAsia="Calibri"/>
          <w:sz w:val="24"/>
          <w:szCs w:val="24"/>
        </w:rPr>
        <w:t>(C</w:t>
      </w:r>
      <w:r w:rsidR="00F22654">
        <w:rPr>
          <w:rFonts w:eastAsia="Calibri"/>
          <w:sz w:val="24"/>
          <w:szCs w:val="24"/>
        </w:rPr>
        <w:t>ertain c</w:t>
      </w:r>
      <w:r w:rsidR="00BA0578">
        <w:rPr>
          <w:rFonts w:eastAsia="Calibri"/>
          <w:sz w:val="24"/>
          <w:szCs w:val="24"/>
        </w:rPr>
        <w:t>apitalized terms are defined in section VI</w:t>
      </w:r>
      <w:r w:rsidR="00A5725E">
        <w:rPr>
          <w:rFonts w:eastAsia="Calibri"/>
          <w:sz w:val="24"/>
          <w:szCs w:val="24"/>
        </w:rPr>
        <w:t>,</w:t>
      </w:r>
      <w:r w:rsidR="00BA0578">
        <w:rPr>
          <w:rFonts w:eastAsia="Calibri"/>
          <w:sz w:val="24"/>
          <w:szCs w:val="24"/>
        </w:rPr>
        <w:t xml:space="preserve"> below.) </w:t>
      </w:r>
      <w:r w:rsidRPr="00C50455">
        <w:rPr>
          <w:rFonts w:eastAsia="Calibri"/>
          <w:sz w:val="24"/>
          <w:szCs w:val="24"/>
        </w:rPr>
        <w:t xml:space="preserve"> Larger entities that provide </w:t>
      </w:r>
      <w:r w:rsidR="00C322FC" w:rsidRPr="00C50455">
        <w:rPr>
          <w:rFonts w:eastAsia="Calibri"/>
          <w:sz w:val="24"/>
          <w:szCs w:val="24"/>
        </w:rPr>
        <w:t>B</w:t>
      </w:r>
      <w:r w:rsidRPr="00C50455">
        <w:rPr>
          <w:rFonts w:eastAsia="Calibri"/>
          <w:sz w:val="24"/>
          <w:szCs w:val="24"/>
        </w:rPr>
        <w:t xml:space="preserve">est </w:t>
      </w:r>
      <w:r w:rsidR="00C322FC" w:rsidRPr="00C50455">
        <w:rPr>
          <w:rFonts w:eastAsia="Calibri"/>
          <w:sz w:val="24"/>
          <w:szCs w:val="24"/>
        </w:rPr>
        <w:t>E</w:t>
      </w:r>
      <w:r w:rsidRPr="00C50455">
        <w:rPr>
          <w:rFonts w:eastAsia="Calibri"/>
          <w:sz w:val="24"/>
          <w:szCs w:val="24"/>
        </w:rPr>
        <w:t>fforts</w:t>
      </w:r>
      <w:r w:rsidR="00286466" w:rsidRPr="00C50455">
        <w:rPr>
          <w:rFonts w:eastAsia="Calibri"/>
          <w:sz w:val="24"/>
          <w:szCs w:val="24"/>
        </w:rPr>
        <w:t xml:space="preserve"> </w:t>
      </w:r>
      <w:r w:rsidR="00C322FC" w:rsidRPr="00C50455">
        <w:rPr>
          <w:rFonts w:eastAsia="Calibri"/>
          <w:sz w:val="24"/>
          <w:szCs w:val="24"/>
        </w:rPr>
        <w:t>B</w:t>
      </w:r>
      <w:r w:rsidRPr="00C50455">
        <w:rPr>
          <w:rFonts w:eastAsia="Calibri"/>
          <w:sz w:val="24"/>
          <w:szCs w:val="24"/>
        </w:rPr>
        <w:t xml:space="preserve">usiness </w:t>
      </w:r>
      <w:r w:rsidR="00C322FC" w:rsidRPr="00C50455">
        <w:rPr>
          <w:rFonts w:eastAsia="Calibri"/>
          <w:sz w:val="24"/>
          <w:szCs w:val="24"/>
        </w:rPr>
        <w:t>B</w:t>
      </w:r>
      <w:r w:rsidRPr="00C50455">
        <w:rPr>
          <w:rFonts w:eastAsia="Calibri"/>
          <w:sz w:val="24"/>
          <w:szCs w:val="24"/>
        </w:rPr>
        <w:t xml:space="preserve">roadband Internet </w:t>
      </w:r>
      <w:r w:rsidR="00C322FC" w:rsidRPr="00C50455">
        <w:rPr>
          <w:rFonts w:eastAsia="Calibri"/>
          <w:sz w:val="24"/>
          <w:szCs w:val="24"/>
        </w:rPr>
        <w:t>A</w:t>
      </w:r>
      <w:r w:rsidRPr="00C50455">
        <w:rPr>
          <w:rFonts w:eastAsia="Calibri"/>
          <w:sz w:val="24"/>
          <w:szCs w:val="24"/>
        </w:rPr>
        <w:t xml:space="preserve">ccess </w:t>
      </w:r>
      <w:r w:rsidR="00C322FC" w:rsidRPr="00C50455">
        <w:rPr>
          <w:rFonts w:eastAsia="Calibri"/>
          <w:sz w:val="24"/>
          <w:szCs w:val="24"/>
        </w:rPr>
        <w:t>S</w:t>
      </w:r>
      <w:r w:rsidRPr="00C50455">
        <w:rPr>
          <w:rFonts w:eastAsia="Calibri"/>
          <w:sz w:val="24"/>
          <w:szCs w:val="24"/>
        </w:rPr>
        <w:t>ervices are also required to provide information to help the FCC assess whether such services</w:t>
      </w:r>
      <w:r w:rsidR="00C92154" w:rsidRPr="00C50455">
        <w:rPr>
          <w:rFonts w:eastAsia="Calibri"/>
          <w:sz w:val="24"/>
          <w:szCs w:val="24"/>
        </w:rPr>
        <w:t>, not including mobile wireless services,</w:t>
      </w:r>
      <w:r w:rsidRPr="00C50455">
        <w:rPr>
          <w:rFonts w:eastAsia="Calibri"/>
          <w:sz w:val="24"/>
          <w:szCs w:val="24"/>
        </w:rPr>
        <w:t xml:space="preserve"> are a competitive substitute for special access services.</w:t>
      </w:r>
    </w:p>
    <w:p w:rsidR="004A7553" w:rsidRPr="00C50455" w:rsidRDefault="004A7553" w:rsidP="0069159D">
      <w:pPr>
        <w:spacing w:after="200"/>
        <w:contextualSpacing/>
        <w:rPr>
          <w:rFonts w:eastAsia="Calibri"/>
          <w:b/>
          <w:sz w:val="24"/>
          <w:szCs w:val="24"/>
        </w:rPr>
      </w:pPr>
    </w:p>
    <w:p w:rsidR="003D1DE8" w:rsidRPr="00C50455" w:rsidRDefault="00B24657" w:rsidP="00B24657">
      <w:pPr>
        <w:spacing w:after="200"/>
        <w:ind w:left="1080"/>
        <w:contextualSpacing/>
        <w:rPr>
          <w:rFonts w:eastAsia="Calibri"/>
          <w:sz w:val="24"/>
          <w:szCs w:val="24"/>
        </w:rPr>
      </w:pPr>
      <w:r>
        <w:rPr>
          <w:rFonts w:eastAsia="Calibri"/>
          <w:sz w:val="24"/>
          <w:szCs w:val="24"/>
        </w:rPr>
        <w:t xml:space="preserve">Once the data is collected, </w:t>
      </w:r>
      <w:r w:rsidR="003D1DE8" w:rsidRPr="00C50455">
        <w:rPr>
          <w:rFonts w:eastAsia="Calibri"/>
          <w:sz w:val="24"/>
          <w:szCs w:val="24"/>
        </w:rPr>
        <w:t xml:space="preserve">parties </w:t>
      </w:r>
      <w:r w:rsidR="00B52F52" w:rsidRPr="00C50455">
        <w:rPr>
          <w:rFonts w:eastAsia="Calibri"/>
          <w:sz w:val="24"/>
          <w:szCs w:val="24"/>
        </w:rPr>
        <w:t>will have the opportunity to submit</w:t>
      </w:r>
      <w:r w:rsidR="004A7553" w:rsidRPr="00C50455">
        <w:rPr>
          <w:rFonts w:eastAsia="Calibri"/>
          <w:sz w:val="24"/>
          <w:szCs w:val="24"/>
        </w:rPr>
        <w:t xml:space="preserve"> comments</w:t>
      </w:r>
      <w:r w:rsidR="00B52F52" w:rsidRPr="00C50455">
        <w:rPr>
          <w:rFonts w:eastAsia="Calibri"/>
          <w:sz w:val="24"/>
          <w:szCs w:val="24"/>
        </w:rPr>
        <w:t xml:space="preserve"> </w:t>
      </w:r>
      <w:r>
        <w:rPr>
          <w:rFonts w:eastAsia="Calibri"/>
          <w:sz w:val="24"/>
          <w:szCs w:val="24"/>
        </w:rPr>
        <w:t>on</w:t>
      </w:r>
      <w:r w:rsidR="004A7553" w:rsidRPr="00C50455">
        <w:rPr>
          <w:rFonts w:eastAsia="Calibri"/>
          <w:sz w:val="24"/>
          <w:szCs w:val="24"/>
        </w:rPr>
        <w:t xml:space="preserve"> </w:t>
      </w:r>
      <w:r w:rsidR="00B52F52" w:rsidRPr="00C50455">
        <w:rPr>
          <w:rFonts w:eastAsia="Calibri"/>
          <w:sz w:val="24"/>
          <w:szCs w:val="24"/>
        </w:rPr>
        <w:t xml:space="preserve">whether any changes </w:t>
      </w:r>
      <w:r>
        <w:rPr>
          <w:rFonts w:eastAsia="Calibri"/>
          <w:sz w:val="24"/>
          <w:szCs w:val="24"/>
        </w:rPr>
        <w:t xml:space="preserve">to the FCC’s special access rules </w:t>
      </w:r>
      <w:r w:rsidR="00B52F52" w:rsidRPr="00C50455">
        <w:rPr>
          <w:rFonts w:eastAsia="Calibri"/>
          <w:sz w:val="24"/>
          <w:szCs w:val="24"/>
        </w:rPr>
        <w:t xml:space="preserve">are needed.  </w:t>
      </w:r>
      <w:r w:rsidR="00206FEE" w:rsidRPr="00C50455">
        <w:rPr>
          <w:rFonts w:eastAsia="Calibri"/>
          <w:sz w:val="24"/>
          <w:szCs w:val="24"/>
        </w:rPr>
        <w:t>C</w:t>
      </w:r>
      <w:r w:rsidR="003D1DE8" w:rsidRPr="00C50455">
        <w:rPr>
          <w:rFonts w:eastAsia="Calibri"/>
          <w:sz w:val="24"/>
          <w:szCs w:val="24"/>
        </w:rPr>
        <w:t>omment</w:t>
      </w:r>
      <w:r w:rsidR="00B52F52" w:rsidRPr="00C50455">
        <w:rPr>
          <w:rFonts w:eastAsia="Calibri"/>
          <w:sz w:val="24"/>
          <w:szCs w:val="24"/>
        </w:rPr>
        <w:t xml:space="preserve">s </w:t>
      </w:r>
      <w:r>
        <w:rPr>
          <w:rFonts w:eastAsia="Calibri"/>
          <w:sz w:val="24"/>
          <w:szCs w:val="24"/>
        </w:rPr>
        <w:t>are currently</w:t>
      </w:r>
      <w:r w:rsidR="00206FEE" w:rsidRPr="00C50455">
        <w:rPr>
          <w:rFonts w:eastAsia="Calibri"/>
          <w:sz w:val="24"/>
          <w:szCs w:val="24"/>
        </w:rPr>
        <w:t xml:space="preserve"> due </w:t>
      </w:r>
      <w:r>
        <w:rPr>
          <w:rFonts w:eastAsia="Calibri"/>
          <w:sz w:val="24"/>
          <w:szCs w:val="24"/>
        </w:rPr>
        <w:t xml:space="preserve">by </w:t>
      </w:r>
      <w:r w:rsidR="00206FEE" w:rsidRPr="00C50455">
        <w:rPr>
          <w:rFonts w:eastAsia="Calibri"/>
          <w:sz w:val="24"/>
          <w:szCs w:val="24"/>
        </w:rPr>
        <w:t xml:space="preserve">April 6, 2015; </w:t>
      </w:r>
      <w:r w:rsidR="00B52F52" w:rsidRPr="00C50455">
        <w:rPr>
          <w:rFonts w:eastAsia="Calibri"/>
          <w:sz w:val="24"/>
          <w:szCs w:val="24"/>
        </w:rPr>
        <w:t xml:space="preserve">reply comments </w:t>
      </w:r>
      <w:r>
        <w:rPr>
          <w:rFonts w:eastAsia="Calibri"/>
          <w:sz w:val="24"/>
          <w:szCs w:val="24"/>
        </w:rPr>
        <w:t>are</w:t>
      </w:r>
      <w:r w:rsidR="00B52F52" w:rsidRPr="00C50455">
        <w:rPr>
          <w:rFonts w:eastAsia="Calibri"/>
          <w:sz w:val="24"/>
          <w:szCs w:val="24"/>
        </w:rPr>
        <w:t xml:space="preserve"> due </w:t>
      </w:r>
      <w:r>
        <w:rPr>
          <w:rFonts w:eastAsia="Calibri"/>
          <w:sz w:val="24"/>
          <w:szCs w:val="24"/>
        </w:rPr>
        <w:t xml:space="preserve">by </w:t>
      </w:r>
      <w:r w:rsidR="003D1DE8" w:rsidRPr="00C50455">
        <w:rPr>
          <w:rFonts w:eastAsia="Calibri"/>
          <w:sz w:val="24"/>
          <w:szCs w:val="24"/>
        </w:rPr>
        <w:t xml:space="preserve">May 18, 2015. </w:t>
      </w:r>
    </w:p>
    <w:p w:rsidR="003D1DE8" w:rsidRPr="00C50455" w:rsidRDefault="003D1DE8" w:rsidP="008750B3">
      <w:pPr>
        <w:spacing w:after="200"/>
        <w:ind w:left="1080"/>
        <w:contextualSpacing/>
        <w:rPr>
          <w:rFonts w:eastAsia="Calibri"/>
          <w:sz w:val="24"/>
          <w:szCs w:val="24"/>
        </w:rPr>
      </w:pPr>
    </w:p>
    <w:p w:rsidR="00153FB0" w:rsidRPr="00C50455" w:rsidRDefault="00E81B80" w:rsidP="0069159D">
      <w:pPr>
        <w:tabs>
          <w:tab w:val="left" w:pos="540"/>
        </w:tabs>
        <w:spacing w:after="200"/>
        <w:contextualSpacing/>
        <w:rPr>
          <w:rFonts w:eastAsia="Calibri"/>
          <w:b/>
          <w:sz w:val="24"/>
          <w:szCs w:val="24"/>
        </w:rPr>
      </w:pPr>
      <w:r w:rsidRPr="00C50455">
        <w:rPr>
          <w:rFonts w:eastAsia="Calibri"/>
          <w:b/>
          <w:sz w:val="24"/>
          <w:szCs w:val="24"/>
        </w:rPr>
        <w:t>I</w:t>
      </w:r>
      <w:r w:rsidR="0069159D" w:rsidRPr="00C50455">
        <w:rPr>
          <w:rFonts w:eastAsia="Calibri"/>
          <w:b/>
          <w:sz w:val="24"/>
          <w:szCs w:val="24"/>
        </w:rPr>
        <w:t xml:space="preserve">II. </w:t>
      </w:r>
      <w:r w:rsidR="0069159D" w:rsidRPr="00C50455">
        <w:rPr>
          <w:rFonts w:eastAsia="Calibri"/>
          <w:b/>
          <w:sz w:val="24"/>
          <w:szCs w:val="24"/>
        </w:rPr>
        <w:tab/>
      </w:r>
      <w:r w:rsidR="00153FB0" w:rsidRPr="00C50455">
        <w:rPr>
          <w:rFonts w:eastAsia="Calibri"/>
          <w:b/>
          <w:sz w:val="24"/>
          <w:szCs w:val="24"/>
        </w:rPr>
        <w:t>COMPLIANCE REQUIREMENTS</w:t>
      </w:r>
    </w:p>
    <w:p w:rsidR="0095081B" w:rsidRPr="00C50455" w:rsidRDefault="0095081B" w:rsidP="0095081B">
      <w:pPr>
        <w:spacing w:after="200"/>
        <w:ind w:left="720"/>
        <w:contextualSpacing/>
        <w:rPr>
          <w:rFonts w:eastAsia="Calibri"/>
          <w:sz w:val="24"/>
          <w:szCs w:val="24"/>
        </w:rPr>
      </w:pPr>
    </w:p>
    <w:p w:rsidR="005C3159" w:rsidRPr="00A5725E" w:rsidRDefault="005C3159" w:rsidP="005C3159">
      <w:pPr>
        <w:numPr>
          <w:ilvl w:val="0"/>
          <w:numId w:val="2"/>
        </w:numPr>
        <w:spacing w:after="200"/>
        <w:contextualSpacing/>
        <w:rPr>
          <w:rFonts w:eastAsia="Calibri"/>
          <w:b/>
          <w:sz w:val="24"/>
          <w:szCs w:val="24"/>
        </w:rPr>
      </w:pPr>
      <w:r w:rsidRPr="00A5725E">
        <w:rPr>
          <w:rFonts w:eastAsia="Calibri"/>
          <w:b/>
          <w:sz w:val="24"/>
          <w:szCs w:val="24"/>
        </w:rPr>
        <w:t>Who must respond to the data collection?</w:t>
      </w:r>
    </w:p>
    <w:p w:rsidR="005C3159" w:rsidRPr="00C50455" w:rsidRDefault="005C3159" w:rsidP="005C3159">
      <w:pPr>
        <w:spacing w:after="200"/>
        <w:ind w:left="1080"/>
        <w:contextualSpacing/>
        <w:rPr>
          <w:rFonts w:eastAsia="Calibri"/>
          <w:sz w:val="24"/>
          <w:szCs w:val="24"/>
        </w:rPr>
      </w:pPr>
    </w:p>
    <w:p w:rsidR="004B0F24" w:rsidRPr="00C50455" w:rsidRDefault="005C3159" w:rsidP="004B0F24">
      <w:pPr>
        <w:numPr>
          <w:ilvl w:val="1"/>
          <w:numId w:val="2"/>
        </w:numPr>
        <w:spacing w:after="200"/>
        <w:contextualSpacing/>
        <w:rPr>
          <w:rFonts w:eastAsia="Calibri"/>
          <w:sz w:val="24"/>
          <w:szCs w:val="24"/>
        </w:rPr>
      </w:pPr>
      <w:r w:rsidRPr="00C50455">
        <w:rPr>
          <w:rFonts w:eastAsia="Calibri"/>
          <w:sz w:val="24"/>
          <w:szCs w:val="24"/>
        </w:rPr>
        <w:t xml:space="preserve">All </w:t>
      </w:r>
      <w:r w:rsidR="00F03EAB" w:rsidRPr="00C50455">
        <w:rPr>
          <w:rFonts w:eastAsia="Calibri"/>
          <w:sz w:val="24"/>
          <w:szCs w:val="24"/>
        </w:rPr>
        <w:t>P</w:t>
      </w:r>
      <w:r w:rsidRPr="00C50455">
        <w:rPr>
          <w:rFonts w:eastAsia="Calibri"/>
          <w:sz w:val="24"/>
          <w:szCs w:val="24"/>
        </w:rPr>
        <w:t xml:space="preserve">roviders and </w:t>
      </w:r>
      <w:r w:rsidR="00F03EAB" w:rsidRPr="00C50455">
        <w:rPr>
          <w:rFonts w:eastAsia="Calibri"/>
          <w:sz w:val="24"/>
          <w:szCs w:val="24"/>
        </w:rPr>
        <w:t>P</w:t>
      </w:r>
      <w:r w:rsidRPr="00C50455">
        <w:rPr>
          <w:rFonts w:eastAsia="Calibri"/>
          <w:sz w:val="24"/>
          <w:szCs w:val="24"/>
        </w:rPr>
        <w:t>urchasers of special access services in areas where the incumbent local exchange carrier (ILEC) is subject to price cap regulation must respond to this data collection unless specifically excluded</w:t>
      </w:r>
      <w:r w:rsidR="00FF1C82">
        <w:rPr>
          <w:rFonts w:eastAsia="Calibri"/>
          <w:sz w:val="24"/>
          <w:szCs w:val="24"/>
        </w:rPr>
        <w:t xml:space="preserve"> (</w:t>
      </w:r>
      <w:r w:rsidR="00FF1C82" w:rsidRPr="00FF1C82">
        <w:rPr>
          <w:rFonts w:eastAsia="Calibri"/>
          <w:i/>
          <w:sz w:val="24"/>
          <w:szCs w:val="24"/>
        </w:rPr>
        <w:t>see</w:t>
      </w:r>
      <w:r w:rsidR="00FF1C82">
        <w:rPr>
          <w:rFonts w:eastAsia="Calibri"/>
          <w:sz w:val="24"/>
          <w:szCs w:val="24"/>
        </w:rPr>
        <w:t xml:space="preserve"> discussion below on those Purchasers that are specifically excluded)</w:t>
      </w:r>
      <w:r w:rsidRPr="00C50455">
        <w:rPr>
          <w:rFonts w:eastAsia="Calibri"/>
          <w:sz w:val="24"/>
          <w:szCs w:val="24"/>
        </w:rPr>
        <w:t xml:space="preserve">.  </w:t>
      </w:r>
    </w:p>
    <w:p w:rsidR="004B0F24" w:rsidRPr="00C50455" w:rsidRDefault="004B0F24" w:rsidP="00A5725E">
      <w:pPr>
        <w:spacing w:after="200"/>
        <w:ind w:left="1800"/>
        <w:contextualSpacing/>
        <w:rPr>
          <w:rFonts w:eastAsia="Calibri"/>
          <w:sz w:val="24"/>
          <w:szCs w:val="24"/>
        </w:rPr>
      </w:pPr>
    </w:p>
    <w:p w:rsidR="005C3159" w:rsidRPr="00C50455" w:rsidRDefault="005C3159" w:rsidP="00A5725E">
      <w:pPr>
        <w:numPr>
          <w:ilvl w:val="1"/>
          <w:numId w:val="2"/>
        </w:numPr>
        <w:spacing w:after="200"/>
        <w:contextualSpacing/>
        <w:rPr>
          <w:rFonts w:eastAsia="Calibri"/>
          <w:sz w:val="24"/>
          <w:szCs w:val="24"/>
        </w:rPr>
      </w:pPr>
      <w:r w:rsidRPr="00C50455">
        <w:rPr>
          <w:rFonts w:eastAsia="Calibri"/>
          <w:sz w:val="24"/>
          <w:szCs w:val="24"/>
        </w:rPr>
        <w:t xml:space="preserve">Providers that must respond include, but are not limited to, </w:t>
      </w:r>
      <w:r w:rsidR="00C47310" w:rsidRPr="00C50455">
        <w:rPr>
          <w:rFonts w:eastAsia="Calibri"/>
          <w:sz w:val="24"/>
          <w:szCs w:val="24"/>
        </w:rPr>
        <w:t>ILECs</w:t>
      </w:r>
      <w:r w:rsidRPr="00C50455">
        <w:rPr>
          <w:rFonts w:eastAsia="Calibri"/>
          <w:sz w:val="24"/>
          <w:szCs w:val="24"/>
        </w:rPr>
        <w:t>, competitive local exchange carriers</w:t>
      </w:r>
      <w:r w:rsidR="00C47310" w:rsidRPr="00C50455">
        <w:rPr>
          <w:rFonts w:eastAsia="Calibri"/>
          <w:sz w:val="24"/>
          <w:szCs w:val="24"/>
        </w:rPr>
        <w:t xml:space="preserve"> (CLECs)</w:t>
      </w:r>
      <w:r w:rsidRPr="00C50455">
        <w:rPr>
          <w:rFonts w:eastAsia="Calibri"/>
          <w:sz w:val="24"/>
          <w:szCs w:val="24"/>
        </w:rPr>
        <w:t xml:space="preserve">, interexchange carriers, cable system operators, fixed wireless service </w:t>
      </w:r>
      <w:r w:rsidR="00533965" w:rsidRPr="00C50455">
        <w:rPr>
          <w:rFonts w:eastAsia="Calibri"/>
          <w:sz w:val="24"/>
          <w:szCs w:val="24"/>
        </w:rPr>
        <w:t>p</w:t>
      </w:r>
      <w:r w:rsidRPr="00C50455">
        <w:rPr>
          <w:rFonts w:eastAsia="Calibri"/>
          <w:sz w:val="24"/>
          <w:szCs w:val="24"/>
        </w:rPr>
        <w:t>roviders (including wireless Internet service providers (WISPs)), terrestrial and satellite mobile wireless service providers, electric utilities, local government entities, certain providers of information services and third party network providers.</w:t>
      </w:r>
    </w:p>
    <w:p w:rsidR="00C92154" w:rsidRPr="00C50455" w:rsidRDefault="00C92154" w:rsidP="000D72B4">
      <w:pPr>
        <w:spacing w:after="200"/>
        <w:ind w:left="2520"/>
        <w:contextualSpacing/>
        <w:rPr>
          <w:rFonts w:eastAsia="Calibri"/>
          <w:sz w:val="24"/>
          <w:szCs w:val="24"/>
        </w:rPr>
      </w:pPr>
    </w:p>
    <w:p w:rsidR="00D266D9" w:rsidRPr="00D266D9" w:rsidRDefault="005C3159" w:rsidP="00A5725E">
      <w:pPr>
        <w:numPr>
          <w:ilvl w:val="1"/>
          <w:numId w:val="2"/>
        </w:numPr>
        <w:spacing w:after="200"/>
        <w:contextualSpacing/>
        <w:rPr>
          <w:rFonts w:eastAsia="Calibri"/>
          <w:b/>
          <w:sz w:val="24"/>
          <w:szCs w:val="24"/>
        </w:rPr>
      </w:pPr>
      <w:r w:rsidRPr="00C50455">
        <w:rPr>
          <w:rFonts w:eastAsia="Calibri"/>
          <w:sz w:val="24"/>
          <w:szCs w:val="24"/>
        </w:rPr>
        <w:t xml:space="preserve">Purchasers that must respond include, but are not limited to, ILECs, </w:t>
      </w:r>
      <w:r w:rsidR="00364943" w:rsidRPr="00C50455">
        <w:rPr>
          <w:rFonts w:eastAsia="Calibri"/>
          <w:sz w:val="24"/>
          <w:szCs w:val="24"/>
        </w:rPr>
        <w:t>CLECs</w:t>
      </w:r>
      <w:r w:rsidRPr="00C50455">
        <w:rPr>
          <w:rFonts w:eastAsia="Calibri"/>
          <w:sz w:val="24"/>
          <w:szCs w:val="24"/>
        </w:rPr>
        <w:t>, interexchange carriers, cable system operators, wireless providers, satellite service providers, international service providers to and from points in the United States, interconnected and non-interconnected voice over Internet protocol (VoIP) providers, certain information service providers such as Internet access providers, and entities that hold certain private wireless licenses.</w:t>
      </w:r>
      <w:r w:rsidR="003D26B0">
        <w:rPr>
          <w:rFonts w:eastAsia="Calibri"/>
          <w:sz w:val="24"/>
          <w:szCs w:val="24"/>
        </w:rPr>
        <w:t xml:space="preserve">  A Purchaser does not include an entity that </w:t>
      </w:r>
      <w:r w:rsidR="003D26B0" w:rsidRPr="00AE478A">
        <w:rPr>
          <w:rFonts w:eastAsia="Calibri"/>
          <w:sz w:val="24"/>
          <w:szCs w:val="24"/>
        </w:rPr>
        <w:t>purchased less than $5 million in Dedicated Services in 2013 (in areas where the ILEC is subject to price cap regulation)</w:t>
      </w:r>
      <w:r w:rsidR="003D26B0">
        <w:rPr>
          <w:rFonts w:eastAsia="Calibri"/>
          <w:sz w:val="24"/>
          <w:szCs w:val="24"/>
        </w:rPr>
        <w:t>.</w:t>
      </w:r>
    </w:p>
    <w:p w:rsidR="00D266D9" w:rsidRPr="00D266D9" w:rsidRDefault="00D266D9" w:rsidP="00D266D9">
      <w:pPr>
        <w:rPr>
          <w:rFonts w:eastAsia="Calibri"/>
          <w:sz w:val="24"/>
          <w:szCs w:val="24"/>
        </w:rPr>
      </w:pPr>
    </w:p>
    <w:p w:rsidR="00FF1C82" w:rsidRDefault="00FF1C82" w:rsidP="00FF1C82">
      <w:pPr>
        <w:numPr>
          <w:ilvl w:val="1"/>
          <w:numId w:val="2"/>
        </w:numPr>
        <w:spacing w:after="200"/>
        <w:contextualSpacing/>
        <w:rPr>
          <w:rFonts w:eastAsia="Calibri"/>
          <w:sz w:val="24"/>
          <w:szCs w:val="24"/>
        </w:rPr>
      </w:pPr>
      <w:r w:rsidRPr="00C50455">
        <w:rPr>
          <w:rFonts w:eastAsia="Calibri"/>
          <w:sz w:val="24"/>
          <w:szCs w:val="24"/>
        </w:rPr>
        <w:t>In addition to Providers and Purchasers, entities that provide Best Efforts Business Broadband Internet Access Services in an area where the ILEC is subject to price cap regulation are also required to respond to this data collection unless they have fewer than 15,000 customers and fewer than 1,500 business broadband customers as of December 18, 2012.</w:t>
      </w:r>
    </w:p>
    <w:p w:rsidR="00FF1C82" w:rsidRPr="00C50455" w:rsidRDefault="00FF1C82" w:rsidP="00FF1C82">
      <w:pPr>
        <w:spacing w:after="200"/>
        <w:ind w:left="1800"/>
        <w:contextualSpacing/>
        <w:rPr>
          <w:rFonts w:eastAsia="Calibri"/>
          <w:sz w:val="24"/>
          <w:szCs w:val="24"/>
        </w:rPr>
      </w:pPr>
    </w:p>
    <w:p w:rsidR="00D266D9" w:rsidRPr="00C50455" w:rsidRDefault="00D266D9" w:rsidP="00D266D9">
      <w:pPr>
        <w:numPr>
          <w:ilvl w:val="1"/>
          <w:numId w:val="2"/>
        </w:numPr>
        <w:spacing w:after="200"/>
        <w:contextualSpacing/>
        <w:rPr>
          <w:rFonts w:eastAsia="Calibri"/>
          <w:sz w:val="24"/>
          <w:szCs w:val="24"/>
        </w:rPr>
      </w:pPr>
      <w:r w:rsidRPr="00C50455">
        <w:rPr>
          <w:rFonts w:eastAsia="Calibri"/>
          <w:sz w:val="24"/>
          <w:szCs w:val="24"/>
        </w:rPr>
        <w:t>To help you determine whether you provide or purchase special access services in a price cap area, there is a map available on the FCC’s website depicting the study areas where ILEC’s are subject to price cap regulation:</w:t>
      </w:r>
    </w:p>
    <w:p w:rsidR="00D266D9" w:rsidRDefault="008004B6" w:rsidP="00D266D9">
      <w:pPr>
        <w:spacing w:after="200"/>
        <w:ind w:left="1800"/>
        <w:contextualSpacing/>
        <w:rPr>
          <w:rFonts w:eastAsia="Calibri"/>
          <w:sz w:val="24"/>
          <w:szCs w:val="24"/>
        </w:rPr>
      </w:pPr>
      <w:hyperlink r:id="rId8" w:history="1">
        <w:r w:rsidR="00D266D9" w:rsidRPr="00C50455">
          <w:rPr>
            <w:rStyle w:val="Hyperlink"/>
            <w:rFonts w:eastAsia="Calibri"/>
            <w:sz w:val="24"/>
            <w:szCs w:val="24"/>
          </w:rPr>
          <w:t>http://www.fcc.gov/maps/regulatory-type-holding-company-level-study-area</w:t>
        </w:r>
      </w:hyperlink>
      <w:r w:rsidR="00D266D9">
        <w:rPr>
          <w:rFonts w:eastAsia="Calibri"/>
          <w:sz w:val="24"/>
          <w:szCs w:val="24"/>
        </w:rPr>
        <w:t>.</w:t>
      </w:r>
    </w:p>
    <w:p w:rsidR="005C3159" w:rsidRPr="00A5725E" w:rsidRDefault="00CE13E4" w:rsidP="00D266D9">
      <w:pPr>
        <w:spacing w:after="200"/>
        <w:contextualSpacing/>
        <w:rPr>
          <w:rFonts w:eastAsia="Calibri"/>
          <w:b/>
          <w:sz w:val="24"/>
          <w:szCs w:val="24"/>
        </w:rPr>
      </w:pPr>
      <w:r w:rsidRPr="00C50455">
        <w:rPr>
          <w:rFonts w:eastAsia="Calibri"/>
          <w:sz w:val="24"/>
          <w:szCs w:val="24"/>
        </w:rPr>
        <w:t xml:space="preserve">  </w:t>
      </w:r>
    </w:p>
    <w:p w:rsidR="005C3159" w:rsidRPr="00A5725E" w:rsidRDefault="005C3159" w:rsidP="000D72B4">
      <w:pPr>
        <w:numPr>
          <w:ilvl w:val="0"/>
          <w:numId w:val="2"/>
        </w:numPr>
        <w:spacing w:after="200"/>
        <w:contextualSpacing/>
        <w:rPr>
          <w:rFonts w:eastAsia="Calibri"/>
          <w:b/>
          <w:sz w:val="24"/>
          <w:szCs w:val="24"/>
        </w:rPr>
      </w:pPr>
      <w:r w:rsidRPr="00A5725E">
        <w:rPr>
          <w:rFonts w:eastAsia="Calibri"/>
          <w:b/>
          <w:sz w:val="24"/>
          <w:szCs w:val="24"/>
        </w:rPr>
        <w:t xml:space="preserve">Who </w:t>
      </w:r>
      <w:r w:rsidR="00535240" w:rsidRPr="00A5725E">
        <w:rPr>
          <w:rFonts w:eastAsia="Calibri"/>
          <w:b/>
          <w:sz w:val="24"/>
          <w:szCs w:val="24"/>
        </w:rPr>
        <w:t xml:space="preserve">is </w:t>
      </w:r>
      <w:r w:rsidR="00BA0578">
        <w:rPr>
          <w:rFonts w:eastAsia="Calibri"/>
          <w:b/>
          <w:sz w:val="24"/>
          <w:szCs w:val="24"/>
        </w:rPr>
        <w:t>excluded</w:t>
      </w:r>
      <w:r w:rsidR="00BA0578" w:rsidRPr="00A5725E">
        <w:rPr>
          <w:rFonts w:eastAsia="Calibri"/>
          <w:b/>
          <w:sz w:val="24"/>
          <w:szCs w:val="24"/>
        </w:rPr>
        <w:t xml:space="preserve"> </w:t>
      </w:r>
      <w:r w:rsidR="00535240" w:rsidRPr="00A5725E">
        <w:rPr>
          <w:rFonts w:eastAsia="Calibri"/>
          <w:b/>
          <w:sz w:val="24"/>
          <w:szCs w:val="24"/>
        </w:rPr>
        <w:t xml:space="preserve">from </w:t>
      </w:r>
      <w:r w:rsidRPr="00A5725E">
        <w:rPr>
          <w:rFonts w:eastAsia="Calibri"/>
          <w:b/>
          <w:sz w:val="24"/>
          <w:szCs w:val="24"/>
        </w:rPr>
        <w:t>respond</w:t>
      </w:r>
      <w:r w:rsidR="00535240" w:rsidRPr="00A5725E">
        <w:rPr>
          <w:rFonts w:eastAsia="Calibri"/>
          <w:b/>
          <w:sz w:val="24"/>
          <w:szCs w:val="24"/>
        </w:rPr>
        <w:t>ing</w:t>
      </w:r>
      <w:r w:rsidRPr="00A5725E">
        <w:rPr>
          <w:rFonts w:eastAsia="Calibri"/>
          <w:b/>
          <w:sz w:val="24"/>
          <w:szCs w:val="24"/>
        </w:rPr>
        <w:t xml:space="preserve"> to the data collection</w:t>
      </w:r>
      <w:r w:rsidR="00221A97">
        <w:rPr>
          <w:rFonts w:eastAsia="Calibri"/>
          <w:b/>
          <w:sz w:val="24"/>
          <w:szCs w:val="24"/>
        </w:rPr>
        <w:t xml:space="preserve"> questions</w:t>
      </w:r>
      <w:r w:rsidRPr="00A5725E">
        <w:rPr>
          <w:rFonts w:eastAsia="Calibri"/>
          <w:b/>
          <w:sz w:val="24"/>
          <w:szCs w:val="24"/>
        </w:rPr>
        <w:t>?</w:t>
      </w:r>
    </w:p>
    <w:p w:rsidR="00AE478A" w:rsidRPr="00AE478A" w:rsidRDefault="00AE478A" w:rsidP="00AE478A">
      <w:pPr>
        <w:pStyle w:val="ListParagraph"/>
        <w:numPr>
          <w:ilvl w:val="1"/>
          <w:numId w:val="2"/>
        </w:numPr>
        <w:rPr>
          <w:rFonts w:ascii="Times New Roman" w:eastAsia="Calibri" w:hAnsi="Times New Roman" w:cs="Times New Roman"/>
          <w:sz w:val="24"/>
          <w:szCs w:val="24"/>
        </w:rPr>
      </w:pPr>
      <w:r>
        <w:rPr>
          <w:rFonts w:ascii="Times New Roman" w:eastAsia="Calibri" w:hAnsi="Times New Roman" w:cs="Times New Roman"/>
          <w:sz w:val="24"/>
          <w:szCs w:val="24"/>
        </w:rPr>
        <w:t>Purchasers s</w:t>
      </w:r>
      <w:r w:rsidRPr="00AE478A">
        <w:rPr>
          <w:rFonts w:ascii="Times New Roman" w:eastAsia="Calibri" w:hAnsi="Times New Roman" w:cs="Times New Roman"/>
          <w:sz w:val="24"/>
          <w:szCs w:val="24"/>
        </w:rPr>
        <w:t xml:space="preserve">pecifically </w:t>
      </w:r>
      <w:r>
        <w:rPr>
          <w:rFonts w:ascii="Times New Roman" w:eastAsia="Calibri" w:hAnsi="Times New Roman" w:cs="Times New Roman"/>
          <w:sz w:val="24"/>
          <w:szCs w:val="24"/>
        </w:rPr>
        <w:t>excluded from the data c</w:t>
      </w:r>
      <w:r w:rsidRPr="00AE478A">
        <w:rPr>
          <w:rFonts w:ascii="Times New Roman" w:eastAsia="Calibri" w:hAnsi="Times New Roman" w:cs="Times New Roman"/>
          <w:sz w:val="24"/>
          <w:szCs w:val="24"/>
        </w:rPr>
        <w:t>ollection</w:t>
      </w:r>
      <w:r>
        <w:rPr>
          <w:rFonts w:ascii="Times New Roman" w:eastAsia="Calibri" w:hAnsi="Times New Roman" w:cs="Times New Roman"/>
          <w:sz w:val="24"/>
          <w:szCs w:val="24"/>
        </w:rPr>
        <w:t xml:space="preserve"> are as follows:</w:t>
      </w:r>
      <w:r w:rsidRPr="00AE478A">
        <w:rPr>
          <w:rFonts w:ascii="Times New Roman" w:eastAsia="Calibri" w:hAnsi="Times New Roman" w:cs="Times New Roman"/>
          <w:sz w:val="24"/>
          <w:szCs w:val="24"/>
        </w:rPr>
        <w:t xml:space="preserve">  </w:t>
      </w:r>
      <w:r w:rsidR="00F10791">
        <w:rPr>
          <w:rFonts w:ascii="Times New Roman" w:eastAsia="Calibri" w:hAnsi="Times New Roman" w:cs="Times New Roman"/>
          <w:sz w:val="24"/>
          <w:szCs w:val="24"/>
        </w:rPr>
        <w:t>Only e</w:t>
      </w:r>
      <w:r w:rsidRPr="00AE478A">
        <w:rPr>
          <w:rFonts w:ascii="Times New Roman" w:eastAsia="Calibri" w:hAnsi="Times New Roman" w:cs="Times New Roman"/>
          <w:sz w:val="24"/>
          <w:szCs w:val="24"/>
        </w:rPr>
        <w:t xml:space="preserve">ntities falling into one or more of the categories listed below are specifically excluded from the collection even if they purchase Dedicated Service in a price cap area.       </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 xml:space="preserve">End Users that provide an information service; </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Equipment authorization holders regulated under Parts 2 and 15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Accounting authorization holders in the maritime and maritime mobile-satellite radio services regulated under Part 3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Experimental radio authorization holders regulated under Part 5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Commercial radio operators regulated under Part 13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Antenna structure registration holders regulated under Part 17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Television and radio broadcasters regulated under Part 73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Holders of authorizations issued pursuant to Part 74 of the Commission’s rules such as experimental radio, auxiliary, special broadcast and other program distribution service authorizations;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Maritime service authorization holders regulated under Part 80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Aviation service authorization holders regulated under Part 87 of the Commission’s rules;</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Private land mobile radio service authorization holders regulated under Part 90 of the Commission’s rules except for holders of authorizations under Part 90 for the provision of point-to-point fixed microwave services and authorizations in the Wireless Broadband Services frequency band, 3650-3700 MHz;</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Personal radio service authorization holders regulated under Part 95 of the Commission’s rules; and</w:t>
      </w:r>
    </w:p>
    <w:p w:rsidR="00AE478A" w:rsidRPr="00AE478A" w:rsidRDefault="00AE478A" w:rsidP="00AE478A">
      <w:pPr>
        <w:pStyle w:val="ListParagraph"/>
        <w:numPr>
          <w:ilvl w:val="2"/>
          <w:numId w:val="2"/>
        </w:numPr>
        <w:rPr>
          <w:rFonts w:ascii="Times New Roman" w:eastAsia="Calibri" w:hAnsi="Times New Roman" w:cs="Times New Roman"/>
          <w:sz w:val="24"/>
          <w:szCs w:val="24"/>
        </w:rPr>
      </w:pPr>
      <w:r w:rsidRPr="00AE478A">
        <w:rPr>
          <w:rFonts w:ascii="Times New Roman" w:eastAsia="Calibri" w:hAnsi="Times New Roman" w:cs="Times New Roman"/>
          <w:sz w:val="24"/>
          <w:szCs w:val="24"/>
        </w:rPr>
        <w:t>Amateur radio service authorization holders regulated under Part 97 of the Commission’s rules.</w:t>
      </w:r>
    </w:p>
    <w:p w:rsidR="00A93AD2" w:rsidRPr="00C50455" w:rsidRDefault="00AE478A" w:rsidP="00AE478A">
      <w:pPr>
        <w:pStyle w:val="ListParagraph"/>
        <w:numPr>
          <w:ilvl w:val="1"/>
          <w:numId w:val="2"/>
        </w:numPr>
        <w:spacing w:line="240" w:lineRule="auto"/>
        <w:rPr>
          <w:rFonts w:eastAsia="Calibri"/>
          <w:sz w:val="24"/>
          <w:szCs w:val="24"/>
        </w:rPr>
      </w:pPr>
      <w:r w:rsidRPr="00AE478A">
        <w:rPr>
          <w:rFonts w:ascii="Times New Roman" w:eastAsia="Calibri" w:hAnsi="Times New Roman" w:cs="Times New Roman"/>
          <w:sz w:val="24"/>
          <w:szCs w:val="24"/>
        </w:rPr>
        <w:t xml:space="preserve">The </w:t>
      </w:r>
      <w:r>
        <w:rPr>
          <w:rFonts w:ascii="Times New Roman" w:eastAsia="Calibri" w:hAnsi="Times New Roman" w:cs="Times New Roman"/>
          <w:sz w:val="24"/>
          <w:szCs w:val="24"/>
        </w:rPr>
        <w:t xml:space="preserve">above </w:t>
      </w:r>
      <w:r w:rsidRPr="00AE478A">
        <w:rPr>
          <w:rFonts w:ascii="Times New Roman" w:eastAsia="Calibri" w:hAnsi="Times New Roman" w:cs="Times New Roman"/>
          <w:sz w:val="24"/>
          <w:szCs w:val="24"/>
        </w:rPr>
        <w:t xml:space="preserve">exclusions do not </w:t>
      </w:r>
      <w:r>
        <w:rPr>
          <w:rFonts w:ascii="Times New Roman" w:eastAsia="Calibri" w:hAnsi="Times New Roman" w:cs="Times New Roman"/>
          <w:sz w:val="24"/>
          <w:szCs w:val="24"/>
        </w:rPr>
        <w:t>exclude entities from responding to those questions applicable to P</w:t>
      </w:r>
      <w:r w:rsidRPr="00AE478A">
        <w:rPr>
          <w:rFonts w:ascii="Times New Roman" w:eastAsia="Calibri" w:hAnsi="Times New Roman" w:cs="Times New Roman"/>
          <w:sz w:val="24"/>
          <w:szCs w:val="24"/>
        </w:rPr>
        <w:t>rovide</w:t>
      </w:r>
      <w:r>
        <w:rPr>
          <w:rFonts w:ascii="Times New Roman" w:eastAsia="Calibri" w:hAnsi="Times New Roman" w:cs="Times New Roman"/>
          <w:sz w:val="24"/>
          <w:szCs w:val="24"/>
        </w:rPr>
        <w:t>rs</w:t>
      </w:r>
      <w:r w:rsidRPr="00AE47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of </w:t>
      </w:r>
      <w:r w:rsidRPr="00AE478A">
        <w:rPr>
          <w:rFonts w:ascii="Times New Roman" w:eastAsia="Calibri" w:hAnsi="Times New Roman" w:cs="Times New Roman"/>
          <w:sz w:val="24"/>
          <w:szCs w:val="24"/>
        </w:rPr>
        <w:t xml:space="preserve">a Dedicated Service or </w:t>
      </w:r>
      <w:r>
        <w:rPr>
          <w:rFonts w:ascii="Times New Roman" w:eastAsia="Calibri" w:hAnsi="Times New Roman" w:cs="Times New Roman"/>
          <w:sz w:val="24"/>
          <w:szCs w:val="24"/>
        </w:rPr>
        <w:t xml:space="preserve">entities that provide </w:t>
      </w:r>
      <w:r w:rsidRPr="00AE478A">
        <w:rPr>
          <w:rFonts w:ascii="Times New Roman" w:eastAsia="Calibri" w:hAnsi="Times New Roman" w:cs="Times New Roman"/>
          <w:sz w:val="24"/>
          <w:szCs w:val="24"/>
        </w:rPr>
        <w:t>a Best Efforts Business Broadband Internet Access Service in a price cap area.</w:t>
      </w:r>
      <w:r>
        <w:rPr>
          <w:rFonts w:ascii="Times New Roman" w:eastAsia="Calibri" w:hAnsi="Times New Roman" w:cs="Times New Roman"/>
          <w:sz w:val="24"/>
          <w:szCs w:val="24"/>
        </w:rPr>
        <w:t xml:space="preserve">  In addition, t</w:t>
      </w:r>
      <w:r w:rsidRPr="00AE478A">
        <w:rPr>
          <w:rFonts w:ascii="Times New Roman" w:eastAsia="Calibri" w:hAnsi="Times New Roman" w:cs="Times New Roman"/>
          <w:sz w:val="24"/>
          <w:szCs w:val="24"/>
        </w:rPr>
        <w:t>hese exclusions only apply to the categorically excluded entity and do not extend to other entities within the same corporate structure or entities that are otherwise affiliated with the excluded entity.  For example, if an entity holding a television broadcast authorization is affiliated with a cable company that provides Dedicated Service, the affiliated cable company must still respond to the data collection even though the television broadcasting entity is not required to respond.  In addition, for clarity, we point out that these categorical exclusions do not include common carriers (wired or wireless), mobile wireless service providers, cable system operators even if they only provide video program services, international service providers, satellite service providers, or entities that hold FCC authorizations for the provision of fixed point-to-point microwave services.</w:t>
      </w:r>
      <w:r w:rsidR="000F0E10" w:rsidRPr="00C50455">
        <w:rPr>
          <w:rFonts w:ascii="Times New Roman" w:eastAsia="Calibri" w:hAnsi="Times New Roman" w:cs="Times New Roman"/>
          <w:sz w:val="24"/>
          <w:szCs w:val="24"/>
        </w:rPr>
        <w:t xml:space="preserve"> </w:t>
      </w:r>
      <w:r w:rsidR="007C33D8" w:rsidRPr="00C50455">
        <w:rPr>
          <w:rFonts w:ascii="Times New Roman" w:eastAsia="Calibri" w:hAnsi="Times New Roman" w:cs="Times New Roman"/>
          <w:sz w:val="24"/>
          <w:szCs w:val="24"/>
        </w:rPr>
        <w:t xml:space="preserve"> </w:t>
      </w:r>
    </w:p>
    <w:p w:rsidR="00B879AC" w:rsidRPr="00C50455" w:rsidRDefault="00B879AC" w:rsidP="00A5725E">
      <w:pPr>
        <w:pStyle w:val="ListParagraph"/>
        <w:spacing w:line="240" w:lineRule="auto"/>
        <w:ind w:left="1800"/>
        <w:rPr>
          <w:rFonts w:eastAsia="Calibri"/>
          <w:sz w:val="24"/>
          <w:szCs w:val="24"/>
        </w:rPr>
      </w:pPr>
    </w:p>
    <w:p w:rsidR="00DA3831" w:rsidRPr="00F433AF" w:rsidRDefault="00F433AF" w:rsidP="00F433AF">
      <w:pPr>
        <w:pStyle w:val="ListParagraph"/>
        <w:numPr>
          <w:ilvl w:val="1"/>
          <w:numId w:val="2"/>
        </w:numPr>
        <w:spacing w:line="240" w:lineRule="auto"/>
        <w:rPr>
          <w:rFonts w:ascii="Times New Roman" w:eastAsia="Calibri" w:hAnsi="Times New Roman" w:cs="Times New Roman"/>
          <w:sz w:val="24"/>
          <w:szCs w:val="24"/>
        </w:rPr>
      </w:pPr>
      <w:r w:rsidRPr="00F433AF">
        <w:rPr>
          <w:rFonts w:ascii="Times New Roman" w:eastAsia="Calibri" w:hAnsi="Times New Roman" w:cs="Times New Roman"/>
          <w:sz w:val="24"/>
          <w:szCs w:val="24"/>
        </w:rPr>
        <w:t xml:space="preserve">Entities that provide Best Efforts Business Broadband Internet Access Services in an area where the ILEC is subject to price cap regulation are </w:t>
      </w:r>
      <w:r>
        <w:rPr>
          <w:rFonts w:ascii="Times New Roman" w:eastAsia="Calibri" w:hAnsi="Times New Roman" w:cs="Times New Roman"/>
          <w:sz w:val="24"/>
          <w:szCs w:val="24"/>
        </w:rPr>
        <w:t>not required to respond to those questions in the collection directed at such entities if</w:t>
      </w:r>
      <w:r w:rsidRPr="00F433AF">
        <w:rPr>
          <w:rFonts w:ascii="Times New Roman" w:eastAsia="Calibri" w:hAnsi="Times New Roman" w:cs="Times New Roman"/>
          <w:sz w:val="24"/>
          <w:szCs w:val="24"/>
        </w:rPr>
        <w:t xml:space="preserve"> they have fewer than 15,000 customers and fewer than 1,500 business broadband customers as of December 18, 2012</w:t>
      </w:r>
      <w:r>
        <w:rPr>
          <w:rFonts w:ascii="Times New Roman" w:eastAsia="Calibri" w:hAnsi="Times New Roman" w:cs="Times New Roman"/>
          <w:sz w:val="24"/>
          <w:szCs w:val="24"/>
        </w:rPr>
        <w:t>.</w:t>
      </w:r>
    </w:p>
    <w:p w:rsidR="00221A97" w:rsidRDefault="00221A97" w:rsidP="00221A97">
      <w:pPr>
        <w:numPr>
          <w:ilvl w:val="1"/>
          <w:numId w:val="1"/>
        </w:numPr>
        <w:spacing w:after="200"/>
        <w:contextualSpacing/>
        <w:rPr>
          <w:rFonts w:eastAsia="Calibri"/>
          <w:b/>
          <w:sz w:val="24"/>
          <w:szCs w:val="24"/>
        </w:rPr>
      </w:pPr>
      <w:r>
        <w:rPr>
          <w:rFonts w:eastAsia="Calibri"/>
          <w:b/>
          <w:sz w:val="24"/>
          <w:szCs w:val="24"/>
        </w:rPr>
        <w:t>Even if specifically excluded you may have a limited obligation to submit a certification</w:t>
      </w:r>
      <w:r w:rsidR="00D90FCE">
        <w:rPr>
          <w:rFonts w:eastAsia="Calibri"/>
          <w:b/>
          <w:sz w:val="24"/>
          <w:szCs w:val="24"/>
        </w:rPr>
        <w:t>.</w:t>
      </w:r>
    </w:p>
    <w:p w:rsidR="00AE478A" w:rsidRDefault="00AE478A" w:rsidP="00AE478A">
      <w:pPr>
        <w:spacing w:after="200"/>
        <w:ind w:left="1080"/>
        <w:contextualSpacing/>
        <w:rPr>
          <w:rFonts w:eastAsia="Calibri"/>
          <w:b/>
          <w:sz w:val="24"/>
          <w:szCs w:val="24"/>
        </w:rPr>
      </w:pPr>
    </w:p>
    <w:p w:rsidR="00AE478A" w:rsidRPr="00AE478A" w:rsidRDefault="00AE478A" w:rsidP="00433215">
      <w:pPr>
        <w:numPr>
          <w:ilvl w:val="2"/>
          <w:numId w:val="1"/>
        </w:numPr>
        <w:spacing w:after="200"/>
        <w:contextualSpacing/>
        <w:rPr>
          <w:rFonts w:eastAsia="Calibri"/>
          <w:b/>
          <w:sz w:val="24"/>
          <w:szCs w:val="24"/>
        </w:rPr>
      </w:pPr>
      <w:r>
        <w:rPr>
          <w:rFonts w:eastAsia="Calibri"/>
          <w:sz w:val="24"/>
          <w:szCs w:val="24"/>
        </w:rPr>
        <w:t>En</w:t>
      </w:r>
      <w:r w:rsidRPr="00C50455">
        <w:rPr>
          <w:rFonts w:eastAsia="Calibri"/>
          <w:sz w:val="24"/>
          <w:szCs w:val="24"/>
        </w:rPr>
        <w:t xml:space="preserve">tities that were required to report broadband connections </w:t>
      </w:r>
      <w:r>
        <w:rPr>
          <w:rFonts w:eastAsia="Calibri"/>
          <w:sz w:val="24"/>
          <w:szCs w:val="24"/>
        </w:rPr>
        <w:t xml:space="preserve">in service </w:t>
      </w:r>
      <w:r w:rsidRPr="00C50455">
        <w:rPr>
          <w:rFonts w:eastAsia="Calibri"/>
          <w:sz w:val="24"/>
          <w:szCs w:val="24"/>
        </w:rPr>
        <w:t xml:space="preserve">to </w:t>
      </w:r>
      <w:r>
        <w:rPr>
          <w:rFonts w:eastAsia="Calibri"/>
          <w:sz w:val="24"/>
          <w:szCs w:val="24"/>
        </w:rPr>
        <w:t>end users</w:t>
      </w:r>
      <w:r w:rsidRPr="00C50455">
        <w:rPr>
          <w:rFonts w:eastAsia="Calibri"/>
          <w:sz w:val="24"/>
          <w:szCs w:val="24"/>
        </w:rPr>
        <w:t xml:space="preserve"> on </w:t>
      </w:r>
      <w:r>
        <w:rPr>
          <w:rFonts w:eastAsia="Calibri"/>
          <w:sz w:val="24"/>
          <w:szCs w:val="24"/>
        </w:rPr>
        <w:t xml:space="preserve">the </w:t>
      </w:r>
      <w:r w:rsidRPr="00C50455">
        <w:rPr>
          <w:rFonts w:eastAsia="Calibri"/>
          <w:sz w:val="24"/>
          <w:szCs w:val="24"/>
        </w:rPr>
        <w:t xml:space="preserve">FCC Form 477 (“Local Telephone Competition and Broadband Reporting”) for 2013 </w:t>
      </w:r>
      <w:r>
        <w:rPr>
          <w:rFonts w:eastAsia="Calibri"/>
          <w:sz w:val="24"/>
          <w:szCs w:val="24"/>
        </w:rPr>
        <w:t xml:space="preserve">but that are </w:t>
      </w:r>
      <w:r w:rsidRPr="00C50455">
        <w:rPr>
          <w:rFonts w:eastAsia="Calibri"/>
          <w:sz w:val="24"/>
          <w:szCs w:val="24"/>
        </w:rPr>
        <w:t xml:space="preserve">not a Provider, Purchaser, or </w:t>
      </w:r>
      <w:r w:rsidR="00F433AF">
        <w:rPr>
          <w:rFonts w:eastAsia="Calibri"/>
          <w:sz w:val="24"/>
          <w:szCs w:val="24"/>
        </w:rPr>
        <w:t xml:space="preserve">an excluded </w:t>
      </w:r>
      <w:r w:rsidRPr="00C50455">
        <w:rPr>
          <w:rFonts w:eastAsia="Calibri"/>
          <w:sz w:val="24"/>
          <w:szCs w:val="24"/>
        </w:rPr>
        <w:t>Best Efforts Business Broadband Internet Access Services provider in a price cap area</w:t>
      </w:r>
      <w:r>
        <w:rPr>
          <w:rFonts w:eastAsia="Calibri"/>
          <w:sz w:val="24"/>
          <w:szCs w:val="24"/>
        </w:rPr>
        <w:t xml:space="preserve"> will still need to file a certification with the FCC saying as much</w:t>
      </w:r>
      <w:r w:rsidRPr="00C50455">
        <w:rPr>
          <w:rFonts w:eastAsia="Calibri"/>
          <w:sz w:val="24"/>
          <w:szCs w:val="24"/>
        </w:rPr>
        <w:t>.</w:t>
      </w:r>
    </w:p>
    <w:p w:rsidR="00221A97" w:rsidRPr="00221A97" w:rsidRDefault="00AE478A" w:rsidP="00AE478A">
      <w:pPr>
        <w:spacing w:after="200"/>
        <w:ind w:left="1800"/>
        <w:contextualSpacing/>
        <w:rPr>
          <w:rFonts w:eastAsia="Calibri"/>
          <w:b/>
          <w:sz w:val="24"/>
          <w:szCs w:val="24"/>
        </w:rPr>
      </w:pPr>
      <w:r>
        <w:rPr>
          <w:rFonts w:eastAsia="Calibri"/>
          <w:sz w:val="24"/>
          <w:szCs w:val="24"/>
        </w:rPr>
        <w:t xml:space="preserve">  </w:t>
      </w:r>
    </w:p>
    <w:p w:rsidR="00F433AF" w:rsidRDefault="00F433AF">
      <w:pPr>
        <w:rPr>
          <w:rFonts w:eastAsia="Calibri"/>
          <w:b/>
          <w:sz w:val="24"/>
          <w:szCs w:val="24"/>
        </w:rPr>
      </w:pPr>
      <w:r>
        <w:rPr>
          <w:rFonts w:eastAsia="Calibri"/>
          <w:b/>
          <w:sz w:val="24"/>
          <w:szCs w:val="24"/>
        </w:rPr>
        <w:br w:type="page"/>
      </w:r>
    </w:p>
    <w:p w:rsidR="00AE478A" w:rsidRDefault="00AE478A" w:rsidP="00221A97">
      <w:pPr>
        <w:numPr>
          <w:ilvl w:val="1"/>
          <w:numId w:val="1"/>
        </w:numPr>
        <w:spacing w:after="200"/>
        <w:contextualSpacing/>
        <w:rPr>
          <w:rFonts w:eastAsia="Calibri"/>
          <w:b/>
          <w:sz w:val="24"/>
          <w:szCs w:val="24"/>
        </w:rPr>
      </w:pPr>
      <w:r>
        <w:rPr>
          <w:rFonts w:eastAsia="Calibri"/>
          <w:b/>
          <w:sz w:val="24"/>
          <w:szCs w:val="24"/>
        </w:rPr>
        <w:t xml:space="preserve">Decision Tree to help you assess whether </w:t>
      </w:r>
      <w:r w:rsidR="000468A2">
        <w:rPr>
          <w:rFonts w:eastAsia="Calibri"/>
          <w:b/>
          <w:sz w:val="24"/>
          <w:szCs w:val="24"/>
        </w:rPr>
        <w:t xml:space="preserve">or </w:t>
      </w:r>
      <w:r>
        <w:rPr>
          <w:rFonts w:eastAsia="Calibri"/>
          <w:b/>
          <w:sz w:val="24"/>
          <w:szCs w:val="24"/>
        </w:rPr>
        <w:t>not you are required to file anything.</w:t>
      </w:r>
    </w:p>
    <w:p w:rsidR="00AE478A" w:rsidRDefault="00AE478A" w:rsidP="00AE478A">
      <w:pPr>
        <w:spacing w:after="200"/>
        <w:ind w:left="1080"/>
        <w:contextualSpacing/>
        <w:rPr>
          <w:rFonts w:eastAsia="Calibri"/>
          <w:b/>
          <w:sz w:val="24"/>
          <w:szCs w:val="24"/>
        </w:rPr>
      </w:pPr>
    </w:p>
    <w:p w:rsidR="00F433AF" w:rsidRDefault="00892BF0" w:rsidP="002A3718">
      <w:pPr>
        <w:jc w:val="center"/>
        <w:rPr>
          <w:rFonts w:eastAsia="Calibri"/>
          <w:b/>
          <w:sz w:val="24"/>
          <w:szCs w:val="24"/>
        </w:rPr>
      </w:pPr>
      <w:r>
        <w:rPr>
          <w:rFonts w:eastAsia="Calibri"/>
          <w:b/>
          <w:noProof/>
          <w:sz w:val="24"/>
          <w:szCs w:val="24"/>
        </w:rPr>
        <w:drawing>
          <wp:inline distT="0" distB="0" distL="0" distR="0" wp14:anchorId="12125505" wp14:editId="645460A7">
            <wp:extent cx="5353050" cy="653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ision tree 091814.JPG"/>
                    <pic:cNvPicPr/>
                  </pic:nvPicPr>
                  <pic:blipFill>
                    <a:blip r:embed="rId9">
                      <a:extLst>
                        <a:ext uri="{28A0092B-C50C-407E-A947-70E740481C1C}">
                          <a14:useLocalDpi xmlns:a14="http://schemas.microsoft.com/office/drawing/2010/main" val="0"/>
                        </a:ext>
                      </a:extLst>
                    </a:blip>
                    <a:stretch>
                      <a:fillRect/>
                    </a:stretch>
                  </pic:blipFill>
                  <pic:spPr>
                    <a:xfrm>
                      <a:off x="0" y="0"/>
                      <a:ext cx="5353050" cy="6534150"/>
                    </a:xfrm>
                    <a:prstGeom prst="rect">
                      <a:avLst/>
                    </a:prstGeom>
                  </pic:spPr>
                </pic:pic>
              </a:graphicData>
            </a:graphic>
          </wp:inline>
        </w:drawing>
      </w:r>
      <w:r w:rsidR="00F433AF">
        <w:rPr>
          <w:rFonts w:eastAsia="Calibri"/>
          <w:b/>
          <w:sz w:val="24"/>
          <w:szCs w:val="24"/>
        </w:rPr>
        <w:br w:type="page"/>
      </w:r>
    </w:p>
    <w:p w:rsidR="00221A97" w:rsidRDefault="00221A97" w:rsidP="00221A97">
      <w:pPr>
        <w:numPr>
          <w:ilvl w:val="1"/>
          <w:numId w:val="1"/>
        </w:numPr>
        <w:spacing w:after="200"/>
        <w:contextualSpacing/>
        <w:rPr>
          <w:rFonts w:eastAsia="Calibri"/>
          <w:b/>
          <w:sz w:val="24"/>
          <w:szCs w:val="24"/>
        </w:rPr>
      </w:pPr>
      <w:r>
        <w:rPr>
          <w:rFonts w:eastAsia="Calibri"/>
          <w:b/>
          <w:sz w:val="24"/>
          <w:szCs w:val="24"/>
        </w:rPr>
        <w:t>Only certain questions apply to certain types of filers.</w:t>
      </w:r>
    </w:p>
    <w:p w:rsidR="00221A97" w:rsidRPr="00A5725E" w:rsidRDefault="00221A97" w:rsidP="00221A97">
      <w:pPr>
        <w:spacing w:after="200"/>
        <w:ind w:left="1080"/>
        <w:contextualSpacing/>
        <w:rPr>
          <w:rFonts w:eastAsia="Calibri"/>
          <w:b/>
          <w:sz w:val="24"/>
          <w:szCs w:val="24"/>
        </w:rPr>
      </w:pPr>
    </w:p>
    <w:p w:rsidR="00221A97" w:rsidRDefault="00221A97" w:rsidP="00221A97">
      <w:pPr>
        <w:numPr>
          <w:ilvl w:val="2"/>
          <w:numId w:val="1"/>
        </w:numPr>
        <w:spacing w:after="200"/>
        <w:contextualSpacing/>
        <w:rPr>
          <w:rFonts w:eastAsia="Calibri"/>
          <w:sz w:val="24"/>
          <w:szCs w:val="24"/>
        </w:rPr>
      </w:pPr>
      <w:r>
        <w:rPr>
          <w:rFonts w:eastAsia="Calibri"/>
          <w:sz w:val="24"/>
          <w:szCs w:val="24"/>
        </w:rPr>
        <w:t xml:space="preserve">Those required to respond to the collection questions </w:t>
      </w:r>
      <w:r w:rsidR="005C3159" w:rsidRPr="00221A97">
        <w:rPr>
          <w:rFonts w:eastAsia="Calibri"/>
          <w:sz w:val="24"/>
          <w:szCs w:val="24"/>
        </w:rPr>
        <w:t xml:space="preserve">only have to respond to the questions that </w:t>
      </w:r>
      <w:r w:rsidR="00850CCD" w:rsidRPr="00221A97">
        <w:rPr>
          <w:rFonts w:eastAsia="Calibri"/>
          <w:sz w:val="24"/>
          <w:szCs w:val="24"/>
        </w:rPr>
        <w:t>apply to the category of services that they provide or purchase</w:t>
      </w:r>
      <w:r w:rsidR="00803F46" w:rsidRPr="00221A97">
        <w:rPr>
          <w:rFonts w:eastAsia="Calibri"/>
          <w:sz w:val="24"/>
          <w:szCs w:val="24"/>
        </w:rPr>
        <w:t xml:space="preserve"> </w:t>
      </w:r>
      <w:r w:rsidR="00D263DB" w:rsidRPr="00221A97">
        <w:rPr>
          <w:rFonts w:eastAsia="Calibri"/>
          <w:sz w:val="24"/>
          <w:szCs w:val="24"/>
        </w:rPr>
        <w:t xml:space="preserve">and </w:t>
      </w:r>
      <w:r w:rsidR="00803F46" w:rsidRPr="00221A97">
        <w:rPr>
          <w:rFonts w:eastAsia="Calibri"/>
          <w:sz w:val="24"/>
          <w:szCs w:val="24"/>
        </w:rPr>
        <w:t xml:space="preserve">that are not otherwise </w:t>
      </w:r>
      <w:r>
        <w:rPr>
          <w:rFonts w:eastAsia="Calibri"/>
          <w:sz w:val="24"/>
          <w:szCs w:val="24"/>
        </w:rPr>
        <w:t xml:space="preserve">designated as </w:t>
      </w:r>
      <w:r w:rsidR="00F1564D">
        <w:rPr>
          <w:rFonts w:eastAsia="Calibri"/>
          <w:sz w:val="24"/>
          <w:szCs w:val="24"/>
        </w:rPr>
        <w:t>“</w:t>
      </w:r>
      <w:r>
        <w:rPr>
          <w:rFonts w:eastAsia="Calibri"/>
          <w:sz w:val="24"/>
          <w:szCs w:val="24"/>
        </w:rPr>
        <w:t>(optional)</w:t>
      </w:r>
      <w:r w:rsidR="00850CCD" w:rsidRPr="00221A97">
        <w:rPr>
          <w:rFonts w:eastAsia="Calibri"/>
          <w:sz w:val="24"/>
          <w:szCs w:val="24"/>
        </w:rPr>
        <w:t>.</w:t>
      </w:r>
      <w:r w:rsidR="00F1564D">
        <w:rPr>
          <w:rFonts w:eastAsia="Calibri"/>
          <w:sz w:val="24"/>
          <w:szCs w:val="24"/>
        </w:rPr>
        <w:t>”</w:t>
      </w:r>
      <w:r w:rsidR="00850CCD" w:rsidRPr="00221A97">
        <w:rPr>
          <w:rFonts w:eastAsia="Calibri"/>
          <w:b/>
          <w:sz w:val="24"/>
          <w:szCs w:val="24"/>
        </w:rPr>
        <w:t xml:space="preserve">  </w:t>
      </w:r>
      <w:r w:rsidR="00850CCD" w:rsidRPr="00221A97">
        <w:rPr>
          <w:rFonts w:eastAsia="Calibri"/>
          <w:sz w:val="24"/>
          <w:szCs w:val="24"/>
        </w:rPr>
        <w:t>Furthe</w:t>
      </w:r>
      <w:r w:rsidR="0038729B" w:rsidRPr="00221A97">
        <w:rPr>
          <w:rFonts w:eastAsia="Calibri"/>
          <w:sz w:val="24"/>
          <w:szCs w:val="24"/>
        </w:rPr>
        <w:t>r details are contained in the data c</w:t>
      </w:r>
      <w:r w:rsidR="00850CCD" w:rsidRPr="00221A97">
        <w:rPr>
          <w:rFonts w:eastAsia="Calibri"/>
          <w:sz w:val="24"/>
          <w:szCs w:val="24"/>
        </w:rPr>
        <w:t xml:space="preserve">ollection </w:t>
      </w:r>
      <w:r w:rsidR="005E5116" w:rsidRPr="00221A97">
        <w:rPr>
          <w:rFonts w:eastAsia="Calibri"/>
          <w:sz w:val="24"/>
          <w:szCs w:val="24"/>
        </w:rPr>
        <w:t>i</w:t>
      </w:r>
      <w:r w:rsidR="00850CCD" w:rsidRPr="00221A97">
        <w:rPr>
          <w:rFonts w:eastAsia="Calibri"/>
          <w:sz w:val="24"/>
          <w:szCs w:val="24"/>
        </w:rPr>
        <w:t>nstructions</w:t>
      </w:r>
      <w:r w:rsidR="00D266D9" w:rsidRPr="00221A97">
        <w:rPr>
          <w:rFonts w:eastAsia="Calibri"/>
          <w:sz w:val="24"/>
          <w:szCs w:val="24"/>
        </w:rPr>
        <w:t xml:space="preserve">, which are available on the FCC’s website, </w:t>
      </w:r>
      <w:r w:rsidR="006F4073" w:rsidRPr="00221A97">
        <w:rPr>
          <w:rFonts w:eastAsia="Calibri"/>
          <w:i/>
          <w:sz w:val="24"/>
          <w:szCs w:val="24"/>
        </w:rPr>
        <w:t>see</w:t>
      </w:r>
      <w:r w:rsidR="006F4073" w:rsidRPr="00221A97">
        <w:rPr>
          <w:rFonts w:eastAsia="Calibri"/>
          <w:sz w:val="24"/>
          <w:szCs w:val="24"/>
        </w:rPr>
        <w:t xml:space="preserve"> FCC, Special Access Data Collection Overview, </w:t>
      </w:r>
      <w:hyperlink r:id="rId10" w:history="1">
        <w:r w:rsidR="00D266D9" w:rsidRPr="00221A97">
          <w:rPr>
            <w:rStyle w:val="Hyperlink"/>
            <w:rFonts w:eastAsia="Calibri"/>
            <w:sz w:val="24"/>
            <w:szCs w:val="24"/>
          </w:rPr>
          <w:t>http://www.fcc.gov/encyclopedia/special-access-data-collection-overview-0</w:t>
        </w:r>
      </w:hyperlink>
      <w:r w:rsidR="00850CCD" w:rsidRPr="00221A97">
        <w:rPr>
          <w:rFonts w:eastAsia="Calibri"/>
          <w:sz w:val="24"/>
          <w:szCs w:val="24"/>
        </w:rPr>
        <w:t xml:space="preserve">.  </w:t>
      </w:r>
    </w:p>
    <w:p w:rsidR="00221A97" w:rsidRDefault="00221A97" w:rsidP="00221A97">
      <w:pPr>
        <w:spacing w:after="200"/>
        <w:ind w:left="1800"/>
        <w:contextualSpacing/>
        <w:rPr>
          <w:rFonts w:eastAsia="Calibri"/>
          <w:sz w:val="24"/>
          <w:szCs w:val="24"/>
        </w:rPr>
      </w:pPr>
    </w:p>
    <w:p w:rsidR="00850CCD" w:rsidRPr="00221A97" w:rsidRDefault="005C3159" w:rsidP="00221A97">
      <w:pPr>
        <w:numPr>
          <w:ilvl w:val="2"/>
          <w:numId w:val="1"/>
        </w:numPr>
        <w:spacing w:after="200"/>
        <w:contextualSpacing/>
        <w:rPr>
          <w:rFonts w:eastAsia="Calibri"/>
          <w:sz w:val="24"/>
          <w:szCs w:val="24"/>
        </w:rPr>
      </w:pPr>
      <w:r w:rsidRPr="00221A97">
        <w:rPr>
          <w:rFonts w:eastAsia="Calibri"/>
          <w:sz w:val="24"/>
          <w:szCs w:val="24"/>
        </w:rPr>
        <w:t xml:space="preserve">Below is a list of the </w:t>
      </w:r>
      <w:r w:rsidR="00850CCD" w:rsidRPr="00221A97">
        <w:rPr>
          <w:rFonts w:eastAsia="Calibri"/>
          <w:sz w:val="24"/>
          <w:szCs w:val="24"/>
        </w:rPr>
        <w:t xml:space="preserve">questions directed at various </w:t>
      </w:r>
      <w:r w:rsidRPr="00221A97">
        <w:rPr>
          <w:rFonts w:eastAsia="Calibri"/>
          <w:sz w:val="24"/>
          <w:szCs w:val="24"/>
        </w:rPr>
        <w:t>categories of respond</w:t>
      </w:r>
      <w:r w:rsidR="00803F46" w:rsidRPr="00221A97">
        <w:rPr>
          <w:rFonts w:eastAsia="Calibri"/>
          <w:sz w:val="24"/>
          <w:szCs w:val="24"/>
        </w:rPr>
        <w:t>e</w:t>
      </w:r>
      <w:r w:rsidR="00221A97">
        <w:rPr>
          <w:rFonts w:eastAsia="Calibri"/>
          <w:sz w:val="24"/>
          <w:szCs w:val="24"/>
        </w:rPr>
        <w:t>nts:</w:t>
      </w:r>
      <w:r w:rsidR="00850CCD" w:rsidRPr="00221A97">
        <w:rPr>
          <w:rFonts w:eastAsia="Calibri"/>
          <w:sz w:val="24"/>
          <w:szCs w:val="24"/>
        </w:rPr>
        <w:t xml:space="preserve">  </w:t>
      </w:r>
    </w:p>
    <w:p w:rsidR="00850CCD" w:rsidRPr="00C50455" w:rsidRDefault="00850CCD" w:rsidP="004E4988">
      <w:pPr>
        <w:spacing w:after="200"/>
        <w:ind w:left="720"/>
        <w:contextualSpacing/>
        <w:rPr>
          <w:rFonts w:eastAsia="Calibri"/>
          <w:sz w:val="24"/>
          <w:szCs w:val="24"/>
        </w:rPr>
      </w:pPr>
    </w:p>
    <w:tbl>
      <w:tblPr>
        <w:tblStyle w:val="TableGrid"/>
        <w:tblW w:w="8280" w:type="dxa"/>
        <w:tblInd w:w="1188" w:type="dxa"/>
        <w:tblLook w:val="04A0" w:firstRow="1" w:lastRow="0" w:firstColumn="1" w:lastColumn="0" w:noHBand="0" w:noVBand="1"/>
      </w:tblPr>
      <w:tblGrid>
        <w:gridCol w:w="2790"/>
        <w:gridCol w:w="2790"/>
        <w:gridCol w:w="2700"/>
      </w:tblGrid>
      <w:tr w:rsidR="00945D6A" w:rsidRPr="00C50455" w:rsidTr="00FF1C82">
        <w:trPr>
          <w:tblHeader/>
        </w:trPr>
        <w:tc>
          <w:tcPr>
            <w:tcW w:w="2790" w:type="dxa"/>
            <w:shd w:val="clear" w:color="auto" w:fill="BFBFBF" w:themeFill="background1" w:themeFillShade="BF"/>
          </w:tcPr>
          <w:p w:rsidR="00945D6A" w:rsidRPr="004E4988" w:rsidRDefault="00945D6A" w:rsidP="00850CCD">
            <w:pPr>
              <w:spacing w:after="200"/>
              <w:contextualSpacing/>
              <w:rPr>
                <w:rFonts w:eastAsia="Calibri"/>
                <w:b/>
                <w:sz w:val="24"/>
                <w:szCs w:val="24"/>
              </w:rPr>
            </w:pPr>
            <w:r w:rsidRPr="000D72B4">
              <w:rPr>
                <w:rFonts w:eastAsia="Calibri"/>
                <w:b/>
                <w:sz w:val="24"/>
                <w:szCs w:val="24"/>
              </w:rPr>
              <w:t>Type of Filer</w:t>
            </w:r>
          </w:p>
        </w:tc>
        <w:tc>
          <w:tcPr>
            <w:tcW w:w="2790" w:type="dxa"/>
            <w:shd w:val="clear" w:color="auto" w:fill="BFBFBF" w:themeFill="background1" w:themeFillShade="BF"/>
          </w:tcPr>
          <w:p w:rsidR="00945D6A" w:rsidRPr="004E4988" w:rsidRDefault="00945D6A" w:rsidP="00A67D77">
            <w:pPr>
              <w:spacing w:after="200"/>
              <w:contextualSpacing/>
              <w:rPr>
                <w:rFonts w:eastAsia="Calibri"/>
                <w:b/>
                <w:sz w:val="24"/>
                <w:szCs w:val="24"/>
              </w:rPr>
            </w:pPr>
            <w:r w:rsidRPr="00C50455">
              <w:rPr>
                <w:rFonts w:eastAsia="Calibri"/>
                <w:b/>
                <w:sz w:val="24"/>
                <w:szCs w:val="24"/>
              </w:rPr>
              <w:t xml:space="preserve">Mandatory </w:t>
            </w:r>
            <w:r w:rsidRPr="000D72B4">
              <w:rPr>
                <w:rFonts w:eastAsia="Calibri"/>
                <w:b/>
                <w:sz w:val="24"/>
                <w:szCs w:val="24"/>
              </w:rPr>
              <w:t xml:space="preserve">Questions </w:t>
            </w:r>
          </w:p>
        </w:tc>
        <w:tc>
          <w:tcPr>
            <w:tcW w:w="2700" w:type="dxa"/>
            <w:shd w:val="clear" w:color="auto" w:fill="BFBFBF" w:themeFill="background1" w:themeFillShade="BF"/>
          </w:tcPr>
          <w:p w:rsidR="00945D6A" w:rsidRPr="00C50455" w:rsidRDefault="00945D6A" w:rsidP="00A67D77">
            <w:pPr>
              <w:spacing w:after="200"/>
              <w:contextualSpacing/>
              <w:rPr>
                <w:rFonts w:eastAsia="Calibri"/>
                <w:b/>
                <w:sz w:val="24"/>
                <w:szCs w:val="24"/>
              </w:rPr>
            </w:pPr>
            <w:r w:rsidRPr="00C50455">
              <w:rPr>
                <w:rFonts w:eastAsia="Calibri"/>
                <w:b/>
                <w:sz w:val="24"/>
                <w:szCs w:val="24"/>
              </w:rPr>
              <w:t xml:space="preserve">Voluntary Questions </w:t>
            </w:r>
          </w:p>
        </w:tc>
      </w:tr>
      <w:tr w:rsidR="00945D6A" w:rsidRPr="00C50455" w:rsidTr="004E4988">
        <w:tc>
          <w:tcPr>
            <w:tcW w:w="2790" w:type="dxa"/>
          </w:tcPr>
          <w:p w:rsidR="00945D6A" w:rsidRPr="00C50455" w:rsidRDefault="00945D6A" w:rsidP="00A67D77">
            <w:pPr>
              <w:spacing w:after="200"/>
              <w:contextualSpacing/>
              <w:rPr>
                <w:rFonts w:eastAsia="Calibri"/>
                <w:sz w:val="24"/>
                <w:szCs w:val="24"/>
              </w:rPr>
            </w:pPr>
            <w:r w:rsidRPr="00C50455">
              <w:rPr>
                <w:rFonts w:eastAsia="Calibri"/>
                <w:sz w:val="24"/>
                <w:szCs w:val="24"/>
              </w:rPr>
              <w:t>Competitive Providers (</w:t>
            </w:r>
            <w:r w:rsidRPr="000D72B4">
              <w:rPr>
                <w:rFonts w:eastAsia="Calibri"/>
                <w:i/>
                <w:sz w:val="24"/>
                <w:szCs w:val="24"/>
              </w:rPr>
              <w:t>e.g</w:t>
            </w:r>
            <w:r w:rsidRPr="00C50455">
              <w:rPr>
                <w:rFonts w:eastAsia="Calibri"/>
                <w:sz w:val="24"/>
                <w:szCs w:val="24"/>
              </w:rPr>
              <w:t>., CLECs, interexchange carriers, cable operators and wireless providers)</w:t>
            </w:r>
          </w:p>
        </w:tc>
        <w:tc>
          <w:tcPr>
            <w:tcW w:w="2790" w:type="dxa"/>
          </w:tcPr>
          <w:p w:rsidR="00945D6A" w:rsidRPr="00C50455" w:rsidRDefault="00945D6A" w:rsidP="00A67D77">
            <w:pPr>
              <w:spacing w:after="200"/>
              <w:contextualSpacing/>
              <w:rPr>
                <w:rFonts w:eastAsia="Calibri"/>
                <w:sz w:val="24"/>
                <w:szCs w:val="24"/>
              </w:rPr>
            </w:pPr>
            <w:r w:rsidRPr="00C50455">
              <w:rPr>
                <w:rFonts w:eastAsia="Calibri"/>
                <w:sz w:val="24"/>
                <w:szCs w:val="24"/>
              </w:rPr>
              <w:t>Questions II.A.1-3, II.A.4(a)-(b), II.A.4(d)-(k), II.A.5-10, II.A.11 (part 1), II.A.12-19</w:t>
            </w:r>
            <w:r w:rsidR="000959ED" w:rsidRPr="00C50455">
              <w:rPr>
                <w:rFonts w:eastAsia="Calibri"/>
                <w:sz w:val="24"/>
                <w:szCs w:val="24"/>
              </w:rPr>
              <w:t xml:space="preserve">; </w:t>
            </w:r>
            <w:r w:rsidRPr="00C50455">
              <w:rPr>
                <w:rFonts w:eastAsia="Calibri"/>
                <w:sz w:val="24"/>
                <w:szCs w:val="24"/>
              </w:rPr>
              <w:t>Questions D.1-2</w:t>
            </w:r>
          </w:p>
        </w:tc>
        <w:tc>
          <w:tcPr>
            <w:tcW w:w="2700" w:type="dxa"/>
          </w:tcPr>
          <w:p w:rsidR="00945D6A" w:rsidRPr="00C50455" w:rsidRDefault="00945D6A" w:rsidP="00093AA3">
            <w:pPr>
              <w:spacing w:after="200"/>
              <w:contextualSpacing/>
              <w:rPr>
                <w:rFonts w:eastAsia="Calibri"/>
                <w:sz w:val="24"/>
                <w:szCs w:val="24"/>
              </w:rPr>
            </w:pPr>
            <w:r w:rsidRPr="00C50455">
              <w:rPr>
                <w:rFonts w:eastAsia="Calibri"/>
                <w:sz w:val="24"/>
                <w:szCs w:val="24"/>
              </w:rPr>
              <w:t xml:space="preserve">Questions II.A.4(c), II.A.11 (part 2), and II.A.16 subparts (a)-(e) </w:t>
            </w:r>
          </w:p>
          <w:p w:rsidR="00945D6A" w:rsidRPr="00C50455" w:rsidRDefault="00945D6A" w:rsidP="00093AA3">
            <w:pPr>
              <w:spacing w:after="200"/>
              <w:contextualSpacing/>
              <w:rPr>
                <w:rFonts w:eastAsia="Calibri"/>
                <w:sz w:val="24"/>
                <w:szCs w:val="24"/>
              </w:rPr>
            </w:pPr>
          </w:p>
          <w:p w:rsidR="00945D6A" w:rsidRPr="00C50455" w:rsidRDefault="00945D6A" w:rsidP="00A67D77">
            <w:pPr>
              <w:spacing w:after="200"/>
              <w:contextualSpacing/>
              <w:rPr>
                <w:rFonts w:eastAsia="Calibri"/>
                <w:sz w:val="24"/>
                <w:szCs w:val="24"/>
              </w:rPr>
            </w:pPr>
          </w:p>
        </w:tc>
      </w:tr>
      <w:tr w:rsidR="00945D6A" w:rsidRPr="00C50455" w:rsidTr="004E4988">
        <w:tc>
          <w:tcPr>
            <w:tcW w:w="2790" w:type="dxa"/>
          </w:tcPr>
          <w:p w:rsidR="00945D6A" w:rsidRPr="00C50455" w:rsidRDefault="00945D6A" w:rsidP="00850CCD">
            <w:pPr>
              <w:spacing w:after="200"/>
              <w:contextualSpacing/>
              <w:rPr>
                <w:rFonts w:eastAsia="Calibri"/>
                <w:sz w:val="24"/>
                <w:szCs w:val="24"/>
              </w:rPr>
            </w:pPr>
            <w:r w:rsidRPr="00C50455">
              <w:rPr>
                <w:rFonts w:eastAsia="Calibri"/>
                <w:sz w:val="24"/>
                <w:szCs w:val="24"/>
              </w:rPr>
              <w:t>ILECs</w:t>
            </w:r>
          </w:p>
        </w:tc>
        <w:tc>
          <w:tcPr>
            <w:tcW w:w="2790" w:type="dxa"/>
          </w:tcPr>
          <w:p w:rsidR="00945D6A" w:rsidRPr="00C50455" w:rsidRDefault="00945D6A" w:rsidP="00A67D77">
            <w:pPr>
              <w:spacing w:after="200"/>
              <w:contextualSpacing/>
              <w:rPr>
                <w:rFonts w:eastAsia="Calibri"/>
                <w:sz w:val="24"/>
                <w:szCs w:val="24"/>
              </w:rPr>
            </w:pPr>
            <w:r w:rsidRPr="00C50455">
              <w:rPr>
                <w:rFonts w:eastAsia="Calibri"/>
                <w:sz w:val="24"/>
                <w:szCs w:val="24"/>
              </w:rPr>
              <w:t xml:space="preserve">Questions II.B.1-2, II.B.3(a)-(b), II.B.3(d)-(j), II.B.4-9, </w:t>
            </w:r>
            <w:r w:rsidR="00506ADE" w:rsidRPr="00C50455">
              <w:rPr>
                <w:rFonts w:eastAsia="Calibri"/>
                <w:sz w:val="24"/>
                <w:szCs w:val="24"/>
              </w:rPr>
              <w:t>II</w:t>
            </w:r>
            <w:r w:rsidRPr="00C50455">
              <w:rPr>
                <w:rFonts w:eastAsia="Calibri"/>
                <w:sz w:val="24"/>
                <w:szCs w:val="24"/>
              </w:rPr>
              <w:t>.B.10-</w:t>
            </w:r>
            <w:r w:rsidR="00A51F3C" w:rsidRPr="00C50455">
              <w:rPr>
                <w:rFonts w:eastAsia="Calibri"/>
                <w:sz w:val="24"/>
                <w:szCs w:val="24"/>
              </w:rPr>
              <w:t>13</w:t>
            </w:r>
            <w:r w:rsidR="000959ED" w:rsidRPr="00C50455">
              <w:rPr>
                <w:rFonts w:eastAsia="Calibri"/>
                <w:sz w:val="24"/>
                <w:szCs w:val="24"/>
              </w:rPr>
              <w:t xml:space="preserve">; </w:t>
            </w:r>
            <w:r w:rsidRPr="00C50455">
              <w:rPr>
                <w:rFonts w:eastAsia="Calibri"/>
                <w:sz w:val="24"/>
                <w:szCs w:val="24"/>
              </w:rPr>
              <w:t>Questions D.1-2</w:t>
            </w:r>
          </w:p>
        </w:tc>
        <w:tc>
          <w:tcPr>
            <w:tcW w:w="2700" w:type="dxa"/>
          </w:tcPr>
          <w:p w:rsidR="00945D6A" w:rsidRPr="00C50455" w:rsidRDefault="00945D6A" w:rsidP="00093AA3">
            <w:pPr>
              <w:spacing w:after="200"/>
              <w:contextualSpacing/>
              <w:rPr>
                <w:rFonts w:eastAsia="Calibri"/>
                <w:sz w:val="24"/>
                <w:szCs w:val="24"/>
              </w:rPr>
            </w:pPr>
            <w:r w:rsidRPr="00C50455">
              <w:rPr>
                <w:rFonts w:eastAsia="Calibri"/>
                <w:sz w:val="24"/>
                <w:szCs w:val="24"/>
              </w:rPr>
              <w:t xml:space="preserve">Questions II.B.3(c) and II.B.9 subparts (a)-(e) </w:t>
            </w:r>
          </w:p>
          <w:p w:rsidR="00945D6A" w:rsidRPr="00C50455" w:rsidRDefault="00945D6A" w:rsidP="00093AA3">
            <w:pPr>
              <w:spacing w:after="200"/>
              <w:contextualSpacing/>
              <w:rPr>
                <w:rFonts w:eastAsia="Calibri"/>
                <w:sz w:val="24"/>
                <w:szCs w:val="24"/>
              </w:rPr>
            </w:pPr>
          </w:p>
          <w:p w:rsidR="00945D6A" w:rsidRPr="00C50455" w:rsidRDefault="00945D6A" w:rsidP="00A51F3C">
            <w:pPr>
              <w:spacing w:after="200"/>
              <w:contextualSpacing/>
              <w:rPr>
                <w:rFonts w:eastAsia="Calibri"/>
                <w:sz w:val="24"/>
                <w:szCs w:val="24"/>
              </w:rPr>
            </w:pPr>
          </w:p>
        </w:tc>
      </w:tr>
      <w:tr w:rsidR="00945D6A" w:rsidRPr="00C50455" w:rsidTr="004E4988">
        <w:tc>
          <w:tcPr>
            <w:tcW w:w="2790" w:type="dxa"/>
          </w:tcPr>
          <w:p w:rsidR="00C44A07" w:rsidRPr="00C50455" w:rsidRDefault="00945D6A" w:rsidP="00850CCD">
            <w:pPr>
              <w:spacing w:after="200"/>
              <w:contextualSpacing/>
              <w:rPr>
                <w:rFonts w:eastAsia="Calibri"/>
                <w:sz w:val="24"/>
                <w:szCs w:val="24"/>
              </w:rPr>
            </w:pPr>
            <w:r w:rsidRPr="00C50455">
              <w:rPr>
                <w:rFonts w:eastAsia="Calibri"/>
                <w:sz w:val="24"/>
                <w:szCs w:val="24"/>
              </w:rPr>
              <w:t>Best Efforts Business Broadband Internet Access Service Providers</w:t>
            </w:r>
            <w:r w:rsidR="008D0E2A" w:rsidRPr="00C50455">
              <w:rPr>
                <w:rFonts w:eastAsia="Calibri"/>
                <w:sz w:val="24"/>
                <w:szCs w:val="24"/>
              </w:rPr>
              <w:t xml:space="preserve"> to 15,000 or more customers or 1,500 or more business broadband customers in price cap areas as of December 18, 2012</w:t>
            </w:r>
          </w:p>
        </w:tc>
        <w:tc>
          <w:tcPr>
            <w:tcW w:w="2790" w:type="dxa"/>
          </w:tcPr>
          <w:p w:rsidR="009564D1" w:rsidRPr="00C50455" w:rsidRDefault="00945D6A" w:rsidP="00850CCD">
            <w:pPr>
              <w:spacing w:after="200"/>
              <w:contextualSpacing/>
              <w:rPr>
                <w:rFonts w:eastAsia="Calibri"/>
                <w:sz w:val="24"/>
                <w:szCs w:val="24"/>
              </w:rPr>
            </w:pPr>
            <w:r w:rsidRPr="00C50455">
              <w:rPr>
                <w:rFonts w:eastAsia="Calibri"/>
                <w:sz w:val="24"/>
                <w:szCs w:val="24"/>
              </w:rPr>
              <w:t>Question II.C.1</w:t>
            </w:r>
            <w:r w:rsidR="000959ED" w:rsidRPr="00C50455">
              <w:rPr>
                <w:rFonts w:eastAsia="Calibri"/>
                <w:sz w:val="24"/>
                <w:szCs w:val="24"/>
              </w:rPr>
              <w:t xml:space="preserve">; </w:t>
            </w:r>
          </w:p>
          <w:p w:rsidR="00945D6A" w:rsidRPr="00C50455" w:rsidRDefault="00945D6A" w:rsidP="00850CCD">
            <w:pPr>
              <w:spacing w:after="200"/>
              <w:contextualSpacing/>
              <w:rPr>
                <w:rFonts w:eastAsia="Calibri"/>
                <w:sz w:val="24"/>
                <w:szCs w:val="24"/>
              </w:rPr>
            </w:pPr>
            <w:r w:rsidRPr="00C50455">
              <w:rPr>
                <w:rFonts w:eastAsia="Calibri"/>
                <w:sz w:val="24"/>
                <w:szCs w:val="24"/>
              </w:rPr>
              <w:t>Questions D.1-2</w:t>
            </w:r>
          </w:p>
          <w:p w:rsidR="00945D6A" w:rsidRPr="00C50455" w:rsidRDefault="00945D6A" w:rsidP="00850CCD">
            <w:pPr>
              <w:spacing w:after="200"/>
              <w:contextualSpacing/>
              <w:rPr>
                <w:rFonts w:eastAsia="Calibri"/>
                <w:sz w:val="24"/>
                <w:szCs w:val="24"/>
              </w:rPr>
            </w:pPr>
          </w:p>
        </w:tc>
        <w:tc>
          <w:tcPr>
            <w:tcW w:w="2700" w:type="dxa"/>
          </w:tcPr>
          <w:p w:rsidR="00945D6A" w:rsidRPr="00C50455" w:rsidRDefault="00945D6A" w:rsidP="00460DC4">
            <w:pPr>
              <w:spacing w:after="200"/>
              <w:contextualSpacing/>
              <w:rPr>
                <w:rFonts w:eastAsia="Calibri"/>
                <w:sz w:val="24"/>
                <w:szCs w:val="24"/>
              </w:rPr>
            </w:pPr>
          </w:p>
        </w:tc>
      </w:tr>
      <w:tr w:rsidR="00945D6A" w:rsidRPr="00C50455" w:rsidTr="004E4988">
        <w:tc>
          <w:tcPr>
            <w:tcW w:w="2790" w:type="dxa"/>
          </w:tcPr>
          <w:p w:rsidR="00945D6A" w:rsidRPr="00C50455" w:rsidRDefault="00945D6A" w:rsidP="00A67D77">
            <w:pPr>
              <w:spacing w:after="200"/>
              <w:contextualSpacing/>
              <w:rPr>
                <w:rFonts w:eastAsia="Calibri"/>
                <w:sz w:val="24"/>
                <w:szCs w:val="24"/>
              </w:rPr>
            </w:pPr>
            <w:r w:rsidRPr="00C50455">
              <w:rPr>
                <w:rFonts w:eastAsia="Calibri"/>
                <w:sz w:val="24"/>
                <w:szCs w:val="24"/>
              </w:rPr>
              <w:t>All Providers</w:t>
            </w:r>
          </w:p>
        </w:tc>
        <w:tc>
          <w:tcPr>
            <w:tcW w:w="2790" w:type="dxa"/>
          </w:tcPr>
          <w:p w:rsidR="00945D6A" w:rsidRPr="00C50455" w:rsidRDefault="00945D6A" w:rsidP="00850CCD">
            <w:pPr>
              <w:spacing w:after="200"/>
              <w:contextualSpacing/>
              <w:rPr>
                <w:rFonts w:eastAsia="Calibri"/>
                <w:sz w:val="24"/>
                <w:szCs w:val="24"/>
              </w:rPr>
            </w:pPr>
            <w:r w:rsidRPr="00C50455">
              <w:rPr>
                <w:rFonts w:eastAsia="Calibri"/>
                <w:sz w:val="24"/>
                <w:szCs w:val="24"/>
              </w:rPr>
              <w:t>Questions D.1-2</w:t>
            </w:r>
          </w:p>
        </w:tc>
        <w:tc>
          <w:tcPr>
            <w:tcW w:w="2700" w:type="dxa"/>
          </w:tcPr>
          <w:p w:rsidR="00945D6A" w:rsidRPr="00C50455" w:rsidRDefault="00945D6A" w:rsidP="00460DC4">
            <w:pPr>
              <w:spacing w:after="200"/>
              <w:contextualSpacing/>
              <w:rPr>
                <w:rFonts w:eastAsia="Calibri"/>
                <w:sz w:val="24"/>
                <w:szCs w:val="24"/>
              </w:rPr>
            </w:pPr>
          </w:p>
        </w:tc>
      </w:tr>
      <w:tr w:rsidR="00945D6A" w:rsidRPr="00C50455" w:rsidTr="004E4988">
        <w:tc>
          <w:tcPr>
            <w:tcW w:w="2790" w:type="dxa"/>
          </w:tcPr>
          <w:p w:rsidR="00945D6A" w:rsidRPr="004E4988" w:rsidRDefault="00945D6A" w:rsidP="00850CCD">
            <w:pPr>
              <w:spacing w:after="200"/>
              <w:contextualSpacing/>
              <w:rPr>
                <w:sz w:val="24"/>
                <w:szCs w:val="24"/>
              </w:rPr>
            </w:pPr>
            <w:r w:rsidRPr="004E4988">
              <w:rPr>
                <w:sz w:val="24"/>
                <w:szCs w:val="24"/>
              </w:rPr>
              <w:t>Purchasers that are Mobile Wireless Service Providers</w:t>
            </w:r>
          </w:p>
        </w:tc>
        <w:tc>
          <w:tcPr>
            <w:tcW w:w="2790" w:type="dxa"/>
          </w:tcPr>
          <w:p w:rsidR="000959ED" w:rsidRPr="004E4988" w:rsidRDefault="00945D6A" w:rsidP="000959ED">
            <w:pPr>
              <w:spacing w:after="200"/>
              <w:contextualSpacing/>
              <w:rPr>
                <w:sz w:val="24"/>
                <w:szCs w:val="24"/>
              </w:rPr>
            </w:pPr>
            <w:r w:rsidRPr="004E4988">
              <w:rPr>
                <w:sz w:val="24"/>
                <w:szCs w:val="24"/>
              </w:rPr>
              <w:t>Questions II.E.1</w:t>
            </w:r>
            <w:r w:rsidRPr="00C50455">
              <w:rPr>
                <w:sz w:val="24"/>
                <w:szCs w:val="24"/>
              </w:rPr>
              <w:t xml:space="preserve">, II.E.2(a)-(c), II.E.2(e)-(j), II.E.3, II.E.12, II.E.15 </w:t>
            </w:r>
          </w:p>
        </w:tc>
        <w:tc>
          <w:tcPr>
            <w:tcW w:w="2700" w:type="dxa"/>
          </w:tcPr>
          <w:p w:rsidR="00945D6A" w:rsidRPr="00C50455" w:rsidRDefault="00945D6A" w:rsidP="00A67D77">
            <w:pPr>
              <w:spacing w:after="200"/>
              <w:contextualSpacing/>
              <w:rPr>
                <w:sz w:val="24"/>
                <w:szCs w:val="24"/>
              </w:rPr>
            </w:pPr>
            <w:r w:rsidRPr="00C50455">
              <w:rPr>
                <w:sz w:val="24"/>
                <w:szCs w:val="24"/>
              </w:rPr>
              <w:t>Questions II.E.2(d), II.E.4-11 and</w:t>
            </w:r>
            <w:r w:rsidR="000959ED" w:rsidRPr="00C50455">
              <w:rPr>
                <w:sz w:val="24"/>
                <w:szCs w:val="24"/>
              </w:rPr>
              <w:t xml:space="preserve"> II.E.13-14</w:t>
            </w:r>
          </w:p>
        </w:tc>
      </w:tr>
      <w:tr w:rsidR="00945D6A" w:rsidRPr="00C50455" w:rsidTr="004E4988">
        <w:tc>
          <w:tcPr>
            <w:tcW w:w="2790" w:type="dxa"/>
          </w:tcPr>
          <w:p w:rsidR="00945D6A" w:rsidRPr="00C50455" w:rsidRDefault="00945D6A" w:rsidP="00850CCD">
            <w:pPr>
              <w:spacing w:after="200"/>
              <w:contextualSpacing/>
              <w:rPr>
                <w:rFonts w:eastAsia="Calibri"/>
                <w:sz w:val="24"/>
                <w:szCs w:val="24"/>
              </w:rPr>
            </w:pPr>
            <w:r w:rsidRPr="00C50455">
              <w:rPr>
                <w:rFonts w:eastAsia="Calibri"/>
                <w:sz w:val="24"/>
                <w:szCs w:val="24"/>
              </w:rPr>
              <w:t>Purchasers that are not Mobile Wireless Service Providers</w:t>
            </w:r>
          </w:p>
        </w:tc>
        <w:tc>
          <w:tcPr>
            <w:tcW w:w="2790" w:type="dxa"/>
          </w:tcPr>
          <w:p w:rsidR="00945D6A" w:rsidRPr="00C50455" w:rsidRDefault="00945D6A" w:rsidP="00A67D77">
            <w:pPr>
              <w:spacing w:after="200"/>
              <w:contextualSpacing/>
              <w:rPr>
                <w:rFonts w:eastAsia="Calibri"/>
                <w:sz w:val="24"/>
                <w:szCs w:val="24"/>
              </w:rPr>
            </w:pPr>
            <w:r w:rsidRPr="00C50455">
              <w:rPr>
                <w:rFonts w:eastAsia="Calibri"/>
                <w:sz w:val="24"/>
                <w:szCs w:val="24"/>
              </w:rPr>
              <w:t xml:space="preserve">Questions II.F.1-2, II.F.11, II.F.14 </w:t>
            </w:r>
          </w:p>
          <w:p w:rsidR="00945D6A" w:rsidRPr="00C50455" w:rsidRDefault="00945D6A" w:rsidP="00A67D77">
            <w:pPr>
              <w:spacing w:after="200"/>
              <w:contextualSpacing/>
              <w:rPr>
                <w:rFonts w:eastAsia="Calibri"/>
                <w:sz w:val="24"/>
                <w:szCs w:val="24"/>
              </w:rPr>
            </w:pPr>
          </w:p>
        </w:tc>
        <w:tc>
          <w:tcPr>
            <w:tcW w:w="2700" w:type="dxa"/>
          </w:tcPr>
          <w:p w:rsidR="00945D6A" w:rsidRPr="00C50455" w:rsidRDefault="00945D6A" w:rsidP="00093AA3">
            <w:pPr>
              <w:spacing w:after="200"/>
              <w:contextualSpacing/>
              <w:rPr>
                <w:rFonts w:eastAsia="Calibri"/>
                <w:sz w:val="24"/>
                <w:szCs w:val="24"/>
              </w:rPr>
            </w:pPr>
            <w:r w:rsidRPr="00C50455">
              <w:rPr>
                <w:rFonts w:eastAsia="Calibri"/>
                <w:sz w:val="24"/>
                <w:szCs w:val="24"/>
              </w:rPr>
              <w:t>Questions II.F.3-10, II.F.12-13</w:t>
            </w:r>
          </w:p>
          <w:p w:rsidR="00945D6A" w:rsidRPr="00C50455" w:rsidRDefault="00945D6A" w:rsidP="00A67D77">
            <w:pPr>
              <w:spacing w:after="200"/>
              <w:contextualSpacing/>
              <w:rPr>
                <w:rFonts w:eastAsia="Calibri"/>
                <w:sz w:val="24"/>
                <w:szCs w:val="24"/>
              </w:rPr>
            </w:pPr>
          </w:p>
        </w:tc>
      </w:tr>
      <w:tr w:rsidR="00945D6A" w:rsidRPr="00C50455" w:rsidTr="004E4988">
        <w:tc>
          <w:tcPr>
            <w:tcW w:w="2790" w:type="dxa"/>
          </w:tcPr>
          <w:p w:rsidR="00945D6A" w:rsidRPr="00C50455" w:rsidRDefault="00945D6A" w:rsidP="00A67D77">
            <w:pPr>
              <w:spacing w:after="200"/>
              <w:contextualSpacing/>
              <w:rPr>
                <w:rFonts w:eastAsia="Calibri"/>
                <w:sz w:val="24"/>
                <w:szCs w:val="24"/>
              </w:rPr>
            </w:pPr>
            <w:r w:rsidRPr="00C50455">
              <w:rPr>
                <w:rFonts w:eastAsia="Calibri"/>
                <w:sz w:val="24"/>
                <w:szCs w:val="24"/>
              </w:rPr>
              <w:t xml:space="preserve">FCC Form 477 filers that are not Providers, Purchasers or entities that provide Best Efforts Business Broadband Internet Access Service to 15,000 or more customers or 1,500 or more business broadband customers in price cap areas as of December 18, 2012 </w:t>
            </w:r>
          </w:p>
        </w:tc>
        <w:tc>
          <w:tcPr>
            <w:tcW w:w="2790" w:type="dxa"/>
          </w:tcPr>
          <w:p w:rsidR="00945D6A" w:rsidRPr="00C50455" w:rsidRDefault="00945D6A" w:rsidP="00850CCD">
            <w:pPr>
              <w:spacing w:after="200"/>
              <w:contextualSpacing/>
              <w:rPr>
                <w:rFonts w:eastAsia="Calibri"/>
                <w:sz w:val="24"/>
                <w:szCs w:val="24"/>
              </w:rPr>
            </w:pPr>
            <w:r w:rsidRPr="00C50455">
              <w:rPr>
                <w:rFonts w:eastAsia="Calibri"/>
                <w:sz w:val="24"/>
                <w:szCs w:val="24"/>
              </w:rPr>
              <w:t>Question II.G.1</w:t>
            </w:r>
          </w:p>
        </w:tc>
        <w:tc>
          <w:tcPr>
            <w:tcW w:w="2700" w:type="dxa"/>
          </w:tcPr>
          <w:p w:rsidR="00945D6A" w:rsidRPr="00C50455" w:rsidRDefault="00945D6A" w:rsidP="00850CCD">
            <w:pPr>
              <w:spacing w:after="200"/>
              <w:contextualSpacing/>
              <w:rPr>
                <w:rFonts w:eastAsia="Calibri"/>
                <w:sz w:val="24"/>
                <w:szCs w:val="24"/>
              </w:rPr>
            </w:pPr>
          </w:p>
        </w:tc>
      </w:tr>
    </w:tbl>
    <w:p w:rsidR="00D266D9" w:rsidRPr="00D266D9" w:rsidRDefault="00D266D9" w:rsidP="00D266D9">
      <w:pPr>
        <w:spacing w:after="200"/>
        <w:ind w:left="1080"/>
        <w:contextualSpacing/>
        <w:rPr>
          <w:rFonts w:eastAsia="Calibri"/>
          <w:sz w:val="24"/>
          <w:szCs w:val="24"/>
        </w:rPr>
      </w:pPr>
    </w:p>
    <w:p w:rsidR="00055603" w:rsidRDefault="00055603" w:rsidP="004E4988">
      <w:pPr>
        <w:numPr>
          <w:ilvl w:val="1"/>
          <w:numId w:val="3"/>
        </w:numPr>
        <w:spacing w:after="200"/>
        <w:contextualSpacing/>
        <w:rPr>
          <w:rFonts w:eastAsia="Calibri"/>
          <w:sz w:val="24"/>
          <w:szCs w:val="24"/>
        </w:rPr>
      </w:pPr>
      <w:r>
        <w:rPr>
          <w:rFonts w:eastAsia="Calibri"/>
          <w:b/>
          <w:sz w:val="24"/>
          <w:szCs w:val="24"/>
        </w:rPr>
        <w:t>Penalties for non-response.</w:t>
      </w:r>
      <w:r>
        <w:rPr>
          <w:rFonts w:eastAsia="Calibri"/>
          <w:sz w:val="24"/>
          <w:szCs w:val="24"/>
        </w:rPr>
        <w:t xml:space="preserve">  Failure to comply with the</w:t>
      </w:r>
      <w:r w:rsidRPr="00055603">
        <w:rPr>
          <w:rFonts w:eastAsia="Calibri"/>
          <w:sz w:val="24"/>
          <w:szCs w:val="24"/>
        </w:rPr>
        <w:t xml:space="preserve"> data reporting requirement may</w:t>
      </w:r>
      <w:r>
        <w:rPr>
          <w:rFonts w:eastAsia="Calibri"/>
          <w:sz w:val="24"/>
          <w:szCs w:val="24"/>
        </w:rPr>
        <w:t xml:space="preserve"> </w:t>
      </w:r>
      <w:r w:rsidRPr="00055603">
        <w:rPr>
          <w:rFonts w:eastAsia="Calibri"/>
          <w:sz w:val="24"/>
          <w:szCs w:val="24"/>
        </w:rPr>
        <w:t xml:space="preserve">subject </w:t>
      </w:r>
      <w:r>
        <w:rPr>
          <w:rFonts w:eastAsia="Calibri"/>
          <w:sz w:val="24"/>
          <w:szCs w:val="24"/>
        </w:rPr>
        <w:t>entities</w:t>
      </w:r>
      <w:r w:rsidRPr="00055603">
        <w:rPr>
          <w:rFonts w:eastAsia="Calibri"/>
          <w:sz w:val="24"/>
          <w:szCs w:val="24"/>
        </w:rPr>
        <w:t xml:space="preserve"> to m</w:t>
      </w:r>
      <w:r w:rsidR="00FF1C82">
        <w:rPr>
          <w:rFonts w:eastAsia="Calibri"/>
          <w:sz w:val="24"/>
          <w:szCs w:val="24"/>
        </w:rPr>
        <w:t>onetary forfeitures of up to $16</w:t>
      </w:r>
      <w:r w:rsidRPr="00055603">
        <w:rPr>
          <w:rFonts w:eastAsia="Calibri"/>
          <w:sz w:val="24"/>
          <w:szCs w:val="24"/>
        </w:rPr>
        <w:t>0,000 for each violation or each day of a continuing</w:t>
      </w:r>
      <w:r>
        <w:rPr>
          <w:rFonts w:eastAsia="Calibri"/>
          <w:sz w:val="24"/>
          <w:szCs w:val="24"/>
        </w:rPr>
        <w:t xml:space="preserve"> </w:t>
      </w:r>
      <w:r w:rsidRPr="00055603">
        <w:rPr>
          <w:rFonts w:eastAsia="Calibri"/>
          <w:sz w:val="24"/>
          <w:szCs w:val="24"/>
        </w:rPr>
        <w:t>violation, up to a maximum of $1,5</w:t>
      </w:r>
      <w:r w:rsidR="00FF1C82">
        <w:rPr>
          <w:rFonts w:eastAsia="Calibri"/>
          <w:sz w:val="24"/>
          <w:szCs w:val="24"/>
        </w:rPr>
        <w:t>75</w:t>
      </w:r>
      <w:r w:rsidRPr="00055603">
        <w:rPr>
          <w:rFonts w:eastAsia="Calibri"/>
          <w:sz w:val="24"/>
          <w:szCs w:val="24"/>
        </w:rPr>
        <w:t>,000 for any single act or failure to act that is a continuing</w:t>
      </w:r>
      <w:r>
        <w:rPr>
          <w:rFonts w:eastAsia="Calibri"/>
          <w:sz w:val="24"/>
          <w:szCs w:val="24"/>
        </w:rPr>
        <w:t xml:space="preserve"> </w:t>
      </w:r>
      <w:r w:rsidRPr="00055603">
        <w:rPr>
          <w:rFonts w:eastAsia="Calibri"/>
          <w:sz w:val="24"/>
          <w:szCs w:val="24"/>
        </w:rPr>
        <w:t>violation.</w:t>
      </w:r>
    </w:p>
    <w:p w:rsidR="004E4988" w:rsidRPr="00055603" w:rsidRDefault="004E4988" w:rsidP="004E4988">
      <w:pPr>
        <w:spacing w:after="200"/>
        <w:ind w:left="1080"/>
        <w:contextualSpacing/>
        <w:rPr>
          <w:rFonts w:eastAsia="Calibri"/>
          <w:sz w:val="24"/>
          <w:szCs w:val="24"/>
        </w:rPr>
      </w:pPr>
    </w:p>
    <w:p w:rsidR="00630BD5" w:rsidRPr="00E11CDE" w:rsidRDefault="00E81B80" w:rsidP="00604B4F">
      <w:pPr>
        <w:tabs>
          <w:tab w:val="left" w:pos="540"/>
        </w:tabs>
        <w:spacing w:after="200"/>
        <w:contextualSpacing/>
        <w:rPr>
          <w:rFonts w:eastAsia="Calibri"/>
          <w:b/>
          <w:sz w:val="24"/>
          <w:szCs w:val="24"/>
        </w:rPr>
      </w:pPr>
      <w:r w:rsidRPr="00C50455">
        <w:rPr>
          <w:rFonts w:eastAsia="Calibri"/>
          <w:b/>
          <w:sz w:val="24"/>
          <w:szCs w:val="24"/>
        </w:rPr>
        <w:t>IV</w:t>
      </w:r>
      <w:r w:rsidR="00604B4F" w:rsidRPr="00C50455">
        <w:rPr>
          <w:rFonts w:eastAsia="Calibri"/>
          <w:b/>
          <w:sz w:val="24"/>
          <w:szCs w:val="24"/>
        </w:rPr>
        <w:t>.</w:t>
      </w:r>
      <w:r w:rsidR="00604B4F" w:rsidRPr="00C50455">
        <w:rPr>
          <w:rFonts w:eastAsia="Calibri"/>
          <w:b/>
          <w:sz w:val="24"/>
          <w:szCs w:val="24"/>
        </w:rPr>
        <w:tab/>
      </w:r>
      <w:r w:rsidR="00630BD5" w:rsidRPr="00E11CDE">
        <w:rPr>
          <w:rFonts w:eastAsia="Calibri"/>
          <w:b/>
          <w:sz w:val="24"/>
          <w:szCs w:val="24"/>
        </w:rPr>
        <w:t>RESPONDING TO THE DATA COLLECTION</w:t>
      </w:r>
    </w:p>
    <w:p w:rsidR="004455D5" w:rsidRDefault="004455D5" w:rsidP="004455D5">
      <w:pPr>
        <w:pStyle w:val="ListParagraph"/>
        <w:numPr>
          <w:ilvl w:val="1"/>
          <w:numId w:val="3"/>
        </w:numPr>
        <w:rPr>
          <w:rFonts w:ascii="Times New Roman" w:eastAsia="Calibri" w:hAnsi="Times New Roman" w:cs="Times New Roman"/>
          <w:sz w:val="24"/>
          <w:szCs w:val="24"/>
        </w:rPr>
      </w:pPr>
      <w:r>
        <w:rPr>
          <w:rFonts w:ascii="Times New Roman" w:eastAsia="Calibri" w:hAnsi="Times New Roman" w:cs="Times New Roman"/>
          <w:sz w:val="24"/>
          <w:szCs w:val="24"/>
        </w:rPr>
        <w:t>On October 1, 2014, t</w:t>
      </w:r>
      <w:r w:rsidRPr="00E11CDE">
        <w:rPr>
          <w:rFonts w:ascii="Times New Roman" w:eastAsia="Calibri" w:hAnsi="Times New Roman" w:cs="Times New Roman"/>
          <w:sz w:val="24"/>
          <w:szCs w:val="24"/>
        </w:rPr>
        <w:t>he FCC</w:t>
      </w:r>
      <w:r>
        <w:rPr>
          <w:rFonts w:ascii="Times New Roman" w:eastAsia="Calibri" w:hAnsi="Times New Roman" w:cs="Times New Roman"/>
          <w:sz w:val="24"/>
          <w:szCs w:val="24"/>
        </w:rPr>
        <w:t xml:space="preserve"> launched a website portal for the electronic submission of responses to the data collection questions and certifications.  The website portal is available </w:t>
      </w:r>
      <w:r w:rsidRPr="00F7693E">
        <w:rPr>
          <w:rFonts w:ascii="Times New Roman" w:eastAsia="Calibri" w:hAnsi="Times New Roman" w:cs="Times New Roman"/>
          <w:sz w:val="24"/>
          <w:szCs w:val="24"/>
        </w:rPr>
        <w:t xml:space="preserve">at </w:t>
      </w:r>
      <w:hyperlink r:id="rId11" w:tgtFrame="_blank" w:history="1">
        <w:r w:rsidRPr="00F7693E">
          <w:rPr>
            <w:rStyle w:val="Hyperlink"/>
            <w:rFonts w:ascii="Times New Roman" w:hAnsi="Times New Roman"/>
            <w:sz w:val="24"/>
          </w:rPr>
          <w:t>https://specialaccessfiling.fcc.gov/spadc/login</w:t>
        </w:r>
      </w:hyperlink>
      <w:r w:rsidRPr="00F7693E">
        <w:rPr>
          <w:rFonts w:ascii="Times New Roman" w:hAnsi="Times New Roman"/>
          <w:sz w:val="24"/>
        </w:rPr>
        <w:t xml:space="preserve">.  </w:t>
      </w:r>
      <w:r w:rsidRPr="00F7693E">
        <w:rPr>
          <w:rFonts w:ascii="Times New Roman" w:eastAsia="Calibri" w:hAnsi="Times New Roman" w:cs="Times New Roman"/>
          <w:sz w:val="24"/>
          <w:szCs w:val="24"/>
        </w:rPr>
        <w:t>The website</w:t>
      </w:r>
      <w:r>
        <w:rPr>
          <w:rFonts w:ascii="Times New Roman" w:eastAsia="Calibri" w:hAnsi="Times New Roman" w:cs="Times New Roman"/>
          <w:sz w:val="24"/>
          <w:szCs w:val="24"/>
        </w:rPr>
        <w:t xml:space="preserve"> portal contains a system guide that provides filers with additional information on how to navigate the submission process.</w:t>
      </w:r>
    </w:p>
    <w:p w:rsidR="00E11CDE" w:rsidRPr="00E11CDE" w:rsidRDefault="00E11CDE" w:rsidP="00E11CDE">
      <w:pPr>
        <w:pStyle w:val="ListParagraph"/>
        <w:ind w:left="1080"/>
        <w:rPr>
          <w:rFonts w:ascii="Times New Roman" w:eastAsia="Calibri" w:hAnsi="Times New Roman" w:cs="Times New Roman"/>
          <w:sz w:val="24"/>
          <w:szCs w:val="24"/>
        </w:rPr>
      </w:pPr>
    </w:p>
    <w:p w:rsidR="004455D5" w:rsidRPr="00E11CDE" w:rsidRDefault="004455D5" w:rsidP="004455D5">
      <w:pPr>
        <w:pStyle w:val="ListParagraph"/>
        <w:numPr>
          <w:ilvl w:val="1"/>
          <w:numId w:val="3"/>
        </w:numPr>
        <w:rPr>
          <w:rFonts w:ascii="Times New Roman" w:eastAsia="Calibri" w:hAnsi="Times New Roman" w:cs="Times New Roman"/>
          <w:sz w:val="24"/>
          <w:szCs w:val="24"/>
        </w:rPr>
      </w:pPr>
      <w:r w:rsidRPr="00E11CDE">
        <w:rPr>
          <w:rFonts w:ascii="Times New Roman" w:eastAsia="Calibri" w:hAnsi="Times New Roman" w:cs="Times New Roman"/>
          <w:sz w:val="24"/>
          <w:szCs w:val="24"/>
        </w:rPr>
        <w:t>The data collection seeks information on facilities, billing, revenue, and expenditures considered confidential by businesses</w:t>
      </w:r>
      <w:r>
        <w:rPr>
          <w:rFonts w:ascii="Times New Roman" w:eastAsia="Calibri" w:hAnsi="Times New Roman" w:cs="Times New Roman"/>
          <w:sz w:val="24"/>
          <w:szCs w:val="24"/>
        </w:rPr>
        <w:t>.  T</w:t>
      </w:r>
      <w:r w:rsidRPr="00E11CDE">
        <w:rPr>
          <w:rFonts w:ascii="Times New Roman" w:eastAsia="Calibri" w:hAnsi="Times New Roman" w:cs="Times New Roman"/>
          <w:sz w:val="24"/>
          <w:szCs w:val="24"/>
        </w:rPr>
        <w:t xml:space="preserve">he Bureau </w:t>
      </w:r>
      <w:r>
        <w:rPr>
          <w:rFonts w:ascii="Times New Roman" w:eastAsia="Calibri" w:hAnsi="Times New Roman" w:cs="Times New Roman"/>
          <w:sz w:val="24"/>
          <w:szCs w:val="24"/>
        </w:rPr>
        <w:t xml:space="preserve">has released a </w:t>
      </w:r>
      <w:r w:rsidRPr="00E11CDE">
        <w:rPr>
          <w:rFonts w:ascii="Times New Roman" w:eastAsia="Calibri" w:hAnsi="Times New Roman" w:cs="Times New Roman"/>
          <w:sz w:val="24"/>
          <w:szCs w:val="24"/>
        </w:rPr>
        <w:t>protective order outlining the procedures for designating and accessing information deemed confidential and highly confidential.</w:t>
      </w:r>
      <w:r>
        <w:rPr>
          <w:rFonts w:ascii="Times New Roman" w:eastAsia="Calibri" w:hAnsi="Times New Roman" w:cs="Times New Roman"/>
          <w:sz w:val="24"/>
          <w:szCs w:val="24"/>
        </w:rPr>
        <w:t xml:space="preserve">  </w:t>
      </w:r>
      <w:r w:rsidR="00D90FCE">
        <w:rPr>
          <w:rFonts w:ascii="Times New Roman" w:eastAsia="Calibri" w:hAnsi="Times New Roman" w:cs="Times New Roman"/>
          <w:sz w:val="24"/>
          <w:szCs w:val="24"/>
        </w:rPr>
        <w:t xml:space="preserve">The </w:t>
      </w:r>
      <w:r w:rsidR="00756B28">
        <w:rPr>
          <w:rFonts w:ascii="Times New Roman" w:eastAsia="Calibri" w:hAnsi="Times New Roman" w:cs="Times New Roman"/>
          <w:sz w:val="24"/>
          <w:szCs w:val="24"/>
        </w:rPr>
        <w:t xml:space="preserve">protective order allows only limited outside access to confidential and highly confidential information filed with the FCC. </w:t>
      </w:r>
      <w:r>
        <w:rPr>
          <w:rFonts w:ascii="Times New Roman" w:eastAsia="Calibri" w:hAnsi="Times New Roman" w:cs="Times New Roman"/>
          <w:sz w:val="24"/>
          <w:szCs w:val="24"/>
        </w:rPr>
        <w:t xml:space="preserve">You can find a copy of the protective order on the FCC’s website, </w:t>
      </w:r>
      <w:r w:rsidRPr="006F4073">
        <w:rPr>
          <w:rFonts w:ascii="Times New Roman" w:eastAsia="Calibri" w:hAnsi="Times New Roman" w:cs="Times New Roman"/>
          <w:i/>
          <w:sz w:val="24"/>
          <w:szCs w:val="24"/>
        </w:rPr>
        <w:t>see</w:t>
      </w:r>
      <w:r>
        <w:rPr>
          <w:rFonts w:ascii="Times New Roman" w:eastAsia="Calibri" w:hAnsi="Times New Roman" w:cs="Times New Roman"/>
          <w:sz w:val="24"/>
          <w:szCs w:val="24"/>
        </w:rPr>
        <w:t xml:space="preserve"> FCC, Special Access Data Collection Overview, </w:t>
      </w:r>
      <w:hyperlink r:id="rId12" w:history="1">
        <w:r w:rsidRPr="00FA1AF0">
          <w:rPr>
            <w:rStyle w:val="Hyperlink"/>
            <w:rFonts w:ascii="Times New Roman" w:eastAsia="Calibri" w:hAnsi="Times New Roman" w:cs="Times New Roman"/>
            <w:sz w:val="24"/>
            <w:szCs w:val="24"/>
          </w:rPr>
          <w:t>http://www.fcc.gov/encyclopedia/special-access-data-collection-overview-0</w:t>
        </w:r>
      </w:hyperlink>
      <w:r>
        <w:rPr>
          <w:rFonts w:ascii="Times New Roman" w:eastAsia="Calibri" w:hAnsi="Times New Roman" w:cs="Times New Roman"/>
          <w:sz w:val="24"/>
          <w:szCs w:val="24"/>
        </w:rPr>
        <w:t>.</w:t>
      </w:r>
    </w:p>
    <w:p w:rsidR="00535240" w:rsidRPr="00C50455" w:rsidRDefault="008F4E63" w:rsidP="004E4988">
      <w:pPr>
        <w:tabs>
          <w:tab w:val="left" w:pos="540"/>
        </w:tabs>
        <w:spacing w:after="200"/>
        <w:contextualSpacing/>
        <w:rPr>
          <w:rFonts w:eastAsia="Calibri"/>
          <w:sz w:val="24"/>
          <w:szCs w:val="24"/>
        </w:rPr>
      </w:pPr>
      <w:r>
        <w:rPr>
          <w:rFonts w:eastAsia="Calibri"/>
          <w:b/>
          <w:sz w:val="24"/>
          <w:szCs w:val="24"/>
        </w:rPr>
        <w:t>V.</w:t>
      </w:r>
      <w:r>
        <w:rPr>
          <w:rFonts w:eastAsia="Calibri"/>
          <w:b/>
          <w:sz w:val="24"/>
          <w:szCs w:val="24"/>
        </w:rPr>
        <w:tab/>
      </w:r>
      <w:r w:rsidR="00535240" w:rsidRPr="00C50455">
        <w:rPr>
          <w:rFonts w:eastAsia="Calibri"/>
          <w:b/>
          <w:sz w:val="24"/>
          <w:szCs w:val="24"/>
        </w:rPr>
        <w:t>COMPLIANCE DATES</w:t>
      </w:r>
    </w:p>
    <w:p w:rsidR="00017EFE" w:rsidRPr="00C50455" w:rsidRDefault="00535240" w:rsidP="004E4988">
      <w:pPr>
        <w:pStyle w:val="ListParagraph"/>
        <w:numPr>
          <w:ilvl w:val="1"/>
          <w:numId w:val="1"/>
        </w:numPr>
        <w:spacing w:after="0" w:line="240" w:lineRule="auto"/>
        <w:rPr>
          <w:rFonts w:eastAsia="Calibri"/>
          <w:sz w:val="24"/>
          <w:szCs w:val="24"/>
        </w:rPr>
      </w:pPr>
      <w:r w:rsidRPr="004E4988">
        <w:rPr>
          <w:rFonts w:ascii="Times New Roman" w:eastAsia="Calibri" w:hAnsi="Times New Roman" w:cs="Times New Roman"/>
          <w:sz w:val="24"/>
          <w:szCs w:val="24"/>
        </w:rPr>
        <w:t xml:space="preserve">Parties are required to respond to the data collection by </w:t>
      </w:r>
      <w:r w:rsidR="004C77E9" w:rsidRPr="004E4988">
        <w:rPr>
          <w:rFonts w:ascii="Times New Roman" w:eastAsia="Calibri" w:hAnsi="Times New Roman" w:cs="Times New Roman"/>
          <w:sz w:val="24"/>
          <w:szCs w:val="24"/>
        </w:rPr>
        <w:t>December 1</w:t>
      </w:r>
      <w:r w:rsidR="00681105">
        <w:rPr>
          <w:rFonts w:ascii="Times New Roman" w:eastAsia="Calibri" w:hAnsi="Times New Roman" w:cs="Times New Roman"/>
          <w:sz w:val="24"/>
          <w:szCs w:val="24"/>
        </w:rPr>
        <w:t>5</w:t>
      </w:r>
      <w:r w:rsidRPr="004E4988">
        <w:rPr>
          <w:rFonts w:ascii="Times New Roman" w:eastAsia="Calibri" w:hAnsi="Times New Roman" w:cs="Times New Roman"/>
          <w:sz w:val="24"/>
          <w:szCs w:val="24"/>
        </w:rPr>
        <w:t>, 2014</w:t>
      </w:r>
      <w:r w:rsidR="00017EFE" w:rsidRPr="00C50455">
        <w:rPr>
          <w:rFonts w:ascii="Times New Roman" w:eastAsia="Calibri" w:hAnsi="Times New Roman" w:cs="Times New Roman"/>
          <w:sz w:val="24"/>
          <w:szCs w:val="24"/>
        </w:rPr>
        <w:t>.</w:t>
      </w:r>
    </w:p>
    <w:p w:rsidR="00535240" w:rsidRPr="004E4988" w:rsidRDefault="00B97D4D" w:rsidP="004E4988">
      <w:pPr>
        <w:rPr>
          <w:rFonts w:eastAsia="Calibri"/>
          <w:sz w:val="24"/>
          <w:szCs w:val="24"/>
        </w:rPr>
      </w:pPr>
      <w:r w:rsidRPr="00C50455">
        <w:rPr>
          <w:rFonts w:eastAsia="Calibri"/>
          <w:sz w:val="24"/>
          <w:szCs w:val="24"/>
        </w:rPr>
        <w:t xml:space="preserve"> </w:t>
      </w:r>
      <w:r w:rsidR="00017EFE" w:rsidRPr="00C50455">
        <w:rPr>
          <w:rFonts w:eastAsia="Calibri"/>
          <w:sz w:val="24"/>
          <w:szCs w:val="24"/>
        </w:rPr>
        <w:t xml:space="preserve">  </w:t>
      </w:r>
    </w:p>
    <w:p w:rsidR="00535240" w:rsidRPr="00C50455" w:rsidRDefault="00604B4F" w:rsidP="00484E2B">
      <w:pPr>
        <w:tabs>
          <w:tab w:val="left" w:pos="540"/>
        </w:tabs>
        <w:spacing w:after="200"/>
        <w:contextualSpacing/>
        <w:rPr>
          <w:rFonts w:eastAsia="Calibri"/>
          <w:sz w:val="24"/>
          <w:szCs w:val="24"/>
        </w:rPr>
      </w:pPr>
      <w:r w:rsidRPr="00C50455">
        <w:rPr>
          <w:rFonts w:eastAsia="Calibri"/>
          <w:b/>
          <w:sz w:val="24"/>
          <w:szCs w:val="24"/>
        </w:rPr>
        <w:t>V</w:t>
      </w:r>
      <w:r w:rsidR="008F4E63">
        <w:rPr>
          <w:rFonts w:eastAsia="Calibri"/>
          <w:b/>
          <w:sz w:val="24"/>
          <w:szCs w:val="24"/>
        </w:rPr>
        <w:t>I</w:t>
      </w:r>
      <w:r w:rsidRPr="00C50455">
        <w:rPr>
          <w:rFonts w:eastAsia="Calibri"/>
          <w:b/>
          <w:sz w:val="24"/>
          <w:szCs w:val="24"/>
        </w:rPr>
        <w:t xml:space="preserve">.   </w:t>
      </w:r>
      <w:r w:rsidR="00535240" w:rsidRPr="00C50455">
        <w:rPr>
          <w:rFonts w:eastAsia="Calibri"/>
          <w:b/>
          <w:sz w:val="24"/>
          <w:szCs w:val="24"/>
        </w:rPr>
        <w:t>IMPORTANT DEFINITIONS</w:t>
      </w:r>
    </w:p>
    <w:p w:rsidR="00153FB0" w:rsidRPr="00C50455" w:rsidRDefault="00153FB0" w:rsidP="00535240">
      <w:pPr>
        <w:spacing w:after="200"/>
        <w:ind w:left="720"/>
        <w:contextualSpacing/>
        <w:rPr>
          <w:rFonts w:eastAsia="Calibri"/>
          <w:sz w:val="24"/>
          <w:szCs w:val="24"/>
        </w:rPr>
      </w:pPr>
    </w:p>
    <w:p w:rsidR="00A37C9B" w:rsidRPr="00C50455" w:rsidRDefault="00163300" w:rsidP="00ED2544">
      <w:pPr>
        <w:numPr>
          <w:ilvl w:val="1"/>
          <w:numId w:val="1"/>
        </w:numPr>
        <w:spacing w:after="200"/>
        <w:contextualSpacing/>
        <w:rPr>
          <w:rFonts w:eastAsia="Calibri"/>
          <w:sz w:val="24"/>
          <w:szCs w:val="24"/>
        </w:rPr>
      </w:pPr>
      <w:r w:rsidRPr="00C50455">
        <w:rPr>
          <w:rFonts w:eastAsia="Calibri"/>
          <w:sz w:val="24"/>
          <w:szCs w:val="24"/>
        </w:rPr>
        <w:t xml:space="preserve">Below is a </w:t>
      </w:r>
      <w:r w:rsidR="00153FB0" w:rsidRPr="00C50455">
        <w:rPr>
          <w:rFonts w:eastAsia="Calibri"/>
          <w:sz w:val="24"/>
          <w:szCs w:val="24"/>
        </w:rPr>
        <w:t>list of d</w:t>
      </w:r>
      <w:r w:rsidR="000070CD" w:rsidRPr="00C50455">
        <w:rPr>
          <w:rFonts w:eastAsia="Calibri"/>
          <w:sz w:val="24"/>
          <w:szCs w:val="24"/>
        </w:rPr>
        <w:t>efined</w:t>
      </w:r>
      <w:r w:rsidRPr="00C50455">
        <w:rPr>
          <w:rFonts w:eastAsia="Calibri"/>
          <w:sz w:val="24"/>
          <w:szCs w:val="24"/>
        </w:rPr>
        <w:t xml:space="preserve"> terms used in this </w:t>
      </w:r>
      <w:r w:rsidR="00995ABE" w:rsidRPr="00C50455">
        <w:rPr>
          <w:rFonts w:eastAsia="Calibri"/>
          <w:sz w:val="24"/>
          <w:szCs w:val="24"/>
        </w:rPr>
        <w:t>Small Entity C</w:t>
      </w:r>
      <w:r w:rsidRPr="00C50455">
        <w:rPr>
          <w:rFonts w:eastAsia="Calibri"/>
          <w:sz w:val="24"/>
          <w:szCs w:val="24"/>
        </w:rPr>
        <w:t xml:space="preserve">ompliance </w:t>
      </w:r>
      <w:r w:rsidR="00995ABE" w:rsidRPr="00C50455">
        <w:rPr>
          <w:rFonts w:eastAsia="Calibri"/>
          <w:sz w:val="24"/>
          <w:szCs w:val="24"/>
        </w:rPr>
        <w:t>G</w:t>
      </w:r>
      <w:r w:rsidRPr="00C50455">
        <w:rPr>
          <w:rFonts w:eastAsia="Calibri"/>
          <w:sz w:val="24"/>
          <w:szCs w:val="24"/>
        </w:rPr>
        <w:t xml:space="preserve">uide. </w:t>
      </w:r>
      <w:r w:rsidR="003C3694" w:rsidRPr="00C50455">
        <w:rPr>
          <w:rFonts w:eastAsia="Calibri"/>
          <w:sz w:val="24"/>
          <w:szCs w:val="24"/>
        </w:rPr>
        <w:t xml:space="preserve"> </w:t>
      </w:r>
      <w:r w:rsidR="00CD03EB" w:rsidRPr="00C50455">
        <w:rPr>
          <w:rFonts w:eastAsia="Calibri"/>
          <w:sz w:val="24"/>
          <w:szCs w:val="24"/>
        </w:rPr>
        <w:t>For additional terms</w:t>
      </w:r>
      <w:r w:rsidR="007E160A" w:rsidRPr="00C50455">
        <w:rPr>
          <w:rFonts w:eastAsia="Calibri"/>
          <w:sz w:val="24"/>
          <w:szCs w:val="24"/>
        </w:rPr>
        <w:t xml:space="preserve"> as used in the data collection</w:t>
      </w:r>
      <w:r w:rsidR="00CD03EB" w:rsidRPr="00C50455">
        <w:rPr>
          <w:rFonts w:eastAsia="Calibri"/>
          <w:sz w:val="24"/>
          <w:szCs w:val="24"/>
        </w:rPr>
        <w:t>, p</w:t>
      </w:r>
      <w:r w:rsidR="000070CD" w:rsidRPr="00C50455">
        <w:rPr>
          <w:rFonts w:eastAsia="Calibri"/>
          <w:sz w:val="24"/>
          <w:szCs w:val="24"/>
        </w:rPr>
        <w:t xml:space="preserve">lease refer to </w:t>
      </w:r>
      <w:r w:rsidR="00CD03EB" w:rsidRPr="00C50455">
        <w:rPr>
          <w:rFonts w:eastAsia="Calibri"/>
          <w:sz w:val="24"/>
          <w:szCs w:val="24"/>
        </w:rPr>
        <w:t>the D</w:t>
      </w:r>
      <w:r w:rsidR="000070CD" w:rsidRPr="00C50455">
        <w:rPr>
          <w:rFonts w:eastAsia="Calibri"/>
          <w:sz w:val="24"/>
          <w:szCs w:val="24"/>
        </w:rPr>
        <w:t xml:space="preserve">efinitions </w:t>
      </w:r>
      <w:r w:rsidR="00CD03EB" w:rsidRPr="00C50455">
        <w:rPr>
          <w:rFonts w:eastAsia="Calibri"/>
          <w:sz w:val="24"/>
          <w:szCs w:val="24"/>
        </w:rPr>
        <w:t>section of the</w:t>
      </w:r>
      <w:r w:rsidR="00022733" w:rsidRPr="00C50455">
        <w:rPr>
          <w:rFonts w:eastAsia="Calibri"/>
          <w:sz w:val="24"/>
          <w:szCs w:val="24"/>
        </w:rPr>
        <w:t xml:space="preserve"> </w:t>
      </w:r>
      <w:r w:rsidR="005E5116">
        <w:rPr>
          <w:rFonts w:eastAsia="Calibri"/>
          <w:sz w:val="24"/>
          <w:szCs w:val="24"/>
        </w:rPr>
        <w:t>data c</w:t>
      </w:r>
      <w:r w:rsidR="00CD03EB" w:rsidRPr="00C50455">
        <w:rPr>
          <w:rFonts w:eastAsia="Calibri"/>
          <w:sz w:val="24"/>
          <w:szCs w:val="24"/>
        </w:rPr>
        <w:t xml:space="preserve">ollection </w:t>
      </w:r>
      <w:r w:rsidR="006F4073">
        <w:rPr>
          <w:rFonts w:eastAsia="Calibri"/>
          <w:sz w:val="24"/>
          <w:szCs w:val="24"/>
        </w:rPr>
        <w:t xml:space="preserve">questions; a copy of which can be found on the FCC’s website, </w:t>
      </w:r>
      <w:r w:rsidR="006F4073" w:rsidRPr="006F4073">
        <w:rPr>
          <w:rFonts w:eastAsia="Calibri"/>
          <w:i/>
          <w:sz w:val="24"/>
          <w:szCs w:val="24"/>
        </w:rPr>
        <w:t>see</w:t>
      </w:r>
      <w:r w:rsidR="006F4073">
        <w:rPr>
          <w:rFonts w:eastAsia="Calibri"/>
          <w:sz w:val="24"/>
          <w:szCs w:val="24"/>
        </w:rPr>
        <w:t xml:space="preserve"> FCC, Special Access Data Collection Overview, </w:t>
      </w:r>
      <w:hyperlink r:id="rId13" w:history="1">
        <w:r w:rsidR="006F4073" w:rsidRPr="00FA1AF0">
          <w:rPr>
            <w:rStyle w:val="Hyperlink"/>
            <w:rFonts w:eastAsia="Calibri"/>
            <w:sz w:val="24"/>
            <w:szCs w:val="24"/>
          </w:rPr>
          <w:t>http://www.fcc.gov/encyclopedia/special-access-data-collection-overview-0</w:t>
        </w:r>
      </w:hyperlink>
      <w:r w:rsidR="006F4073">
        <w:rPr>
          <w:rFonts w:eastAsia="Calibri"/>
          <w:sz w:val="24"/>
          <w:szCs w:val="24"/>
        </w:rPr>
        <w:t>.</w:t>
      </w:r>
      <w:r w:rsidR="00CD03EB" w:rsidRPr="00C50455">
        <w:rPr>
          <w:rFonts w:eastAsia="Calibri"/>
          <w:sz w:val="24"/>
          <w:szCs w:val="24"/>
        </w:rPr>
        <w:t xml:space="preserve"> </w:t>
      </w:r>
    </w:p>
    <w:p w:rsidR="0017301C" w:rsidRPr="00C50455" w:rsidRDefault="0017301C" w:rsidP="004E4988">
      <w:pPr>
        <w:pStyle w:val="ListParagraph"/>
        <w:numPr>
          <w:ilvl w:val="2"/>
          <w:numId w:val="5"/>
        </w:numPr>
        <w:spacing w:line="240" w:lineRule="auto"/>
        <w:ind w:hanging="360"/>
        <w:rPr>
          <w:rFonts w:eastAsia="Calibri"/>
          <w:sz w:val="24"/>
          <w:szCs w:val="24"/>
        </w:rPr>
      </w:pPr>
      <w:r w:rsidRPr="00C50455" w:rsidDel="0017301C">
        <w:rPr>
          <w:rFonts w:ascii="Times New Roman" w:eastAsia="Calibri" w:hAnsi="Times New Roman" w:cs="Times New Roman"/>
          <w:sz w:val="24"/>
          <w:szCs w:val="24"/>
        </w:rPr>
        <w:t xml:space="preserve"> </w:t>
      </w:r>
      <w:r w:rsidRPr="00C50455">
        <w:rPr>
          <w:rFonts w:ascii="Times New Roman" w:eastAsia="Calibri" w:hAnsi="Times New Roman" w:cs="Times New Roman"/>
          <w:sz w:val="24"/>
          <w:szCs w:val="24"/>
        </w:rPr>
        <w:t xml:space="preserve">“Best Efforts Business Broadband Internet Access Service” means a “best efforts” Internet access data service with an advertised bandwidth connection of at least 1.5 Mbps upstream and downstream that is marketed to enterprise or business customers such as DSL and cable modem broadband access but </w:t>
      </w:r>
      <w:r w:rsidR="007E160A" w:rsidRPr="00C50455">
        <w:rPr>
          <w:rFonts w:ascii="Times New Roman" w:eastAsia="Calibri" w:hAnsi="Times New Roman" w:cs="Times New Roman"/>
          <w:sz w:val="24"/>
          <w:szCs w:val="24"/>
        </w:rPr>
        <w:t>excluding</w:t>
      </w:r>
      <w:r w:rsidRPr="00C50455">
        <w:rPr>
          <w:rFonts w:ascii="Times New Roman" w:eastAsia="Calibri" w:hAnsi="Times New Roman" w:cs="Times New Roman"/>
          <w:sz w:val="24"/>
          <w:szCs w:val="24"/>
        </w:rPr>
        <w:t xml:space="preserve"> mobile wireless services.</w:t>
      </w:r>
    </w:p>
    <w:p w:rsidR="00153FB0" w:rsidRPr="00C50455" w:rsidRDefault="00717179" w:rsidP="004E4988">
      <w:pPr>
        <w:numPr>
          <w:ilvl w:val="2"/>
          <w:numId w:val="5"/>
        </w:numPr>
        <w:spacing w:after="200"/>
        <w:ind w:hanging="360"/>
        <w:contextualSpacing/>
        <w:rPr>
          <w:rFonts w:eastAsia="Calibri"/>
          <w:sz w:val="24"/>
          <w:szCs w:val="24"/>
        </w:rPr>
      </w:pPr>
      <w:r w:rsidRPr="00C50455">
        <w:rPr>
          <w:rFonts w:eastAsia="Calibri"/>
          <w:sz w:val="24"/>
          <w:szCs w:val="24"/>
        </w:rPr>
        <w:t>“</w:t>
      </w:r>
      <w:r w:rsidR="00163300" w:rsidRPr="00C50455">
        <w:rPr>
          <w:rFonts w:eastAsia="Calibri"/>
          <w:sz w:val="24"/>
          <w:szCs w:val="24"/>
        </w:rPr>
        <w:t>Competitive Provider</w:t>
      </w:r>
      <w:r w:rsidRPr="00C50455">
        <w:rPr>
          <w:rFonts w:eastAsia="Calibri"/>
          <w:sz w:val="24"/>
          <w:szCs w:val="24"/>
        </w:rPr>
        <w:t>”</w:t>
      </w:r>
      <w:r w:rsidR="00163300" w:rsidRPr="00C50455">
        <w:rPr>
          <w:rFonts w:eastAsia="Calibri"/>
          <w:sz w:val="24"/>
          <w:szCs w:val="24"/>
        </w:rPr>
        <w:t xml:space="preserve"> means a </w:t>
      </w:r>
      <w:r w:rsidR="00CD03EB" w:rsidRPr="00C50455">
        <w:rPr>
          <w:rFonts w:eastAsia="Calibri"/>
          <w:sz w:val="24"/>
          <w:szCs w:val="24"/>
        </w:rPr>
        <w:t>CLEC</w:t>
      </w:r>
      <w:r w:rsidR="00163300" w:rsidRPr="00C50455">
        <w:rPr>
          <w:rFonts w:eastAsia="Calibri"/>
          <w:sz w:val="24"/>
          <w:szCs w:val="24"/>
        </w:rPr>
        <w:t xml:space="preserve">, interexchange carrier, cable operator, wireless provider or any other entity that is subject to the </w:t>
      </w:r>
      <w:r w:rsidR="004C46C6" w:rsidRPr="00C50455">
        <w:rPr>
          <w:rFonts w:eastAsia="Calibri"/>
          <w:sz w:val="24"/>
          <w:szCs w:val="24"/>
        </w:rPr>
        <w:t xml:space="preserve">FCC’s </w:t>
      </w:r>
      <w:r w:rsidR="00163300" w:rsidRPr="00C50455">
        <w:rPr>
          <w:rFonts w:eastAsia="Calibri"/>
          <w:sz w:val="24"/>
          <w:szCs w:val="24"/>
        </w:rPr>
        <w:t xml:space="preserve">jurisdiction under the Communications Act and either provides a Dedicated Service or provides a Connection over which a Dedicated Service could be provided. </w:t>
      </w:r>
      <w:r w:rsidR="00C8687F" w:rsidRPr="00C50455">
        <w:rPr>
          <w:rFonts w:eastAsia="Calibri"/>
          <w:sz w:val="24"/>
          <w:szCs w:val="24"/>
        </w:rPr>
        <w:t xml:space="preserve"> </w:t>
      </w:r>
      <w:r w:rsidR="00163300" w:rsidRPr="00C50455">
        <w:rPr>
          <w:rFonts w:eastAsia="Calibri"/>
          <w:sz w:val="24"/>
          <w:szCs w:val="24"/>
        </w:rPr>
        <w:t>A Competitive Provider does not include an ILEC operating within its incumbent service territory.</w:t>
      </w:r>
    </w:p>
    <w:p w:rsidR="00A7750D" w:rsidRPr="00C50455" w:rsidRDefault="00A7750D" w:rsidP="004E4988">
      <w:pPr>
        <w:spacing w:after="200"/>
        <w:ind w:left="1800"/>
        <w:contextualSpacing/>
        <w:rPr>
          <w:rFonts w:eastAsia="Calibri"/>
          <w:sz w:val="24"/>
          <w:szCs w:val="24"/>
        </w:rPr>
      </w:pPr>
    </w:p>
    <w:p w:rsidR="00CC2854" w:rsidRPr="00C50455" w:rsidRDefault="00717179" w:rsidP="004E4988">
      <w:pPr>
        <w:numPr>
          <w:ilvl w:val="2"/>
          <w:numId w:val="5"/>
        </w:numPr>
        <w:spacing w:after="200"/>
        <w:ind w:hanging="360"/>
        <w:contextualSpacing/>
        <w:rPr>
          <w:rFonts w:eastAsia="Calibri"/>
          <w:sz w:val="24"/>
          <w:szCs w:val="24"/>
        </w:rPr>
      </w:pPr>
      <w:r w:rsidRPr="00C50455">
        <w:rPr>
          <w:rFonts w:eastAsia="Calibri"/>
          <w:sz w:val="24"/>
          <w:szCs w:val="24"/>
        </w:rPr>
        <w:t>“</w:t>
      </w:r>
      <w:r w:rsidR="00E47528" w:rsidRPr="00C50455">
        <w:rPr>
          <w:rFonts w:eastAsia="Calibri"/>
          <w:sz w:val="24"/>
          <w:szCs w:val="24"/>
        </w:rPr>
        <w:t>Connection</w:t>
      </w:r>
      <w:r w:rsidRPr="00C50455">
        <w:rPr>
          <w:rFonts w:eastAsia="Calibri"/>
          <w:sz w:val="24"/>
          <w:szCs w:val="24"/>
        </w:rPr>
        <w:t>”</w:t>
      </w:r>
      <w:r w:rsidR="00E47528" w:rsidRPr="00C50455">
        <w:rPr>
          <w:rFonts w:eastAsia="Calibri"/>
          <w:sz w:val="24"/>
          <w:szCs w:val="24"/>
        </w:rPr>
        <w:t xml:space="preserve"> means a wired “line” or wireless “channel” that provides a dedicated communication path between an </w:t>
      </w:r>
      <w:r w:rsidR="00607EE0" w:rsidRPr="00C50455">
        <w:rPr>
          <w:rFonts w:eastAsia="Calibri"/>
          <w:sz w:val="24"/>
          <w:szCs w:val="24"/>
        </w:rPr>
        <w:t>E</w:t>
      </w:r>
      <w:r w:rsidR="00C8687F" w:rsidRPr="00C50455">
        <w:rPr>
          <w:rFonts w:eastAsia="Calibri"/>
          <w:sz w:val="24"/>
          <w:szCs w:val="24"/>
        </w:rPr>
        <w:t xml:space="preserve">nd </w:t>
      </w:r>
      <w:r w:rsidR="00607EE0" w:rsidRPr="00C50455">
        <w:rPr>
          <w:rFonts w:eastAsia="Calibri"/>
          <w:sz w:val="24"/>
          <w:szCs w:val="24"/>
        </w:rPr>
        <w:t>U</w:t>
      </w:r>
      <w:r w:rsidR="00C8687F" w:rsidRPr="00C50455">
        <w:rPr>
          <w:rFonts w:eastAsia="Calibri"/>
          <w:sz w:val="24"/>
          <w:szCs w:val="24"/>
        </w:rPr>
        <w:t xml:space="preserve">ser’s </w:t>
      </w:r>
      <w:r w:rsidR="0017301C" w:rsidRPr="00C50455">
        <w:rPr>
          <w:rFonts w:eastAsia="Calibri"/>
          <w:sz w:val="24"/>
          <w:szCs w:val="24"/>
        </w:rPr>
        <w:t>L</w:t>
      </w:r>
      <w:r w:rsidR="00814CEB" w:rsidRPr="00C50455">
        <w:rPr>
          <w:rFonts w:eastAsia="Calibri"/>
          <w:sz w:val="24"/>
          <w:szCs w:val="24"/>
        </w:rPr>
        <w:t xml:space="preserve">ocation </w:t>
      </w:r>
      <w:r w:rsidR="00E47528" w:rsidRPr="00C50455">
        <w:rPr>
          <w:rFonts w:eastAsia="Calibri"/>
          <w:sz w:val="24"/>
          <w:szCs w:val="24"/>
        </w:rPr>
        <w:t xml:space="preserve">and the first </w:t>
      </w:r>
      <w:r w:rsidR="002219CD" w:rsidRPr="00C50455">
        <w:rPr>
          <w:rFonts w:eastAsia="Calibri"/>
          <w:sz w:val="24"/>
          <w:szCs w:val="24"/>
        </w:rPr>
        <w:t>N</w:t>
      </w:r>
      <w:r w:rsidR="00CC2854" w:rsidRPr="00C50455">
        <w:rPr>
          <w:rFonts w:eastAsia="Calibri"/>
          <w:sz w:val="24"/>
          <w:szCs w:val="24"/>
        </w:rPr>
        <w:t xml:space="preserve">ode </w:t>
      </w:r>
      <w:r w:rsidR="00E47528" w:rsidRPr="00C50455">
        <w:rPr>
          <w:rFonts w:eastAsia="Calibri"/>
          <w:sz w:val="24"/>
          <w:szCs w:val="24"/>
        </w:rPr>
        <w:t xml:space="preserve">on a </w:t>
      </w:r>
      <w:r w:rsidR="00607EE0" w:rsidRPr="00C50455">
        <w:rPr>
          <w:rFonts w:eastAsia="Calibri"/>
          <w:sz w:val="24"/>
          <w:szCs w:val="24"/>
        </w:rPr>
        <w:t>P</w:t>
      </w:r>
      <w:r w:rsidR="00CC2854" w:rsidRPr="00C50455">
        <w:rPr>
          <w:rFonts w:eastAsia="Calibri"/>
          <w:sz w:val="24"/>
          <w:szCs w:val="24"/>
        </w:rPr>
        <w:t xml:space="preserve">rovider’s </w:t>
      </w:r>
      <w:r w:rsidR="00E47528" w:rsidRPr="00C50455">
        <w:rPr>
          <w:rFonts w:eastAsia="Calibri"/>
          <w:sz w:val="24"/>
          <w:szCs w:val="24"/>
        </w:rPr>
        <w:t xml:space="preserve">network. </w:t>
      </w:r>
      <w:r w:rsidR="00200340" w:rsidRPr="00C50455">
        <w:rPr>
          <w:rFonts w:eastAsia="Calibri"/>
          <w:sz w:val="24"/>
          <w:szCs w:val="24"/>
        </w:rPr>
        <w:t xml:space="preserve"> </w:t>
      </w:r>
      <w:r w:rsidR="00E47528" w:rsidRPr="00C50455">
        <w:rPr>
          <w:rFonts w:eastAsia="Calibri"/>
          <w:sz w:val="24"/>
          <w:szCs w:val="24"/>
        </w:rPr>
        <w:t xml:space="preserve">Multiple dedicated communication paths serving one or more </w:t>
      </w:r>
      <w:r w:rsidR="00100627" w:rsidRPr="00C50455">
        <w:rPr>
          <w:rFonts w:eastAsia="Calibri"/>
          <w:sz w:val="24"/>
          <w:szCs w:val="24"/>
        </w:rPr>
        <w:t xml:space="preserve">end users </w:t>
      </w:r>
      <w:r w:rsidR="00E47528" w:rsidRPr="00C50455">
        <w:rPr>
          <w:rFonts w:eastAsia="Calibri"/>
          <w:sz w:val="24"/>
          <w:szCs w:val="24"/>
        </w:rPr>
        <w:t xml:space="preserve">at the same Location should be counted as a single Connection. </w:t>
      </w:r>
      <w:r w:rsidRPr="00C50455">
        <w:rPr>
          <w:rFonts w:eastAsia="Calibri"/>
          <w:sz w:val="24"/>
          <w:szCs w:val="24"/>
        </w:rPr>
        <w:t xml:space="preserve"> </w:t>
      </w:r>
      <w:r w:rsidR="00E47528" w:rsidRPr="00C50455">
        <w:rPr>
          <w:rFonts w:eastAsia="Calibri"/>
          <w:sz w:val="24"/>
          <w:szCs w:val="24"/>
        </w:rPr>
        <w:t xml:space="preserve">A Connection may be </w:t>
      </w:r>
      <w:r w:rsidR="00455600" w:rsidRPr="00C50455">
        <w:rPr>
          <w:rFonts w:eastAsia="Calibri"/>
          <w:sz w:val="24"/>
          <w:szCs w:val="24"/>
        </w:rPr>
        <w:t>an</w:t>
      </w:r>
      <w:r w:rsidR="00E47528" w:rsidRPr="00C50455">
        <w:rPr>
          <w:rFonts w:eastAsia="Calibri"/>
          <w:sz w:val="24"/>
          <w:szCs w:val="24"/>
        </w:rPr>
        <w:t xml:space="preserve"> </w:t>
      </w:r>
      <w:r w:rsidR="00CC2854" w:rsidRPr="00C50455">
        <w:rPr>
          <w:rFonts w:eastAsia="Calibri"/>
          <w:sz w:val="24"/>
          <w:szCs w:val="24"/>
        </w:rPr>
        <w:t xml:space="preserve">unbundled network element </w:t>
      </w:r>
      <w:r w:rsidRPr="00C50455">
        <w:rPr>
          <w:rFonts w:eastAsia="Calibri"/>
          <w:sz w:val="24"/>
          <w:szCs w:val="24"/>
        </w:rPr>
        <w:t>(UNE)</w:t>
      </w:r>
      <w:r w:rsidR="00E47528" w:rsidRPr="00C50455">
        <w:rPr>
          <w:rFonts w:eastAsia="Calibri"/>
          <w:sz w:val="24"/>
          <w:szCs w:val="24"/>
        </w:rPr>
        <w:t xml:space="preserve">, including an </w:t>
      </w:r>
      <w:r w:rsidR="00CC2854" w:rsidRPr="00C50455">
        <w:rPr>
          <w:rFonts w:eastAsia="Calibri"/>
          <w:sz w:val="24"/>
          <w:szCs w:val="24"/>
        </w:rPr>
        <w:t>unbundled copper loop</w:t>
      </w:r>
      <w:r w:rsidR="00E47528" w:rsidRPr="00C50455">
        <w:rPr>
          <w:rFonts w:eastAsia="Calibri"/>
          <w:sz w:val="24"/>
          <w:szCs w:val="24"/>
        </w:rPr>
        <w:t xml:space="preserve">. </w:t>
      </w:r>
      <w:r w:rsidRPr="00C50455">
        <w:rPr>
          <w:rFonts w:eastAsia="Calibri"/>
          <w:sz w:val="24"/>
          <w:szCs w:val="24"/>
        </w:rPr>
        <w:t xml:space="preserve"> </w:t>
      </w:r>
      <w:r w:rsidR="00E47528" w:rsidRPr="00C50455">
        <w:rPr>
          <w:rFonts w:eastAsia="Calibri"/>
          <w:sz w:val="24"/>
          <w:szCs w:val="24"/>
        </w:rPr>
        <w:t xml:space="preserve">A Connection must have the capability of being used to provide one or more Dedicated Services; however, a Connection can be used to provide other services as well. </w:t>
      </w:r>
      <w:r w:rsidR="00200340" w:rsidRPr="00C50455">
        <w:rPr>
          <w:rFonts w:eastAsia="Calibri"/>
          <w:sz w:val="24"/>
          <w:szCs w:val="24"/>
        </w:rPr>
        <w:t xml:space="preserve"> </w:t>
      </w:r>
      <w:r w:rsidR="00E47528" w:rsidRPr="00C50455">
        <w:rPr>
          <w:rFonts w:eastAsia="Calibri"/>
          <w:sz w:val="24"/>
          <w:szCs w:val="24"/>
        </w:rPr>
        <w:t>For example, a dedicated communication path that is currently being used to provide a mass market broadband service but has the capability to provide a Dedicated Service is considered a Connection for the purpose of this data collection</w:t>
      </w:r>
      <w:r w:rsidR="00CC2854" w:rsidRPr="00C50455">
        <w:rPr>
          <w:rFonts w:eastAsia="Calibri"/>
          <w:sz w:val="24"/>
          <w:szCs w:val="24"/>
        </w:rPr>
        <w:t xml:space="preserve">. </w:t>
      </w:r>
    </w:p>
    <w:p w:rsidR="00CC2854" w:rsidRPr="00C50455" w:rsidRDefault="00CC2854" w:rsidP="004E4988">
      <w:pPr>
        <w:spacing w:after="200"/>
        <w:ind w:left="1800"/>
        <w:contextualSpacing/>
        <w:rPr>
          <w:rFonts w:eastAsia="Calibri"/>
          <w:sz w:val="24"/>
          <w:szCs w:val="24"/>
        </w:rPr>
      </w:pPr>
    </w:p>
    <w:p w:rsidR="00F93175" w:rsidRPr="00C50455" w:rsidRDefault="003C3694" w:rsidP="00ED2544">
      <w:pPr>
        <w:numPr>
          <w:ilvl w:val="2"/>
          <w:numId w:val="5"/>
        </w:numPr>
        <w:spacing w:after="200"/>
        <w:contextualSpacing/>
        <w:rPr>
          <w:rFonts w:eastAsia="Calibri"/>
          <w:sz w:val="24"/>
          <w:szCs w:val="24"/>
        </w:rPr>
      </w:pPr>
      <w:r w:rsidRPr="00C50455" w:rsidDel="00CC2854">
        <w:rPr>
          <w:rFonts w:eastAsia="Calibri"/>
          <w:sz w:val="24"/>
          <w:szCs w:val="24"/>
        </w:rPr>
        <w:t xml:space="preserve"> </w:t>
      </w:r>
      <w:r w:rsidR="00200340" w:rsidRPr="00C50455">
        <w:rPr>
          <w:rFonts w:eastAsia="Calibri"/>
          <w:sz w:val="24"/>
          <w:szCs w:val="24"/>
        </w:rPr>
        <w:t>“</w:t>
      </w:r>
      <w:r w:rsidR="005D7E7A" w:rsidRPr="00C50455">
        <w:rPr>
          <w:rFonts w:eastAsia="Calibri"/>
          <w:sz w:val="24"/>
          <w:szCs w:val="24"/>
        </w:rPr>
        <w:t>Dedicated Service</w:t>
      </w:r>
      <w:r w:rsidR="00200340" w:rsidRPr="00C50455">
        <w:rPr>
          <w:rFonts w:eastAsia="Calibri"/>
          <w:sz w:val="24"/>
          <w:szCs w:val="24"/>
        </w:rPr>
        <w:t>”</w:t>
      </w:r>
      <w:r w:rsidR="005D7E7A" w:rsidRPr="00C50455">
        <w:rPr>
          <w:rFonts w:eastAsia="Calibri"/>
          <w:sz w:val="24"/>
          <w:szCs w:val="24"/>
        </w:rPr>
        <w:t xml:space="preserve"> transports data between two or more designated points, </w:t>
      </w:r>
      <w:r w:rsidR="005D7E7A" w:rsidRPr="004E4988">
        <w:rPr>
          <w:rFonts w:eastAsia="Calibri"/>
          <w:i/>
          <w:sz w:val="24"/>
          <w:szCs w:val="24"/>
        </w:rPr>
        <w:t>e.g</w:t>
      </w:r>
      <w:r w:rsidR="005D7E7A" w:rsidRPr="00C50455">
        <w:rPr>
          <w:rFonts w:eastAsia="Calibri"/>
          <w:sz w:val="24"/>
          <w:szCs w:val="24"/>
        </w:rPr>
        <w:t xml:space="preserve">., between an </w:t>
      </w:r>
      <w:r w:rsidR="0017301C" w:rsidRPr="00C50455">
        <w:rPr>
          <w:rFonts w:eastAsia="Calibri"/>
          <w:sz w:val="24"/>
          <w:szCs w:val="24"/>
        </w:rPr>
        <w:t>E</w:t>
      </w:r>
      <w:r w:rsidR="000149E0" w:rsidRPr="00C50455">
        <w:rPr>
          <w:rFonts w:eastAsia="Calibri"/>
          <w:sz w:val="24"/>
          <w:szCs w:val="24"/>
        </w:rPr>
        <w:t xml:space="preserve">nd </w:t>
      </w:r>
      <w:r w:rsidR="0017301C" w:rsidRPr="00C50455">
        <w:rPr>
          <w:rFonts w:eastAsia="Calibri"/>
          <w:sz w:val="24"/>
          <w:szCs w:val="24"/>
        </w:rPr>
        <w:t>U</w:t>
      </w:r>
      <w:r w:rsidR="000149E0" w:rsidRPr="00C50455">
        <w:rPr>
          <w:rFonts w:eastAsia="Calibri"/>
          <w:sz w:val="24"/>
          <w:szCs w:val="24"/>
        </w:rPr>
        <w:t xml:space="preserve">ser’s </w:t>
      </w:r>
      <w:r w:rsidR="005D7E7A" w:rsidRPr="00C50455">
        <w:rPr>
          <w:rFonts w:eastAsia="Calibri"/>
          <w:sz w:val="24"/>
          <w:szCs w:val="24"/>
        </w:rPr>
        <w:t xml:space="preserve">premises and a point-of-presence, between the central office of a local exchange carrier (LEC) and a point-of-presence, or between two </w:t>
      </w:r>
      <w:r w:rsidR="000149E0" w:rsidRPr="00C50455">
        <w:rPr>
          <w:rFonts w:eastAsia="Calibri"/>
          <w:sz w:val="24"/>
          <w:szCs w:val="24"/>
        </w:rPr>
        <w:t>e</w:t>
      </w:r>
      <w:r w:rsidR="005D7E7A" w:rsidRPr="00C50455">
        <w:rPr>
          <w:rFonts w:eastAsia="Calibri"/>
          <w:sz w:val="24"/>
          <w:szCs w:val="24"/>
        </w:rPr>
        <w:t xml:space="preserve">nd </w:t>
      </w:r>
      <w:r w:rsidR="000149E0" w:rsidRPr="00C50455">
        <w:rPr>
          <w:rFonts w:eastAsia="Calibri"/>
          <w:sz w:val="24"/>
          <w:szCs w:val="24"/>
        </w:rPr>
        <w:t xml:space="preserve">user </w:t>
      </w:r>
      <w:r w:rsidR="005D7E7A" w:rsidRPr="00C50455">
        <w:rPr>
          <w:rFonts w:eastAsia="Calibri"/>
          <w:sz w:val="24"/>
          <w:szCs w:val="24"/>
        </w:rPr>
        <w:t xml:space="preserve">premises, at a rate of at least 1.5 Mbps with prescribed performance requirements that include bandwidth-, latency-, or error-rate guarantees or other parameters that define delivery under a Tariff or in a service-level agreement. </w:t>
      </w:r>
      <w:r w:rsidR="000149E0" w:rsidRPr="00C50455">
        <w:rPr>
          <w:rFonts w:eastAsia="Calibri"/>
          <w:sz w:val="24"/>
          <w:szCs w:val="24"/>
        </w:rPr>
        <w:t xml:space="preserve"> </w:t>
      </w:r>
      <w:r w:rsidR="005D7E7A" w:rsidRPr="00C50455">
        <w:rPr>
          <w:rFonts w:eastAsia="Calibri"/>
          <w:sz w:val="24"/>
          <w:szCs w:val="24"/>
        </w:rPr>
        <w:t xml:space="preserve">Dedicated Service includes, but is not limited to, </w:t>
      </w:r>
      <w:r w:rsidR="000149E0" w:rsidRPr="00C50455">
        <w:rPr>
          <w:rFonts w:eastAsia="Calibri"/>
          <w:sz w:val="24"/>
          <w:szCs w:val="24"/>
        </w:rPr>
        <w:t>circuit-based Dedicated Service (</w:t>
      </w:r>
      <w:r w:rsidR="005D7E7A" w:rsidRPr="00C50455">
        <w:rPr>
          <w:rFonts w:eastAsia="Calibri"/>
          <w:sz w:val="24"/>
          <w:szCs w:val="24"/>
        </w:rPr>
        <w:t>CBDS</w:t>
      </w:r>
      <w:r w:rsidR="000149E0" w:rsidRPr="00C50455">
        <w:rPr>
          <w:rFonts w:eastAsia="Calibri"/>
          <w:sz w:val="24"/>
          <w:szCs w:val="24"/>
        </w:rPr>
        <w:t>)</w:t>
      </w:r>
      <w:r w:rsidR="005D7E7A" w:rsidRPr="00C50455">
        <w:rPr>
          <w:rFonts w:eastAsia="Calibri"/>
          <w:sz w:val="24"/>
          <w:szCs w:val="24"/>
        </w:rPr>
        <w:t xml:space="preserve"> and</w:t>
      </w:r>
      <w:r w:rsidR="000149E0" w:rsidRPr="00C50455">
        <w:rPr>
          <w:rFonts w:eastAsia="Calibri"/>
          <w:sz w:val="24"/>
          <w:szCs w:val="24"/>
        </w:rPr>
        <w:t xml:space="preserve"> packet-based Dedicated Service</w:t>
      </w:r>
      <w:r w:rsidR="005D7E7A" w:rsidRPr="00C50455">
        <w:rPr>
          <w:rFonts w:eastAsia="Calibri"/>
          <w:sz w:val="24"/>
          <w:szCs w:val="24"/>
        </w:rPr>
        <w:t xml:space="preserve"> </w:t>
      </w:r>
      <w:r w:rsidR="000149E0" w:rsidRPr="00C50455">
        <w:rPr>
          <w:rFonts w:eastAsia="Calibri"/>
          <w:sz w:val="24"/>
          <w:szCs w:val="24"/>
        </w:rPr>
        <w:t>(</w:t>
      </w:r>
      <w:r w:rsidR="005D7E7A" w:rsidRPr="00C50455">
        <w:rPr>
          <w:rFonts w:eastAsia="Calibri"/>
          <w:sz w:val="24"/>
          <w:szCs w:val="24"/>
        </w:rPr>
        <w:t>PBDS</w:t>
      </w:r>
      <w:r w:rsidR="000149E0" w:rsidRPr="00C50455">
        <w:rPr>
          <w:rFonts w:eastAsia="Calibri"/>
          <w:sz w:val="24"/>
          <w:szCs w:val="24"/>
        </w:rPr>
        <w:t>)</w:t>
      </w:r>
      <w:r w:rsidR="005D7E7A" w:rsidRPr="00C50455">
        <w:rPr>
          <w:rFonts w:eastAsia="Calibri"/>
          <w:sz w:val="24"/>
          <w:szCs w:val="24"/>
        </w:rPr>
        <w:t xml:space="preserve">. </w:t>
      </w:r>
      <w:r w:rsidR="00717179" w:rsidRPr="00C50455">
        <w:rPr>
          <w:rFonts w:eastAsia="Calibri"/>
          <w:sz w:val="24"/>
          <w:szCs w:val="24"/>
        </w:rPr>
        <w:t xml:space="preserve"> </w:t>
      </w:r>
      <w:r w:rsidR="005D7E7A" w:rsidRPr="00C50455">
        <w:rPr>
          <w:rFonts w:eastAsia="Calibri"/>
          <w:sz w:val="24"/>
          <w:szCs w:val="24"/>
        </w:rPr>
        <w:t>For the purpose of this data collection, Dedicated Service does not include</w:t>
      </w:r>
      <w:r w:rsidR="00F75DE3" w:rsidRPr="004E4988">
        <w:rPr>
          <w:sz w:val="24"/>
          <w:szCs w:val="24"/>
        </w:rPr>
        <w:t xml:space="preserve"> </w:t>
      </w:r>
      <w:r w:rsidR="00F75DE3" w:rsidRPr="00C50455">
        <w:rPr>
          <w:rFonts w:eastAsia="Calibri"/>
          <w:sz w:val="24"/>
          <w:szCs w:val="24"/>
        </w:rPr>
        <w:t>Best Efforts Business Broadband Internet Access Service</w:t>
      </w:r>
      <w:r w:rsidR="005D7E7A" w:rsidRPr="00C50455">
        <w:rPr>
          <w:rFonts w:eastAsia="Calibri"/>
          <w:sz w:val="24"/>
          <w:szCs w:val="24"/>
        </w:rPr>
        <w:t>.</w:t>
      </w:r>
      <w:r w:rsidR="00F93175" w:rsidRPr="00C50455">
        <w:rPr>
          <w:rFonts w:eastAsia="Calibri"/>
          <w:sz w:val="24"/>
          <w:szCs w:val="24"/>
        </w:rPr>
        <w:t xml:space="preserve"> </w:t>
      </w:r>
    </w:p>
    <w:p w:rsidR="00A7750D" w:rsidRPr="00C50455" w:rsidRDefault="00A7750D" w:rsidP="004E4988">
      <w:pPr>
        <w:spacing w:after="200"/>
        <w:contextualSpacing/>
        <w:rPr>
          <w:rFonts w:eastAsia="Calibri"/>
          <w:sz w:val="24"/>
          <w:szCs w:val="24"/>
        </w:rPr>
      </w:pPr>
    </w:p>
    <w:p w:rsidR="008D213A" w:rsidRPr="00C50455" w:rsidRDefault="008D213A" w:rsidP="004E4988">
      <w:pPr>
        <w:numPr>
          <w:ilvl w:val="2"/>
          <w:numId w:val="5"/>
        </w:numPr>
        <w:spacing w:after="200"/>
        <w:ind w:hanging="360"/>
        <w:contextualSpacing/>
        <w:rPr>
          <w:rFonts w:eastAsia="Calibri"/>
          <w:sz w:val="24"/>
          <w:szCs w:val="24"/>
        </w:rPr>
      </w:pPr>
      <w:r w:rsidRPr="00C50455">
        <w:rPr>
          <w:rFonts w:eastAsia="Calibri"/>
          <w:sz w:val="24"/>
          <w:szCs w:val="24"/>
        </w:rPr>
        <w:t xml:space="preserve">“End User” means </w:t>
      </w:r>
      <w:r w:rsidR="00F04E90" w:rsidRPr="00C50455">
        <w:rPr>
          <w:rFonts w:eastAsia="Calibri"/>
          <w:sz w:val="24"/>
          <w:szCs w:val="24"/>
        </w:rPr>
        <w:t xml:space="preserve">a business, institutional, or government entity that purchases a communications service for its own purposes and does not resell such services, including mobile wireless </w:t>
      </w:r>
      <w:r w:rsidR="007919DB" w:rsidRPr="00C50455">
        <w:rPr>
          <w:rFonts w:eastAsia="Calibri"/>
          <w:sz w:val="24"/>
          <w:szCs w:val="24"/>
        </w:rPr>
        <w:t>service providers that purchase</w:t>
      </w:r>
      <w:r w:rsidR="00F04E90" w:rsidRPr="00C50455">
        <w:rPr>
          <w:rFonts w:eastAsia="Calibri"/>
          <w:sz w:val="24"/>
          <w:szCs w:val="24"/>
        </w:rPr>
        <w:t xml:space="preserve"> communications services to make connections within its own network such as backhaul to a cell site.  </w:t>
      </w:r>
    </w:p>
    <w:p w:rsidR="008D213A" w:rsidRPr="004E4988" w:rsidRDefault="008D213A" w:rsidP="004E4988">
      <w:pPr>
        <w:rPr>
          <w:rFonts w:eastAsia="Calibri"/>
          <w:sz w:val="24"/>
          <w:szCs w:val="24"/>
        </w:rPr>
      </w:pPr>
    </w:p>
    <w:p w:rsidR="00F93175" w:rsidRPr="00C50455" w:rsidRDefault="00200340" w:rsidP="004E4988">
      <w:pPr>
        <w:numPr>
          <w:ilvl w:val="2"/>
          <w:numId w:val="5"/>
        </w:numPr>
        <w:spacing w:after="200"/>
        <w:ind w:hanging="360"/>
        <w:contextualSpacing/>
        <w:rPr>
          <w:rFonts w:eastAsia="Calibri"/>
          <w:sz w:val="24"/>
          <w:szCs w:val="24"/>
        </w:rPr>
      </w:pPr>
      <w:r w:rsidRPr="00C50455">
        <w:rPr>
          <w:rFonts w:eastAsia="Calibri"/>
          <w:sz w:val="24"/>
          <w:szCs w:val="24"/>
        </w:rPr>
        <w:t>“</w:t>
      </w:r>
      <w:r w:rsidR="00F93175" w:rsidRPr="00C50455">
        <w:rPr>
          <w:rFonts w:eastAsia="Calibri"/>
          <w:sz w:val="24"/>
          <w:szCs w:val="24"/>
        </w:rPr>
        <w:t>Incumbent Local Exchange Carrier (ILEC)</w:t>
      </w:r>
      <w:r w:rsidRPr="00C50455">
        <w:rPr>
          <w:rFonts w:eastAsia="Calibri"/>
          <w:sz w:val="24"/>
          <w:szCs w:val="24"/>
        </w:rPr>
        <w:t>”</w:t>
      </w:r>
      <w:r w:rsidR="00F93175" w:rsidRPr="00C50455">
        <w:rPr>
          <w:rFonts w:eastAsia="Calibri"/>
          <w:sz w:val="24"/>
          <w:szCs w:val="24"/>
        </w:rPr>
        <w:t xml:space="preserve"> means, for the purpose of this data collection, a LEC that provides a Dedicated Service in study areas where it is subject to price cap regulation under sections 61.41-</w:t>
      </w:r>
      <w:r w:rsidR="00CD03EB" w:rsidRPr="00C50455">
        <w:rPr>
          <w:rFonts w:eastAsia="Calibri"/>
          <w:sz w:val="24"/>
          <w:szCs w:val="24"/>
        </w:rPr>
        <w:t>61.</w:t>
      </w:r>
      <w:r w:rsidR="00F93175" w:rsidRPr="00C50455">
        <w:rPr>
          <w:rFonts w:eastAsia="Calibri"/>
          <w:sz w:val="24"/>
          <w:szCs w:val="24"/>
        </w:rPr>
        <w:t xml:space="preserve">49 of the </w:t>
      </w:r>
      <w:r w:rsidR="00A7750D" w:rsidRPr="00C50455">
        <w:rPr>
          <w:rFonts w:eastAsia="Calibri"/>
          <w:sz w:val="24"/>
          <w:szCs w:val="24"/>
        </w:rPr>
        <w:t xml:space="preserve">FCC’s </w:t>
      </w:r>
      <w:r w:rsidR="00F93175" w:rsidRPr="00C50455">
        <w:rPr>
          <w:rFonts w:eastAsia="Calibri"/>
          <w:sz w:val="24"/>
          <w:szCs w:val="24"/>
        </w:rPr>
        <w:t>rules, 47 C.F.R. §§ 6</w:t>
      </w:r>
      <w:r w:rsidR="00CD03EB" w:rsidRPr="00C50455">
        <w:rPr>
          <w:rFonts w:eastAsia="Calibri"/>
          <w:sz w:val="24"/>
          <w:szCs w:val="24"/>
        </w:rPr>
        <w:t>1</w:t>
      </w:r>
      <w:r w:rsidR="00F93175" w:rsidRPr="00C50455">
        <w:rPr>
          <w:rFonts w:eastAsia="Calibri"/>
          <w:sz w:val="24"/>
          <w:szCs w:val="24"/>
        </w:rPr>
        <w:t>.41-</w:t>
      </w:r>
      <w:r w:rsidR="00CD03EB" w:rsidRPr="00C50455">
        <w:rPr>
          <w:rFonts w:eastAsia="Calibri"/>
          <w:sz w:val="24"/>
          <w:szCs w:val="24"/>
        </w:rPr>
        <w:t>61.</w:t>
      </w:r>
      <w:r w:rsidR="00F93175" w:rsidRPr="00C50455">
        <w:rPr>
          <w:rFonts w:eastAsia="Calibri"/>
          <w:sz w:val="24"/>
          <w:szCs w:val="24"/>
        </w:rPr>
        <w:t>49.</w:t>
      </w:r>
    </w:p>
    <w:p w:rsidR="00957B38" w:rsidRPr="004E4988" w:rsidRDefault="00957B38" w:rsidP="004E4988">
      <w:pPr>
        <w:rPr>
          <w:rFonts w:eastAsia="Calibri"/>
          <w:sz w:val="24"/>
          <w:szCs w:val="24"/>
        </w:rPr>
      </w:pPr>
    </w:p>
    <w:p w:rsidR="007C3D3D" w:rsidRPr="00C50455" w:rsidRDefault="007C3D3D" w:rsidP="004E4988">
      <w:pPr>
        <w:numPr>
          <w:ilvl w:val="2"/>
          <w:numId w:val="5"/>
        </w:numPr>
        <w:spacing w:after="200"/>
        <w:ind w:hanging="360"/>
        <w:contextualSpacing/>
        <w:rPr>
          <w:rFonts w:eastAsia="Calibri"/>
          <w:sz w:val="24"/>
          <w:szCs w:val="24"/>
        </w:rPr>
      </w:pPr>
      <w:r w:rsidRPr="00C50455">
        <w:rPr>
          <w:rFonts w:eastAsia="Calibri"/>
          <w:sz w:val="24"/>
          <w:szCs w:val="24"/>
        </w:rPr>
        <w:t xml:space="preserve">“Location” means a building, other man-made structure, a cell site on a building, a free-standing cell site, or a cell site on some other man-made structure where the End User is connected.  </w:t>
      </w:r>
    </w:p>
    <w:p w:rsidR="007C3D3D" w:rsidRPr="004E4988" w:rsidRDefault="007C3D3D" w:rsidP="004E4988">
      <w:pPr>
        <w:rPr>
          <w:rFonts w:eastAsia="Calibri"/>
          <w:sz w:val="24"/>
          <w:szCs w:val="24"/>
        </w:rPr>
      </w:pPr>
    </w:p>
    <w:p w:rsidR="0017301C" w:rsidRPr="00C50455" w:rsidRDefault="0017301C" w:rsidP="004E4988">
      <w:pPr>
        <w:numPr>
          <w:ilvl w:val="2"/>
          <w:numId w:val="5"/>
        </w:numPr>
        <w:spacing w:after="200"/>
        <w:ind w:hanging="360"/>
        <w:contextualSpacing/>
        <w:rPr>
          <w:rFonts w:eastAsia="Calibri"/>
          <w:sz w:val="24"/>
          <w:szCs w:val="24"/>
        </w:rPr>
      </w:pPr>
      <w:r w:rsidRPr="00C50455">
        <w:rPr>
          <w:rFonts w:eastAsia="Calibri"/>
          <w:sz w:val="24"/>
          <w:szCs w:val="24"/>
        </w:rPr>
        <w:t xml:space="preserve">“Node” means an aggregation point, branch point, or a point of interconnection on a Provider’s network including a point of interconnection to other Provider networks. </w:t>
      </w:r>
    </w:p>
    <w:p w:rsidR="0017301C" w:rsidRPr="004E4988" w:rsidRDefault="0017301C" w:rsidP="004E4988">
      <w:pPr>
        <w:rPr>
          <w:rFonts w:eastAsia="Calibri"/>
          <w:sz w:val="24"/>
          <w:szCs w:val="24"/>
        </w:rPr>
      </w:pPr>
    </w:p>
    <w:p w:rsidR="00957B38" w:rsidRPr="00C50455" w:rsidRDefault="00957B38" w:rsidP="004E4988">
      <w:pPr>
        <w:numPr>
          <w:ilvl w:val="2"/>
          <w:numId w:val="5"/>
        </w:numPr>
        <w:spacing w:after="200"/>
        <w:ind w:hanging="360"/>
        <w:contextualSpacing/>
        <w:rPr>
          <w:rFonts w:eastAsia="Calibri"/>
          <w:sz w:val="24"/>
          <w:szCs w:val="24"/>
        </w:rPr>
      </w:pPr>
      <w:r w:rsidRPr="00C50455">
        <w:rPr>
          <w:rFonts w:eastAsia="Calibri"/>
          <w:sz w:val="24"/>
          <w:szCs w:val="24"/>
        </w:rPr>
        <w:t xml:space="preserve">“Provider” means both ILECs and Competitive Providers. </w:t>
      </w:r>
    </w:p>
    <w:p w:rsidR="00957B38" w:rsidRPr="004E4988" w:rsidRDefault="00957B38" w:rsidP="004E4988">
      <w:pPr>
        <w:rPr>
          <w:rFonts w:eastAsia="Calibri"/>
          <w:sz w:val="24"/>
          <w:szCs w:val="24"/>
        </w:rPr>
      </w:pPr>
    </w:p>
    <w:p w:rsidR="00957B38" w:rsidRPr="00C50455" w:rsidRDefault="00957B38" w:rsidP="004E4988">
      <w:pPr>
        <w:numPr>
          <w:ilvl w:val="2"/>
          <w:numId w:val="5"/>
        </w:numPr>
        <w:spacing w:after="200"/>
        <w:ind w:hanging="360"/>
        <w:contextualSpacing/>
        <w:rPr>
          <w:rFonts w:eastAsia="Calibri"/>
          <w:sz w:val="24"/>
          <w:szCs w:val="24"/>
        </w:rPr>
      </w:pPr>
      <w:r w:rsidRPr="00C50455">
        <w:rPr>
          <w:rFonts w:eastAsia="Calibri"/>
          <w:sz w:val="24"/>
          <w:szCs w:val="24"/>
        </w:rPr>
        <w:t xml:space="preserve">“Purchaser” means Competitive Providers and End Users that are subject to the Commission’s jurisdiction under the Communications Act and that purchased Dedicated Services of $5 million or more in 2013 in areas where the ILEC is subject to price cap regulation. </w:t>
      </w:r>
    </w:p>
    <w:p w:rsidR="005D7E7A" w:rsidRPr="00C50455" w:rsidRDefault="005D7E7A" w:rsidP="00D23E03">
      <w:pPr>
        <w:spacing w:after="200"/>
        <w:ind w:left="1800"/>
        <w:contextualSpacing/>
        <w:rPr>
          <w:rFonts w:eastAsia="Calibri"/>
          <w:sz w:val="24"/>
          <w:szCs w:val="24"/>
        </w:rPr>
      </w:pPr>
    </w:p>
    <w:p w:rsidR="00153FB0" w:rsidRPr="00C50455" w:rsidRDefault="00604B4F" w:rsidP="00604B4F">
      <w:pPr>
        <w:tabs>
          <w:tab w:val="left" w:pos="540"/>
        </w:tabs>
        <w:spacing w:after="200"/>
        <w:contextualSpacing/>
        <w:rPr>
          <w:rFonts w:eastAsia="Calibri"/>
          <w:sz w:val="24"/>
          <w:szCs w:val="24"/>
        </w:rPr>
      </w:pPr>
      <w:r w:rsidRPr="00C50455">
        <w:rPr>
          <w:rFonts w:eastAsia="Calibri"/>
          <w:b/>
          <w:sz w:val="24"/>
          <w:szCs w:val="24"/>
        </w:rPr>
        <w:t>V</w:t>
      </w:r>
      <w:r w:rsidR="00E81B80" w:rsidRPr="00C50455">
        <w:rPr>
          <w:rFonts w:eastAsia="Calibri"/>
          <w:b/>
          <w:sz w:val="24"/>
          <w:szCs w:val="24"/>
        </w:rPr>
        <w:t>I</w:t>
      </w:r>
      <w:r w:rsidR="008F4E63">
        <w:rPr>
          <w:rFonts w:eastAsia="Calibri"/>
          <w:b/>
          <w:sz w:val="24"/>
          <w:szCs w:val="24"/>
        </w:rPr>
        <w:t>I</w:t>
      </w:r>
      <w:r w:rsidRPr="00C50455">
        <w:rPr>
          <w:rFonts w:eastAsia="Calibri"/>
          <w:b/>
          <w:sz w:val="24"/>
          <w:szCs w:val="24"/>
        </w:rPr>
        <w:t xml:space="preserve">.  </w:t>
      </w:r>
      <w:r w:rsidRPr="00C50455">
        <w:rPr>
          <w:rFonts w:eastAsia="Calibri"/>
          <w:b/>
          <w:sz w:val="24"/>
          <w:szCs w:val="24"/>
        </w:rPr>
        <w:tab/>
      </w:r>
      <w:r w:rsidR="00DF5FD3" w:rsidRPr="00C50455">
        <w:rPr>
          <w:rFonts w:eastAsia="Calibri"/>
          <w:b/>
          <w:sz w:val="24"/>
          <w:szCs w:val="24"/>
        </w:rPr>
        <w:t>WEBLINKS</w:t>
      </w:r>
    </w:p>
    <w:p w:rsidR="0069159D" w:rsidRPr="00C50455" w:rsidRDefault="0069159D" w:rsidP="0069159D">
      <w:pPr>
        <w:spacing w:after="200"/>
        <w:ind w:left="720"/>
        <w:contextualSpacing/>
        <w:rPr>
          <w:rFonts w:eastAsia="Calibri"/>
          <w:sz w:val="24"/>
          <w:szCs w:val="24"/>
        </w:rPr>
      </w:pPr>
    </w:p>
    <w:p w:rsidR="00137579" w:rsidRPr="00137579" w:rsidRDefault="006F4073" w:rsidP="00137579">
      <w:pPr>
        <w:rPr>
          <w:sz w:val="24"/>
          <w:szCs w:val="24"/>
        </w:rPr>
      </w:pPr>
      <w:r>
        <w:rPr>
          <w:rFonts w:eastAsia="Calibri"/>
          <w:sz w:val="24"/>
          <w:szCs w:val="24"/>
        </w:rPr>
        <w:t>FCC, Special Access Data Collection Overview</w:t>
      </w:r>
      <w:r w:rsidRPr="00137579">
        <w:rPr>
          <w:rFonts w:eastAsia="Calibri"/>
          <w:sz w:val="24"/>
          <w:szCs w:val="24"/>
        </w:rPr>
        <w:t>,</w:t>
      </w:r>
      <w:r w:rsidR="00137579">
        <w:rPr>
          <w:rFonts w:eastAsia="Calibri"/>
          <w:sz w:val="24"/>
          <w:szCs w:val="24"/>
        </w:rPr>
        <w:t xml:space="preserve"> </w:t>
      </w:r>
      <w:hyperlink r:id="rId14" w:history="1">
        <w:r w:rsidR="00137579" w:rsidRPr="00137579">
          <w:rPr>
            <w:rStyle w:val="Hyperlink"/>
            <w:sz w:val="24"/>
            <w:szCs w:val="24"/>
          </w:rPr>
          <w:t>https://specialaccess.fcc.gov/spadc/login</w:t>
        </w:r>
      </w:hyperlink>
      <w:r w:rsidR="00137579">
        <w:rPr>
          <w:sz w:val="24"/>
          <w:szCs w:val="24"/>
        </w:rPr>
        <w:t xml:space="preserve"> </w:t>
      </w:r>
      <w:r w:rsidR="00137579">
        <w:rPr>
          <w:rFonts w:eastAsia="Calibri"/>
          <w:sz w:val="24"/>
          <w:szCs w:val="24"/>
        </w:rPr>
        <w:t>(webpage will soon go live)</w:t>
      </w:r>
      <w:r w:rsidR="00137579">
        <w:rPr>
          <w:sz w:val="24"/>
          <w:szCs w:val="24"/>
        </w:rPr>
        <w:t>.</w:t>
      </w:r>
    </w:p>
    <w:p w:rsidR="00EA531D" w:rsidRPr="00137579" w:rsidRDefault="00EA531D" w:rsidP="00137579">
      <w:pPr>
        <w:spacing w:after="200"/>
        <w:ind w:left="1080"/>
        <w:contextualSpacing/>
        <w:rPr>
          <w:rFonts w:eastAsia="Calibri"/>
          <w:sz w:val="24"/>
          <w:szCs w:val="24"/>
        </w:rPr>
      </w:pPr>
    </w:p>
    <w:p w:rsidR="00EA531D" w:rsidRPr="004E4988" w:rsidRDefault="00DF5FD3" w:rsidP="004E4988">
      <w:pPr>
        <w:pStyle w:val="ListParagraph"/>
        <w:numPr>
          <w:ilvl w:val="0"/>
          <w:numId w:val="1"/>
        </w:numPr>
        <w:rPr>
          <w:rFonts w:ascii="Times New Roman" w:eastAsia="Calibri" w:hAnsi="Times New Roman" w:cs="Times New Roman"/>
          <w:b/>
          <w:caps/>
          <w:sz w:val="24"/>
          <w:szCs w:val="24"/>
        </w:rPr>
      </w:pPr>
      <w:r w:rsidRPr="004E4988">
        <w:rPr>
          <w:rFonts w:ascii="Times New Roman" w:eastAsia="Calibri" w:hAnsi="Times New Roman" w:cs="Times New Roman"/>
          <w:b/>
          <w:caps/>
          <w:sz w:val="24"/>
          <w:szCs w:val="24"/>
        </w:rPr>
        <w:t>CITATIONS</w:t>
      </w:r>
    </w:p>
    <w:p w:rsidR="00CC6A87" w:rsidRPr="00C50455" w:rsidRDefault="00CC6A87" w:rsidP="00584F63">
      <w:pPr>
        <w:spacing w:after="200"/>
        <w:ind w:left="1080"/>
        <w:contextualSpacing/>
        <w:rPr>
          <w:sz w:val="24"/>
          <w:szCs w:val="24"/>
        </w:rPr>
      </w:pPr>
      <w:r w:rsidRPr="00C50455">
        <w:rPr>
          <w:i/>
          <w:sz w:val="24"/>
          <w:szCs w:val="24"/>
        </w:rPr>
        <w:t xml:space="preserve">Special Access for Price Cap Local Exchange Carriers; AT&amp;T Corporation Petition for Rulemaking to Reform Regulation of Incumbent Local Exchange Carrier Rates for Interstate Special Access Services, </w:t>
      </w:r>
      <w:r w:rsidRPr="00C50455">
        <w:rPr>
          <w:sz w:val="24"/>
          <w:szCs w:val="24"/>
        </w:rPr>
        <w:t xml:space="preserve">WC Docket No. 05-25, RM-10593, Order on Reconsideration, </w:t>
      </w:r>
      <w:r w:rsidRPr="006F4073">
        <w:rPr>
          <w:sz w:val="24"/>
          <w:szCs w:val="24"/>
        </w:rPr>
        <w:t>DA 14</w:t>
      </w:r>
      <w:r w:rsidR="00CA6D41" w:rsidRPr="006F4073">
        <w:rPr>
          <w:sz w:val="24"/>
          <w:szCs w:val="24"/>
        </w:rPr>
        <w:t>-1327</w:t>
      </w:r>
      <w:r w:rsidRPr="00C50455">
        <w:rPr>
          <w:sz w:val="24"/>
          <w:szCs w:val="24"/>
        </w:rPr>
        <w:t xml:space="preserve"> (Wireline Comp. Bur. rel. Sept. 1</w:t>
      </w:r>
      <w:r w:rsidR="00CA6D41">
        <w:rPr>
          <w:sz w:val="24"/>
          <w:szCs w:val="24"/>
        </w:rPr>
        <w:t>5</w:t>
      </w:r>
      <w:r w:rsidRPr="00C50455">
        <w:rPr>
          <w:sz w:val="24"/>
          <w:szCs w:val="24"/>
        </w:rPr>
        <w:t>, 2014)</w:t>
      </w:r>
      <w:r w:rsidR="004C0DF6" w:rsidRPr="00C50455">
        <w:rPr>
          <w:sz w:val="24"/>
          <w:szCs w:val="24"/>
        </w:rPr>
        <w:t xml:space="preserve"> (order amending</w:t>
      </w:r>
      <w:r w:rsidR="006752C7" w:rsidRPr="00C50455">
        <w:rPr>
          <w:sz w:val="24"/>
          <w:szCs w:val="24"/>
        </w:rPr>
        <w:t xml:space="preserve"> and finalizing</w:t>
      </w:r>
      <w:r w:rsidR="004C0DF6" w:rsidRPr="00C50455">
        <w:rPr>
          <w:sz w:val="24"/>
          <w:szCs w:val="24"/>
        </w:rPr>
        <w:t xml:space="preserve"> data collection </w:t>
      </w:r>
      <w:r w:rsidR="004C0DF6" w:rsidRPr="004E4988">
        <w:rPr>
          <w:snapToGrid w:val="0"/>
          <w:kern w:val="28"/>
          <w:sz w:val="24"/>
          <w:szCs w:val="24"/>
        </w:rPr>
        <w:t xml:space="preserve">to reflect the approval received from OMB pursuant to the PRA and announcing that responses to the data collection are due by </w:t>
      </w:r>
      <w:r w:rsidR="006F4073">
        <w:rPr>
          <w:snapToGrid w:val="0"/>
          <w:kern w:val="28"/>
          <w:sz w:val="24"/>
          <w:szCs w:val="24"/>
        </w:rPr>
        <w:t>December 15, 2014</w:t>
      </w:r>
      <w:r w:rsidR="004C0DF6" w:rsidRPr="00C50455">
        <w:rPr>
          <w:sz w:val="24"/>
          <w:szCs w:val="24"/>
        </w:rPr>
        <w:t>)</w:t>
      </w:r>
      <w:r w:rsidR="006F4073">
        <w:rPr>
          <w:sz w:val="24"/>
          <w:szCs w:val="24"/>
        </w:rPr>
        <w:t>.</w:t>
      </w:r>
    </w:p>
    <w:p w:rsidR="002024A7" w:rsidRPr="00C50455" w:rsidRDefault="002024A7" w:rsidP="00584F63">
      <w:pPr>
        <w:spacing w:after="200"/>
        <w:ind w:left="1080"/>
        <w:contextualSpacing/>
        <w:rPr>
          <w:sz w:val="24"/>
          <w:szCs w:val="24"/>
        </w:rPr>
      </w:pPr>
    </w:p>
    <w:p w:rsidR="002024A7" w:rsidRPr="00C50455" w:rsidRDefault="002024A7" w:rsidP="002024A7">
      <w:pPr>
        <w:spacing w:after="200"/>
        <w:ind w:left="1080"/>
        <w:contextualSpacing/>
        <w:rPr>
          <w:sz w:val="24"/>
          <w:szCs w:val="24"/>
        </w:rPr>
      </w:pPr>
      <w:r w:rsidRPr="00C50455">
        <w:rPr>
          <w:i/>
          <w:sz w:val="24"/>
          <w:szCs w:val="24"/>
        </w:rPr>
        <w:t>Commission Moves Forward with Special Access Data Collection</w:t>
      </w:r>
      <w:r w:rsidRPr="00C50455">
        <w:rPr>
          <w:sz w:val="24"/>
          <w:szCs w:val="24"/>
        </w:rPr>
        <w:t xml:space="preserve">, WC Docket No. 05-25, RM-10593, Public Notice, </w:t>
      </w:r>
      <w:r w:rsidR="00E47272" w:rsidRPr="00C50455">
        <w:rPr>
          <w:sz w:val="24"/>
          <w:szCs w:val="24"/>
        </w:rPr>
        <w:t>DA 14-1201</w:t>
      </w:r>
      <w:r w:rsidRPr="00C50455">
        <w:rPr>
          <w:sz w:val="24"/>
          <w:szCs w:val="24"/>
        </w:rPr>
        <w:t xml:space="preserve"> (Wireline Comp. Bur. rel. Aug. 18, 2014)</w:t>
      </w:r>
      <w:r w:rsidR="004C0DF6" w:rsidRPr="00C50455">
        <w:rPr>
          <w:sz w:val="24"/>
          <w:szCs w:val="24"/>
        </w:rPr>
        <w:t xml:space="preserve"> (</w:t>
      </w:r>
      <w:r w:rsidR="006752C7" w:rsidRPr="00C50455">
        <w:rPr>
          <w:sz w:val="24"/>
          <w:szCs w:val="24"/>
        </w:rPr>
        <w:t>public n</w:t>
      </w:r>
      <w:r w:rsidR="004C0DF6" w:rsidRPr="00C50455">
        <w:rPr>
          <w:sz w:val="24"/>
          <w:szCs w:val="24"/>
        </w:rPr>
        <w:t xml:space="preserve">otice announcing OMB approval of data collection subject to certain </w:t>
      </w:r>
      <w:r w:rsidR="00F03805">
        <w:rPr>
          <w:sz w:val="24"/>
          <w:szCs w:val="24"/>
        </w:rPr>
        <w:t>changes</w:t>
      </w:r>
      <w:r w:rsidR="004C0DF6" w:rsidRPr="00C50455">
        <w:rPr>
          <w:sz w:val="24"/>
          <w:szCs w:val="24"/>
        </w:rPr>
        <w:t>).</w:t>
      </w:r>
    </w:p>
    <w:p w:rsidR="00502545" w:rsidRPr="00C50455" w:rsidRDefault="00502545" w:rsidP="002024A7">
      <w:pPr>
        <w:spacing w:after="200"/>
        <w:ind w:left="1080"/>
        <w:contextualSpacing/>
        <w:rPr>
          <w:sz w:val="24"/>
          <w:szCs w:val="24"/>
        </w:rPr>
      </w:pPr>
    </w:p>
    <w:p w:rsidR="00485830" w:rsidRPr="00C50455" w:rsidRDefault="004559A9" w:rsidP="00584F63">
      <w:pPr>
        <w:spacing w:after="200"/>
        <w:ind w:left="1080"/>
        <w:contextualSpacing/>
        <w:rPr>
          <w:sz w:val="24"/>
          <w:szCs w:val="24"/>
        </w:rPr>
      </w:pPr>
      <w:r w:rsidRPr="00C50455">
        <w:rPr>
          <w:i/>
          <w:sz w:val="24"/>
          <w:szCs w:val="24"/>
        </w:rPr>
        <w:t xml:space="preserve">Comprehensive Market Data Collection for Interstate Special Access Services, FCC 12-153, </w:t>
      </w:r>
      <w:r w:rsidR="00485830" w:rsidRPr="00C50455">
        <w:rPr>
          <w:i/>
          <w:sz w:val="24"/>
          <w:szCs w:val="24"/>
        </w:rPr>
        <w:t>Notice of Office of Management and Budget Action</w:t>
      </w:r>
      <w:r w:rsidR="00485830" w:rsidRPr="00C50455">
        <w:rPr>
          <w:sz w:val="24"/>
          <w:szCs w:val="24"/>
        </w:rPr>
        <w:t xml:space="preserve">, OMB Control No. 3060-1197 (Aug. 15, 2014), </w:t>
      </w:r>
      <w:r w:rsidR="00485830" w:rsidRPr="00C50455">
        <w:rPr>
          <w:i/>
          <w:sz w:val="24"/>
          <w:szCs w:val="24"/>
        </w:rPr>
        <w:t>available a</w:t>
      </w:r>
      <w:r w:rsidRPr="00C50455">
        <w:rPr>
          <w:i/>
          <w:sz w:val="24"/>
          <w:szCs w:val="24"/>
        </w:rPr>
        <w:t>t</w:t>
      </w:r>
      <w:r w:rsidR="006C0B2D" w:rsidRPr="00C50455">
        <w:rPr>
          <w:i/>
          <w:sz w:val="24"/>
          <w:szCs w:val="24"/>
        </w:rPr>
        <w:t xml:space="preserve"> </w:t>
      </w:r>
      <w:hyperlink r:id="rId15" w:history="1">
        <w:r w:rsidRPr="004E4988">
          <w:rPr>
            <w:rStyle w:val="Hyperlink"/>
            <w:sz w:val="24"/>
            <w:szCs w:val="24"/>
          </w:rPr>
          <w:t>http://www.reginfo.gov/public/do/PRAViewICR?ref_nbr=201311-3060-001#</w:t>
        </w:r>
      </w:hyperlink>
      <w:r w:rsidR="004C0DF6" w:rsidRPr="00C50455">
        <w:rPr>
          <w:sz w:val="24"/>
          <w:szCs w:val="24"/>
        </w:rPr>
        <w:t xml:space="preserve"> (OMB action approving the data collection subject to certain </w:t>
      </w:r>
      <w:r w:rsidR="00F03805">
        <w:rPr>
          <w:sz w:val="24"/>
          <w:szCs w:val="24"/>
        </w:rPr>
        <w:t>changes</w:t>
      </w:r>
      <w:r w:rsidR="004C0DF6" w:rsidRPr="00C50455">
        <w:rPr>
          <w:sz w:val="24"/>
          <w:szCs w:val="24"/>
        </w:rPr>
        <w:t>).</w:t>
      </w:r>
    </w:p>
    <w:p w:rsidR="00485830" w:rsidRPr="00C50455" w:rsidRDefault="00485830" w:rsidP="00584F63">
      <w:pPr>
        <w:spacing w:after="200"/>
        <w:ind w:left="1080"/>
        <w:contextualSpacing/>
        <w:rPr>
          <w:i/>
          <w:sz w:val="24"/>
          <w:szCs w:val="24"/>
        </w:rPr>
      </w:pPr>
    </w:p>
    <w:p w:rsidR="00CC6A87" w:rsidRPr="00C50455" w:rsidRDefault="00485830" w:rsidP="00584F63">
      <w:pPr>
        <w:spacing w:after="200"/>
        <w:ind w:left="1080"/>
        <w:contextualSpacing/>
        <w:rPr>
          <w:i/>
          <w:sz w:val="24"/>
          <w:szCs w:val="24"/>
        </w:rPr>
      </w:pPr>
      <w:r w:rsidRPr="00C50455">
        <w:rPr>
          <w:i/>
          <w:sz w:val="24"/>
          <w:szCs w:val="24"/>
        </w:rPr>
        <w:t>Information Collection Being Submitted for Review and Approval to the Office of Management and Budget (OMB)</w:t>
      </w:r>
      <w:r w:rsidRPr="00C50455">
        <w:rPr>
          <w:sz w:val="24"/>
          <w:szCs w:val="24"/>
        </w:rPr>
        <w:t>, 78 Fed. Reg. 73,861 (rel. Dec. 9, 2013)</w:t>
      </w:r>
      <w:r w:rsidR="004C0DF6" w:rsidRPr="00C50455">
        <w:rPr>
          <w:sz w:val="24"/>
          <w:szCs w:val="24"/>
        </w:rPr>
        <w:t xml:space="preserve"> (</w:t>
      </w:r>
      <w:r w:rsidR="00AB25A4" w:rsidRPr="00C50455">
        <w:rPr>
          <w:sz w:val="24"/>
          <w:szCs w:val="24"/>
        </w:rPr>
        <w:t>Federal Register notice announcing that data collection submitted to OMB for approval pursuant to PRA</w:t>
      </w:r>
      <w:r w:rsidR="004C0DF6" w:rsidRPr="00C50455">
        <w:rPr>
          <w:sz w:val="24"/>
          <w:szCs w:val="24"/>
        </w:rPr>
        <w:t>)</w:t>
      </w:r>
      <w:r w:rsidR="00AB25A4" w:rsidRPr="00C50455">
        <w:rPr>
          <w:sz w:val="24"/>
          <w:szCs w:val="24"/>
        </w:rPr>
        <w:t>.</w:t>
      </w:r>
    </w:p>
    <w:p w:rsidR="00485830" w:rsidRPr="00C50455" w:rsidRDefault="00485830" w:rsidP="00584F63">
      <w:pPr>
        <w:spacing w:after="200"/>
        <w:ind w:left="1080"/>
        <w:contextualSpacing/>
        <w:rPr>
          <w:i/>
          <w:sz w:val="24"/>
          <w:szCs w:val="24"/>
        </w:rPr>
      </w:pPr>
    </w:p>
    <w:p w:rsidR="00CC6A87" w:rsidRPr="00C50455" w:rsidRDefault="00CC6A87" w:rsidP="00584F63">
      <w:pPr>
        <w:spacing w:after="200"/>
        <w:ind w:left="1080"/>
        <w:contextualSpacing/>
        <w:rPr>
          <w:i/>
          <w:sz w:val="24"/>
          <w:szCs w:val="24"/>
        </w:rPr>
      </w:pPr>
      <w:r w:rsidRPr="00C50455">
        <w:rPr>
          <w:i/>
          <w:sz w:val="24"/>
          <w:szCs w:val="24"/>
        </w:rPr>
        <w:t xml:space="preserve">Special Access for Price Cap Local Exchange Carriers; AT&amp;T Corporation Petition for Rulemaking to Reform Regulation of Incumbent Local Exchange Carrier Rates for Interstate Special Access Services, </w:t>
      </w:r>
      <w:r w:rsidRPr="00C50455">
        <w:rPr>
          <w:sz w:val="24"/>
          <w:szCs w:val="24"/>
        </w:rPr>
        <w:t>WC Docket No. 05-25, RM-10593, Report and Order, 28 FCC Rcd 13189 (Wireline Comp. Bur. 2013)</w:t>
      </w:r>
      <w:r w:rsidR="00502545" w:rsidRPr="00C50455">
        <w:rPr>
          <w:sz w:val="24"/>
          <w:szCs w:val="24"/>
        </w:rPr>
        <w:t xml:space="preserve"> (order </w:t>
      </w:r>
      <w:r w:rsidR="00C3060C" w:rsidRPr="004E4988">
        <w:rPr>
          <w:sz w:val="24"/>
          <w:szCs w:val="24"/>
        </w:rPr>
        <w:t xml:space="preserve">clarifying the scope of the </w:t>
      </w:r>
      <w:r w:rsidR="004C0DF6" w:rsidRPr="00C50455">
        <w:rPr>
          <w:sz w:val="24"/>
          <w:szCs w:val="24"/>
        </w:rPr>
        <w:t>data collection</w:t>
      </w:r>
      <w:r w:rsidR="00C3060C" w:rsidRPr="004E4988">
        <w:rPr>
          <w:sz w:val="24"/>
          <w:szCs w:val="24"/>
        </w:rPr>
        <w:t xml:space="preserve">, providing instructions for submitting information, and modifying and amending questions and definitions contained in the </w:t>
      </w:r>
      <w:r w:rsidR="004C0DF6" w:rsidRPr="00C50455">
        <w:rPr>
          <w:sz w:val="24"/>
          <w:szCs w:val="24"/>
        </w:rPr>
        <w:t>data collection</w:t>
      </w:r>
      <w:r w:rsidR="00502545" w:rsidRPr="00C50455">
        <w:rPr>
          <w:sz w:val="24"/>
          <w:szCs w:val="24"/>
        </w:rPr>
        <w:t>)</w:t>
      </w:r>
      <w:r w:rsidR="004C0DF6" w:rsidRPr="00C50455">
        <w:rPr>
          <w:sz w:val="24"/>
          <w:szCs w:val="24"/>
        </w:rPr>
        <w:t>.</w:t>
      </w:r>
      <w:r w:rsidRPr="00C50455">
        <w:rPr>
          <w:i/>
          <w:sz w:val="24"/>
          <w:szCs w:val="24"/>
        </w:rPr>
        <w:t xml:space="preserve"> </w:t>
      </w:r>
    </w:p>
    <w:p w:rsidR="00CC6A87" w:rsidRPr="00C50455" w:rsidRDefault="00CC6A87" w:rsidP="00584F63">
      <w:pPr>
        <w:spacing w:after="200"/>
        <w:ind w:left="1080"/>
        <w:contextualSpacing/>
        <w:rPr>
          <w:i/>
          <w:sz w:val="24"/>
          <w:szCs w:val="24"/>
        </w:rPr>
      </w:pPr>
    </w:p>
    <w:p w:rsidR="00AF75F9" w:rsidRPr="00C50455" w:rsidRDefault="00AF75F9" w:rsidP="00AF75F9">
      <w:pPr>
        <w:spacing w:after="200"/>
        <w:ind w:left="1080"/>
        <w:contextualSpacing/>
        <w:rPr>
          <w:sz w:val="24"/>
          <w:szCs w:val="24"/>
        </w:rPr>
      </w:pPr>
      <w:r w:rsidRPr="00C50455">
        <w:rPr>
          <w:i/>
          <w:sz w:val="24"/>
          <w:szCs w:val="24"/>
        </w:rPr>
        <w:t>Special Access for Price Cap Local Exchange Carriers; AT&amp;T Corporation Petition for Rulemaking to Reform Regulation of Incumbent Local Exchange Carrier Rates for Interstate Special Access Services</w:t>
      </w:r>
      <w:r w:rsidRPr="00C50455">
        <w:rPr>
          <w:sz w:val="24"/>
          <w:szCs w:val="24"/>
        </w:rPr>
        <w:t xml:space="preserve">, 78 Fed. Reg. 2,572 (rel. Jan. 11, 2013) (Federal Register publication of </w:t>
      </w:r>
      <w:r w:rsidRPr="004E4988">
        <w:rPr>
          <w:i/>
          <w:sz w:val="24"/>
          <w:szCs w:val="24"/>
        </w:rPr>
        <w:t>Data Collection Order</w:t>
      </w:r>
      <w:r w:rsidRPr="00C50455">
        <w:rPr>
          <w:sz w:val="24"/>
          <w:szCs w:val="24"/>
        </w:rPr>
        <w:t>)</w:t>
      </w:r>
      <w:r w:rsidR="00C3060C" w:rsidRPr="00C50455">
        <w:rPr>
          <w:sz w:val="24"/>
          <w:szCs w:val="24"/>
        </w:rPr>
        <w:t>.</w:t>
      </w:r>
    </w:p>
    <w:p w:rsidR="00AF75F9" w:rsidRPr="00C50455" w:rsidRDefault="00AF75F9" w:rsidP="00AF75F9">
      <w:pPr>
        <w:spacing w:after="200"/>
        <w:ind w:left="1080"/>
        <w:contextualSpacing/>
        <w:rPr>
          <w:sz w:val="24"/>
          <w:szCs w:val="24"/>
        </w:rPr>
      </w:pPr>
    </w:p>
    <w:p w:rsidR="00CC050C" w:rsidRPr="00C50455" w:rsidRDefault="00CC6A87" w:rsidP="00584F63">
      <w:pPr>
        <w:spacing w:after="200"/>
        <w:ind w:left="1080"/>
        <w:contextualSpacing/>
        <w:rPr>
          <w:sz w:val="24"/>
          <w:szCs w:val="24"/>
        </w:rPr>
      </w:pPr>
      <w:r w:rsidRPr="00C50455">
        <w:rPr>
          <w:i/>
          <w:sz w:val="24"/>
          <w:szCs w:val="24"/>
        </w:rPr>
        <w:t>Special Access for Price Cap Local Exchange Carriers; AT&amp;T Corporation Petition for Rulemaking to Reform Regulation of Incumbent Local Exchange Carrier Rates for Interstate Special Access Services</w:t>
      </w:r>
      <w:r w:rsidRPr="00C50455">
        <w:rPr>
          <w:sz w:val="24"/>
          <w:szCs w:val="24"/>
        </w:rPr>
        <w:t>, WC Docket No. 05-25, RM-10593, Report and Order and Further Notice of Proposed Rulemaking, 27 FCC Rcd 16318 (2012</w:t>
      </w:r>
      <w:r w:rsidR="00AF75F9" w:rsidRPr="00C50455">
        <w:rPr>
          <w:sz w:val="24"/>
          <w:szCs w:val="24"/>
        </w:rPr>
        <w:t>) (</w:t>
      </w:r>
      <w:r w:rsidR="00AF75F9" w:rsidRPr="004E4988">
        <w:rPr>
          <w:i/>
          <w:sz w:val="24"/>
          <w:szCs w:val="24"/>
        </w:rPr>
        <w:t>Data Collection Order</w:t>
      </w:r>
      <w:r w:rsidR="00AF75F9" w:rsidRPr="00C50455">
        <w:rPr>
          <w:sz w:val="24"/>
          <w:szCs w:val="24"/>
        </w:rPr>
        <w:t>)</w:t>
      </w:r>
      <w:r w:rsidR="00502545" w:rsidRPr="00C50455">
        <w:rPr>
          <w:sz w:val="24"/>
          <w:szCs w:val="24"/>
        </w:rPr>
        <w:t xml:space="preserve"> (order outlining the data collection </w:t>
      </w:r>
      <w:r w:rsidR="00F03EAB" w:rsidRPr="00C50455">
        <w:rPr>
          <w:sz w:val="24"/>
          <w:szCs w:val="24"/>
        </w:rPr>
        <w:t xml:space="preserve">requiring </w:t>
      </w:r>
      <w:r w:rsidR="009A27B3" w:rsidRPr="00C50455">
        <w:rPr>
          <w:sz w:val="24"/>
          <w:szCs w:val="24"/>
        </w:rPr>
        <w:t>p</w:t>
      </w:r>
      <w:r w:rsidR="00F03EAB" w:rsidRPr="00C50455">
        <w:rPr>
          <w:sz w:val="24"/>
          <w:szCs w:val="24"/>
        </w:rPr>
        <w:t xml:space="preserve">roviders and </w:t>
      </w:r>
      <w:r w:rsidR="009A27B3" w:rsidRPr="00C50455">
        <w:rPr>
          <w:sz w:val="24"/>
          <w:szCs w:val="24"/>
        </w:rPr>
        <w:t>p</w:t>
      </w:r>
      <w:r w:rsidR="00502545" w:rsidRPr="00C50455">
        <w:rPr>
          <w:sz w:val="24"/>
          <w:szCs w:val="24"/>
        </w:rPr>
        <w:t xml:space="preserve">urchasers of special access and certain entities providing </w:t>
      </w:r>
      <w:r w:rsidR="00F03EAB" w:rsidRPr="00C50455">
        <w:rPr>
          <w:sz w:val="24"/>
          <w:szCs w:val="24"/>
        </w:rPr>
        <w:t>“</w:t>
      </w:r>
      <w:r w:rsidR="00502545" w:rsidRPr="00C50455">
        <w:rPr>
          <w:sz w:val="24"/>
          <w:szCs w:val="24"/>
        </w:rPr>
        <w:t>best efforts</w:t>
      </w:r>
      <w:r w:rsidR="00F03EAB" w:rsidRPr="00C50455">
        <w:rPr>
          <w:sz w:val="24"/>
          <w:szCs w:val="24"/>
        </w:rPr>
        <w:t>”</w:t>
      </w:r>
      <w:r w:rsidR="00502545" w:rsidRPr="00C50455">
        <w:rPr>
          <w:sz w:val="24"/>
          <w:szCs w:val="24"/>
        </w:rPr>
        <w:t xml:space="preserve"> service to submit data, information and documents for a comprehensive evaluation of competition in the special access market).</w:t>
      </w:r>
    </w:p>
    <w:p w:rsidR="00CC6A87" w:rsidRPr="00C50455" w:rsidRDefault="00CC6A87" w:rsidP="00584F63">
      <w:pPr>
        <w:spacing w:after="200"/>
        <w:ind w:left="1080"/>
        <w:contextualSpacing/>
        <w:rPr>
          <w:rFonts w:eastAsia="Calibri"/>
          <w:sz w:val="24"/>
          <w:szCs w:val="24"/>
        </w:rPr>
      </w:pPr>
    </w:p>
    <w:p w:rsidR="00CC6A87" w:rsidRPr="00C50455" w:rsidRDefault="004C6A5B" w:rsidP="00584F63">
      <w:pPr>
        <w:spacing w:after="200"/>
        <w:ind w:left="1080"/>
        <w:contextualSpacing/>
        <w:rPr>
          <w:rFonts w:eastAsia="Calibri"/>
          <w:sz w:val="24"/>
          <w:szCs w:val="24"/>
        </w:rPr>
      </w:pPr>
      <w:r w:rsidRPr="00C50455">
        <w:rPr>
          <w:i/>
          <w:sz w:val="24"/>
          <w:szCs w:val="24"/>
        </w:rPr>
        <w:t>Special Access for Price Cap Local Exchange Carriers; AT&amp;T Corporation Petition for Rulemaking to Reform Regulation of Incumbent Local Exchange Carrier Rates for Interstate Special Access Services</w:t>
      </w:r>
      <w:r w:rsidRPr="00C50455">
        <w:rPr>
          <w:sz w:val="24"/>
          <w:szCs w:val="24"/>
        </w:rPr>
        <w:t xml:space="preserve">, WC Docket No. 05-25, RM-10593, Report and Order, 27 FCC Rcd 10557 (2012) </w:t>
      </w:r>
      <w:r w:rsidR="00502545" w:rsidRPr="00C50455">
        <w:rPr>
          <w:sz w:val="24"/>
          <w:szCs w:val="24"/>
        </w:rPr>
        <w:t>(order suspending the FCC’s special access pricing flexibility rules in areas subject to price cap regulation on an interim basis).</w:t>
      </w:r>
    </w:p>
    <w:p w:rsidR="00CC050C" w:rsidRPr="00C50455" w:rsidRDefault="00CC050C" w:rsidP="00584F63">
      <w:pPr>
        <w:spacing w:after="200"/>
        <w:contextualSpacing/>
        <w:rPr>
          <w:rFonts w:eastAsia="Calibri"/>
          <w:sz w:val="24"/>
          <w:szCs w:val="24"/>
        </w:rPr>
      </w:pPr>
    </w:p>
    <w:p w:rsidR="00CC050C" w:rsidRPr="00C50455" w:rsidRDefault="00CC050C" w:rsidP="00584F63">
      <w:pPr>
        <w:spacing w:after="200"/>
        <w:contextualSpacing/>
        <w:rPr>
          <w:rFonts w:eastAsia="Calibri"/>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D3D68" w:rsidRPr="00C50455" w:rsidTr="005D3D68">
        <w:trPr>
          <w:tblCellSpacing w:w="15" w:type="dxa"/>
        </w:trPr>
        <w:tc>
          <w:tcPr>
            <w:tcW w:w="0" w:type="auto"/>
            <w:vAlign w:val="center"/>
            <w:hideMark/>
          </w:tcPr>
          <w:p w:rsidR="005D3D68" w:rsidRPr="00C50455" w:rsidRDefault="005D3D68" w:rsidP="00D23E03">
            <w:pPr>
              <w:rPr>
                <w:sz w:val="24"/>
                <w:szCs w:val="24"/>
              </w:rPr>
            </w:pPr>
          </w:p>
        </w:tc>
      </w:tr>
    </w:tbl>
    <w:p w:rsidR="005D3D68" w:rsidRPr="00F433AF" w:rsidRDefault="005D3D68" w:rsidP="00F433AF">
      <w:pPr>
        <w:rPr>
          <w:vanish/>
          <w:sz w:val="24"/>
          <w:szCs w:val="24"/>
        </w:rPr>
      </w:pPr>
    </w:p>
    <w:sectPr w:rsidR="005D3D68" w:rsidRPr="00F433AF">
      <w:headerReference w:type="even" r:id="rId16"/>
      <w:headerReference w:type="default" r:id="rId17"/>
      <w:footerReference w:type="even" r:id="rId18"/>
      <w:footerReference w:type="default" r:id="rId19"/>
      <w:headerReference w:type="first" r:id="rId20"/>
      <w:footerReference w:type="first" r:id="rId21"/>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41" w:rsidRDefault="00564041">
      <w:r>
        <w:separator/>
      </w:r>
    </w:p>
  </w:endnote>
  <w:endnote w:type="continuationSeparator" w:id="0">
    <w:p w:rsidR="00564041" w:rsidRDefault="00564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B" w:rsidRDefault="005B3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868843"/>
      <w:docPartObj>
        <w:docPartGallery w:val="Page Numbers (Bottom of Page)"/>
        <w:docPartUnique/>
      </w:docPartObj>
    </w:sdtPr>
    <w:sdtEndPr>
      <w:rPr>
        <w:noProof/>
      </w:rPr>
    </w:sdtEndPr>
    <w:sdtContent>
      <w:p w:rsidR="00093AA3" w:rsidRDefault="00093AA3">
        <w:pPr>
          <w:pStyle w:val="Footer"/>
          <w:jc w:val="center"/>
        </w:pPr>
        <w:r>
          <w:fldChar w:fldCharType="begin"/>
        </w:r>
        <w:r>
          <w:instrText xml:space="preserve"> PAGE   \* MERGEFORMAT </w:instrText>
        </w:r>
        <w:r>
          <w:fldChar w:fldCharType="separate"/>
        </w:r>
        <w:r w:rsidR="008004B6">
          <w:rPr>
            <w:noProof/>
          </w:rPr>
          <w:t>2</w:t>
        </w:r>
        <w:r>
          <w:rPr>
            <w:noProof/>
          </w:rPr>
          <w:fldChar w:fldCharType="end"/>
        </w:r>
      </w:p>
    </w:sdtContent>
  </w:sdt>
  <w:p w:rsidR="00093AA3" w:rsidRDefault="00093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B" w:rsidRDefault="005B31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41" w:rsidRDefault="00564041">
      <w:r>
        <w:separator/>
      </w:r>
    </w:p>
  </w:footnote>
  <w:footnote w:type="continuationSeparator" w:id="0">
    <w:p w:rsidR="00564041" w:rsidRDefault="00564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B" w:rsidRDefault="005B3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2B" w:rsidRDefault="005B31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A3" w:rsidRDefault="008004B6">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5409750" r:id="rId2"/>
      </w:pict>
    </w:r>
    <w:r w:rsidR="00093AA3">
      <w:rPr>
        <w:rFonts w:ascii="CG Times (W1)" w:hAnsi="CG Times (W1)"/>
        <w:sz w:val="28"/>
      </w:rPr>
      <w:t>Federal Communications Commission</w:t>
    </w:r>
  </w:p>
  <w:p w:rsidR="00093AA3" w:rsidRDefault="00093AA3">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093AA3" w:rsidRPr="009C623C" w:rsidRDefault="00093AA3">
    <w:pPr>
      <w:pStyle w:val="Header"/>
      <w:tabs>
        <w:tab w:val="clear" w:pos="4320"/>
      </w:tabs>
      <w:jc w:val="center"/>
      <w:rPr>
        <w:color w:val="FFFFFF" w:themeColor="background1"/>
        <w:sz w:val="22"/>
      </w:rPr>
    </w:pPr>
  </w:p>
  <w:p w:rsidR="00093AA3" w:rsidRPr="009C623C" w:rsidRDefault="00093AA3" w:rsidP="00FC3E2D">
    <w:pPr>
      <w:pStyle w:val="Header"/>
      <w:tabs>
        <w:tab w:val="clear" w:pos="4320"/>
      </w:tabs>
      <w:jc w:val="center"/>
      <w:rPr>
        <w:sz w:val="24"/>
        <w:szCs w:val="24"/>
      </w:rPr>
    </w:pPr>
    <w:r w:rsidRPr="009C623C">
      <w:rPr>
        <w:sz w:val="24"/>
        <w:szCs w:val="24"/>
      </w:rPr>
      <w:t xml:space="preserve">October </w:t>
    </w:r>
    <w:r w:rsidR="009C623C" w:rsidRPr="009C623C">
      <w:rPr>
        <w:sz w:val="24"/>
        <w:szCs w:val="24"/>
      </w:rPr>
      <w:t>21</w:t>
    </w:r>
    <w:r w:rsidRPr="009C623C">
      <w:rPr>
        <w:sz w:val="24"/>
        <w:szCs w:val="24"/>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298"/>
    <w:multiLevelType w:val="hybridMultilevel"/>
    <w:tmpl w:val="A5C64E9C"/>
    <w:lvl w:ilvl="0" w:tplc="F858FE00">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62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C30EFB"/>
    <w:multiLevelType w:val="hybridMultilevel"/>
    <w:tmpl w:val="19A2CE02"/>
    <w:lvl w:ilvl="0" w:tplc="F858FE00">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161826"/>
    <w:multiLevelType w:val="hybridMultilevel"/>
    <w:tmpl w:val="289E92E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210A2F65"/>
    <w:multiLevelType w:val="hybridMultilevel"/>
    <w:tmpl w:val="04C0B026"/>
    <w:lvl w:ilvl="0" w:tplc="F858FE00">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7B2C5D"/>
    <w:multiLevelType w:val="hybridMultilevel"/>
    <w:tmpl w:val="67DE4CA2"/>
    <w:lvl w:ilvl="0" w:tplc="F858FE00">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1C7499"/>
    <w:multiLevelType w:val="hybridMultilevel"/>
    <w:tmpl w:val="37FE5A24"/>
    <w:lvl w:ilvl="0" w:tplc="F858FE00">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390E2D"/>
    <w:multiLevelType w:val="multilevel"/>
    <w:tmpl w:val="86F04542"/>
    <w:lvl w:ilvl="0">
      <w:start w:val="1"/>
      <w:numFmt w:val="upperRoman"/>
      <w:lvlText w:val="%1."/>
      <w:lvlJc w:val="left"/>
      <w:pPr>
        <w:ind w:left="720" w:hanging="720"/>
      </w:pPr>
      <w:rPr>
        <w:rFonts w:hint="default"/>
      </w:rPr>
    </w:lvl>
    <w:lvl w:ilvl="1">
      <w:start w:val="1"/>
      <w:numFmt w:val="bullet"/>
      <w:lvlText w:val=""/>
      <w:lvlJc w:val="left"/>
      <w:pPr>
        <w:ind w:left="1080" w:hanging="360"/>
      </w:pPr>
      <w:rPr>
        <w:rFonts w:ascii="Wingdings" w:hAnsi="Wingdings" w:hint="default"/>
      </w:rPr>
    </w:lvl>
    <w:lvl w:ilvl="2">
      <w:start w:val="1"/>
      <w:numFmt w:val="bullet"/>
      <w:lvlText w:val="o"/>
      <w:lvlJc w:val="left"/>
      <w:pPr>
        <w:ind w:left="1800" w:hanging="180"/>
      </w:pPr>
      <w:rPr>
        <w:rFonts w:ascii="Courier New" w:hAnsi="Courier New" w:cs="Courier New"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6FFA09AE"/>
    <w:multiLevelType w:val="hybridMultilevel"/>
    <w:tmpl w:val="B6A2E92E"/>
    <w:lvl w:ilvl="0" w:tplc="7AC67666">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A3DE4"/>
    <w:multiLevelType w:val="hybridMultilevel"/>
    <w:tmpl w:val="50507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4"/>
  </w:num>
  <w:num w:numId="5">
    <w:abstractNumId w:val="3"/>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A51"/>
    <w:rsid w:val="00006E5F"/>
    <w:rsid w:val="000070CD"/>
    <w:rsid w:val="000149E0"/>
    <w:rsid w:val="00017EFE"/>
    <w:rsid w:val="00022733"/>
    <w:rsid w:val="0002518A"/>
    <w:rsid w:val="000468A2"/>
    <w:rsid w:val="00055603"/>
    <w:rsid w:val="00063BA2"/>
    <w:rsid w:val="00064AA7"/>
    <w:rsid w:val="000679D2"/>
    <w:rsid w:val="00093AA3"/>
    <w:rsid w:val="000959ED"/>
    <w:rsid w:val="000B273B"/>
    <w:rsid w:val="000D72B4"/>
    <w:rsid w:val="000F0E10"/>
    <w:rsid w:val="000F5314"/>
    <w:rsid w:val="000F5B06"/>
    <w:rsid w:val="00100627"/>
    <w:rsid w:val="00102DC2"/>
    <w:rsid w:val="00137579"/>
    <w:rsid w:val="0014085C"/>
    <w:rsid w:val="00151AA6"/>
    <w:rsid w:val="00152175"/>
    <w:rsid w:val="0015264F"/>
    <w:rsid w:val="00153FB0"/>
    <w:rsid w:val="00163300"/>
    <w:rsid w:val="00163DB9"/>
    <w:rsid w:val="0017301C"/>
    <w:rsid w:val="001827AD"/>
    <w:rsid w:val="001B210F"/>
    <w:rsid w:val="001C5A12"/>
    <w:rsid w:val="001D646A"/>
    <w:rsid w:val="001D6C71"/>
    <w:rsid w:val="001E3A59"/>
    <w:rsid w:val="001F65F2"/>
    <w:rsid w:val="001F7673"/>
    <w:rsid w:val="00200340"/>
    <w:rsid w:val="002024A7"/>
    <w:rsid w:val="00206FEE"/>
    <w:rsid w:val="00212629"/>
    <w:rsid w:val="00220260"/>
    <w:rsid w:val="002219CD"/>
    <w:rsid w:val="00221A97"/>
    <w:rsid w:val="00241FD2"/>
    <w:rsid w:val="00243EDF"/>
    <w:rsid w:val="002517F8"/>
    <w:rsid w:val="00263FD4"/>
    <w:rsid w:val="00264377"/>
    <w:rsid w:val="0026688F"/>
    <w:rsid w:val="00286466"/>
    <w:rsid w:val="00297D3D"/>
    <w:rsid w:val="002A3718"/>
    <w:rsid w:val="002D67F3"/>
    <w:rsid w:val="002E5E1C"/>
    <w:rsid w:val="00300844"/>
    <w:rsid w:val="00310ABC"/>
    <w:rsid w:val="003126BF"/>
    <w:rsid w:val="00327E7A"/>
    <w:rsid w:val="00330C0C"/>
    <w:rsid w:val="00333E74"/>
    <w:rsid w:val="00364943"/>
    <w:rsid w:val="0037264B"/>
    <w:rsid w:val="00377837"/>
    <w:rsid w:val="00381BAA"/>
    <w:rsid w:val="003862A4"/>
    <w:rsid w:val="0038729B"/>
    <w:rsid w:val="003B0062"/>
    <w:rsid w:val="003B1D45"/>
    <w:rsid w:val="003B1F5C"/>
    <w:rsid w:val="003B470D"/>
    <w:rsid w:val="003B7C9E"/>
    <w:rsid w:val="003C3694"/>
    <w:rsid w:val="003C56B3"/>
    <w:rsid w:val="003D02FC"/>
    <w:rsid w:val="003D1DE8"/>
    <w:rsid w:val="003D26B0"/>
    <w:rsid w:val="003E1F8A"/>
    <w:rsid w:val="003E5883"/>
    <w:rsid w:val="003F0211"/>
    <w:rsid w:val="003F3E0A"/>
    <w:rsid w:val="00401993"/>
    <w:rsid w:val="00407EBD"/>
    <w:rsid w:val="00433215"/>
    <w:rsid w:val="00433A78"/>
    <w:rsid w:val="004455D5"/>
    <w:rsid w:val="00454DFB"/>
    <w:rsid w:val="00455600"/>
    <w:rsid w:val="004559A9"/>
    <w:rsid w:val="00460DC4"/>
    <w:rsid w:val="004644B2"/>
    <w:rsid w:val="00476505"/>
    <w:rsid w:val="00484E2B"/>
    <w:rsid w:val="00485830"/>
    <w:rsid w:val="00492CD9"/>
    <w:rsid w:val="00493681"/>
    <w:rsid w:val="00497A91"/>
    <w:rsid w:val="004A7553"/>
    <w:rsid w:val="004B0F24"/>
    <w:rsid w:val="004B508B"/>
    <w:rsid w:val="004B5AD6"/>
    <w:rsid w:val="004C0DF6"/>
    <w:rsid w:val="004C46C6"/>
    <w:rsid w:val="004C6A5B"/>
    <w:rsid w:val="004C6BE8"/>
    <w:rsid w:val="004C73F6"/>
    <w:rsid w:val="004C77E9"/>
    <w:rsid w:val="004E4988"/>
    <w:rsid w:val="004F5DA8"/>
    <w:rsid w:val="004F68B4"/>
    <w:rsid w:val="00502545"/>
    <w:rsid w:val="005047FB"/>
    <w:rsid w:val="00506ADE"/>
    <w:rsid w:val="00514F0F"/>
    <w:rsid w:val="0051586D"/>
    <w:rsid w:val="00521E75"/>
    <w:rsid w:val="005264B6"/>
    <w:rsid w:val="00533965"/>
    <w:rsid w:val="00535240"/>
    <w:rsid w:val="00545575"/>
    <w:rsid w:val="00556A31"/>
    <w:rsid w:val="00564041"/>
    <w:rsid w:val="005763C9"/>
    <w:rsid w:val="00582549"/>
    <w:rsid w:val="00582604"/>
    <w:rsid w:val="00583305"/>
    <w:rsid w:val="00584F63"/>
    <w:rsid w:val="00586B51"/>
    <w:rsid w:val="00591AEB"/>
    <w:rsid w:val="005A3B2A"/>
    <w:rsid w:val="005A6898"/>
    <w:rsid w:val="005B312B"/>
    <w:rsid w:val="005B4B7F"/>
    <w:rsid w:val="005C3159"/>
    <w:rsid w:val="005C51C6"/>
    <w:rsid w:val="005C534F"/>
    <w:rsid w:val="005D05EA"/>
    <w:rsid w:val="005D3D68"/>
    <w:rsid w:val="005D7E7A"/>
    <w:rsid w:val="005E4ACF"/>
    <w:rsid w:val="005E5116"/>
    <w:rsid w:val="005E5ED0"/>
    <w:rsid w:val="00604925"/>
    <w:rsid w:val="00604B4F"/>
    <w:rsid w:val="00607EE0"/>
    <w:rsid w:val="006169DD"/>
    <w:rsid w:val="00616E02"/>
    <w:rsid w:val="00621E6E"/>
    <w:rsid w:val="00630BD5"/>
    <w:rsid w:val="0063451F"/>
    <w:rsid w:val="0065205C"/>
    <w:rsid w:val="00654F06"/>
    <w:rsid w:val="006579FD"/>
    <w:rsid w:val="006752C7"/>
    <w:rsid w:val="00681105"/>
    <w:rsid w:val="0069159D"/>
    <w:rsid w:val="006A2114"/>
    <w:rsid w:val="006C0B2D"/>
    <w:rsid w:val="006C691B"/>
    <w:rsid w:val="006F291B"/>
    <w:rsid w:val="006F4073"/>
    <w:rsid w:val="006F4266"/>
    <w:rsid w:val="006F5A51"/>
    <w:rsid w:val="007128B2"/>
    <w:rsid w:val="00717179"/>
    <w:rsid w:val="00732915"/>
    <w:rsid w:val="00743776"/>
    <w:rsid w:val="00756B28"/>
    <w:rsid w:val="00777251"/>
    <w:rsid w:val="00786134"/>
    <w:rsid w:val="007919DB"/>
    <w:rsid w:val="007A1031"/>
    <w:rsid w:val="007A104E"/>
    <w:rsid w:val="007A162F"/>
    <w:rsid w:val="007A407A"/>
    <w:rsid w:val="007A5619"/>
    <w:rsid w:val="007B238E"/>
    <w:rsid w:val="007C33D8"/>
    <w:rsid w:val="007C36FD"/>
    <w:rsid w:val="007C3AB4"/>
    <w:rsid w:val="007C3D3D"/>
    <w:rsid w:val="007C76B9"/>
    <w:rsid w:val="007E0539"/>
    <w:rsid w:val="007E160A"/>
    <w:rsid w:val="007F27B8"/>
    <w:rsid w:val="007F5C6D"/>
    <w:rsid w:val="008004B6"/>
    <w:rsid w:val="00803F46"/>
    <w:rsid w:val="008127EF"/>
    <w:rsid w:val="00814CEB"/>
    <w:rsid w:val="00817148"/>
    <w:rsid w:val="00837928"/>
    <w:rsid w:val="00850A3C"/>
    <w:rsid w:val="00850CCD"/>
    <w:rsid w:val="0086093E"/>
    <w:rsid w:val="00861C0A"/>
    <w:rsid w:val="008750B3"/>
    <w:rsid w:val="00875BB6"/>
    <w:rsid w:val="00890491"/>
    <w:rsid w:val="00891638"/>
    <w:rsid w:val="00892BF0"/>
    <w:rsid w:val="008A4D99"/>
    <w:rsid w:val="008B2D85"/>
    <w:rsid w:val="008C412C"/>
    <w:rsid w:val="008D0E2A"/>
    <w:rsid w:val="008D213A"/>
    <w:rsid w:val="008F2A6C"/>
    <w:rsid w:val="008F42D7"/>
    <w:rsid w:val="008F4E63"/>
    <w:rsid w:val="00923C59"/>
    <w:rsid w:val="00944EC9"/>
    <w:rsid w:val="00945D6A"/>
    <w:rsid w:val="0095081B"/>
    <w:rsid w:val="00956328"/>
    <w:rsid w:val="009564D1"/>
    <w:rsid w:val="00957B38"/>
    <w:rsid w:val="00961597"/>
    <w:rsid w:val="00973AD5"/>
    <w:rsid w:val="00975FB4"/>
    <w:rsid w:val="009957AB"/>
    <w:rsid w:val="00995ABE"/>
    <w:rsid w:val="0099703D"/>
    <w:rsid w:val="009A27B3"/>
    <w:rsid w:val="009A2B0F"/>
    <w:rsid w:val="009B59B3"/>
    <w:rsid w:val="009C1C58"/>
    <w:rsid w:val="009C623C"/>
    <w:rsid w:val="009D0D4D"/>
    <w:rsid w:val="009D4B27"/>
    <w:rsid w:val="009E0CC7"/>
    <w:rsid w:val="009E7A29"/>
    <w:rsid w:val="00A23F60"/>
    <w:rsid w:val="00A37C9B"/>
    <w:rsid w:val="00A4287E"/>
    <w:rsid w:val="00A51F3C"/>
    <w:rsid w:val="00A5725E"/>
    <w:rsid w:val="00A67D77"/>
    <w:rsid w:val="00A7750D"/>
    <w:rsid w:val="00A80373"/>
    <w:rsid w:val="00A8106E"/>
    <w:rsid w:val="00A86D7C"/>
    <w:rsid w:val="00A904EB"/>
    <w:rsid w:val="00A9232A"/>
    <w:rsid w:val="00A92A3A"/>
    <w:rsid w:val="00A93AD2"/>
    <w:rsid w:val="00AA18B0"/>
    <w:rsid w:val="00AB25A4"/>
    <w:rsid w:val="00AB30E3"/>
    <w:rsid w:val="00AE478A"/>
    <w:rsid w:val="00AF2D9F"/>
    <w:rsid w:val="00AF75F9"/>
    <w:rsid w:val="00AF7A8F"/>
    <w:rsid w:val="00B208DE"/>
    <w:rsid w:val="00B24657"/>
    <w:rsid w:val="00B257FC"/>
    <w:rsid w:val="00B359D4"/>
    <w:rsid w:val="00B426C0"/>
    <w:rsid w:val="00B4722C"/>
    <w:rsid w:val="00B52F52"/>
    <w:rsid w:val="00B557EB"/>
    <w:rsid w:val="00B63877"/>
    <w:rsid w:val="00B879AC"/>
    <w:rsid w:val="00B97D4D"/>
    <w:rsid w:val="00BA0578"/>
    <w:rsid w:val="00BA7111"/>
    <w:rsid w:val="00BB0E01"/>
    <w:rsid w:val="00BD16C1"/>
    <w:rsid w:val="00BD2FB7"/>
    <w:rsid w:val="00BD5251"/>
    <w:rsid w:val="00BE552D"/>
    <w:rsid w:val="00C023F0"/>
    <w:rsid w:val="00C06578"/>
    <w:rsid w:val="00C0772C"/>
    <w:rsid w:val="00C12DC6"/>
    <w:rsid w:val="00C17D05"/>
    <w:rsid w:val="00C3060C"/>
    <w:rsid w:val="00C322FC"/>
    <w:rsid w:val="00C42B0A"/>
    <w:rsid w:val="00C44A07"/>
    <w:rsid w:val="00C47310"/>
    <w:rsid w:val="00C50455"/>
    <w:rsid w:val="00C64A7E"/>
    <w:rsid w:val="00C65186"/>
    <w:rsid w:val="00C67A01"/>
    <w:rsid w:val="00C74A90"/>
    <w:rsid w:val="00C8433E"/>
    <w:rsid w:val="00C8687F"/>
    <w:rsid w:val="00C92154"/>
    <w:rsid w:val="00C94218"/>
    <w:rsid w:val="00CA6D41"/>
    <w:rsid w:val="00CB3DE6"/>
    <w:rsid w:val="00CB3E0B"/>
    <w:rsid w:val="00CC050C"/>
    <w:rsid w:val="00CC2854"/>
    <w:rsid w:val="00CC3AE0"/>
    <w:rsid w:val="00CC6A87"/>
    <w:rsid w:val="00CD03EB"/>
    <w:rsid w:val="00CE13E4"/>
    <w:rsid w:val="00CE1FB5"/>
    <w:rsid w:val="00CE26DC"/>
    <w:rsid w:val="00CE2FF7"/>
    <w:rsid w:val="00CF4B5B"/>
    <w:rsid w:val="00D03246"/>
    <w:rsid w:val="00D14C73"/>
    <w:rsid w:val="00D14DF7"/>
    <w:rsid w:val="00D22D86"/>
    <w:rsid w:val="00D23E03"/>
    <w:rsid w:val="00D263DB"/>
    <w:rsid w:val="00D266D9"/>
    <w:rsid w:val="00D51F9B"/>
    <w:rsid w:val="00D542CF"/>
    <w:rsid w:val="00D55DA7"/>
    <w:rsid w:val="00D7154B"/>
    <w:rsid w:val="00D87EC4"/>
    <w:rsid w:val="00D90FCE"/>
    <w:rsid w:val="00DA2734"/>
    <w:rsid w:val="00DA3831"/>
    <w:rsid w:val="00DA6979"/>
    <w:rsid w:val="00DC0149"/>
    <w:rsid w:val="00DF4605"/>
    <w:rsid w:val="00DF5DAA"/>
    <w:rsid w:val="00DF5FD3"/>
    <w:rsid w:val="00E11CDE"/>
    <w:rsid w:val="00E14285"/>
    <w:rsid w:val="00E16494"/>
    <w:rsid w:val="00E2083D"/>
    <w:rsid w:val="00E20EC3"/>
    <w:rsid w:val="00E47272"/>
    <w:rsid w:val="00E47528"/>
    <w:rsid w:val="00E66D6F"/>
    <w:rsid w:val="00E715B8"/>
    <w:rsid w:val="00E81B80"/>
    <w:rsid w:val="00E8512A"/>
    <w:rsid w:val="00E91E0E"/>
    <w:rsid w:val="00E9429D"/>
    <w:rsid w:val="00E9582A"/>
    <w:rsid w:val="00E9669C"/>
    <w:rsid w:val="00EA531D"/>
    <w:rsid w:val="00EC2B46"/>
    <w:rsid w:val="00EC3C56"/>
    <w:rsid w:val="00EC63D4"/>
    <w:rsid w:val="00ED0775"/>
    <w:rsid w:val="00ED2544"/>
    <w:rsid w:val="00ED442B"/>
    <w:rsid w:val="00EE0B5E"/>
    <w:rsid w:val="00EE5BFF"/>
    <w:rsid w:val="00F03805"/>
    <w:rsid w:val="00F03EAB"/>
    <w:rsid w:val="00F04798"/>
    <w:rsid w:val="00F04E90"/>
    <w:rsid w:val="00F10791"/>
    <w:rsid w:val="00F14013"/>
    <w:rsid w:val="00F1564D"/>
    <w:rsid w:val="00F22654"/>
    <w:rsid w:val="00F266FB"/>
    <w:rsid w:val="00F3381C"/>
    <w:rsid w:val="00F36039"/>
    <w:rsid w:val="00F433AF"/>
    <w:rsid w:val="00F547AA"/>
    <w:rsid w:val="00F56220"/>
    <w:rsid w:val="00F6007B"/>
    <w:rsid w:val="00F723D5"/>
    <w:rsid w:val="00F7541B"/>
    <w:rsid w:val="00F75DE3"/>
    <w:rsid w:val="00F76448"/>
    <w:rsid w:val="00F93175"/>
    <w:rsid w:val="00FA1D8D"/>
    <w:rsid w:val="00FA4A3D"/>
    <w:rsid w:val="00FB05C0"/>
    <w:rsid w:val="00FC04E4"/>
    <w:rsid w:val="00FC3E2D"/>
    <w:rsid w:val="00FC7CD8"/>
    <w:rsid w:val="00FD6E6A"/>
    <w:rsid w:val="00FE7D01"/>
    <w:rsid w:val="00FF1C82"/>
    <w:rsid w:val="00FF5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A104E"/>
    <w:rPr>
      <w:color w:val="0000FF"/>
      <w:u w:val="single"/>
    </w:rPr>
  </w:style>
  <w:style w:type="paragraph" w:styleId="ListParagraph">
    <w:name w:val="List Paragraph"/>
    <w:basedOn w:val="Normal"/>
    <w:uiPriority w:val="34"/>
    <w:qFormat/>
    <w:rsid w:val="00CE1FB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D3D68"/>
    <w:pPr>
      <w:spacing w:before="100" w:beforeAutospacing="1" w:after="100" w:afterAutospacing="1"/>
    </w:pPr>
    <w:rPr>
      <w:sz w:val="24"/>
      <w:szCs w:val="24"/>
    </w:rPr>
  </w:style>
  <w:style w:type="character" w:styleId="Strong">
    <w:name w:val="Strong"/>
    <w:basedOn w:val="DefaultParagraphFont"/>
    <w:uiPriority w:val="22"/>
    <w:qFormat/>
    <w:rsid w:val="005D3D68"/>
    <w:rPr>
      <w:b/>
      <w:bCs/>
    </w:rPr>
  </w:style>
  <w:style w:type="character" w:customStyle="1" w:styleId="print-footnote">
    <w:name w:val="print-footnote"/>
    <w:basedOn w:val="DefaultParagraphFont"/>
    <w:rsid w:val="005D3D68"/>
  </w:style>
  <w:style w:type="character" w:customStyle="1" w:styleId="FooterChar">
    <w:name w:val="Footer Char"/>
    <w:basedOn w:val="DefaultParagraphFont"/>
    <w:link w:val="Footer"/>
    <w:uiPriority w:val="99"/>
    <w:rsid w:val="007128B2"/>
  </w:style>
  <w:style w:type="paragraph" w:styleId="BalloonText">
    <w:name w:val="Balloon Text"/>
    <w:basedOn w:val="Normal"/>
    <w:link w:val="BalloonTextChar"/>
    <w:rsid w:val="00D542CF"/>
    <w:rPr>
      <w:rFonts w:ascii="Tahoma" w:hAnsi="Tahoma" w:cs="Tahoma"/>
      <w:sz w:val="16"/>
      <w:szCs w:val="16"/>
    </w:rPr>
  </w:style>
  <w:style w:type="character" w:customStyle="1" w:styleId="BalloonTextChar">
    <w:name w:val="Balloon Text Char"/>
    <w:basedOn w:val="DefaultParagraphFont"/>
    <w:link w:val="BalloonText"/>
    <w:rsid w:val="00D542CF"/>
    <w:rPr>
      <w:rFonts w:ascii="Tahoma" w:hAnsi="Tahoma" w:cs="Tahoma"/>
      <w:sz w:val="16"/>
      <w:szCs w:val="16"/>
    </w:rPr>
  </w:style>
  <w:style w:type="paragraph" w:styleId="FootnoteText">
    <w:name w:val="footnote text"/>
    <w:basedOn w:val="Normal"/>
    <w:link w:val="FootnoteTextChar"/>
    <w:rsid w:val="003D1DE8"/>
  </w:style>
  <w:style w:type="character" w:customStyle="1" w:styleId="FootnoteTextChar">
    <w:name w:val="Footnote Text Char"/>
    <w:basedOn w:val="DefaultParagraphFont"/>
    <w:link w:val="FootnoteText"/>
    <w:rsid w:val="003D1DE8"/>
  </w:style>
  <w:style w:type="character" w:styleId="FootnoteReference">
    <w:name w:val="footnote reference"/>
    <w:aliases w:val="Appel note de bas de p,Style 12,(NECG) Footnote Reference,Style 124,Style 13,fr,o,Style 3,FR"/>
    <w:rsid w:val="003D1DE8"/>
    <w:rPr>
      <w:vertAlign w:val="superscript"/>
    </w:rPr>
  </w:style>
  <w:style w:type="table" w:styleId="TableGrid">
    <w:name w:val="Table Grid"/>
    <w:basedOn w:val="TableNormal"/>
    <w:rsid w:val="0085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67D77"/>
    <w:rPr>
      <w:sz w:val="16"/>
      <w:szCs w:val="16"/>
    </w:rPr>
  </w:style>
  <w:style w:type="paragraph" w:styleId="CommentText">
    <w:name w:val="annotation text"/>
    <w:basedOn w:val="Normal"/>
    <w:link w:val="CommentTextChar"/>
    <w:rsid w:val="00A67D77"/>
  </w:style>
  <w:style w:type="character" w:customStyle="1" w:styleId="CommentTextChar">
    <w:name w:val="Comment Text Char"/>
    <w:basedOn w:val="DefaultParagraphFont"/>
    <w:link w:val="CommentText"/>
    <w:rsid w:val="00A67D77"/>
  </w:style>
  <w:style w:type="paragraph" w:styleId="CommentSubject">
    <w:name w:val="annotation subject"/>
    <w:basedOn w:val="CommentText"/>
    <w:next w:val="CommentText"/>
    <w:link w:val="CommentSubjectChar"/>
    <w:rsid w:val="00A67D77"/>
    <w:rPr>
      <w:b/>
      <w:bCs/>
    </w:rPr>
  </w:style>
  <w:style w:type="character" w:customStyle="1" w:styleId="CommentSubjectChar">
    <w:name w:val="Comment Subject Char"/>
    <w:basedOn w:val="CommentTextChar"/>
    <w:link w:val="CommentSubject"/>
    <w:rsid w:val="00A67D77"/>
    <w:rPr>
      <w:b/>
      <w:bCs/>
    </w:rPr>
  </w:style>
  <w:style w:type="paragraph" w:styleId="Revision">
    <w:name w:val="Revision"/>
    <w:hidden/>
    <w:uiPriority w:val="99"/>
    <w:semiHidden/>
    <w:rsid w:val="00A67D77"/>
  </w:style>
  <w:style w:type="character" w:styleId="FollowedHyperlink">
    <w:name w:val="FollowedHyperlink"/>
    <w:basedOn w:val="DefaultParagraphFont"/>
    <w:rsid w:val="004559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7A104E"/>
    <w:rPr>
      <w:color w:val="0000FF"/>
      <w:u w:val="single"/>
    </w:rPr>
  </w:style>
  <w:style w:type="paragraph" w:styleId="ListParagraph">
    <w:name w:val="List Paragraph"/>
    <w:basedOn w:val="Normal"/>
    <w:uiPriority w:val="34"/>
    <w:qFormat/>
    <w:rsid w:val="00CE1FB5"/>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5D3D68"/>
    <w:pPr>
      <w:spacing w:before="100" w:beforeAutospacing="1" w:after="100" w:afterAutospacing="1"/>
    </w:pPr>
    <w:rPr>
      <w:sz w:val="24"/>
      <w:szCs w:val="24"/>
    </w:rPr>
  </w:style>
  <w:style w:type="character" w:styleId="Strong">
    <w:name w:val="Strong"/>
    <w:basedOn w:val="DefaultParagraphFont"/>
    <w:uiPriority w:val="22"/>
    <w:qFormat/>
    <w:rsid w:val="005D3D68"/>
    <w:rPr>
      <w:b/>
      <w:bCs/>
    </w:rPr>
  </w:style>
  <w:style w:type="character" w:customStyle="1" w:styleId="print-footnote">
    <w:name w:val="print-footnote"/>
    <w:basedOn w:val="DefaultParagraphFont"/>
    <w:rsid w:val="005D3D68"/>
  </w:style>
  <w:style w:type="character" w:customStyle="1" w:styleId="FooterChar">
    <w:name w:val="Footer Char"/>
    <w:basedOn w:val="DefaultParagraphFont"/>
    <w:link w:val="Footer"/>
    <w:uiPriority w:val="99"/>
    <w:rsid w:val="007128B2"/>
  </w:style>
  <w:style w:type="paragraph" w:styleId="BalloonText">
    <w:name w:val="Balloon Text"/>
    <w:basedOn w:val="Normal"/>
    <w:link w:val="BalloonTextChar"/>
    <w:rsid w:val="00D542CF"/>
    <w:rPr>
      <w:rFonts w:ascii="Tahoma" w:hAnsi="Tahoma" w:cs="Tahoma"/>
      <w:sz w:val="16"/>
      <w:szCs w:val="16"/>
    </w:rPr>
  </w:style>
  <w:style w:type="character" w:customStyle="1" w:styleId="BalloonTextChar">
    <w:name w:val="Balloon Text Char"/>
    <w:basedOn w:val="DefaultParagraphFont"/>
    <w:link w:val="BalloonText"/>
    <w:rsid w:val="00D542CF"/>
    <w:rPr>
      <w:rFonts w:ascii="Tahoma" w:hAnsi="Tahoma" w:cs="Tahoma"/>
      <w:sz w:val="16"/>
      <w:szCs w:val="16"/>
    </w:rPr>
  </w:style>
  <w:style w:type="paragraph" w:styleId="FootnoteText">
    <w:name w:val="footnote text"/>
    <w:basedOn w:val="Normal"/>
    <w:link w:val="FootnoteTextChar"/>
    <w:rsid w:val="003D1DE8"/>
  </w:style>
  <w:style w:type="character" w:customStyle="1" w:styleId="FootnoteTextChar">
    <w:name w:val="Footnote Text Char"/>
    <w:basedOn w:val="DefaultParagraphFont"/>
    <w:link w:val="FootnoteText"/>
    <w:rsid w:val="003D1DE8"/>
  </w:style>
  <w:style w:type="character" w:styleId="FootnoteReference">
    <w:name w:val="footnote reference"/>
    <w:aliases w:val="Appel note de bas de p,Style 12,(NECG) Footnote Reference,Style 124,Style 13,fr,o,Style 3,FR"/>
    <w:rsid w:val="003D1DE8"/>
    <w:rPr>
      <w:vertAlign w:val="superscript"/>
    </w:rPr>
  </w:style>
  <w:style w:type="table" w:styleId="TableGrid">
    <w:name w:val="Table Grid"/>
    <w:basedOn w:val="TableNormal"/>
    <w:rsid w:val="00850C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A67D77"/>
    <w:rPr>
      <w:sz w:val="16"/>
      <w:szCs w:val="16"/>
    </w:rPr>
  </w:style>
  <w:style w:type="paragraph" w:styleId="CommentText">
    <w:name w:val="annotation text"/>
    <w:basedOn w:val="Normal"/>
    <w:link w:val="CommentTextChar"/>
    <w:rsid w:val="00A67D77"/>
  </w:style>
  <w:style w:type="character" w:customStyle="1" w:styleId="CommentTextChar">
    <w:name w:val="Comment Text Char"/>
    <w:basedOn w:val="DefaultParagraphFont"/>
    <w:link w:val="CommentText"/>
    <w:rsid w:val="00A67D77"/>
  </w:style>
  <w:style w:type="paragraph" w:styleId="CommentSubject">
    <w:name w:val="annotation subject"/>
    <w:basedOn w:val="CommentText"/>
    <w:next w:val="CommentText"/>
    <w:link w:val="CommentSubjectChar"/>
    <w:rsid w:val="00A67D77"/>
    <w:rPr>
      <w:b/>
      <w:bCs/>
    </w:rPr>
  </w:style>
  <w:style w:type="character" w:customStyle="1" w:styleId="CommentSubjectChar">
    <w:name w:val="Comment Subject Char"/>
    <w:basedOn w:val="CommentTextChar"/>
    <w:link w:val="CommentSubject"/>
    <w:rsid w:val="00A67D77"/>
    <w:rPr>
      <w:b/>
      <w:bCs/>
    </w:rPr>
  </w:style>
  <w:style w:type="paragraph" w:styleId="Revision">
    <w:name w:val="Revision"/>
    <w:hidden/>
    <w:uiPriority w:val="99"/>
    <w:semiHidden/>
    <w:rsid w:val="00A67D77"/>
  </w:style>
  <w:style w:type="character" w:styleId="FollowedHyperlink">
    <w:name w:val="FollowedHyperlink"/>
    <w:basedOn w:val="DefaultParagraphFont"/>
    <w:rsid w:val="00455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75705">
      <w:bodyDiv w:val="1"/>
      <w:marLeft w:val="0"/>
      <w:marRight w:val="0"/>
      <w:marTop w:val="0"/>
      <w:marBottom w:val="0"/>
      <w:divBdr>
        <w:top w:val="none" w:sz="0" w:space="0" w:color="auto"/>
        <w:left w:val="none" w:sz="0" w:space="0" w:color="auto"/>
        <w:bottom w:val="none" w:sz="0" w:space="0" w:color="auto"/>
        <w:right w:val="none" w:sz="0" w:space="0" w:color="auto"/>
      </w:divBdr>
    </w:div>
    <w:div w:id="17218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maps/regulatory-type-holding-company-level-study-area" TargetMode="External"/><Relationship Id="rId13" Type="http://schemas.openxmlformats.org/officeDocument/2006/relationships/hyperlink" Target="http://www.fcc.gov/encyclopedia/special-access-data-collection-overview-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fcc.gov/encyclopedia/special-access-data-collection-overview-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mail.fcc.gov/owa/redir.aspx?C=69945b21a2ce4e748e240b0b9fc4a9e3&amp;URL=https%3a%2f%2fspecialaccessfiling.fcc.gov%2fspadc%2flogin" TargetMode="External"/><Relationship Id="rId5" Type="http://schemas.openxmlformats.org/officeDocument/2006/relationships/webSettings" Target="webSettings.xml"/><Relationship Id="rId15" Type="http://schemas.openxmlformats.org/officeDocument/2006/relationships/hyperlink" Target="http://www.reginfo.gov/public/do/PRAViewICR?ref_nbr=201311-3060-001" TargetMode="External"/><Relationship Id="rId23" Type="http://schemas.openxmlformats.org/officeDocument/2006/relationships/theme" Target="theme/theme1.xml"/><Relationship Id="rId10" Type="http://schemas.openxmlformats.org/officeDocument/2006/relationships/hyperlink" Target="http://www.fcc.gov/encyclopedia/special-access-data-collection-overview-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specialaccess.fcc.gov/spadc/logi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3638</Words>
  <Characters>19346</Characters>
  <Application>Microsoft Office Word</Application>
  <DocSecurity>0</DocSecurity>
  <Lines>452</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22975</CharactersWithSpaces>
  <SharedDoc>false</SharedDoc>
  <HyperlinkBase> </HyperlinkBase>
  <HLinks>
    <vt:vector size="6" baseType="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2014-10-21T19:16:00Z</dcterms:created>
  <dcterms:modified xsi:type="dcterms:W3CDTF">2014-10-21T19:16:00Z</dcterms:modified>
  <cp:category> </cp:category>
  <cp:contentStatus> </cp:contentStatus>
</cp:coreProperties>
</file>