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76" w:rsidRPr="00681454" w:rsidRDefault="00633232" w:rsidP="00A02DF2">
      <w:pPr>
        <w:tabs>
          <w:tab w:val="left" w:pos="-1440"/>
          <w:tab w:val="left" w:pos="-720"/>
          <w:tab w:val="left" w:pos="4788"/>
          <w:tab w:val="left" w:pos="5040"/>
          <w:tab w:val="left" w:pos="6480"/>
        </w:tabs>
        <w:suppressAutoHyphens/>
        <w:outlineLvl w:val="0"/>
        <w:rPr>
          <w:color w:val="000000"/>
          <w:sz w:val="22"/>
          <w:szCs w:val="22"/>
        </w:rPr>
      </w:pPr>
      <w:bookmarkStart w:id="0" w:name="_GoBack"/>
      <w:bookmarkEnd w:id="0"/>
      <w:r w:rsidRPr="00F50E07">
        <w:rPr>
          <w:color w:val="000000"/>
          <w:sz w:val="22"/>
          <w:szCs w:val="22"/>
        </w:rPr>
        <w:t xml:space="preserve">                                                  </w:t>
      </w:r>
      <w:r w:rsidRPr="00F50E07">
        <w:rPr>
          <w:color w:val="000000"/>
          <w:sz w:val="22"/>
          <w:szCs w:val="22"/>
        </w:rPr>
        <w:tab/>
      </w:r>
      <w:r w:rsidRPr="00F50E07">
        <w:rPr>
          <w:color w:val="000000"/>
          <w:sz w:val="22"/>
          <w:szCs w:val="22"/>
        </w:rPr>
        <w:tab/>
      </w:r>
      <w:r w:rsidR="00B529DD" w:rsidRPr="00F50E07">
        <w:rPr>
          <w:color w:val="000000"/>
          <w:sz w:val="22"/>
          <w:szCs w:val="22"/>
        </w:rPr>
        <w:tab/>
      </w:r>
      <w:r w:rsidR="00E83E76" w:rsidRPr="00681454">
        <w:rPr>
          <w:color w:val="000000"/>
          <w:sz w:val="22"/>
          <w:szCs w:val="22"/>
        </w:rPr>
        <w:t xml:space="preserve">DA </w:t>
      </w:r>
      <w:r w:rsidR="00164036" w:rsidRPr="00164036">
        <w:rPr>
          <w:color w:val="000000"/>
          <w:sz w:val="22"/>
          <w:szCs w:val="22"/>
        </w:rPr>
        <w:t>14-1527</w:t>
      </w:r>
    </w:p>
    <w:p w:rsidR="00633232" w:rsidRPr="00F50E07" w:rsidRDefault="00E83E76" w:rsidP="00A02DF2">
      <w:pPr>
        <w:tabs>
          <w:tab w:val="left" w:pos="-1440"/>
          <w:tab w:val="left" w:pos="-720"/>
          <w:tab w:val="left" w:pos="4788"/>
          <w:tab w:val="left" w:pos="5040"/>
          <w:tab w:val="left" w:pos="6480"/>
        </w:tabs>
        <w:suppressAutoHyphens/>
        <w:outlineLvl w:val="0"/>
        <w:rPr>
          <w:i/>
          <w:color w:val="000000"/>
        </w:rPr>
      </w:pPr>
      <w:r>
        <w:rPr>
          <w:color w:val="000000"/>
          <w:sz w:val="22"/>
          <w:szCs w:val="22"/>
        </w:rPr>
        <w:tab/>
      </w:r>
      <w:r>
        <w:rPr>
          <w:color w:val="000000"/>
          <w:sz w:val="22"/>
          <w:szCs w:val="22"/>
        </w:rPr>
        <w:tab/>
      </w:r>
      <w:r>
        <w:rPr>
          <w:color w:val="000000"/>
          <w:sz w:val="22"/>
          <w:szCs w:val="22"/>
        </w:rPr>
        <w:tab/>
      </w:r>
      <w:r w:rsidR="00633232" w:rsidRPr="00F50E07">
        <w:rPr>
          <w:i/>
          <w:color w:val="000000"/>
        </w:rPr>
        <w:t>In Reply Refer to:</w:t>
      </w:r>
    </w:p>
    <w:p w:rsidR="00E83E76" w:rsidRDefault="00633232" w:rsidP="00991028">
      <w:pPr>
        <w:tabs>
          <w:tab w:val="left" w:pos="0"/>
          <w:tab w:val="left" w:pos="6480"/>
        </w:tabs>
        <w:suppressAutoHyphens/>
        <w:outlineLvl w:val="0"/>
        <w:rPr>
          <w:color w:val="000000"/>
        </w:rPr>
      </w:pPr>
      <w:r w:rsidRPr="00F50E07">
        <w:rPr>
          <w:color w:val="000000"/>
        </w:rPr>
        <w:tab/>
      </w:r>
      <w:r w:rsidR="002B4D80" w:rsidRPr="00F50E07">
        <w:rPr>
          <w:color w:val="000000"/>
        </w:rPr>
        <w:t>1</w:t>
      </w:r>
      <w:r w:rsidRPr="00F50E07">
        <w:rPr>
          <w:color w:val="000000"/>
        </w:rPr>
        <w:t>800B3-</w:t>
      </w:r>
      <w:r w:rsidR="008127D0" w:rsidRPr="00F50E07">
        <w:rPr>
          <w:color w:val="000000"/>
        </w:rPr>
        <w:t>ATS</w:t>
      </w:r>
    </w:p>
    <w:p w:rsidR="00C450BE" w:rsidRPr="00F50E07" w:rsidRDefault="00E83E76" w:rsidP="00991028">
      <w:pPr>
        <w:tabs>
          <w:tab w:val="left" w:pos="0"/>
          <w:tab w:val="left" w:pos="6480"/>
        </w:tabs>
        <w:suppressAutoHyphens/>
        <w:outlineLvl w:val="0"/>
        <w:rPr>
          <w:color w:val="000000"/>
          <w:sz w:val="22"/>
          <w:szCs w:val="22"/>
        </w:rPr>
      </w:pPr>
      <w:r>
        <w:rPr>
          <w:color w:val="000000"/>
        </w:rPr>
        <w:tab/>
        <w:t xml:space="preserve">Released: </w:t>
      </w:r>
      <w:r w:rsidR="00C30BC6">
        <w:rPr>
          <w:color w:val="000000"/>
        </w:rPr>
        <w:t>October 23, 2014</w:t>
      </w:r>
      <w:r w:rsidR="00C450BE" w:rsidRPr="00F50E07">
        <w:rPr>
          <w:color w:val="000000"/>
          <w:sz w:val="22"/>
          <w:szCs w:val="22"/>
        </w:rPr>
        <w:tab/>
      </w:r>
    </w:p>
    <w:p w:rsidR="00796C7E" w:rsidRPr="007C5761" w:rsidRDefault="00766A7E" w:rsidP="005914A8">
      <w:pPr>
        <w:rPr>
          <w:sz w:val="22"/>
          <w:szCs w:val="22"/>
        </w:rPr>
      </w:pPr>
      <w:r>
        <w:rPr>
          <w:sz w:val="22"/>
          <w:szCs w:val="22"/>
        </w:rPr>
        <w:t>Mr. Leo Ashcraft</w:t>
      </w:r>
    </w:p>
    <w:p w:rsidR="00766A7E" w:rsidRDefault="00766A7E" w:rsidP="005914A8">
      <w:pPr>
        <w:rPr>
          <w:sz w:val="22"/>
          <w:szCs w:val="22"/>
        </w:rPr>
      </w:pPr>
      <w:r>
        <w:rPr>
          <w:sz w:val="22"/>
          <w:szCs w:val="22"/>
        </w:rPr>
        <w:t>Boys &amp; Girls Club of Geneva, Inc.</w:t>
      </w:r>
    </w:p>
    <w:p w:rsidR="00E004EC" w:rsidRDefault="00766A7E" w:rsidP="005914A8">
      <w:pPr>
        <w:rPr>
          <w:sz w:val="22"/>
          <w:szCs w:val="22"/>
        </w:rPr>
      </w:pPr>
      <w:r>
        <w:rPr>
          <w:sz w:val="22"/>
          <w:szCs w:val="22"/>
        </w:rPr>
        <w:t>P.O. Box 160</w:t>
      </w:r>
    </w:p>
    <w:p w:rsidR="00766A7E" w:rsidRPr="007C5761" w:rsidRDefault="00766A7E" w:rsidP="005914A8">
      <w:pPr>
        <w:rPr>
          <w:sz w:val="22"/>
          <w:szCs w:val="22"/>
        </w:rPr>
      </w:pPr>
      <w:r>
        <w:rPr>
          <w:sz w:val="22"/>
          <w:szCs w:val="22"/>
        </w:rPr>
        <w:t xml:space="preserve">Geneva, </w:t>
      </w:r>
      <w:r w:rsidR="002D5B6D">
        <w:rPr>
          <w:sz w:val="22"/>
          <w:szCs w:val="22"/>
        </w:rPr>
        <w:t>NY</w:t>
      </w:r>
      <w:r>
        <w:rPr>
          <w:sz w:val="22"/>
          <w:szCs w:val="22"/>
        </w:rPr>
        <w:t xml:space="preserve"> 14456</w:t>
      </w:r>
    </w:p>
    <w:p w:rsidR="00975B47" w:rsidRPr="007C5761" w:rsidRDefault="00781993" w:rsidP="00975B47">
      <w:pPr>
        <w:rPr>
          <w:sz w:val="22"/>
          <w:szCs w:val="22"/>
        </w:rPr>
      </w:pP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00E85B0B" w:rsidRPr="007C5761">
        <w:rPr>
          <w:sz w:val="22"/>
          <w:szCs w:val="22"/>
        </w:rPr>
        <w:t>In re:</w:t>
      </w:r>
      <w:r w:rsidR="00E85B0B" w:rsidRPr="007C5761">
        <w:rPr>
          <w:sz w:val="22"/>
          <w:szCs w:val="22"/>
        </w:rPr>
        <w:tab/>
      </w:r>
      <w:r w:rsidR="00766A7E">
        <w:rPr>
          <w:sz w:val="22"/>
          <w:szCs w:val="22"/>
        </w:rPr>
        <w:t>Boys &amp; Girls Club of Geneva, Inc.</w:t>
      </w:r>
    </w:p>
    <w:p w:rsidR="00781993" w:rsidRPr="007C5761" w:rsidRDefault="00BA5961" w:rsidP="00796C7E">
      <w:pPr>
        <w:rPr>
          <w:sz w:val="22"/>
          <w:szCs w:val="22"/>
        </w:rPr>
      </w:pP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00AD1ED4" w:rsidRPr="007C5761">
        <w:rPr>
          <w:sz w:val="22"/>
          <w:szCs w:val="22"/>
        </w:rPr>
        <w:t xml:space="preserve">New LPFM, </w:t>
      </w:r>
      <w:r w:rsidR="002D5B6D">
        <w:rPr>
          <w:sz w:val="22"/>
          <w:szCs w:val="22"/>
        </w:rPr>
        <w:t>Geneva, New York</w:t>
      </w:r>
    </w:p>
    <w:p w:rsidR="00781993" w:rsidRPr="007C5761" w:rsidRDefault="00781993" w:rsidP="00781993">
      <w:pPr>
        <w:rPr>
          <w:sz w:val="22"/>
          <w:szCs w:val="22"/>
        </w:rPr>
      </w:pP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t xml:space="preserve">Facility ID No. </w:t>
      </w:r>
      <w:r w:rsidR="00766A7E">
        <w:rPr>
          <w:sz w:val="22"/>
          <w:szCs w:val="22"/>
        </w:rPr>
        <w:t>191834</w:t>
      </w:r>
    </w:p>
    <w:p w:rsidR="00781993" w:rsidRPr="007C5761" w:rsidRDefault="00781993" w:rsidP="00AD1ED4">
      <w:pPr>
        <w:rPr>
          <w:sz w:val="22"/>
          <w:szCs w:val="22"/>
        </w:rPr>
      </w:pP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t xml:space="preserve">File No. </w:t>
      </w:r>
      <w:r w:rsidR="00AD1ED4" w:rsidRPr="007C5761">
        <w:rPr>
          <w:sz w:val="22"/>
          <w:szCs w:val="22"/>
        </w:rPr>
        <w:t>BNPL-</w:t>
      </w:r>
      <w:r w:rsidR="00766A7E">
        <w:rPr>
          <w:sz w:val="22"/>
          <w:szCs w:val="22"/>
        </w:rPr>
        <w:t>20131104AUS</w:t>
      </w:r>
    </w:p>
    <w:p w:rsidR="00112A27" w:rsidRPr="007C5761" w:rsidRDefault="00D7207E" w:rsidP="00D87B14">
      <w:pPr>
        <w:tabs>
          <w:tab w:val="left" w:pos="0"/>
        </w:tabs>
        <w:suppressAutoHyphens/>
        <w:ind w:left="5040" w:hanging="5040"/>
        <w:rPr>
          <w:color w:val="000000"/>
          <w:sz w:val="22"/>
          <w:szCs w:val="22"/>
        </w:rPr>
      </w:pPr>
      <w:r w:rsidRPr="007C5761">
        <w:rPr>
          <w:color w:val="000000"/>
          <w:sz w:val="22"/>
          <w:szCs w:val="22"/>
        </w:rPr>
        <w:tab/>
      </w:r>
    </w:p>
    <w:p w:rsidR="00465A8D" w:rsidRPr="007C5761" w:rsidRDefault="00A80B47" w:rsidP="00391673">
      <w:pPr>
        <w:tabs>
          <w:tab w:val="left" w:pos="0"/>
        </w:tabs>
        <w:suppressAutoHyphens/>
        <w:ind w:left="5040" w:hanging="5040"/>
        <w:rPr>
          <w:b/>
          <w:color w:val="000000"/>
          <w:sz w:val="22"/>
          <w:szCs w:val="22"/>
        </w:rPr>
      </w:pPr>
      <w:r w:rsidRPr="007C5761">
        <w:rPr>
          <w:color w:val="000000"/>
          <w:sz w:val="22"/>
          <w:szCs w:val="22"/>
        </w:rPr>
        <w:tab/>
      </w:r>
      <w:r w:rsidR="00633232" w:rsidRPr="007C5761">
        <w:rPr>
          <w:color w:val="000000"/>
          <w:sz w:val="22"/>
          <w:szCs w:val="22"/>
        </w:rPr>
        <w:t xml:space="preserve">            </w:t>
      </w:r>
      <w:r w:rsidR="00E85B0B" w:rsidRPr="007C5761">
        <w:rPr>
          <w:color w:val="000000"/>
          <w:sz w:val="22"/>
          <w:szCs w:val="22"/>
        </w:rPr>
        <w:tab/>
      </w:r>
      <w:r w:rsidR="00391673" w:rsidRPr="007C5761">
        <w:rPr>
          <w:b/>
          <w:color w:val="000000"/>
          <w:sz w:val="22"/>
          <w:szCs w:val="22"/>
        </w:rPr>
        <w:t>Petition for Reconsideration</w:t>
      </w:r>
    </w:p>
    <w:p w:rsidR="00633232" w:rsidRPr="007C5761" w:rsidRDefault="00633232" w:rsidP="00A86F1A">
      <w:pPr>
        <w:tabs>
          <w:tab w:val="left" w:pos="0"/>
        </w:tabs>
        <w:suppressAutoHyphens/>
        <w:outlineLvl w:val="0"/>
        <w:rPr>
          <w:b/>
          <w:color w:val="000000"/>
          <w:sz w:val="22"/>
          <w:szCs w:val="22"/>
        </w:rPr>
      </w:pPr>
      <w:r w:rsidRPr="007C5761">
        <w:rPr>
          <w:color w:val="000000"/>
          <w:sz w:val="22"/>
          <w:szCs w:val="22"/>
        </w:rPr>
        <w:t xml:space="preserve">Dear </w:t>
      </w:r>
      <w:r w:rsidR="00573C8F">
        <w:rPr>
          <w:color w:val="000000"/>
          <w:sz w:val="22"/>
          <w:szCs w:val="22"/>
        </w:rPr>
        <w:t>Mr. Ashcraft</w:t>
      </w:r>
      <w:r w:rsidR="005914A8" w:rsidRPr="007C5761">
        <w:rPr>
          <w:color w:val="000000"/>
          <w:sz w:val="22"/>
          <w:szCs w:val="22"/>
        </w:rPr>
        <w:t>:</w:t>
      </w:r>
    </w:p>
    <w:p w:rsidR="00633232" w:rsidRPr="007C5761" w:rsidRDefault="00633232">
      <w:pPr>
        <w:tabs>
          <w:tab w:val="left" w:pos="0"/>
        </w:tabs>
        <w:suppressAutoHyphens/>
        <w:rPr>
          <w:color w:val="000000"/>
          <w:sz w:val="22"/>
          <w:szCs w:val="22"/>
        </w:rPr>
      </w:pPr>
    </w:p>
    <w:p w:rsidR="000D64EC" w:rsidRPr="007C5761" w:rsidRDefault="000D64EC" w:rsidP="000D64EC">
      <w:pPr>
        <w:ind w:firstLine="720"/>
        <w:rPr>
          <w:sz w:val="22"/>
          <w:szCs w:val="22"/>
        </w:rPr>
      </w:pPr>
      <w:r>
        <w:rPr>
          <w:sz w:val="22"/>
          <w:szCs w:val="22"/>
        </w:rPr>
        <w:t xml:space="preserve">We have before us the </w:t>
      </w:r>
      <w:r w:rsidRPr="007C5761">
        <w:rPr>
          <w:sz w:val="22"/>
          <w:szCs w:val="22"/>
        </w:rPr>
        <w:t>Petition for Reconsideration (“</w:t>
      </w:r>
      <w:r>
        <w:rPr>
          <w:sz w:val="22"/>
          <w:szCs w:val="22"/>
        </w:rPr>
        <w:t>Petition</w:t>
      </w:r>
      <w:r w:rsidRPr="007C5761">
        <w:rPr>
          <w:sz w:val="22"/>
          <w:szCs w:val="22"/>
        </w:rPr>
        <w:t xml:space="preserve">”) filed by </w:t>
      </w:r>
      <w:r>
        <w:rPr>
          <w:sz w:val="22"/>
          <w:szCs w:val="22"/>
        </w:rPr>
        <w:t xml:space="preserve">Boys &amp; Girls Club of Geneva, Inc. </w:t>
      </w:r>
      <w:r w:rsidRPr="007C5761">
        <w:rPr>
          <w:sz w:val="22"/>
          <w:szCs w:val="22"/>
        </w:rPr>
        <w:t>(“</w:t>
      </w:r>
      <w:r>
        <w:rPr>
          <w:sz w:val="22"/>
          <w:szCs w:val="22"/>
        </w:rPr>
        <w:t>Petitioner</w:t>
      </w:r>
      <w:r w:rsidRPr="007C5761">
        <w:rPr>
          <w:sz w:val="22"/>
          <w:szCs w:val="22"/>
        </w:rPr>
        <w:t xml:space="preserve">”), seeking reconsideration of </w:t>
      </w:r>
      <w:r>
        <w:rPr>
          <w:sz w:val="22"/>
          <w:szCs w:val="22"/>
        </w:rPr>
        <w:t>the</w:t>
      </w:r>
      <w:r w:rsidRPr="007C5761">
        <w:rPr>
          <w:sz w:val="22"/>
          <w:szCs w:val="22"/>
        </w:rPr>
        <w:t xml:space="preserve"> Media Bureau (“Bureau”) letter dismissing its application (“Application”) for a new LPFM station at </w:t>
      </w:r>
      <w:r>
        <w:rPr>
          <w:sz w:val="22"/>
          <w:szCs w:val="22"/>
        </w:rPr>
        <w:t>Geneva, New York.</w:t>
      </w:r>
      <w:r w:rsidRPr="007C5761">
        <w:rPr>
          <w:rStyle w:val="FootnoteReference"/>
          <w:sz w:val="22"/>
          <w:szCs w:val="22"/>
        </w:rPr>
        <w:footnoteReference w:id="1"/>
      </w:r>
      <w:r>
        <w:rPr>
          <w:sz w:val="22"/>
          <w:szCs w:val="22"/>
        </w:rPr>
        <w:t xml:space="preserve">  </w:t>
      </w:r>
      <w:r w:rsidRPr="007C5761">
        <w:rPr>
          <w:sz w:val="22"/>
          <w:szCs w:val="22"/>
        </w:rPr>
        <w:t xml:space="preserve">For the reasons set forth below, we </w:t>
      </w:r>
      <w:r>
        <w:rPr>
          <w:sz w:val="22"/>
          <w:szCs w:val="22"/>
        </w:rPr>
        <w:t>deny the Petition.</w:t>
      </w:r>
    </w:p>
    <w:p w:rsidR="001E79A7" w:rsidRPr="007C5761" w:rsidRDefault="001E79A7" w:rsidP="00800CBA">
      <w:pPr>
        <w:rPr>
          <w:color w:val="000000"/>
          <w:sz w:val="22"/>
          <w:szCs w:val="22"/>
        </w:rPr>
      </w:pPr>
    </w:p>
    <w:p w:rsidR="004C4283" w:rsidRDefault="00A1210D" w:rsidP="00AD7B90">
      <w:pPr>
        <w:tabs>
          <w:tab w:val="left" w:pos="0"/>
        </w:tabs>
        <w:suppressAutoHyphens/>
        <w:rPr>
          <w:sz w:val="22"/>
          <w:szCs w:val="22"/>
        </w:rPr>
      </w:pPr>
      <w:r w:rsidRPr="007C5761">
        <w:rPr>
          <w:b/>
          <w:sz w:val="22"/>
          <w:szCs w:val="22"/>
        </w:rPr>
        <w:tab/>
      </w:r>
      <w:r w:rsidR="00AD7B90" w:rsidRPr="007C5761">
        <w:rPr>
          <w:b/>
          <w:sz w:val="22"/>
          <w:szCs w:val="22"/>
        </w:rPr>
        <w:t>Background.</w:t>
      </w:r>
      <w:r w:rsidR="00AD7B90" w:rsidRPr="007C5761">
        <w:rPr>
          <w:sz w:val="22"/>
          <w:szCs w:val="22"/>
        </w:rPr>
        <w:t xml:space="preserve">  </w:t>
      </w:r>
      <w:r w:rsidR="00DC280D">
        <w:rPr>
          <w:sz w:val="22"/>
          <w:szCs w:val="22"/>
        </w:rPr>
        <w:t>Petitioner</w:t>
      </w:r>
      <w:r w:rsidR="00AD7B90" w:rsidRPr="007C5761">
        <w:rPr>
          <w:sz w:val="22"/>
          <w:szCs w:val="22"/>
        </w:rPr>
        <w:t xml:space="preserve"> filed the Application during the October 2013 </w:t>
      </w:r>
      <w:r w:rsidR="007E664C">
        <w:rPr>
          <w:sz w:val="22"/>
          <w:szCs w:val="22"/>
        </w:rPr>
        <w:t xml:space="preserve">LPFM </w:t>
      </w:r>
      <w:r w:rsidR="007A1BC9">
        <w:rPr>
          <w:sz w:val="22"/>
          <w:szCs w:val="22"/>
        </w:rPr>
        <w:t>f</w:t>
      </w:r>
      <w:r w:rsidR="00AD7B90" w:rsidRPr="007C5761">
        <w:rPr>
          <w:sz w:val="22"/>
          <w:szCs w:val="22"/>
        </w:rPr>
        <w:t xml:space="preserve">iling </w:t>
      </w:r>
      <w:r w:rsidR="007A1BC9">
        <w:rPr>
          <w:sz w:val="22"/>
          <w:szCs w:val="22"/>
        </w:rPr>
        <w:t>w</w:t>
      </w:r>
      <w:r w:rsidR="00AD7B90" w:rsidRPr="007C5761">
        <w:rPr>
          <w:sz w:val="22"/>
          <w:szCs w:val="22"/>
        </w:rPr>
        <w:t xml:space="preserve">indow, proposing to serve </w:t>
      </w:r>
      <w:r w:rsidR="00DC280D">
        <w:rPr>
          <w:sz w:val="22"/>
          <w:szCs w:val="22"/>
        </w:rPr>
        <w:t>Geneva, New York</w:t>
      </w:r>
      <w:r w:rsidR="006B7E2D">
        <w:rPr>
          <w:sz w:val="22"/>
          <w:szCs w:val="22"/>
        </w:rPr>
        <w:t>, on Channel 2</w:t>
      </w:r>
      <w:r w:rsidR="000D64EC">
        <w:rPr>
          <w:sz w:val="22"/>
          <w:szCs w:val="22"/>
        </w:rPr>
        <w:t>40</w:t>
      </w:r>
      <w:r w:rsidR="00AD7B90" w:rsidRPr="007C5761">
        <w:rPr>
          <w:sz w:val="22"/>
          <w:szCs w:val="22"/>
        </w:rPr>
        <w:t xml:space="preserve">.  </w:t>
      </w:r>
      <w:r w:rsidR="000A6D85">
        <w:rPr>
          <w:sz w:val="22"/>
          <w:szCs w:val="22"/>
        </w:rPr>
        <w:t>Petitioner certified in the Application that its proposal complied with “all pertinent spacing requirements of Section 73.807” and did not request a waiver of that rule.</w:t>
      </w:r>
      <w:r w:rsidR="000A6D85" w:rsidRPr="000A6D85">
        <w:rPr>
          <w:rStyle w:val="FootnoteReference"/>
          <w:sz w:val="22"/>
          <w:szCs w:val="22"/>
        </w:rPr>
        <w:t xml:space="preserve"> </w:t>
      </w:r>
      <w:r w:rsidR="000A6D85">
        <w:rPr>
          <w:rStyle w:val="FootnoteReference"/>
          <w:sz w:val="22"/>
          <w:szCs w:val="22"/>
        </w:rPr>
        <w:footnoteReference w:id="2"/>
      </w:r>
      <w:r w:rsidR="000A6D85">
        <w:rPr>
          <w:sz w:val="22"/>
          <w:szCs w:val="22"/>
        </w:rPr>
        <w:t xml:space="preserve">  </w:t>
      </w:r>
      <w:r w:rsidR="00AD7B90" w:rsidRPr="007C5761">
        <w:rPr>
          <w:sz w:val="22"/>
          <w:szCs w:val="22"/>
        </w:rPr>
        <w:t xml:space="preserve">The </w:t>
      </w:r>
      <w:r w:rsidR="000E667B" w:rsidRPr="007C5761">
        <w:rPr>
          <w:sz w:val="22"/>
          <w:szCs w:val="22"/>
        </w:rPr>
        <w:t>Bureau</w:t>
      </w:r>
      <w:r w:rsidR="00AD7B90" w:rsidRPr="007C5761">
        <w:rPr>
          <w:sz w:val="22"/>
          <w:szCs w:val="22"/>
        </w:rPr>
        <w:t xml:space="preserve"> dismissed the Application on </w:t>
      </w:r>
      <w:r w:rsidR="001B20C8">
        <w:rPr>
          <w:sz w:val="22"/>
          <w:szCs w:val="22"/>
        </w:rPr>
        <w:t>January 31, 201</w:t>
      </w:r>
      <w:r w:rsidR="00F90D50">
        <w:rPr>
          <w:sz w:val="22"/>
          <w:szCs w:val="22"/>
        </w:rPr>
        <w:t>4</w:t>
      </w:r>
      <w:r w:rsidR="00AD7B90" w:rsidRPr="007C5761">
        <w:rPr>
          <w:sz w:val="22"/>
          <w:szCs w:val="22"/>
        </w:rPr>
        <w:t xml:space="preserve">, because </w:t>
      </w:r>
      <w:r w:rsidR="009F01B5" w:rsidRPr="007C5761">
        <w:rPr>
          <w:sz w:val="22"/>
          <w:szCs w:val="22"/>
        </w:rPr>
        <w:t xml:space="preserve">it failed to comply with the </w:t>
      </w:r>
      <w:r w:rsidR="000E667B" w:rsidRPr="007C5761">
        <w:rPr>
          <w:sz w:val="22"/>
          <w:szCs w:val="22"/>
        </w:rPr>
        <w:t>minimum</w:t>
      </w:r>
      <w:r w:rsidR="009F01B5" w:rsidRPr="007C5761">
        <w:rPr>
          <w:sz w:val="22"/>
          <w:szCs w:val="22"/>
        </w:rPr>
        <w:t xml:space="preserve"> spacing requirements of Section 73.807</w:t>
      </w:r>
      <w:r w:rsidR="001556D6">
        <w:rPr>
          <w:sz w:val="22"/>
          <w:szCs w:val="22"/>
        </w:rPr>
        <w:t>(</w:t>
      </w:r>
      <w:r w:rsidR="00901DA6">
        <w:rPr>
          <w:sz w:val="22"/>
          <w:szCs w:val="22"/>
        </w:rPr>
        <w:t>c)</w:t>
      </w:r>
      <w:r w:rsidR="009F01B5" w:rsidRPr="007C5761">
        <w:rPr>
          <w:sz w:val="22"/>
          <w:szCs w:val="22"/>
        </w:rPr>
        <w:t xml:space="preserve"> of the </w:t>
      </w:r>
      <w:r w:rsidR="00C6623A">
        <w:rPr>
          <w:sz w:val="22"/>
          <w:szCs w:val="22"/>
        </w:rPr>
        <w:t xml:space="preserve">Commission’s </w:t>
      </w:r>
      <w:r w:rsidR="009F01B5" w:rsidRPr="007C5761">
        <w:rPr>
          <w:sz w:val="22"/>
          <w:szCs w:val="22"/>
        </w:rPr>
        <w:t>Rules</w:t>
      </w:r>
      <w:r w:rsidR="00684CCF">
        <w:rPr>
          <w:sz w:val="22"/>
          <w:szCs w:val="22"/>
        </w:rPr>
        <w:t xml:space="preserve"> (“Rules”)</w:t>
      </w:r>
      <w:r w:rsidR="00AD7B90" w:rsidRPr="007C5761">
        <w:rPr>
          <w:sz w:val="22"/>
          <w:szCs w:val="22"/>
        </w:rPr>
        <w:t>.</w:t>
      </w:r>
      <w:r w:rsidR="00AD7B90" w:rsidRPr="007C5761">
        <w:rPr>
          <w:rStyle w:val="FootnoteReference"/>
          <w:sz w:val="22"/>
          <w:szCs w:val="22"/>
        </w:rPr>
        <w:footnoteReference w:id="3"/>
      </w:r>
      <w:r w:rsidR="000E667B" w:rsidRPr="007C5761">
        <w:rPr>
          <w:sz w:val="22"/>
          <w:szCs w:val="22"/>
        </w:rPr>
        <w:t xml:space="preserve">  </w:t>
      </w:r>
    </w:p>
    <w:p w:rsidR="004C4283" w:rsidRDefault="004C4283" w:rsidP="00AD7B90">
      <w:pPr>
        <w:tabs>
          <w:tab w:val="left" w:pos="0"/>
        </w:tabs>
        <w:suppressAutoHyphens/>
        <w:rPr>
          <w:sz w:val="22"/>
          <w:szCs w:val="22"/>
        </w:rPr>
      </w:pPr>
    </w:p>
    <w:p w:rsidR="00F90D50" w:rsidRDefault="004C4283" w:rsidP="009D4CD4">
      <w:pPr>
        <w:tabs>
          <w:tab w:val="left" w:pos="0"/>
        </w:tabs>
        <w:suppressAutoHyphens/>
        <w:rPr>
          <w:sz w:val="22"/>
          <w:szCs w:val="22"/>
        </w:rPr>
      </w:pPr>
      <w:r>
        <w:rPr>
          <w:sz w:val="22"/>
          <w:szCs w:val="22"/>
        </w:rPr>
        <w:tab/>
      </w:r>
      <w:r w:rsidR="00766A7E">
        <w:rPr>
          <w:sz w:val="22"/>
          <w:szCs w:val="22"/>
        </w:rPr>
        <w:t>Petitioner filed the Petition on February 26, 2014, seeking reinstatement of the Application and a waiver of Section 73.807(c).  Petitioner</w:t>
      </w:r>
      <w:r w:rsidR="00F47758">
        <w:rPr>
          <w:sz w:val="22"/>
          <w:szCs w:val="22"/>
        </w:rPr>
        <w:t xml:space="preserve"> acknowledges that the Application is short-spaced to W241</w:t>
      </w:r>
      <w:r w:rsidR="00802282">
        <w:rPr>
          <w:sz w:val="22"/>
          <w:szCs w:val="22"/>
        </w:rPr>
        <w:t>A</w:t>
      </w:r>
      <w:r w:rsidR="00F47758">
        <w:rPr>
          <w:sz w:val="22"/>
          <w:szCs w:val="22"/>
        </w:rPr>
        <w:t xml:space="preserve">W, but argues </w:t>
      </w:r>
      <w:r w:rsidR="00766A7E">
        <w:rPr>
          <w:sz w:val="22"/>
          <w:szCs w:val="22"/>
        </w:rPr>
        <w:t>that because W241</w:t>
      </w:r>
      <w:r w:rsidR="00802282">
        <w:rPr>
          <w:sz w:val="22"/>
          <w:szCs w:val="22"/>
        </w:rPr>
        <w:t>A</w:t>
      </w:r>
      <w:r w:rsidR="00766A7E">
        <w:rPr>
          <w:sz w:val="22"/>
          <w:szCs w:val="22"/>
        </w:rPr>
        <w:t>W uses a directional antenna, “there is no contour overlap between the proposed LPFM station’s interference</w:t>
      </w:r>
      <w:r w:rsidR="00F90D50">
        <w:rPr>
          <w:sz w:val="22"/>
          <w:szCs w:val="22"/>
        </w:rPr>
        <w:t xml:space="preserve"> contour and the 6</w:t>
      </w:r>
      <w:r w:rsidR="00766A7E">
        <w:rPr>
          <w:sz w:val="22"/>
          <w:szCs w:val="22"/>
        </w:rPr>
        <w:t>0dBu service contour of W241AW.”</w:t>
      </w:r>
      <w:r w:rsidR="00766A7E">
        <w:rPr>
          <w:rStyle w:val="FootnoteReference"/>
          <w:sz w:val="22"/>
          <w:szCs w:val="22"/>
        </w:rPr>
        <w:footnoteReference w:id="4"/>
      </w:r>
      <w:r w:rsidR="00766A7E">
        <w:rPr>
          <w:sz w:val="22"/>
          <w:szCs w:val="22"/>
        </w:rPr>
        <w:t xml:space="preserve">  Petitioner </w:t>
      </w:r>
      <w:r w:rsidR="00F47758">
        <w:rPr>
          <w:sz w:val="22"/>
          <w:szCs w:val="22"/>
        </w:rPr>
        <w:t>suggests</w:t>
      </w:r>
      <w:r w:rsidR="00766A7E">
        <w:rPr>
          <w:sz w:val="22"/>
          <w:szCs w:val="22"/>
        </w:rPr>
        <w:t xml:space="preserve"> that</w:t>
      </w:r>
      <w:r w:rsidR="00F90D50">
        <w:rPr>
          <w:sz w:val="22"/>
          <w:szCs w:val="22"/>
        </w:rPr>
        <w:t xml:space="preserve"> Section 3 of the</w:t>
      </w:r>
      <w:r w:rsidR="00766A7E">
        <w:rPr>
          <w:sz w:val="22"/>
          <w:szCs w:val="22"/>
        </w:rPr>
        <w:t xml:space="preserve"> Local Community Radio Act (“LCRA”)</w:t>
      </w:r>
      <w:r w:rsidR="007A1BC9">
        <w:rPr>
          <w:rStyle w:val="FootnoteReference"/>
          <w:sz w:val="22"/>
          <w:szCs w:val="22"/>
        </w:rPr>
        <w:footnoteReference w:id="5"/>
      </w:r>
      <w:r w:rsidR="00766A7E">
        <w:rPr>
          <w:sz w:val="22"/>
          <w:szCs w:val="22"/>
        </w:rPr>
        <w:t xml:space="preserve"> distinguishes translator stations from full-service FM stations, and thus the Commission “is not statutorily prevented from waiving distance separation requirements in respect to FM translator stations.”</w:t>
      </w:r>
      <w:r w:rsidR="00766A7E">
        <w:rPr>
          <w:rStyle w:val="FootnoteReference"/>
          <w:sz w:val="22"/>
          <w:szCs w:val="22"/>
        </w:rPr>
        <w:footnoteReference w:id="6"/>
      </w:r>
      <w:r w:rsidR="00B85A66">
        <w:rPr>
          <w:sz w:val="22"/>
          <w:szCs w:val="22"/>
        </w:rPr>
        <w:t xml:space="preserve"> </w:t>
      </w:r>
    </w:p>
    <w:p w:rsidR="00F90D50" w:rsidRDefault="00F90D50" w:rsidP="009D4CD4">
      <w:pPr>
        <w:tabs>
          <w:tab w:val="left" w:pos="0"/>
        </w:tabs>
        <w:suppressAutoHyphens/>
        <w:rPr>
          <w:sz w:val="22"/>
          <w:szCs w:val="22"/>
        </w:rPr>
      </w:pPr>
      <w:r>
        <w:rPr>
          <w:sz w:val="22"/>
          <w:szCs w:val="22"/>
        </w:rPr>
        <w:tab/>
      </w:r>
    </w:p>
    <w:p w:rsidR="00CF54FC" w:rsidRDefault="00F90D50" w:rsidP="009D4CD4">
      <w:pPr>
        <w:tabs>
          <w:tab w:val="left" w:pos="0"/>
        </w:tabs>
        <w:suppressAutoHyphens/>
        <w:rPr>
          <w:sz w:val="22"/>
          <w:szCs w:val="22"/>
        </w:rPr>
      </w:pPr>
      <w:r>
        <w:rPr>
          <w:sz w:val="22"/>
          <w:szCs w:val="22"/>
        </w:rPr>
        <w:lastRenderedPageBreak/>
        <w:tab/>
      </w:r>
      <w:r w:rsidR="00B85A66">
        <w:rPr>
          <w:sz w:val="22"/>
          <w:szCs w:val="22"/>
        </w:rPr>
        <w:t xml:space="preserve">Accordingly, Petitioner requests a waiver of Section 73.807(c) </w:t>
      </w:r>
      <w:r w:rsidR="00862737">
        <w:rPr>
          <w:sz w:val="22"/>
          <w:szCs w:val="22"/>
        </w:rPr>
        <w:t>and reinstate</w:t>
      </w:r>
      <w:r w:rsidR="00F47758">
        <w:rPr>
          <w:sz w:val="22"/>
          <w:szCs w:val="22"/>
        </w:rPr>
        <w:t>ment of</w:t>
      </w:r>
      <w:r w:rsidR="00862737">
        <w:rPr>
          <w:sz w:val="22"/>
          <w:szCs w:val="22"/>
        </w:rPr>
        <w:t xml:space="preserve"> the Application </w:t>
      </w:r>
      <w:r w:rsidR="00B85A66">
        <w:rPr>
          <w:sz w:val="22"/>
          <w:szCs w:val="22"/>
        </w:rPr>
        <w:t>on the basis that</w:t>
      </w:r>
      <w:r w:rsidR="00F47758">
        <w:rPr>
          <w:sz w:val="22"/>
          <w:szCs w:val="22"/>
        </w:rPr>
        <w:t>: 1)</w:t>
      </w:r>
      <w:r w:rsidR="00B85A66">
        <w:rPr>
          <w:sz w:val="22"/>
          <w:szCs w:val="22"/>
        </w:rPr>
        <w:t xml:space="preserve"> the rule “is inequitable and unduly </w:t>
      </w:r>
      <w:r w:rsidR="00F03EFF">
        <w:rPr>
          <w:sz w:val="22"/>
          <w:szCs w:val="22"/>
        </w:rPr>
        <w:t>burdensome</w:t>
      </w:r>
      <w:r w:rsidR="00B85A66">
        <w:rPr>
          <w:sz w:val="22"/>
          <w:szCs w:val="22"/>
        </w:rPr>
        <w:t xml:space="preserve"> as it does not </w:t>
      </w:r>
      <w:r w:rsidR="00F03EFF">
        <w:rPr>
          <w:sz w:val="22"/>
          <w:szCs w:val="22"/>
        </w:rPr>
        <w:t>properly</w:t>
      </w:r>
      <w:r w:rsidR="00B85A66">
        <w:rPr>
          <w:sz w:val="22"/>
          <w:szCs w:val="22"/>
        </w:rPr>
        <w:t xml:space="preserve"> take into consideration situations where the translator facility is equi</w:t>
      </w:r>
      <w:r w:rsidR="00513CFA">
        <w:rPr>
          <w:sz w:val="22"/>
          <w:szCs w:val="22"/>
        </w:rPr>
        <w:t>pped with a directional antenna</w:t>
      </w:r>
      <w:r w:rsidR="00F47758">
        <w:rPr>
          <w:sz w:val="22"/>
          <w:szCs w:val="22"/>
        </w:rPr>
        <w:t>,</w:t>
      </w:r>
      <w:r w:rsidR="00B85A66">
        <w:rPr>
          <w:sz w:val="22"/>
          <w:szCs w:val="22"/>
        </w:rPr>
        <w:t>”</w:t>
      </w:r>
      <w:r w:rsidR="00513CFA">
        <w:rPr>
          <w:sz w:val="22"/>
          <w:szCs w:val="22"/>
        </w:rPr>
        <w:t xml:space="preserve"> and</w:t>
      </w:r>
      <w:r w:rsidR="00F47758">
        <w:rPr>
          <w:sz w:val="22"/>
          <w:szCs w:val="22"/>
        </w:rPr>
        <w:t xml:space="preserve"> 2)</w:t>
      </w:r>
      <w:r w:rsidR="00513CFA">
        <w:rPr>
          <w:sz w:val="22"/>
          <w:szCs w:val="22"/>
        </w:rPr>
        <w:t xml:space="preserve"> </w:t>
      </w:r>
      <w:r w:rsidR="00B85A66">
        <w:rPr>
          <w:sz w:val="22"/>
          <w:szCs w:val="22"/>
        </w:rPr>
        <w:t>an “educational radio service for a youth organization would be in the public interest.</w:t>
      </w:r>
      <w:r w:rsidR="00513CFA">
        <w:rPr>
          <w:sz w:val="22"/>
          <w:szCs w:val="22"/>
        </w:rPr>
        <w:t>”</w:t>
      </w:r>
      <w:r w:rsidR="00B85A66">
        <w:rPr>
          <w:rStyle w:val="FootnoteReference"/>
          <w:sz w:val="22"/>
          <w:szCs w:val="22"/>
        </w:rPr>
        <w:footnoteReference w:id="7"/>
      </w:r>
      <w:r w:rsidR="007A1BC9">
        <w:rPr>
          <w:sz w:val="22"/>
          <w:szCs w:val="22"/>
        </w:rPr>
        <w:t xml:space="preserve">  Finally, Petitioner </w:t>
      </w:r>
      <w:r>
        <w:rPr>
          <w:sz w:val="22"/>
          <w:szCs w:val="22"/>
        </w:rPr>
        <w:t>states</w:t>
      </w:r>
      <w:r w:rsidR="007A1BC9">
        <w:rPr>
          <w:sz w:val="22"/>
          <w:szCs w:val="22"/>
        </w:rPr>
        <w:t xml:space="preserve"> that the Bureau accepted for filing </w:t>
      </w:r>
      <w:r w:rsidR="00C760BF">
        <w:rPr>
          <w:sz w:val="22"/>
          <w:szCs w:val="22"/>
        </w:rPr>
        <w:t>the</w:t>
      </w:r>
      <w:r w:rsidR="007A1BC9">
        <w:rPr>
          <w:sz w:val="22"/>
          <w:szCs w:val="22"/>
        </w:rPr>
        <w:t xml:space="preserve"> LPFM application </w:t>
      </w:r>
      <w:r w:rsidR="00C760BF">
        <w:rPr>
          <w:sz w:val="22"/>
          <w:szCs w:val="22"/>
        </w:rPr>
        <w:t>of North End Woodward Community Coalition</w:t>
      </w:r>
      <w:r>
        <w:rPr>
          <w:sz w:val="22"/>
          <w:szCs w:val="22"/>
        </w:rPr>
        <w:t xml:space="preserve"> </w:t>
      </w:r>
      <w:r w:rsidR="00862737">
        <w:rPr>
          <w:sz w:val="22"/>
          <w:szCs w:val="22"/>
        </w:rPr>
        <w:t xml:space="preserve">– even </w:t>
      </w:r>
      <w:r>
        <w:rPr>
          <w:sz w:val="22"/>
          <w:szCs w:val="22"/>
        </w:rPr>
        <w:t xml:space="preserve">though </w:t>
      </w:r>
      <w:r w:rsidR="00862737">
        <w:rPr>
          <w:sz w:val="22"/>
          <w:szCs w:val="22"/>
        </w:rPr>
        <w:t>the application</w:t>
      </w:r>
      <w:r>
        <w:rPr>
          <w:sz w:val="22"/>
          <w:szCs w:val="22"/>
        </w:rPr>
        <w:t xml:space="preserve"> was</w:t>
      </w:r>
      <w:r w:rsidR="007A1BC9">
        <w:rPr>
          <w:sz w:val="22"/>
          <w:szCs w:val="22"/>
        </w:rPr>
        <w:t xml:space="preserve"> short-spaced to a Canadian co-channel station</w:t>
      </w:r>
      <w:r w:rsidR="00862737">
        <w:rPr>
          <w:sz w:val="22"/>
          <w:szCs w:val="22"/>
        </w:rPr>
        <w:t xml:space="preserve"> – because </w:t>
      </w:r>
      <w:r w:rsidR="007A1BC9">
        <w:rPr>
          <w:sz w:val="22"/>
          <w:szCs w:val="22"/>
        </w:rPr>
        <w:t xml:space="preserve">the proposed LPFM </w:t>
      </w:r>
      <w:r w:rsidR="007A23FA">
        <w:rPr>
          <w:sz w:val="22"/>
          <w:szCs w:val="22"/>
        </w:rPr>
        <w:t>station’s</w:t>
      </w:r>
      <w:r w:rsidR="007A1BC9">
        <w:rPr>
          <w:sz w:val="22"/>
          <w:szCs w:val="22"/>
        </w:rPr>
        <w:t xml:space="preserve"> interference contour would not encroach onto Ca</w:t>
      </w:r>
      <w:r w:rsidR="00513CFA">
        <w:rPr>
          <w:sz w:val="22"/>
          <w:szCs w:val="22"/>
        </w:rPr>
        <w:t>nadian</w:t>
      </w:r>
      <w:r w:rsidR="007A1BC9">
        <w:rPr>
          <w:sz w:val="22"/>
          <w:szCs w:val="22"/>
        </w:rPr>
        <w:t xml:space="preserve"> territory; </w:t>
      </w:r>
      <w:r w:rsidR="00C760BF">
        <w:rPr>
          <w:sz w:val="22"/>
          <w:szCs w:val="22"/>
        </w:rPr>
        <w:t>Petitioner</w:t>
      </w:r>
      <w:r w:rsidR="007A1BC9">
        <w:rPr>
          <w:sz w:val="22"/>
          <w:szCs w:val="22"/>
        </w:rPr>
        <w:t xml:space="preserve"> argues that this case is analogous because its </w:t>
      </w:r>
      <w:r w:rsidR="00C760BF">
        <w:rPr>
          <w:sz w:val="22"/>
          <w:szCs w:val="22"/>
        </w:rPr>
        <w:t xml:space="preserve">own </w:t>
      </w:r>
      <w:r w:rsidR="007A1BC9">
        <w:rPr>
          <w:sz w:val="22"/>
          <w:szCs w:val="22"/>
        </w:rPr>
        <w:t xml:space="preserve">proposed LPFM station would </w:t>
      </w:r>
      <w:r w:rsidR="00862737">
        <w:rPr>
          <w:sz w:val="22"/>
          <w:szCs w:val="22"/>
        </w:rPr>
        <w:t xml:space="preserve">not encroach </w:t>
      </w:r>
      <w:r w:rsidR="007A1BC9">
        <w:rPr>
          <w:sz w:val="22"/>
          <w:szCs w:val="22"/>
        </w:rPr>
        <w:t>onto the service contour of W241AW.</w:t>
      </w:r>
      <w:r w:rsidR="007A23FA">
        <w:rPr>
          <w:rStyle w:val="FootnoteReference"/>
          <w:sz w:val="22"/>
          <w:szCs w:val="22"/>
        </w:rPr>
        <w:footnoteReference w:id="8"/>
      </w:r>
    </w:p>
    <w:p w:rsidR="00766A7E" w:rsidRDefault="00CD6DFF" w:rsidP="009D4CD4">
      <w:pPr>
        <w:tabs>
          <w:tab w:val="left" w:pos="0"/>
        </w:tabs>
        <w:suppressAutoHyphens/>
        <w:rPr>
          <w:b/>
          <w:sz w:val="22"/>
          <w:szCs w:val="22"/>
        </w:rPr>
      </w:pPr>
      <w:r>
        <w:rPr>
          <w:sz w:val="22"/>
          <w:szCs w:val="22"/>
        </w:rPr>
        <w:t xml:space="preserve">  </w:t>
      </w:r>
      <w:r w:rsidR="00E004EC" w:rsidRPr="007C5761">
        <w:rPr>
          <w:b/>
          <w:sz w:val="22"/>
          <w:szCs w:val="22"/>
        </w:rPr>
        <w:tab/>
      </w:r>
    </w:p>
    <w:p w:rsidR="00E73126" w:rsidRDefault="005228BE" w:rsidP="009D4CD4">
      <w:pPr>
        <w:tabs>
          <w:tab w:val="left" w:pos="0"/>
        </w:tabs>
        <w:suppressAutoHyphens/>
        <w:rPr>
          <w:sz w:val="22"/>
          <w:szCs w:val="22"/>
        </w:rPr>
      </w:pPr>
      <w:r>
        <w:rPr>
          <w:b/>
          <w:sz w:val="22"/>
          <w:szCs w:val="22"/>
        </w:rPr>
        <w:tab/>
      </w:r>
      <w:r w:rsidR="00BA5961" w:rsidRPr="007C5761">
        <w:rPr>
          <w:b/>
          <w:sz w:val="22"/>
          <w:szCs w:val="22"/>
        </w:rPr>
        <w:t>Discussion.</w:t>
      </w:r>
      <w:r>
        <w:rPr>
          <w:b/>
          <w:sz w:val="22"/>
          <w:szCs w:val="22"/>
        </w:rPr>
        <w:t xml:space="preserve">  </w:t>
      </w:r>
      <w:r>
        <w:rPr>
          <w:color w:val="000000"/>
          <w:sz w:val="22"/>
          <w:szCs w:val="22"/>
        </w:rPr>
        <w:t>The Commission's Rules may be waived only for good cause shown.</w:t>
      </w:r>
      <w:r>
        <w:rPr>
          <w:color w:val="000000"/>
          <w:sz w:val="22"/>
          <w:szCs w:val="22"/>
          <w:vertAlign w:val="superscript"/>
        </w:rPr>
        <w:footnoteReference w:id="9"/>
      </w:r>
      <w:r>
        <w:rPr>
          <w:color w:val="000000"/>
          <w:sz w:val="22"/>
          <w:szCs w:val="22"/>
        </w:rPr>
        <w:t xml:space="preserve">  The Commission must give </w:t>
      </w:r>
      <w:r>
        <w:rPr>
          <w:noProof/>
          <w:color w:val="000000"/>
          <w:sz w:val="22"/>
          <w:szCs w:val="22"/>
        </w:rPr>
        <w:drawing>
          <wp:inline distT="0" distB="0" distL="0" distR="0" wp14:anchorId="503330A2" wp14:editId="56DD9749">
            <wp:extent cx="9525" cy="9525"/>
            <wp:effectExtent l="0" t="0" r="0" b="0"/>
            <wp:docPr id="7" name="Picture 7"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color w:val="000000"/>
          <w:sz w:val="22"/>
          <w:szCs w:val="22"/>
        </w:rPr>
        <w:t>waiver</w:t>
      </w:r>
      <w:r>
        <w:rPr>
          <w:noProof/>
          <w:color w:val="000000"/>
          <w:sz w:val="22"/>
          <w:szCs w:val="22"/>
        </w:rPr>
        <w:drawing>
          <wp:inline distT="0" distB="0" distL="0" distR="0" wp14:anchorId="0E019C98" wp14:editId="6EE13B39">
            <wp:extent cx="9525" cy="9525"/>
            <wp:effectExtent l="0" t="0" r="0" b="0"/>
            <wp:docPr id="6" name="Picture 6"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color w:val="000000"/>
          <w:sz w:val="22"/>
          <w:szCs w:val="22"/>
        </w:rPr>
        <w:t xml:space="preserve"> requests “a hard look,” but an applicant for </w:t>
      </w:r>
      <w:bookmarkStart w:id="1" w:name="ctx37"/>
      <w:bookmarkEnd w:id="1"/>
      <w:r>
        <w:rPr>
          <w:noProof/>
          <w:color w:val="000000"/>
          <w:sz w:val="22"/>
          <w:szCs w:val="22"/>
        </w:rPr>
        <w:drawing>
          <wp:inline distT="0" distB="0" distL="0" distR="0" wp14:anchorId="51A9E8E6" wp14:editId="7E58AEAB">
            <wp:extent cx="9525" cy="9525"/>
            <wp:effectExtent l="0" t="0" r="0" b="0"/>
            <wp:docPr id="5" name="Picture 5"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color w:val="000000"/>
          <w:sz w:val="22"/>
          <w:szCs w:val="22"/>
        </w:rPr>
        <w:t>waiver</w:t>
      </w:r>
      <w:r>
        <w:rPr>
          <w:noProof/>
          <w:color w:val="000000"/>
          <w:sz w:val="22"/>
          <w:szCs w:val="22"/>
        </w:rPr>
        <w:drawing>
          <wp:inline distT="0" distB="0" distL="0" distR="0" wp14:anchorId="2B31E4A3" wp14:editId="341D0746">
            <wp:extent cx="9525" cy="9525"/>
            <wp:effectExtent l="0" t="0" r="0" b="0"/>
            <wp:docPr id="4" name="Picture 4"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color w:val="000000"/>
          <w:sz w:val="22"/>
          <w:szCs w:val="22"/>
        </w:rPr>
        <w:t xml:space="preserve"> “faces a high hurdle even at the starting gate”</w:t>
      </w:r>
      <w:bookmarkStart w:id="2" w:name="a0d3g7u0u8_ref"/>
      <w:bookmarkStart w:id="3" w:name="a0d3g7u0u8_reffirst_footref"/>
      <w:bookmarkEnd w:id="2"/>
      <w:bookmarkEnd w:id="3"/>
      <w:r>
        <w:rPr>
          <w:color w:val="000000"/>
          <w:sz w:val="22"/>
          <w:szCs w:val="22"/>
          <w:vertAlign w:val="superscript"/>
        </w:rPr>
        <w:footnoteReference w:id="10"/>
      </w:r>
      <w:r>
        <w:rPr>
          <w:color w:val="000000"/>
          <w:sz w:val="22"/>
          <w:szCs w:val="22"/>
        </w:rPr>
        <w:t xml:space="preserve"> and must support its </w:t>
      </w:r>
      <w:bookmarkStart w:id="4" w:name="ctx38"/>
      <w:bookmarkEnd w:id="4"/>
      <w:r>
        <w:rPr>
          <w:noProof/>
          <w:color w:val="000000"/>
          <w:sz w:val="22"/>
          <w:szCs w:val="22"/>
        </w:rPr>
        <w:drawing>
          <wp:inline distT="0" distB="0" distL="0" distR="0" wp14:anchorId="58ACDBE6" wp14:editId="7A7CEDBA">
            <wp:extent cx="9525" cy="9525"/>
            <wp:effectExtent l="0" t="0" r="0" b="0"/>
            <wp:docPr id="3" name="Picture 3"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ous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color w:val="000000"/>
          <w:sz w:val="22"/>
          <w:szCs w:val="22"/>
        </w:rPr>
        <w:t>waiver</w:t>
      </w:r>
      <w:r>
        <w:rPr>
          <w:noProof/>
          <w:color w:val="000000"/>
          <w:sz w:val="22"/>
          <w:szCs w:val="22"/>
        </w:rPr>
        <w:drawing>
          <wp:inline distT="0" distB="0" distL="0" distR="0" wp14:anchorId="25B8FD58" wp14:editId="44DBEDB6">
            <wp:extent cx="9525" cy="9525"/>
            <wp:effectExtent l="0" t="0" r="0" b="0"/>
            <wp:docPr id="2" name="Picture 2"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color w:val="000000"/>
          <w:sz w:val="22"/>
          <w:szCs w:val="22"/>
        </w:rPr>
        <w:t xml:space="preserve"> request with a compelling showing.</w:t>
      </w:r>
      <w:bookmarkStart w:id="5" w:name="a0d3g7u0v0_ref"/>
      <w:bookmarkStart w:id="6" w:name="a0d3g7u0v0_reffirst_footref"/>
      <w:bookmarkEnd w:id="5"/>
      <w:bookmarkEnd w:id="6"/>
      <w:r>
        <w:rPr>
          <w:color w:val="000000"/>
          <w:sz w:val="22"/>
          <w:szCs w:val="22"/>
          <w:vertAlign w:val="superscript"/>
        </w:rPr>
        <w:footnoteReference w:id="11"/>
      </w:r>
      <w:bookmarkStart w:id="7" w:name="ctx39"/>
      <w:bookmarkEnd w:id="7"/>
      <w:r>
        <w:rPr>
          <w:color w:val="000000"/>
          <w:sz w:val="22"/>
          <w:szCs w:val="22"/>
        </w:rPr>
        <w:t xml:space="preserve">  Waiver is appropriate only if both (1) special circumstances warrant a deviation from the general rule, and (2) such deviation better serves the public interest.</w:t>
      </w:r>
      <w:r>
        <w:rPr>
          <w:color w:val="000000"/>
          <w:sz w:val="22"/>
          <w:szCs w:val="22"/>
          <w:vertAlign w:val="superscript"/>
        </w:rPr>
        <w:footnoteReference w:id="12"/>
      </w:r>
      <w:r>
        <w:rPr>
          <w:color w:val="000000"/>
          <w:sz w:val="22"/>
          <w:szCs w:val="22"/>
        </w:rPr>
        <w:t xml:space="preserve">  </w:t>
      </w:r>
    </w:p>
    <w:p w:rsidR="004D1951" w:rsidRDefault="00E73126" w:rsidP="00DC280D">
      <w:pPr>
        <w:tabs>
          <w:tab w:val="left" w:pos="0"/>
        </w:tabs>
        <w:suppressAutoHyphens/>
        <w:rPr>
          <w:color w:val="000000"/>
          <w:sz w:val="22"/>
          <w:szCs w:val="22"/>
        </w:rPr>
      </w:pPr>
      <w:r>
        <w:rPr>
          <w:sz w:val="22"/>
          <w:szCs w:val="22"/>
        </w:rPr>
        <w:tab/>
      </w:r>
      <w:r w:rsidR="00A33DC4">
        <w:rPr>
          <w:color w:val="000000"/>
          <w:sz w:val="22"/>
          <w:szCs w:val="22"/>
        </w:rPr>
        <w:t xml:space="preserve"> </w:t>
      </w:r>
    </w:p>
    <w:p w:rsidR="007A1BC9" w:rsidRDefault="00802282" w:rsidP="00D15B9D">
      <w:pPr>
        <w:ind w:firstLine="720"/>
        <w:rPr>
          <w:sz w:val="22"/>
          <w:szCs w:val="22"/>
        </w:rPr>
      </w:pPr>
      <w:r>
        <w:rPr>
          <w:color w:val="000000"/>
          <w:sz w:val="22"/>
          <w:szCs w:val="22"/>
        </w:rPr>
        <w:t xml:space="preserve">We find that </w:t>
      </w:r>
      <w:r w:rsidR="0051040F">
        <w:rPr>
          <w:color w:val="000000"/>
          <w:sz w:val="22"/>
          <w:szCs w:val="22"/>
        </w:rPr>
        <w:t>Petition</w:t>
      </w:r>
      <w:r w:rsidR="00301F3D">
        <w:rPr>
          <w:color w:val="000000"/>
          <w:sz w:val="22"/>
          <w:szCs w:val="22"/>
        </w:rPr>
        <w:t>er</w:t>
      </w:r>
      <w:r w:rsidR="0051040F">
        <w:rPr>
          <w:color w:val="000000"/>
          <w:sz w:val="22"/>
          <w:szCs w:val="22"/>
        </w:rPr>
        <w:t xml:space="preserve"> </w:t>
      </w:r>
      <w:r w:rsidR="000F38A4">
        <w:rPr>
          <w:color w:val="000000"/>
          <w:sz w:val="22"/>
          <w:szCs w:val="22"/>
        </w:rPr>
        <w:t xml:space="preserve">has </w:t>
      </w:r>
      <w:r w:rsidR="00301F3D">
        <w:rPr>
          <w:color w:val="000000"/>
          <w:sz w:val="22"/>
          <w:szCs w:val="22"/>
        </w:rPr>
        <w:t>failed to meet</w:t>
      </w:r>
      <w:r w:rsidR="0051040F">
        <w:rPr>
          <w:color w:val="000000"/>
          <w:sz w:val="22"/>
          <w:szCs w:val="22"/>
        </w:rPr>
        <w:t xml:space="preserve"> the burden </w:t>
      </w:r>
      <w:r w:rsidR="00F47758">
        <w:rPr>
          <w:color w:val="000000"/>
          <w:sz w:val="22"/>
          <w:szCs w:val="22"/>
        </w:rPr>
        <w:t>for</w:t>
      </w:r>
      <w:r w:rsidR="0051040F">
        <w:rPr>
          <w:color w:val="000000"/>
          <w:sz w:val="22"/>
          <w:szCs w:val="22"/>
        </w:rPr>
        <w:t xml:space="preserve"> grant of a waiver request.  </w:t>
      </w:r>
      <w:r w:rsidR="00AB09F3">
        <w:rPr>
          <w:sz w:val="22"/>
          <w:szCs w:val="22"/>
        </w:rPr>
        <w:t xml:space="preserve">Petitioner states that a waiver is warranted because </w:t>
      </w:r>
      <w:r w:rsidR="00323115">
        <w:rPr>
          <w:sz w:val="22"/>
          <w:szCs w:val="22"/>
        </w:rPr>
        <w:t>Section 73.</w:t>
      </w:r>
      <w:r w:rsidR="00B92AD5">
        <w:rPr>
          <w:sz w:val="22"/>
          <w:szCs w:val="22"/>
        </w:rPr>
        <w:t>807 “</w:t>
      </w:r>
      <w:r w:rsidR="00AB09F3">
        <w:rPr>
          <w:sz w:val="22"/>
          <w:szCs w:val="22"/>
        </w:rPr>
        <w:t>does not properly take into consideration situations where the translator facility is equipped with a directional antenna.”</w:t>
      </w:r>
      <w:r w:rsidR="00B92AD5">
        <w:rPr>
          <w:rStyle w:val="FootnoteReference"/>
          <w:sz w:val="22"/>
          <w:szCs w:val="22"/>
        </w:rPr>
        <w:footnoteReference w:id="13"/>
      </w:r>
      <w:r w:rsidR="00AB09F3">
        <w:rPr>
          <w:sz w:val="22"/>
          <w:szCs w:val="22"/>
        </w:rPr>
        <w:t xml:space="preserve">  We do not find that this is a “special </w:t>
      </w:r>
      <w:r w:rsidR="00AB09F3" w:rsidRPr="00AB09F3">
        <w:rPr>
          <w:sz w:val="22"/>
          <w:szCs w:val="22"/>
        </w:rPr>
        <w:t xml:space="preserve">circumstance” because there are, as Petitioner suggests, many translators using directional antennas.  Moreover, to the extent that Petitioner believes that </w:t>
      </w:r>
      <w:r w:rsidR="00DB7B05">
        <w:rPr>
          <w:sz w:val="22"/>
          <w:szCs w:val="22"/>
        </w:rPr>
        <w:t xml:space="preserve">the spacing requirements of </w:t>
      </w:r>
      <w:r w:rsidR="00AB09F3" w:rsidRPr="00AB09F3">
        <w:rPr>
          <w:sz w:val="22"/>
          <w:szCs w:val="22"/>
        </w:rPr>
        <w:t>Section 73.807(c) should be altered, the proper forum is a notice and comment rule-making proceeding.</w:t>
      </w:r>
      <w:r w:rsidR="00AB09F3" w:rsidRPr="00AB09F3">
        <w:rPr>
          <w:rStyle w:val="FootnoteReference"/>
          <w:color w:val="000000"/>
          <w:sz w:val="22"/>
          <w:szCs w:val="22"/>
        </w:rPr>
        <w:footnoteReference w:id="14"/>
      </w:r>
      <w:r w:rsidR="007A1BC9">
        <w:rPr>
          <w:sz w:val="22"/>
          <w:szCs w:val="22"/>
        </w:rPr>
        <w:t xml:space="preserve">  </w:t>
      </w:r>
    </w:p>
    <w:p w:rsidR="000F38A4" w:rsidRDefault="000F38A4" w:rsidP="00D15B9D">
      <w:pPr>
        <w:ind w:firstLine="720"/>
        <w:rPr>
          <w:sz w:val="22"/>
          <w:szCs w:val="22"/>
        </w:rPr>
      </w:pPr>
    </w:p>
    <w:p w:rsidR="00923D89" w:rsidRDefault="007A1BC9" w:rsidP="005228BE">
      <w:pPr>
        <w:tabs>
          <w:tab w:val="left" w:pos="0"/>
        </w:tabs>
        <w:suppressAutoHyphens/>
        <w:rPr>
          <w:sz w:val="22"/>
          <w:szCs w:val="22"/>
        </w:rPr>
      </w:pPr>
      <w:r>
        <w:rPr>
          <w:sz w:val="22"/>
          <w:szCs w:val="22"/>
        </w:rPr>
        <w:tab/>
      </w:r>
      <w:r w:rsidR="00332A1E">
        <w:rPr>
          <w:sz w:val="22"/>
          <w:szCs w:val="22"/>
        </w:rPr>
        <w:t>Furthermore,</w:t>
      </w:r>
      <w:r w:rsidR="00923D89">
        <w:rPr>
          <w:sz w:val="22"/>
          <w:szCs w:val="22"/>
        </w:rPr>
        <w:t xml:space="preserve"> Petitioner </w:t>
      </w:r>
      <w:r w:rsidR="00332A1E">
        <w:rPr>
          <w:sz w:val="22"/>
          <w:szCs w:val="22"/>
        </w:rPr>
        <w:t>certified in the Application that its proposal complied with the spacing requirements of Section 73.807</w:t>
      </w:r>
      <w:r w:rsidR="000A6D85">
        <w:rPr>
          <w:sz w:val="22"/>
          <w:szCs w:val="22"/>
        </w:rPr>
        <w:t xml:space="preserve"> and did not request a waiver when it filed the Application</w:t>
      </w:r>
      <w:r w:rsidR="00332A1E">
        <w:rPr>
          <w:sz w:val="22"/>
          <w:szCs w:val="22"/>
        </w:rPr>
        <w:t>.</w:t>
      </w:r>
      <w:r w:rsidR="00332A1E">
        <w:rPr>
          <w:rStyle w:val="FootnoteReference"/>
          <w:sz w:val="22"/>
          <w:szCs w:val="22"/>
        </w:rPr>
        <w:footnoteReference w:id="15"/>
      </w:r>
      <w:r w:rsidR="00332A1E">
        <w:rPr>
          <w:sz w:val="22"/>
          <w:szCs w:val="22"/>
        </w:rPr>
        <w:t xml:space="preserve">  </w:t>
      </w:r>
      <w:r w:rsidR="007E32B3" w:rsidRPr="00572F46">
        <w:rPr>
          <w:sz w:val="22"/>
          <w:szCs w:val="22"/>
        </w:rPr>
        <w:t>FCC Form 318</w:t>
      </w:r>
      <w:r w:rsidR="007E32B3">
        <w:rPr>
          <w:sz w:val="22"/>
          <w:szCs w:val="22"/>
        </w:rPr>
        <w:t xml:space="preserve"> (</w:t>
      </w:r>
      <w:r w:rsidR="007E32B3" w:rsidRPr="00572F46">
        <w:rPr>
          <w:sz w:val="22"/>
          <w:szCs w:val="22"/>
        </w:rPr>
        <w:t>Application for Construction Permit for a Low Power FM Broadcast Station</w:t>
      </w:r>
      <w:r w:rsidR="007E32B3">
        <w:rPr>
          <w:sz w:val="22"/>
          <w:szCs w:val="22"/>
        </w:rPr>
        <w:t>)</w:t>
      </w:r>
      <w:r w:rsidR="007E32B3" w:rsidRPr="00572F46">
        <w:rPr>
          <w:sz w:val="22"/>
          <w:szCs w:val="22"/>
        </w:rPr>
        <w:t xml:space="preserve"> and the accompanying instructions are clear that an applicant</w:t>
      </w:r>
      <w:r w:rsidR="007E32B3">
        <w:rPr>
          <w:sz w:val="22"/>
          <w:szCs w:val="22"/>
        </w:rPr>
        <w:t xml:space="preserve"> that fails to meet the minimum spacing requirements of Section 73.807</w:t>
      </w:r>
      <w:r w:rsidR="007F323E">
        <w:rPr>
          <w:sz w:val="22"/>
          <w:szCs w:val="22"/>
        </w:rPr>
        <w:t xml:space="preserve"> </w:t>
      </w:r>
      <w:r w:rsidR="007E32B3">
        <w:rPr>
          <w:sz w:val="22"/>
          <w:szCs w:val="22"/>
        </w:rPr>
        <w:t>for first-adjacent stations will be dismissed without the opportunity to amend</w:t>
      </w:r>
      <w:r w:rsidR="000F38A4">
        <w:rPr>
          <w:sz w:val="22"/>
          <w:szCs w:val="22"/>
        </w:rPr>
        <w:t xml:space="preserve"> pursuant to Section </w:t>
      </w:r>
      <w:r w:rsidR="000F38A4">
        <w:rPr>
          <w:sz w:val="22"/>
          <w:szCs w:val="22"/>
        </w:rPr>
        <w:lastRenderedPageBreak/>
        <w:t>73.870(c)</w:t>
      </w:r>
      <w:r w:rsidR="007E32B3">
        <w:rPr>
          <w:sz w:val="22"/>
          <w:szCs w:val="22"/>
        </w:rPr>
        <w:t>.</w:t>
      </w:r>
      <w:r w:rsidR="007E32B3">
        <w:rPr>
          <w:rStyle w:val="FootnoteReference"/>
          <w:sz w:val="22"/>
          <w:szCs w:val="22"/>
        </w:rPr>
        <w:footnoteReference w:id="16"/>
      </w:r>
      <w:r w:rsidR="007E32B3">
        <w:rPr>
          <w:sz w:val="22"/>
          <w:szCs w:val="22"/>
        </w:rPr>
        <w:t xml:space="preserve">  </w:t>
      </w:r>
      <w:r w:rsidR="00332A1E">
        <w:rPr>
          <w:sz w:val="22"/>
          <w:szCs w:val="22"/>
        </w:rPr>
        <w:t xml:space="preserve">The Application </w:t>
      </w:r>
      <w:r w:rsidR="00923D89">
        <w:rPr>
          <w:sz w:val="22"/>
          <w:szCs w:val="22"/>
        </w:rPr>
        <w:t>did not address th</w:t>
      </w:r>
      <w:r w:rsidR="00332A1E">
        <w:rPr>
          <w:sz w:val="22"/>
          <w:szCs w:val="22"/>
        </w:rPr>
        <w:t>e</w:t>
      </w:r>
      <w:r w:rsidR="00923D89">
        <w:rPr>
          <w:sz w:val="22"/>
          <w:szCs w:val="22"/>
        </w:rPr>
        <w:t xml:space="preserve"> short-spacing </w:t>
      </w:r>
      <w:r w:rsidR="00332A1E">
        <w:rPr>
          <w:sz w:val="22"/>
          <w:szCs w:val="22"/>
        </w:rPr>
        <w:t xml:space="preserve">to W241AW </w:t>
      </w:r>
      <w:r w:rsidR="00923D89">
        <w:rPr>
          <w:sz w:val="22"/>
          <w:szCs w:val="22"/>
        </w:rPr>
        <w:t xml:space="preserve">or request a waiver of </w:t>
      </w:r>
      <w:r w:rsidR="007F323E">
        <w:rPr>
          <w:sz w:val="22"/>
          <w:szCs w:val="22"/>
        </w:rPr>
        <w:t xml:space="preserve">either </w:t>
      </w:r>
      <w:r w:rsidR="00923D89">
        <w:rPr>
          <w:sz w:val="22"/>
          <w:szCs w:val="22"/>
        </w:rPr>
        <w:t>Section 73.807(c)</w:t>
      </w:r>
      <w:r w:rsidR="00EA2177">
        <w:rPr>
          <w:sz w:val="22"/>
          <w:szCs w:val="22"/>
        </w:rPr>
        <w:t xml:space="preserve"> or Section 73.870(c)</w:t>
      </w:r>
      <w:r w:rsidR="00923D89">
        <w:rPr>
          <w:sz w:val="22"/>
          <w:szCs w:val="22"/>
        </w:rPr>
        <w:t xml:space="preserve">.  The Commission will only entertain spacing waivers (and then, only for second-adjacent channel spacing violations) </w:t>
      </w:r>
      <w:r>
        <w:rPr>
          <w:sz w:val="22"/>
          <w:szCs w:val="22"/>
        </w:rPr>
        <w:t xml:space="preserve">from LPFM applicants </w:t>
      </w:r>
      <w:r w:rsidR="00923D89">
        <w:rPr>
          <w:sz w:val="22"/>
          <w:szCs w:val="22"/>
        </w:rPr>
        <w:t xml:space="preserve">when those waiver requests are included in the Application as of the close of the </w:t>
      </w:r>
      <w:r>
        <w:rPr>
          <w:sz w:val="22"/>
          <w:szCs w:val="22"/>
        </w:rPr>
        <w:t xml:space="preserve">LPFM </w:t>
      </w:r>
      <w:r w:rsidR="00923D89">
        <w:rPr>
          <w:sz w:val="22"/>
          <w:szCs w:val="22"/>
        </w:rPr>
        <w:t>filing window.</w:t>
      </w:r>
      <w:r w:rsidR="00923D89">
        <w:rPr>
          <w:rStyle w:val="FootnoteReference"/>
          <w:sz w:val="22"/>
          <w:szCs w:val="22"/>
        </w:rPr>
        <w:footnoteReference w:id="17"/>
      </w:r>
      <w:r>
        <w:rPr>
          <w:sz w:val="22"/>
          <w:szCs w:val="22"/>
        </w:rPr>
        <w:t xml:space="preserve">  </w:t>
      </w:r>
      <w:r w:rsidR="00332A1E" w:rsidRPr="007C5761">
        <w:rPr>
          <w:sz w:val="22"/>
          <w:szCs w:val="22"/>
        </w:rPr>
        <w:t>Moreover, permitting applicants to file waiver requests following the dismissal of their applications would frustrate the processing efficiencies which Sections 73.807 and 73.870 were designed to promote and would be unfair to the many applicants who fully complied with all filing requirements.</w:t>
      </w:r>
      <w:r w:rsidR="00332A1E" w:rsidRPr="007C5761">
        <w:rPr>
          <w:sz w:val="22"/>
          <w:szCs w:val="22"/>
          <w:vertAlign w:val="superscript"/>
        </w:rPr>
        <w:footnoteReference w:id="18"/>
      </w:r>
      <w:r w:rsidR="00626350">
        <w:rPr>
          <w:sz w:val="22"/>
          <w:szCs w:val="22"/>
        </w:rPr>
        <w:t xml:space="preserve">  Accordingly, Petitioner fails to satisfy the public interest prong of the waiver standard as well as the special circumstances prong</w:t>
      </w:r>
      <w:r w:rsidR="00C704AF">
        <w:rPr>
          <w:sz w:val="22"/>
          <w:szCs w:val="22"/>
        </w:rPr>
        <w:t xml:space="preserve">.  As such, we do not need to consider the merits of Petitioner’s argument that </w:t>
      </w:r>
      <w:r w:rsidR="00802282">
        <w:rPr>
          <w:sz w:val="22"/>
          <w:szCs w:val="22"/>
        </w:rPr>
        <w:t xml:space="preserve">the LCRA allows the </w:t>
      </w:r>
      <w:r w:rsidR="00C704AF">
        <w:rPr>
          <w:sz w:val="22"/>
          <w:szCs w:val="22"/>
        </w:rPr>
        <w:t xml:space="preserve">Commission </w:t>
      </w:r>
      <w:r w:rsidR="00802282">
        <w:rPr>
          <w:sz w:val="22"/>
          <w:szCs w:val="22"/>
        </w:rPr>
        <w:t>requested waiver</w:t>
      </w:r>
      <w:r w:rsidR="00626350">
        <w:rPr>
          <w:sz w:val="22"/>
          <w:szCs w:val="22"/>
        </w:rPr>
        <w:t>.</w:t>
      </w:r>
      <w:r w:rsidR="00332A1E" w:rsidRPr="007C5761">
        <w:rPr>
          <w:sz w:val="22"/>
          <w:szCs w:val="22"/>
        </w:rPr>
        <w:t xml:space="preserve">  </w:t>
      </w:r>
      <w:bookmarkStart w:id="9" w:name="FN[FN10]"/>
      <w:bookmarkEnd w:id="9"/>
      <w:r w:rsidR="00332A1E" w:rsidRPr="007C5761">
        <w:rPr>
          <w:sz w:val="22"/>
          <w:szCs w:val="22"/>
        </w:rPr>
        <w:t xml:space="preserve">  </w:t>
      </w:r>
      <w:bookmarkStart w:id="10" w:name="SR;739"/>
      <w:bookmarkStart w:id="11" w:name="SR;749"/>
      <w:bookmarkStart w:id="12" w:name="SR;751"/>
      <w:bookmarkStart w:id="13" w:name="SR;752"/>
      <w:bookmarkStart w:id="14" w:name="SR;756"/>
      <w:bookmarkEnd w:id="10"/>
      <w:bookmarkEnd w:id="11"/>
      <w:bookmarkEnd w:id="12"/>
      <w:bookmarkEnd w:id="13"/>
      <w:bookmarkEnd w:id="14"/>
      <w:r w:rsidR="00332A1E" w:rsidRPr="007C5761">
        <w:rPr>
          <w:sz w:val="22"/>
          <w:szCs w:val="22"/>
          <w:vertAlign w:val="superscript"/>
        </w:rPr>
        <w:t xml:space="preserve">  </w:t>
      </w:r>
    </w:p>
    <w:p w:rsidR="004B38B8" w:rsidRDefault="004B38B8" w:rsidP="00DC280D">
      <w:pPr>
        <w:tabs>
          <w:tab w:val="left" w:pos="0"/>
        </w:tabs>
        <w:suppressAutoHyphens/>
        <w:rPr>
          <w:color w:val="000000"/>
          <w:sz w:val="22"/>
          <w:szCs w:val="22"/>
        </w:rPr>
      </w:pPr>
    </w:p>
    <w:p w:rsidR="00332A1E" w:rsidRPr="007C5761" w:rsidRDefault="004B38B8" w:rsidP="00332A1E">
      <w:pPr>
        <w:autoSpaceDE w:val="0"/>
        <w:autoSpaceDN w:val="0"/>
        <w:adjustRightInd w:val="0"/>
        <w:ind w:firstLine="720"/>
        <w:rPr>
          <w:sz w:val="22"/>
          <w:szCs w:val="22"/>
          <w:vertAlign w:val="superscript"/>
        </w:rPr>
      </w:pPr>
      <w:r>
        <w:rPr>
          <w:color w:val="000000"/>
          <w:sz w:val="22"/>
          <w:szCs w:val="22"/>
        </w:rPr>
        <w:t xml:space="preserve">Finally, Petitioner’s reliance on </w:t>
      </w:r>
      <w:r>
        <w:rPr>
          <w:i/>
          <w:color w:val="000000"/>
          <w:sz w:val="22"/>
          <w:szCs w:val="22"/>
        </w:rPr>
        <w:t>North End</w:t>
      </w:r>
      <w:r>
        <w:rPr>
          <w:color w:val="000000"/>
          <w:sz w:val="22"/>
          <w:szCs w:val="22"/>
        </w:rPr>
        <w:t xml:space="preserve"> is misplaced.  </w:t>
      </w:r>
      <w:r>
        <w:rPr>
          <w:sz w:val="22"/>
          <w:szCs w:val="22"/>
        </w:rPr>
        <w:t>T</w:t>
      </w:r>
      <w:r w:rsidRPr="007C5761">
        <w:rPr>
          <w:sz w:val="22"/>
          <w:szCs w:val="22"/>
        </w:rPr>
        <w:t xml:space="preserve">he staff action in </w:t>
      </w:r>
      <w:r>
        <w:rPr>
          <w:sz w:val="22"/>
          <w:szCs w:val="22"/>
        </w:rPr>
        <w:t>th</w:t>
      </w:r>
      <w:r w:rsidR="00573C8F">
        <w:rPr>
          <w:sz w:val="22"/>
          <w:szCs w:val="22"/>
        </w:rPr>
        <w:t>at</w:t>
      </w:r>
      <w:r>
        <w:rPr>
          <w:sz w:val="22"/>
          <w:szCs w:val="22"/>
        </w:rPr>
        <w:t xml:space="preserve"> case</w:t>
      </w:r>
      <w:r w:rsidRPr="007C5761">
        <w:rPr>
          <w:sz w:val="22"/>
          <w:szCs w:val="22"/>
        </w:rPr>
        <w:t xml:space="preserve"> </w:t>
      </w:r>
      <w:r w:rsidRPr="007C5761">
        <w:rPr>
          <w:color w:val="000000"/>
          <w:sz w:val="22"/>
          <w:szCs w:val="22"/>
        </w:rPr>
        <w:t xml:space="preserve">occurred via </w:t>
      </w:r>
      <w:r>
        <w:rPr>
          <w:color w:val="000000"/>
          <w:sz w:val="22"/>
          <w:szCs w:val="22"/>
        </w:rPr>
        <w:t>Public N</w:t>
      </w:r>
      <w:r w:rsidRPr="007C5761">
        <w:rPr>
          <w:color w:val="000000"/>
          <w:sz w:val="22"/>
          <w:szCs w:val="22"/>
        </w:rPr>
        <w:t xml:space="preserve">otice and did </w:t>
      </w:r>
      <w:r w:rsidRPr="00E83E76">
        <w:rPr>
          <w:color w:val="000000"/>
          <w:sz w:val="22"/>
          <w:szCs w:val="22"/>
        </w:rPr>
        <w:t xml:space="preserve">not include a written decision; </w:t>
      </w:r>
      <w:r w:rsidR="00E83E76" w:rsidRPr="00E83E76">
        <w:rPr>
          <w:sz w:val="22"/>
          <w:szCs w:val="22"/>
        </w:rPr>
        <w:t>such an unpublished grant has no precedential effect</w:t>
      </w:r>
      <w:r w:rsidRPr="00E83E76">
        <w:rPr>
          <w:color w:val="000000"/>
          <w:sz w:val="22"/>
          <w:szCs w:val="22"/>
        </w:rPr>
        <w:t>.</w:t>
      </w:r>
      <w:r w:rsidRPr="00E83E76">
        <w:rPr>
          <w:rStyle w:val="FootnoteReference"/>
          <w:color w:val="000000"/>
          <w:sz w:val="22"/>
          <w:szCs w:val="22"/>
        </w:rPr>
        <w:footnoteReference w:id="19"/>
      </w:r>
      <w:r>
        <w:rPr>
          <w:color w:val="000000"/>
          <w:sz w:val="22"/>
          <w:szCs w:val="22"/>
        </w:rPr>
        <w:t xml:space="preserve">  Moreover, </w:t>
      </w:r>
      <w:r w:rsidR="00573C8F">
        <w:rPr>
          <w:color w:val="000000"/>
          <w:sz w:val="22"/>
          <w:szCs w:val="22"/>
        </w:rPr>
        <w:t xml:space="preserve">it is </w:t>
      </w:r>
      <w:r>
        <w:rPr>
          <w:color w:val="000000"/>
          <w:sz w:val="22"/>
          <w:szCs w:val="22"/>
        </w:rPr>
        <w:t>distinguishable from the case at hand.</w:t>
      </w:r>
      <w:r>
        <w:rPr>
          <w:rStyle w:val="FootnoteReference"/>
          <w:color w:val="000000"/>
          <w:sz w:val="22"/>
          <w:szCs w:val="22"/>
        </w:rPr>
        <w:footnoteReference w:id="20"/>
      </w:r>
      <w:r w:rsidR="00332A1E">
        <w:rPr>
          <w:color w:val="000000"/>
          <w:sz w:val="22"/>
          <w:szCs w:val="22"/>
        </w:rPr>
        <w:t xml:space="preserve">  </w:t>
      </w:r>
      <w:r w:rsidR="00802282">
        <w:rPr>
          <w:color w:val="000000"/>
          <w:sz w:val="22"/>
          <w:szCs w:val="22"/>
        </w:rPr>
        <w:t>We will</w:t>
      </w:r>
      <w:r w:rsidR="00BC70FD">
        <w:rPr>
          <w:color w:val="000000"/>
          <w:sz w:val="22"/>
          <w:szCs w:val="22"/>
        </w:rPr>
        <w:t xml:space="preserve"> thus</w:t>
      </w:r>
      <w:r w:rsidR="00332A1E">
        <w:rPr>
          <w:color w:val="000000"/>
          <w:sz w:val="22"/>
          <w:szCs w:val="22"/>
        </w:rPr>
        <w:t xml:space="preserve"> deny the waiver request and deny the Petition.  </w:t>
      </w:r>
    </w:p>
    <w:p w:rsidR="00E45E38" w:rsidRDefault="00E45E38" w:rsidP="00332A1E">
      <w:pPr>
        <w:autoSpaceDE w:val="0"/>
        <w:autoSpaceDN w:val="0"/>
        <w:adjustRightInd w:val="0"/>
        <w:ind w:firstLine="720"/>
        <w:rPr>
          <w:color w:val="000000"/>
          <w:sz w:val="22"/>
          <w:szCs w:val="22"/>
        </w:rPr>
      </w:pPr>
    </w:p>
    <w:p w:rsidR="00DC0F0C" w:rsidRDefault="00BA5961" w:rsidP="00D25784">
      <w:pPr>
        <w:tabs>
          <w:tab w:val="left" w:pos="0"/>
        </w:tabs>
        <w:suppressAutoHyphens/>
        <w:ind w:firstLine="720"/>
        <w:rPr>
          <w:color w:val="000000"/>
          <w:sz w:val="22"/>
          <w:szCs w:val="22"/>
        </w:rPr>
      </w:pPr>
      <w:bookmarkStart w:id="15" w:name="FN[FN78]"/>
      <w:bookmarkEnd w:id="15"/>
      <w:r w:rsidRPr="007C5761">
        <w:rPr>
          <w:b/>
          <w:color w:val="000000"/>
          <w:sz w:val="22"/>
          <w:szCs w:val="22"/>
        </w:rPr>
        <w:t>Conclusion/Actions.</w:t>
      </w:r>
      <w:r w:rsidRPr="007C5761">
        <w:rPr>
          <w:color w:val="000000"/>
          <w:sz w:val="22"/>
          <w:szCs w:val="22"/>
        </w:rPr>
        <w:t xml:space="preserve">  </w:t>
      </w:r>
      <w:r w:rsidR="00DC280D" w:rsidRPr="007C5761">
        <w:rPr>
          <w:color w:val="000000"/>
          <w:sz w:val="22"/>
          <w:szCs w:val="22"/>
        </w:rPr>
        <w:t xml:space="preserve">Accordingly, for the reasons set forth above, IT IS ORDERED THAT the Petition for Reconsideration filed on </w:t>
      </w:r>
      <w:r w:rsidR="00573C8F">
        <w:rPr>
          <w:color w:val="000000"/>
          <w:sz w:val="22"/>
          <w:szCs w:val="22"/>
        </w:rPr>
        <w:t>February 26</w:t>
      </w:r>
      <w:r w:rsidR="00DC280D">
        <w:rPr>
          <w:color w:val="000000"/>
          <w:sz w:val="22"/>
          <w:szCs w:val="22"/>
        </w:rPr>
        <w:t>, 2014</w:t>
      </w:r>
      <w:r w:rsidR="00DC280D" w:rsidRPr="007C5761">
        <w:rPr>
          <w:color w:val="000000"/>
          <w:sz w:val="22"/>
          <w:szCs w:val="22"/>
        </w:rPr>
        <w:t xml:space="preserve">, by </w:t>
      </w:r>
      <w:r w:rsidR="000D64EC">
        <w:rPr>
          <w:color w:val="000000"/>
          <w:sz w:val="22"/>
          <w:szCs w:val="22"/>
        </w:rPr>
        <w:t>Boys &amp; Girls Club of Geneva, Inc.,</w:t>
      </w:r>
      <w:r w:rsidR="00DC280D" w:rsidRPr="007C5761">
        <w:rPr>
          <w:color w:val="000000"/>
          <w:sz w:val="22"/>
          <w:szCs w:val="22"/>
        </w:rPr>
        <w:t xml:space="preserve"> IS DENIED.</w:t>
      </w:r>
    </w:p>
    <w:p w:rsidR="00633232" w:rsidRPr="007C5761" w:rsidRDefault="00633232" w:rsidP="007A1BC9">
      <w:pPr>
        <w:tabs>
          <w:tab w:val="left" w:pos="0"/>
        </w:tabs>
        <w:suppressAutoHyphens/>
        <w:ind w:firstLine="720"/>
        <w:rPr>
          <w:color w:val="000000"/>
          <w:sz w:val="22"/>
          <w:szCs w:val="22"/>
        </w:rPr>
      </w:pPr>
      <w:r w:rsidRPr="007C5761">
        <w:rPr>
          <w:color w:val="000000"/>
          <w:sz w:val="22"/>
          <w:szCs w:val="22"/>
        </w:rPr>
        <w:tab/>
      </w:r>
      <w:r w:rsidRPr="007C5761">
        <w:rPr>
          <w:color w:val="000000"/>
          <w:sz w:val="22"/>
          <w:szCs w:val="22"/>
        </w:rPr>
        <w:tab/>
      </w:r>
      <w:r w:rsidRPr="007C5761">
        <w:rPr>
          <w:color w:val="000000"/>
          <w:sz w:val="22"/>
          <w:szCs w:val="22"/>
        </w:rPr>
        <w:tab/>
      </w:r>
      <w:r w:rsidRPr="007C5761">
        <w:rPr>
          <w:color w:val="000000"/>
          <w:sz w:val="22"/>
          <w:szCs w:val="22"/>
        </w:rPr>
        <w:tab/>
      </w:r>
      <w:r w:rsidRPr="007C5761">
        <w:rPr>
          <w:color w:val="000000"/>
          <w:sz w:val="22"/>
          <w:szCs w:val="22"/>
        </w:rPr>
        <w:tab/>
      </w:r>
      <w:r w:rsidR="009753F5" w:rsidRPr="007C5761">
        <w:rPr>
          <w:color w:val="000000"/>
          <w:sz w:val="22"/>
          <w:szCs w:val="22"/>
        </w:rPr>
        <w:tab/>
      </w:r>
      <w:r w:rsidRPr="007C5761">
        <w:rPr>
          <w:color w:val="000000"/>
          <w:sz w:val="22"/>
          <w:szCs w:val="22"/>
        </w:rPr>
        <w:t>Sincerely,</w:t>
      </w:r>
    </w:p>
    <w:p w:rsidR="00FA7004" w:rsidRDefault="00FA7004">
      <w:pPr>
        <w:tabs>
          <w:tab w:val="left" w:pos="0"/>
          <w:tab w:val="left" w:pos="270"/>
        </w:tabs>
        <w:suppressAutoHyphens/>
        <w:rPr>
          <w:color w:val="000000"/>
          <w:sz w:val="22"/>
          <w:szCs w:val="22"/>
        </w:rPr>
      </w:pPr>
    </w:p>
    <w:p w:rsidR="009753F5" w:rsidRDefault="009753F5">
      <w:pPr>
        <w:tabs>
          <w:tab w:val="left" w:pos="0"/>
          <w:tab w:val="left" w:pos="270"/>
        </w:tabs>
        <w:suppressAutoHyphens/>
        <w:rPr>
          <w:color w:val="000000"/>
          <w:sz w:val="22"/>
          <w:szCs w:val="22"/>
        </w:rPr>
      </w:pPr>
    </w:p>
    <w:p w:rsidR="000F38A4" w:rsidRPr="007C5761" w:rsidRDefault="000F38A4">
      <w:pPr>
        <w:tabs>
          <w:tab w:val="left" w:pos="0"/>
          <w:tab w:val="left" w:pos="270"/>
        </w:tabs>
        <w:suppressAutoHyphens/>
        <w:rPr>
          <w:color w:val="000000"/>
          <w:sz w:val="22"/>
          <w:szCs w:val="22"/>
        </w:rPr>
      </w:pPr>
    </w:p>
    <w:p w:rsidR="00E71EE0" w:rsidRPr="007C5761" w:rsidRDefault="00633232" w:rsidP="00E71EE0">
      <w:pPr>
        <w:tabs>
          <w:tab w:val="left" w:pos="0"/>
        </w:tabs>
        <w:suppressAutoHyphens/>
        <w:outlineLvl w:val="0"/>
        <w:rPr>
          <w:sz w:val="22"/>
          <w:szCs w:val="22"/>
        </w:rPr>
      </w:pPr>
      <w:r w:rsidRPr="007C5761">
        <w:rPr>
          <w:color w:val="000000"/>
          <w:sz w:val="22"/>
          <w:szCs w:val="22"/>
        </w:rPr>
        <w:tab/>
      </w:r>
      <w:r w:rsidRPr="007C5761">
        <w:rPr>
          <w:color w:val="000000"/>
          <w:sz w:val="22"/>
          <w:szCs w:val="22"/>
        </w:rPr>
        <w:tab/>
      </w:r>
      <w:r w:rsidRPr="007C5761">
        <w:rPr>
          <w:color w:val="000000"/>
          <w:sz w:val="22"/>
          <w:szCs w:val="22"/>
        </w:rPr>
        <w:tab/>
      </w:r>
      <w:r w:rsidRPr="007C5761">
        <w:rPr>
          <w:color w:val="000000"/>
          <w:sz w:val="22"/>
          <w:szCs w:val="22"/>
        </w:rPr>
        <w:tab/>
      </w:r>
      <w:r w:rsidRPr="007C5761">
        <w:rPr>
          <w:color w:val="000000"/>
          <w:sz w:val="22"/>
          <w:szCs w:val="22"/>
        </w:rPr>
        <w:tab/>
      </w:r>
      <w:r w:rsidRPr="007C5761">
        <w:rPr>
          <w:color w:val="000000"/>
          <w:sz w:val="22"/>
          <w:szCs w:val="22"/>
        </w:rPr>
        <w:tab/>
      </w:r>
      <w:r w:rsidRPr="007C5761">
        <w:rPr>
          <w:color w:val="000000"/>
          <w:sz w:val="22"/>
          <w:szCs w:val="22"/>
        </w:rPr>
        <w:tab/>
      </w:r>
      <w:r w:rsidR="00E71EE0" w:rsidRPr="007C5761">
        <w:rPr>
          <w:sz w:val="22"/>
          <w:szCs w:val="22"/>
        </w:rPr>
        <w:t>Peter H. Doyle</w:t>
      </w:r>
    </w:p>
    <w:p w:rsidR="00E71EE0" w:rsidRPr="007C5761" w:rsidRDefault="00E71EE0" w:rsidP="00E71EE0">
      <w:pPr>
        <w:tabs>
          <w:tab w:val="left" w:pos="0"/>
        </w:tabs>
        <w:suppressAutoHyphens/>
        <w:rPr>
          <w:sz w:val="22"/>
          <w:szCs w:val="22"/>
        </w:rPr>
      </w:pP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t>Chief, Audio Division</w:t>
      </w:r>
    </w:p>
    <w:p w:rsidR="005914A8" w:rsidRDefault="00E71EE0" w:rsidP="003A240B">
      <w:pPr>
        <w:tabs>
          <w:tab w:val="left" w:pos="0"/>
        </w:tabs>
        <w:suppressAutoHyphens/>
        <w:rPr>
          <w:sz w:val="22"/>
          <w:szCs w:val="22"/>
        </w:rPr>
      </w:pP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r>
      <w:r w:rsidRPr="007C5761">
        <w:rPr>
          <w:sz w:val="22"/>
          <w:szCs w:val="22"/>
        </w:rPr>
        <w:tab/>
        <w:t>Media Bureau</w:t>
      </w:r>
    </w:p>
    <w:p w:rsidR="00AC3B98" w:rsidRDefault="00AC3B98" w:rsidP="003A240B">
      <w:pPr>
        <w:tabs>
          <w:tab w:val="left" w:pos="0"/>
        </w:tabs>
        <w:suppressAutoHyphens/>
        <w:rPr>
          <w:color w:val="000000"/>
          <w:sz w:val="22"/>
          <w:szCs w:val="22"/>
        </w:rPr>
      </w:pPr>
      <w:r>
        <w:rPr>
          <w:sz w:val="22"/>
          <w:szCs w:val="22"/>
        </w:rPr>
        <w:t xml:space="preserve">cc: </w:t>
      </w:r>
      <w:r w:rsidR="00626350">
        <w:rPr>
          <w:sz w:val="22"/>
          <w:szCs w:val="22"/>
        </w:rPr>
        <w:tab/>
      </w:r>
      <w:r>
        <w:rPr>
          <w:sz w:val="22"/>
          <w:szCs w:val="22"/>
        </w:rPr>
        <w:t xml:space="preserve">Michelle Bradley </w:t>
      </w:r>
    </w:p>
    <w:sectPr w:rsidR="00AC3B98">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67" w:rsidRDefault="00883167">
      <w:r>
        <w:separator/>
      </w:r>
    </w:p>
  </w:endnote>
  <w:endnote w:type="continuationSeparator" w:id="0">
    <w:p w:rsidR="00883167" w:rsidRDefault="0088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B4" w:rsidRDefault="00817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17AB4" w:rsidRDefault="00817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B4" w:rsidRDefault="00817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F24">
      <w:rPr>
        <w:rStyle w:val="PageNumber"/>
        <w:noProof/>
      </w:rPr>
      <w:t>2</w:t>
    </w:r>
    <w:r>
      <w:rPr>
        <w:rStyle w:val="PageNumber"/>
      </w:rPr>
      <w:fldChar w:fldCharType="end"/>
    </w:r>
  </w:p>
  <w:p w:rsidR="00817AB4" w:rsidRDefault="00817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01" w:rsidRDefault="00AF7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67" w:rsidRDefault="00883167">
      <w:r>
        <w:separator/>
      </w:r>
    </w:p>
  </w:footnote>
  <w:footnote w:type="continuationSeparator" w:id="0">
    <w:p w:rsidR="00883167" w:rsidRDefault="00883167">
      <w:r>
        <w:continuationSeparator/>
      </w:r>
    </w:p>
  </w:footnote>
  <w:footnote w:id="1">
    <w:p w:rsidR="000D64EC" w:rsidRPr="00DB522F" w:rsidRDefault="000D64EC" w:rsidP="00323115">
      <w:pPr>
        <w:pStyle w:val="FootnoteText"/>
        <w:spacing w:after="120"/>
      </w:pPr>
      <w:r w:rsidRPr="00DB522F">
        <w:rPr>
          <w:rStyle w:val="FootnoteReference"/>
        </w:rPr>
        <w:footnoteRef/>
      </w:r>
      <w:r w:rsidRPr="00DB522F">
        <w:t xml:space="preserve"> </w:t>
      </w:r>
      <w:r w:rsidRPr="00DB522F">
        <w:rPr>
          <w:i/>
        </w:rPr>
        <w:t xml:space="preserve">See </w:t>
      </w:r>
      <w:r w:rsidR="00AB09F3">
        <w:rPr>
          <w:i/>
        </w:rPr>
        <w:t>Boys &amp; Girls Club of Geneva Inc.</w:t>
      </w:r>
      <w:r w:rsidRPr="00DB522F">
        <w:t>,</w:t>
      </w:r>
      <w:r w:rsidR="00AB09F3">
        <w:t xml:space="preserve"> Letter,</w:t>
      </w:r>
      <w:r w:rsidRPr="00DB522F">
        <w:t xml:space="preserve"> Ref 1800B3 (MB </w:t>
      </w:r>
      <w:r w:rsidR="001B20C8">
        <w:t>Jan. 31, 2014</w:t>
      </w:r>
      <w:r w:rsidRPr="00DB522F">
        <w:t>) (“</w:t>
      </w:r>
      <w:r w:rsidRPr="00DB522F">
        <w:rPr>
          <w:i/>
        </w:rPr>
        <w:t>Dismissal Letter</w:t>
      </w:r>
      <w:r w:rsidRPr="00DB522F">
        <w:t xml:space="preserve">”).  </w:t>
      </w:r>
      <w:r w:rsidRPr="00DB522F">
        <w:rPr>
          <w:i/>
        </w:rPr>
        <w:t>See also</w:t>
      </w:r>
      <w:r w:rsidRPr="00DB522F">
        <w:t xml:space="preserve"> </w:t>
      </w:r>
      <w:r w:rsidRPr="00DB522F">
        <w:rPr>
          <w:i/>
        </w:rPr>
        <w:t>Broadcast Actions</w:t>
      </w:r>
      <w:r w:rsidRPr="00DB522F">
        <w:t>, Public Notice, Report No. 481</w:t>
      </w:r>
      <w:r w:rsidR="001B20C8">
        <w:t>70</w:t>
      </w:r>
      <w:r w:rsidRPr="00DB522F">
        <w:t xml:space="preserve"> (MB </w:t>
      </w:r>
      <w:r w:rsidR="001B20C8">
        <w:t>Feb. 5</w:t>
      </w:r>
      <w:r w:rsidRPr="00DB522F">
        <w:t>, 201</w:t>
      </w:r>
      <w:r w:rsidR="001B20C8">
        <w:t>4</w:t>
      </w:r>
      <w:r w:rsidRPr="00DB522F">
        <w:t xml:space="preserve">).  </w:t>
      </w:r>
    </w:p>
  </w:footnote>
  <w:footnote w:id="2">
    <w:p w:rsidR="000A6D85" w:rsidRDefault="000A6D85" w:rsidP="000A6D85">
      <w:pPr>
        <w:pStyle w:val="FootnoteText"/>
        <w:spacing w:after="120"/>
      </w:pPr>
      <w:r>
        <w:rPr>
          <w:rStyle w:val="FootnoteReference"/>
        </w:rPr>
        <w:footnoteRef/>
      </w:r>
      <w:r>
        <w:t xml:space="preserve"> Application at Section VI, Question 8.</w:t>
      </w:r>
    </w:p>
  </w:footnote>
  <w:footnote w:id="3">
    <w:p w:rsidR="00AD7B90" w:rsidRPr="00593A88" w:rsidRDefault="00AD7B90" w:rsidP="00323115">
      <w:pPr>
        <w:pStyle w:val="FootnoteText"/>
        <w:spacing w:after="120"/>
      </w:pPr>
      <w:r w:rsidRPr="00593A88">
        <w:rPr>
          <w:rStyle w:val="FootnoteReference"/>
        </w:rPr>
        <w:footnoteRef/>
      </w:r>
      <w:r w:rsidRPr="00593A88">
        <w:t xml:space="preserve"> </w:t>
      </w:r>
      <w:r w:rsidR="009F01B5" w:rsidRPr="00593A88">
        <w:rPr>
          <w:i/>
        </w:rPr>
        <w:t xml:space="preserve">Dismissal Letter </w:t>
      </w:r>
      <w:r w:rsidR="009F01B5" w:rsidRPr="00593A88">
        <w:t>at 1.</w:t>
      </w:r>
      <w:r w:rsidR="001556D6" w:rsidRPr="00593A88">
        <w:t xml:space="preserve">  </w:t>
      </w:r>
      <w:r w:rsidR="00745F61" w:rsidRPr="00593A88">
        <w:t xml:space="preserve">The </w:t>
      </w:r>
      <w:r w:rsidR="00745F61" w:rsidRPr="00593A88">
        <w:rPr>
          <w:i/>
        </w:rPr>
        <w:t>Dismissal Letter</w:t>
      </w:r>
      <w:r w:rsidR="00745F61" w:rsidRPr="00593A88">
        <w:t xml:space="preserve"> explained that the Application failed to satisfy the minimum spacing requirements for </w:t>
      </w:r>
      <w:r w:rsidR="006B7E2D" w:rsidRPr="00593A88">
        <w:t>first-adjacent</w:t>
      </w:r>
      <w:r w:rsidR="00745F61" w:rsidRPr="00593A88">
        <w:t xml:space="preserve"> </w:t>
      </w:r>
      <w:r w:rsidR="00DC280D">
        <w:t>FM translator station W241</w:t>
      </w:r>
      <w:r w:rsidR="00802282">
        <w:t>A</w:t>
      </w:r>
      <w:r w:rsidR="00DC280D">
        <w:t>W, Geneva, New York</w:t>
      </w:r>
      <w:r w:rsidR="00745F61" w:rsidRPr="00593A88">
        <w:t xml:space="preserve">.  </w:t>
      </w:r>
      <w:r w:rsidR="00745F61" w:rsidRPr="00593A88">
        <w:rPr>
          <w:i/>
        </w:rPr>
        <w:t>See</w:t>
      </w:r>
      <w:r w:rsidR="00745F61" w:rsidRPr="00593A88">
        <w:t xml:space="preserve"> 47 C.F.R § 73.807(</w:t>
      </w:r>
      <w:r w:rsidR="00901DA6">
        <w:t>c).</w:t>
      </w:r>
      <w:r w:rsidR="00745F61" w:rsidRPr="00593A88">
        <w:t xml:space="preserve">  The </w:t>
      </w:r>
      <w:r w:rsidR="00745F61" w:rsidRPr="00593A88">
        <w:rPr>
          <w:i/>
        </w:rPr>
        <w:t>Dismissal Letter</w:t>
      </w:r>
      <w:r w:rsidR="00745F61" w:rsidRPr="00593A88">
        <w:t xml:space="preserve"> further states that the Application was dismissed without opportunity to amend pursuant to Section 73.870(c) of the Rules.  </w:t>
      </w:r>
      <w:r w:rsidR="00745F61" w:rsidRPr="00593A88">
        <w:rPr>
          <w:i/>
        </w:rPr>
        <w:t>See</w:t>
      </w:r>
      <w:r w:rsidR="00745F61" w:rsidRPr="00593A88">
        <w:t xml:space="preserve"> 47 C.F.R 73.870(c) (“[A]pplications . . . the fail to meet the 73.807 minimum distance separations . . . will be dismissed without any opportunity to amend such applications.”).</w:t>
      </w:r>
    </w:p>
  </w:footnote>
  <w:footnote w:id="4">
    <w:p w:rsidR="00766A7E" w:rsidRDefault="00766A7E" w:rsidP="00323115">
      <w:pPr>
        <w:pStyle w:val="FootnoteText"/>
        <w:spacing w:after="120"/>
      </w:pPr>
      <w:r>
        <w:rPr>
          <w:rStyle w:val="FootnoteReference"/>
        </w:rPr>
        <w:footnoteRef/>
      </w:r>
      <w:r>
        <w:t xml:space="preserve"> Petition at 1-2.</w:t>
      </w:r>
    </w:p>
  </w:footnote>
  <w:footnote w:id="5">
    <w:p w:rsidR="007A1BC9" w:rsidRDefault="007A1BC9" w:rsidP="00323115">
      <w:pPr>
        <w:pStyle w:val="FootnoteText"/>
        <w:spacing w:after="120"/>
      </w:pPr>
      <w:r>
        <w:rPr>
          <w:rStyle w:val="FootnoteReference"/>
        </w:rPr>
        <w:footnoteRef/>
      </w:r>
      <w:r>
        <w:t xml:space="preserve"> </w:t>
      </w:r>
      <w:r w:rsidRPr="005609CF">
        <w:rPr>
          <w:i/>
        </w:rPr>
        <w:t xml:space="preserve">See </w:t>
      </w:r>
      <w:r w:rsidRPr="005609CF">
        <w:t>Pub. L. No. 111-371, 124 Stat. 4072 (2011).</w:t>
      </w:r>
    </w:p>
  </w:footnote>
  <w:footnote w:id="6">
    <w:p w:rsidR="00766A7E" w:rsidRDefault="00766A7E" w:rsidP="00323115">
      <w:pPr>
        <w:pStyle w:val="FootnoteText"/>
        <w:spacing w:after="120"/>
      </w:pPr>
      <w:r>
        <w:rPr>
          <w:rStyle w:val="FootnoteReference"/>
        </w:rPr>
        <w:footnoteRef/>
      </w:r>
      <w:r>
        <w:t xml:space="preserve"> </w:t>
      </w:r>
      <w:r w:rsidR="00F03EFF">
        <w:t>Petition</w:t>
      </w:r>
      <w:r>
        <w:t xml:space="preserve"> at 3.</w:t>
      </w:r>
    </w:p>
  </w:footnote>
  <w:footnote w:id="7">
    <w:p w:rsidR="00B85A66" w:rsidRPr="00B85A66" w:rsidRDefault="00B85A66" w:rsidP="00323115">
      <w:pPr>
        <w:pStyle w:val="FootnoteText"/>
        <w:spacing w:after="120"/>
        <w:rPr>
          <w:i/>
        </w:rPr>
      </w:pPr>
      <w:r>
        <w:rPr>
          <w:rStyle w:val="FootnoteReference"/>
        </w:rPr>
        <w:footnoteRef/>
      </w:r>
      <w:r>
        <w:t xml:space="preserve"> </w:t>
      </w:r>
      <w:r>
        <w:rPr>
          <w:i/>
        </w:rPr>
        <w:t>Id.</w:t>
      </w:r>
    </w:p>
  </w:footnote>
  <w:footnote w:id="8">
    <w:p w:rsidR="007A23FA" w:rsidRPr="007A23FA" w:rsidRDefault="007A23FA" w:rsidP="00323115">
      <w:pPr>
        <w:pStyle w:val="FootnoteText"/>
        <w:spacing w:after="120"/>
      </w:pPr>
      <w:r>
        <w:rPr>
          <w:rStyle w:val="FootnoteReference"/>
        </w:rPr>
        <w:footnoteRef/>
      </w:r>
      <w:r>
        <w:t xml:space="preserve"> Petition at 3 n.2, </w:t>
      </w:r>
      <w:r>
        <w:rPr>
          <w:i/>
        </w:rPr>
        <w:t>citing North End Woodward Community Coalition</w:t>
      </w:r>
      <w:r>
        <w:t>, File No. BNPL-20131113ABG</w:t>
      </w:r>
      <w:r w:rsidR="00F47758">
        <w:t xml:space="preserve"> (“</w:t>
      </w:r>
      <w:r w:rsidR="00F47758">
        <w:rPr>
          <w:i/>
        </w:rPr>
        <w:t>North End</w:t>
      </w:r>
      <w:r w:rsidR="00F47758">
        <w:t>”)</w:t>
      </w:r>
      <w:r>
        <w:t>.</w:t>
      </w:r>
    </w:p>
  </w:footnote>
  <w:footnote w:id="9">
    <w:p w:rsidR="005228BE" w:rsidRDefault="005228BE" w:rsidP="00323115">
      <w:pPr>
        <w:pStyle w:val="FootnoteText"/>
        <w:spacing w:after="120"/>
      </w:pPr>
      <w:r>
        <w:rPr>
          <w:rStyle w:val="FootnoteReference"/>
        </w:rPr>
        <w:footnoteRef/>
      </w:r>
      <w:r>
        <w:t xml:space="preserve"> 47 C.F.R. § 1.3.</w:t>
      </w:r>
    </w:p>
  </w:footnote>
  <w:footnote w:id="10">
    <w:p w:rsidR="005228BE" w:rsidRDefault="005228BE" w:rsidP="00323115">
      <w:pPr>
        <w:pStyle w:val="FootnoteText"/>
        <w:spacing w:after="120"/>
      </w:pPr>
      <w:r>
        <w:rPr>
          <w:rStyle w:val="FootnoteReference"/>
        </w:rPr>
        <w:footnoteRef/>
      </w:r>
      <w:r>
        <w:t xml:space="preserve"> </w:t>
      </w:r>
      <w:r>
        <w:rPr>
          <w:i/>
        </w:rPr>
        <w:t>WAIT Radio v. FCC</w:t>
      </w:r>
      <w:r>
        <w:t>, 418 F.2d 1153, 1157 (D.C. Cir. 1969) (subsequent history omitted).</w:t>
      </w:r>
    </w:p>
  </w:footnote>
  <w:footnote w:id="11">
    <w:p w:rsidR="005228BE" w:rsidRDefault="005228BE" w:rsidP="00323115">
      <w:pPr>
        <w:pStyle w:val="FootnoteText"/>
        <w:spacing w:after="120"/>
      </w:pPr>
      <w:r>
        <w:rPr>
          <w:rStyle w:val="FootnoteReference"/>
        </w:rPr>
        <w:footnoteRef/>
      </w:r>
      <w:r>
        <w:t xml:space="preserve"> </w:t>
      </w:r>
      <w:r>
        <w:rPr>
          <w:i/>
        </w:rPr>
        <w:t>Greater Media Radio Co., Inc</w:t>
      </w:r>
      <w:r>
        <w:t xml:space="preserve">., Memorandum Opinion and Order, 15 FCC Rcd 7090 (1999) (citing </w:t>
      </w:r>
      <w:r>
        <w:rPr>
          <w:i/>
        </w:rPr>
        <w:t>Stoner Broadcasting System, Inc.</w:t>
      </w:r>
      <w:r>
        <w:t>, Memorandum Opinion and Order, 49 FCC 2d 1011, 1012 (1974)).</w:t>
      </w:r>
    </w:p>
  </w:footnote>
  <w:footnote w:id="12">
    <w:p w:rsidR="005228BE" w:rsidRDefault="005228BE" w:rsidP="00323115">
      <w:pPr>
        <w:pStyle w:val="FootnoteText"/>
        <w:spacing w:after="120"/>
      </w:pPr>
      <w:r>
        <w:rPr>
          <w:rStyle w:val="FootnoteReference"/>
        </w:rPr>
        <w:footnoteRef/>
      </w:r>
      <w:r>
        <w:t xml:space="preserve"> </w:t>
      </w:r>
      <w:r>
        <w:rPr>
          <w:i/>
        </w:rPr>
        <w:t>NetworkIP, LLC v. FCC</w:t>
      </w:r>
      <w:r>
        <w:t xml:space="preserve">, 548 F.3d 116, 125-128 (D.C. Cir. 2008); </w:t>
      </w:r>
      <w:r>
        <w:rPr>
          <w:i/>
        </w:rPr>
        <w:t>Northeast Cellular</w:t>
      </w:r>
      <w:r>
        <w:rPr>
          <w:i/>
          <w:noProof/>
        </w:rPr>
        <w:drawing>
          <wp:inline distT="0" distB="0" distL="0" distR="0" wp14:anchorId="5C148460" wp14:editId="1A273609">
            <wp:extent cx="9525" cy="9525"/>
            <wp:effectExtent l="0" t="0" r="0" b="0"/>
            <wp:docPr id="8" name="Picture 8" descr="next hit">
              <a:hlinkClick xmlns:a="http://schemas.openxmlformats.org/drawingml/2006/main"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xt h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8" w:name="a0e3a6q7z1"/>
      <w:bookmarkEnd w:id="8"/>
      <w:r>
        <w:rPr>
          <w:i/>
        </w:rPr>
        <w:t xml:space="preserve"> Telephone Co. v. FCC</w:t>
      </w:r>
      <w:r>
        <w:t>,</w:t>
      </w:r>
      <w:r>
        <w:rPr>
          <w:i/>
        </w:rPr>
        <w:t xml:space="preserve"> </w:t>
      </w:r>
      <w:r>
        <w:t>897 F.2d 1164, 1166 (D.C. Cir. 1990).</w:t>
      </w:r>
    </w:p>
  </w:footnote>
  <w:footnote w:id="13">
    <w:p w:rsidR="00B92AD5" w:rsidRDefault="00B92AD5" w:rsidP="00323115">
      <w:pPr>
        <w:pStyle w:val="FootnoteText"/>
        <w:spacing w:after="120"/>
      </w:pPr>
      <w:r>
        <w:rPr>
          <w:rStyle w:val="FootnoteReference"/>
        </w:rPr>
        <w:footnoteRef/>
      </w:r>
      <w:r>
        <w:t xml:space="preserve"> Petition at 3.</w:t>
      </w:r>
    </w:p>
  </w:footnote>
  <w:footnote w:id="14">
    <w:p w:rsidR="00AB09F3" w:rsidRPr="005609CF" w:rsidRDefault="00AB09F3" w:rsidP="00323115">
      <w:pPr>
        <w:pStyle w:val="FootnoteText"/>
        <w:spacing w:after="120"/>
        <w:rPr>
          <w:i/>
        </w:rPr>
      </w:pPr>
      <w:r w:rsidRPr="005609CF">
        <w:rPr>
          <w:rStyle w:val="FootnoteReference"/>
        </w:rPr>
        <w:footnoteRef/>
      </w:r>
      <w:r w:rsidRPr="005609CF">
        <w:t xml:space="preserve"> </w:t>
      </w:r>
      <w:r w:rsidRPr="005609CF">
        <w:rPr>
          <w:i/>
        </w:rPr>
        <w:t>See, e.g</w:t>
      </w:r>
      <w:r w:rsidRPr="005609CF">
        <w:t xml:space="preserve">., </w:t>
      </w:r>
      <w:r w:rsidRPr="005609CF">
        <w:rPr>
          <w:i/>
        </w:rPr>
        <w:t>Community Television of Southern California v. Gottfried</w:t>
      </w:r>
      <w:r w:rsidRPr="005609CF">
        <w:t xml:space="preserve">, 459 U.S. 498, 511 (1984) (citation omitted) (“rulemaking is generally a ‘better, fairer and more effective’ method of implementing a new industry-wide policy”); </w:t>
      </w:r>
      <w:r w:rsidRPr="005609CF">
        <w:rPr>
          <w:i/>
        </w:rPr>
        <w:t>Sunburst Media L.P.</w:t>
      </w:r>
      <w:r w:rsidRPr="005609CF">
        <w:t>, Memorandum Opinion and Order, 17 FCC Rcd 1366 (2001) (stating “it has long been Commission practice to make decisions that alter fundamental components of broadly applicable regulatory</w:t>
      </w:r>
      <w:r>
        <w:t xml:space="preserve"> schemes in the context of rule</w:t>
      </w:r>
      <w:r w:rsidRPr="005609CF">
        <w:t xml:space="preserve">making proceedings, not adjudications”); </w:t>
      </w:r>
      <w:r w:rsidRPr="005609CF">
        <w:rPr>
          <w:i/>
          <w:iCs/>
        </w:rPr>
        <w:t xml:space="preserve">Great Empire Broadcasting, Inc., </w:t>
      </w:r>
      <w:r w:rsidRPr="005609CF">
        <w:rPr>
          <w:iCs/>
        </w:rPr>
        <w:t xml:space="preserve">Memorandum Opinion and Order, 14 FCC Rcd 11145, 11148 (1999), </w:t>
      </w:r>
      <w:r w:rsidRPr="005609CF">
        <w:t xml:space="preserve">citing </w:t>
      </w:r>
      <w:r w:rsidRPr="005609CF">
        <w:rPr>
          <w:i/>
          <w:iCs/>
        </w:rPr>
        <w:t>Capital Cities/ABC, Inc.,</w:t>
      </w:r>
      <w:r w:rsidRPr="005609CF">
        <w:rPr>
          <w:iCs/>
        </w:rPr>
        <w:t xml:space="preserve"> Memorandum Opinion and Order,</w:t>
      </w:r>
      <w:r w:rsidRPr="005609CF">
        <w:rPr>
          <w:i/>
          <w:iCs/>
        </w:rPr>
        <w:t xml:space="preserve"> </w:t>
      </w:r>
      <w:r w:rsidRPr="005609CF">
        <w:rPr>
          <w:iCs/>
        </w:rPr>
        <w:t>11 FCC Rcd 5841, 5888 (1996)</w:t>
      </w:r>
      <w:r w:rsidRPr="005609CF">
        <w:t xml:space="preserve"> (it is generally inappropriate to address arguments for a change in rules “where third parties, including those with substantial stakes in the outcome, have had no opportunity to participate, and in which we, as a result, have not had the benefit of a full and well-counseled record”).</w:t>
      </w:r>
    </w:p>
  </w:footnote>
  <w:footnote w:id="15">
    <w:p w:rsidR="00332A1E" w:rsidRDefault="00332A1E" w:rsidP="00323115">
      <w:pPr>
        <w:pStyle w:val="FootnoteText"/>
        <w:spacing w:after="120"/>
      </w:pPr>
      <w:r>
        <w:rPr>
          <w:rStyle w:val="FootnoteReference"/>
        </w:rPr>
        <w:footnoteRef/>
      </w:r>
      <w:r>
        <w:t xml:space="preserve"> Application at Section VI, Question 8.</w:t>
      </w:r>
    </w:p>
  </w:footnote>
  <w:footnote w:id="16">
    <w:p w:rsidR="007E32B3" w:rsidRPr="00847191" w:rsidRDefault="007E32B3" w:rsidP="007E32B3">
      <w:pPr>
        <w:pStyle w:val="FootnoteText"/>
        <w:spacing w:after="120"/>
      </w:pPr>
      <w:r w:rsidRPr="00847191">
        <w:rPr>
          <w:rStyle w:val="FootnoteReference"/>
        </w:rPr>
        <w:footnoteRef/>
      </w:r>
      <w:r w:rsidRPr="00847191">
        <w:t xml:space="preserve"> FCC Form 318, Section VI, Question 8a (“Note: New station applications that fail to meet all of the co-channel and first-adjacent channel separation requirements set forth in 47 C.F.R. Section 73.807 will be returned and will not be provided an opportunity to file a curative amendment.”).  </w:t>
      </w:r>
      <w:r w:rsidRPr="00847191">
        <w:rPr>
          <w:i/>
        </w:rPr>
        <w:t>See also</w:t>
      </w:r>
      <w:r w:rsidRPr="00847191">
        <w:t xml:space="preserve"> 47 C.F.R. § 73.870(c) (application will be dismissed wit</w:t>
      </w:r>
      <w:r>
        <w:t xml:space="preserve">hout opportunity to amend if </w:t>
      </w:r>
      <w:r w:rsidR="00626350">
        <w:t xml:space="preserve">it proposes a location that fails to comply with </w:t>
      </w:r>
      <w:r w:rsidRPr="00847191">
        <w:t>a Section 73.8</w:t>
      </w:r>
      <w:r w:rsidR="00626350">
        <w:t xml:space="preserve">07 </w:t>
      </w:r>
      <w:r w:rsidRPr="00847191">
        <w:t>violation).</w:t>
      </w:r>
    </w:p>
  </w:footnote>
  <w:footnote w:id="17">
    <w:p w:rsidR="00923D89" w:rsidRPr="00923D89" w:rsidRDefault="00923D89" w:rsidP="00323115">
      <w:pPr>
        <w:pStyle w:val="FootnoteText"/>
        <w:spacing w:after="120"/>
      </w:pPr>
      <w:r>
        <w:rPr>
          <w:rStyle w:val="FootnoteReference"/>
        </w:rPr>
        <w:footnoteRef/>
      </w:r>
      <w:r>
        <w:t xml:space="preserve"> </w:t>
      </w:r>
      <w:r>
        <w:rPr>
          <w:i/>
        </w:rPr>
        <w:t>See Clifford Brown Jazz Foundation</w:t>
      </w:r>
      <w:r>
        <w:t>, Memorandum Opinion, FCC 14-162 (</w:t>
      </w:r>
      <w:r w:rsidR="00626350">
        <w:t xml:space="preserve">rel. Oct. 15, </w:t>
      </w:r>
      <w:r>
        <w:t>2014) (affirming dismissal of LPFM application – without opportunity to amend – where application viol</w:t>
      </w:r>
      <w:r w:rsidR="00626350">
        <w:t>ated Section 73.807 with regard</w:t>
      </w:r>
      <w:r>
        <w:t xml:space="preserve"> to a second-adjacent station and did not request a waiver at the time of filing).</w:t>
      </w:r>
    </w:p>
  </w:footnote>
  <w:footnote w:id="18">
    <w:p w:rsidR="00332A1E" w:rsidRPr="002E2CCB" w:rsidRDefault="00332A1E" w:rsidP="00323115">
      <w:pPr>
        <w:pStyle w:val="FootnoteText"/>
        <w:spacing w:after="120"/>
      </w:pPr>
      <w:r w:rsidRPr="002E2CCB">
        <w:rPr>
          <w:rStyle w:val="FootnoteReference"/>
        </w:rPr>
        <w:footnoteRef/>
      </w:r>
      <w:r w:rsidRPr="002E2CCB">
        <w:t xml:space="preserve"> </w:t>
      </w:r>
      <w:r w:rsidRPr="002E2CCB">
        <w:rPr>
          <w:i/>
        </w:rPr>
        <w:t>See Creation of a Low Power Radio Service</w:t>
      </w:r>
      <w:r w:rsidRPr="002E2CCB">
        <w:t xml:space="preserve">, Report and Order, 15 FCC Rcd 2205, 2257 (2000) (“In accordance with our window filing procedure for commercial broadcast applications, after the LPFM window closes, the staff initially will screen applications for the purpose of identifying those that are mutually exclusive and those that fail to protect existing broadcast stations in accordance with the standards adopted herein.  Applications that fail to properly protect these existing stations will be dismissed without the applicant being afforded an opportunity to amend.  This will increase the speed and efficiency with which LPFM applications can be processed by the staff.”).  </w:t>
      </w:r>
    </w:p>
  </w:footnote>
  <w:footnote w:id="19">
    <w:p w:rsidR="004B38B8" w:rsidRPr="00593A88" w:rsidRDefault="004B38B8" w:rsidP="00323115">
      <w:pPr>
        <w:autoSpaceDE w:val="0"/>
        <w:autoSpaceDN w:val="0"/>
        <w:adjustRightInd w:val="0"/>
        <w:spacing w:after="120"/>
      </w:pPr>
      <w:r w:rsidRPr="00593A88">
        <w:rPr>
          <w:rStyle w:val="FootnoteReference"/>
        </w:rPr>
        <w:footnoteRef/>
      </w:r>
      <w:r w:rsidR="00E83E76">
        <w:t xml:space="preserve"> </w:t>
      </w:r>
      <w:r w:rsidR="00E83E76">
        <w:rPr>
          <w:i/>
          <w:iCs/>
        </w:rPr>
        <w:t>See 1998 Biennial Regulatory Review -- Streamlining of Mass Media Applications, Rules, and Process</w:t>
      </w:r>
      <w:r w:rsidR="00E83E76">
        <w:t xml:space="preserve">, Report and Order, 13 FCC Rcd 23056, 23076 (1998) (“Reliance on a prior Commission action would be appropriate only where a decision disposing of the prior application plainly considered and found acceptable the pertinent contract term or rule interpretation.”), </w:t>
      </w:r>
      <w:r w:rsidR="00E83E76">
        <w:rPr>
          <w:i/>
          <w:iCs/>
        </w:rPr>
        <w:t>on recon.</w:t>
      </w:r>
      <w:r w:rsidR="00E83E76">
        <w:t>, Memorandum Opinion and Order, 14 FCC Rcd 17525 (1999).</w:t>
      </w:r>
    </w:p>
  </w:footnote>
  <w:footnote w:id="20">
    <w:p w:rsidR="004B38B8" w:rsidRPr="002D5B6D" w:rsidRDefault="004B38B8" w:rsidP="00323115">
      <w:pPr>
        <w:pStyle w:val="FootnoteText"/>
        <w:spacing w:after="120"/>
      </w:pPr>
      <w:r w:rsidRPr="00593A88">
        <w:rPr>
          <w:rStyle w:val="FootnoteReference"/>
        </w:rPr>
        <w:footnoteRef/>
      </w:r>
      <w:r w:rsidRPr="00593A88">
        <w:t xml:space="preserve"> </w:t>
      </w:r>
      <w:r w:rsidR="00E83E76">
        <w:t xml:space="preserve">In </w:t>
      </w:r>
      <w:r w:rsidR="00E83E76">
        <w:rPr>
          <w:i/>
          <w:iCs/>
        </w:rPr>
        <w:t>North End</w:t>
      </w:r>
      <w:r w:rsidR="00E83E76">
        <w:t>, the Bureau accepted that application for filing upon approval from the Canadian government, which determined that protection of the Canadian co-channel station was not required because the</w:t>
      </w:r>
      <w:r w:rsidR="00E83E76">
        <w:rPr>
          <w:b/>
          <w:bCs/>
        </w:rPr>
        <w:t xml:space="preserve"> </w:t>
      </w:r>
      <w:r w:rsidR="00E83E76" w:rsidRPr="00E83E76">
        <w:rPr>
          <w:bCs/>
        </w:rPr>
        <w:t>interfering</w:t>
      </w:r>
      <w:r w:rsidR="00E83E76" w:rsidRPr="00E83E76">
        <w:t xml:space="preserve"> </w:t>
      </w:r>
      <w:r w:rsidR="00E83E76">
        <w:t xml:space="preserve">contour of the LPFM station would not cross the U.S.-Canada border.  </w:t>
      </w:r>
      <w:r w:rsidR="00E83E76">
        <w:rPr>
          <w:i/>
          <w:iCs/>
        </w:rPr>
        <w:t>See, e.g.,</w:t>
      </w:r>
      <w:r w:rsidR="00E83E76">
        <w:t xml:space="preserve"> </w:t>
      </w:r>
      <w:r w:rsidR="00E83E76">
        <w:rPr>
          <w:i/>
          <w:iCs/>
        </w:rPr>
        <w:t>Colonial Radio Group, Inc.</w:t>
      </w:r>
      <w:r w:rsidR="00E83E76">
        <w:t xml:space="preserve">, Memorandum Opinion and Order, 29 FCC Rcd 9954 (2014) (affirming longstanding interpretation of treaty with Canada that certain rules are inapplicable where translator </w:t>
      </w:r>
      <w:r w:rsidR="00E83E76" w:rsidRPr="00E83E76">
        <w:t xml:space="preserve">station’s </w:t>
      </w:r>
      <w:r w:rsidR="00E83E76" w:rsidRPr="00E83E76">
        <w:rPr>
          <w:bCs/>
        </w:rPr>
        <w:t>interfering</w:t>
      </w:r>
      <w:r w:rsidR="00E83E76">
        <w:rPr>
          <w:b/>
          <w:bCs/>
        </w:rPr>
        <w:t xml:space="preserve"> </w:t>
      </w:r>
      <w:r w:rsidR="00E83E76">
        <w:t>contour did not cross U.S.-Canada border).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01" w:rsidRDefault="00AF7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01" w:rsidRDefault="00AF7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B4" w:rsidRDefault="00C02E03">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14:anchorId="44876880" wp14:editId="19C0C387">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817AB4">
      <w:rPr>
        <w:b/>
        <w:sz w:val="22"/>
      </w:rPr>
      <w:t>Federal Communications Commission</w:t>
    </w:r>
  </w:p>
  <w:p w:rsidR="00817AB4" w:rsidRDefault="00817AB4">
    <w:pPr>
      <w:jc w:val="center"/>
      <w:rPr>
        <w:b/>
        <w:sz w:val="22"/>
      </w:rPr>
    </w:pPr>
    <w:smartTag w:uri="urn:schemas-microsoft-com:office:smarttags" w:element="place">
      <w:smartTag w:uri="urn:schemas-microsoft-com:office:smarttags" w:element="City">
        <w:r>
          <w:rPr>
            <w:b/>
            <w:sz w:val="22"/>
          </w:rPr>
          <w:t>Washington</w:t>
        </w:r>
      </w:smartTag>
      <w:r>
        <w:rPr>
          <w:b/>
          <w:sz w:val="22"/>
        </w:rPr>
        <w:t xml:space="preserve">, </w:t>
      </w:r>
      <w:smartTag w:uri="urn:schemas-microsoft-com:office:smarttags" w:element="State">
        <w:r>
          <w:rPr>
            <w:b/>
            <w:sz w:val="22"/>
          </w:rPr>
          <w:t>D.C.</w:t>
        </w:r>
      </w:smartTag>
      <w:r>
        <w:rPr>
          <w:b/>
          <w:sz w:val="22"/>
        </w:rPr>
        <w:t xml:space="preserve"> </w:t>
      </w:r>
      <w:smartTag w:uri="urn:schemas-microsoft-com:office:smarttags" w:element="PostalCode">
        <w:r>
          <w:rPr>
            <w:b/>
            <w:sz w:val="22"/>
          </w:rPr>
          <w:t>20554</w:t>
        </w:r>
      </w:smartTag>
    </w:smartTag>
  </w:p>
  <w:p w:rsidR="00817AB4" w:rsidRDefault="00817AB4">
    <w:pPr>
      <w:jc w:val="center"/>
      <w:rPr>
        <w:b/>
        <w:sz w:val="22"/>
      </w:rPr>
    </w:pPr>
  </w:p>
  <w:p w:rsidR="00817AB4" w:rsidRPr="00397656" w:rsidRDefault="00C30BC6" w:rsidP="00F50E07">
    <w:pPr>
      <w:jc w:val="center"/>
      <w:rPr>
        <w:sz w:val="22"/>
        <w:szCs w:val="22"/>
      </w:rPr>
    </w:pPr>
    <w:r>
      <w:rPr>
        <w:sz w:val="22"/>
        <w:szCs w:val="22"/>
      </w:rPr>
      <w:t>October 23</w:t>
    </w:r>
    <w:r w:rsidR="00F64ACC">
      <w:rPr>
        <w:sz w:val="22"/>
        <w:szCs w:val="22"/>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D0"/>
    <w:rsid w:val="00001E44"/>
    <w:rsid w:val="00005D35"/>
    <w:rsid w:val="000063A5"/>
    <w:rsid w:val="0000783B"/>
    <w:rsid w:val="00007A8D"/>
    <w:rsid w:val="000102A2"/>
    <w:rsid w:val="000104B2"/>
    <w:rsid w:val="00010EC8"/>
    <w:rsid w:val="0002009F"/>
    <w:rsid w:val="000228B5"/>
    <w:rsid w:val="00025624"/>
    <w:rsid w:val="00027EB4"/>
    <w:rsid w:val="000329B6"/>
    <w:rsid w:val="000355AC"/>
    <w:rsid w:val="00036470"/>
    <w:rsid w:val="00036F3E"/>
    <w:rsid w:val="00037EF9"/>
    <w:rsid w:val="0004025D"/>
    <w:rsid w:val="00041392"/>
    <w:rsid w:val="0004256E"/>
    <w:rsid w:val="00045C0A"/>
    <w:rsid w:val="0004649F"/>
    <w:rsid w:val="000472E5"/>
    <w:rsid w:val="000504B5"/>
    <w:rsid w:val="00050F16"/>
    <w:rsid w:val="00051383"/>
    <w:rsid w:val="000526E3"/>
    <w:rsid w:val="00054836"/>
    <w:rsid w:val="00055A2E"/>
    <w:rsid w:val="00056A59"/>
    <w:rsid w:val="00060CE1"/>
    <w:rsid w:val="000622BC"/>
    <w:rsid w:val="0006539C"/>
    <w:rsid w:val="00066068"/>
    <w:rsid w:val="000673A6"/>
    <w:rsid w:val="0006756A"/>
    <w:rsid w:val="000704A9"/>
    <w:rsid w:val="00071742"/>
    <w:rsid w:val="0007355A"/>
    <w:rsid w:val="000740D6"/>
    <w:rsid w:val="00074915"/>
    <w:rsid w:val="00076242"/>
    <w:rsid w:val="000839B2"/>
    <w:rsid w:val="00084E50"/>
    <w:rsid w:val="00085153"/>
    <w:rsid w:val="00085308"/>
    <w:rsid w:val="00091BDC"/>
    <w:rsid w:val="00093FE6"/>
    <w:rsid w:val="0009550F"/>
    <w:rsid w:val="00096D91"/>
    <w:rsid w:val="000A19AA"/>
    <w:rsid w:val="000A2AD6"/>
    <w:rsid w:val="000A6D85"/>
    <w:rsid w:val="000A6E96"/>
    <w:rsid w:val="000B1DB8"/>
    <w:rsid w:val="000B5D86"/>
    <w:rsid w:val="000B6F1B"/>
    <w:rsid w:val="000C478E"/>
    <w:rsid w:val="000C77E6"/>
    <w:rsid w:val="000D17C0"/>
    <w:rsid w:val="000D338C"/>
    <w:rsid w:val="000D60A2"/>
    <w:rsid w:val="000D64EC"/>
    <w:rsid w:val="000D6595"/>
    <w:rsid w:val="000D65F5"/>
    <w:rsid w:val="000D7F2B"/>
    <w:rsid w:val="000E0DA0"/>
    <w:rsid w:val="000E358C"/>
    <w:rsid w:val="000E667B"/>
    <w:rsid w:val="000F0353"/>
    <w:rsid w:val="000F2F58"/>
    <w:rsid w:val="000F38A4"/>
    <w:rsid w:val="000F776A"/>
    <w:rsid w:val="00100497"/>
    <w:rsid w:val="00102035"/>
    <w:rsid w:val="00103DE5"/>
    <w:rsid w:val="00104C48"/>
    <w:rsid w:val="00106526"/>
    <w:rsid w:val="00107B37"/>
    <w:rsid w:val="0011124A"/>
    <w:rsid w:val="001125A6"/>
    <w:rsid w:val="00112A27"/>
    <w:rsid w:val="00117B2D"/>
    <w:rsid w:val="001204E8"/>
    <w:rsid w:val="00122D4D"/>
    <w:rsid w:val="001230A5"/>
    <w:rsid w:val="00123B3F"/>
    <w:rsid w:val="00126D18"/>
    <w:rsid w:val="0013075A"/>
    <w:rsid w:val="00131150"/>
    <w:rsid w:val="0013292E"/>
    <w:rsid w:val="00133012"/>
    <w:rsid w:val="00133477"/>
    <w:rsid w:val="00136D36"/>
    <w:rsid w:val="001402A4"/>
    <w:rsid w:val="00143351"/>
    <w:rsid w:val="0014451C"/>
    <w:rsid w:val="00144EBF"/>
    <w:rsid w:val="00145B19"/>
    <w:rsid w:val="001462DA"/>
    <w:rsid w:val="001519B4"/>
    <w:rsid w:val="00152D63"/>
    <w:rsid w:val="00154D6B"/>
    <w:rsid w:val="001551F4"/>
    <w:rsid w:val="001556D6"/>
    <w:rsid w:val="00160F35"/>
    <w:rsid w:val="00163362"/>
    <w:rsid w:val="00163C52"/>
    <w:rsid w:val="00163CDB"/>
    <w:rsid w:val="00164036"/>
    <w:rsid w:val="00165F49"/>
    <w:rsid w:val="00183EBA"/>
    <w:rsid w:val="001868B0"/>
    <w:rsid w:val="001900F7"/>
    <w:rsid w:val="0019083F"/>
    <w:rsid w:val="00192577"/>
    <w:rsid w:val="00196333"/>
    <w:rsid w:val="001A0BBE"/>
    <w:rsid w:val="001A0E82"/>
    <w:rsid w:val="001A0F7D"/>
    <w:rsid w:val="001A2FF2"/>
    <w:rsid w:val="001A38E9"/>
    <w:rsid w:val="001A38FD"/>
    <w:rsid w:val="001A3D3F"/>
    <w:rsid w:val="001A5181"/>
    <w:rsid w:val="001A5290"/>
    <w:rsid w:val="001A7D3E"/>
    <w:rsid w:val="001B177C"/>
    <w:rsid w:val="001B20C8"/>
    <w:rsid w:val="001B3063"/>
    <w:rsid w:val="001B5997"/>
    <w:rsid w:val="001B6C5A"/>
    <w:rsid w:val="001B77E9"/>
    <w:rsid w:val="001B7BB7"/>
    <w:rsid w:val="001C0653"/>
    <w:rsid w:val="001C4031"/>
    <w:rsid w:val="001C4499"/>
    <w:rsid w:val="001C79E5"/>
    <w:rsid w:val="001E444B"/>
    <w:rsid w:val="001E720C"/>
    <w:rsid w:val="001E79A7"/>
    <w:rsid w:val="001F2C05"/>
    <w:rsid w:val="001F53B8"/>
    <w:rsid w:val="0020096E"/>
    <w:rsid w:val="002009FB"/>
    <w:rsid w:val="0020149E"/>
    <w:rsid w:val="002014BE"/>
    <w:rsid w:val="002021BA"/>
    <w:rsid w:val="00202440"/>
    <w:rsid w:val="002024D2"/>
    <w:rsid w:val="00204109"/>
    <w:rsid w:val="002043B6"/>
    <w:rsid w:val="00204E9C"/>
    <w:rsid w:val="0020553A"/>
    <w:rsid w:val="002118FC"/>
    <w:rsid w:val="002164C0"/>
    <w:rsid w:val="00220F67"/>
    <w:rsid w:val="00221542"/>
    <w:rsid w:val="002249F0"/>
    <w:rsid w:val="00224ABA"/>
    <w:rsid w:val="00226565"/>
    <w:rsid w:val="002267D4"/>
    <w:rsid w:val="00231854"/>
    <w:rsid w:val="002344E3"/>
    <w:rsid w:val="002347F4"/>
    <w:rsid w:val="002402D9"/>
    <w:rsid w:val="00245D13"/>
    <w:rsid w:val="00246F3B"/>
    <w:rsid w:val="002475C2"/>
    <w:rsid w:val="00262271"/>
    <w:rsid w:val="002623B9"/>
    <w:rsid w:val="0026436A"/>
    <w:rsid w:val="0027478E"/>
    <w:rsid w:val="002757A9"/>
    <w:rsid w:val="00276495"/>
    <w:rsid w:val="00280C01"/>
    <w:rsid w:val="00281CC4"/>
    <w:rsid w:val="00283BEE"/>
    <w:rsid w:val="00284AC4"/>
    <w:rsid w:val="00285BE7"/>
    <w:rsid w:val="0028615C"/>
    <w:rsid w:val="00290103"/>
    <w:rsid w:val="00291841"/>
    <w:rsid w:val="002926DE"/>
    <w:rsid w:val="00295179"/>
    <w:rsid w:val="00296450"/>
    <w:rsid w:val="002971F5"/>
    <w:rsid w:val="002A1B58"/>
    <w:rsid w:val="002A2F71"/>
    <w:rsid w:val="002A3A39"/>
    <w:rsid w:val="002A46C1"/>
    <w:rsid w:val="002B02C0"/>
    <w:rsid w:val="002B2612"/>
    <w:rsid w:val="002B4D80"/>
    <w:rsid w:val="002B5350"/>
    <w:rsid w:val="002C04E5"/>
    <w:rsid w:val="002C1B4F"/>
    <w:rsid w:val="002C4510"/>
    <w:rsid w:val="002C4A65"/>
    <w:rsid w:val="002D3387"/>
    <w:rsid w:val="002D472F"/>
    <w:rsid w:val="002D5B6D"/>
    <w:rsid w:val="002D7205"/>
    <w:rsid w:val="002E10CF"/>
    <w:rsid w:val="002E3198"/>
    <w:rsid w:val="002E3BBF"/>
    <w:rsid w:val="002E6655"/>
    <w:rsid w:val="002E7478"/>
    <w:rsid w:val="002F1E68"/>
    <w:rsid w:val="002F3DB8"/>
    <w:rsid w:val="00300FFD"/>
    <w:rsid w:val="00301F3D"/>
    <w:rsid w:val="00302B1F"/>
    <w:rsid w:val="00303800"/>
    <w:rsid w:val="00305AFE"/>
    <w:rsid w:val="0031226A"/>
    <w:rsid w:val="00314930"/>
    <w:rsid w:val="00314B2C"/>
    <w:rsid w:val="00316D6A"/>
    <w:rsid w:val="00323115"/>
    <w:rsid w:val="00326E0D"/>
    <w:rsid w:val="00327296"/>
    <w:rsid w:val="0032787C"/>
    <w:rsid w:val="003324D0"/>
    <w:rsid w:val="00332A1E"/>
    <w:rsid w:val="00334984"/>
    <w:rsid w:val="00335879"/>
    <w:rsid w:val="00340E35"/>
    <w:rsid w:val="0034126F"/>
    <w:rsid w:val="00345D01"/>
    <w:rsid w:val="00346815"/>
    <w:rsid w:val="00350BD0"/>
    <w:rsid w:val="00355368"/>
    <w:rsid w:val="00355464"/>
    <w:rsid w:val="0035598F"/>
    <w:rsid w:val="0035697F"/>
    <w:rsid w:val="003579B2"/>
    <w:rsid w:val="003603A1"/>
    <w:rsid w:val="0036080C"/>
    <w:rsid w:val="0036143F"/>
    <w:rsid w:val="003616A0"/>
    <w:rsid w:val="00362BCB"/>
    <w:rsid w:val="003656BF"/>
    <w:rsid w:val="00367788"/>
    <w:rsid w:val="003678D5"/>
    <w:rsid w:val="00367E98"/>
    <w:rsid w:val="003733F9"/>
    <w:rsid w:val="003773AC"/>
    <w:rsid w:val="00381F1F"/>
    <w:rsid w:val="003843E0"/>
    <w:rsid w:val="00384572"/>
    <w:rsid w:val="003876DA"/>
    <w:rsid w:val="00390685"/>
    <w:rsid w:val="003911B0"/>
    <w:rsid w:val="00391673"/>
    <w:rsid w:val="00391EDC"/>
    <w:rsid w:val="0039397F"/>
    <w:rsid w:val="003962F1"/>
    <w:rsid w:val="00397656"/>
    <w:rsid w:val="003A0A45"/>
    <w:rsid w:val="003A1218"/>
    <w:rsid w:val="003A1DE2"/>
    <w:rsid w:val="003A240B"/>
    <w:rsid w:val="003A3959"/>
    <w:rsid w:val="003A4C23"/>
    <w:rsid w:val="003B0360"/>
    <w:rsid w:val="003B0620"/>
    <w:rsid w:val="003B32AE"/>
    <w:rsid w:val="003B413C"/>
    <w:rsid w:val="003B5908"/>
    <w:rsid w:val="003B6980"/>
    <w:rsid w:val="003C1904"/>
    <w:rsid w:val="003C1B2C"/>
    <w:rsid w:val="003C1E06"/>
    <w:rsid w:val="003C365F"/>
    <w:rsid w:val="003C4C6B"/>
    <w:rsid w:val="003C5ADD"/>
    <w:rsid w:val="003D2A8E"/>
    <w:rsid w:val="003E1048"/>
    <w:rsid w:val="003E634D"/>
    <w:rsid w:val="003E7474"/>
    <w:rsid w:val="003F32D5"/>
    <w:rsid w:val="003F68B4"/>
    <w:rsid w:val="003F73E0"/>
    <w:rsid w:val="003F7546"/>
    <w:rsid w:val="00404FF0"/>
    <w:rsid w:val="0040501B"/>
    <w:rsid w:val="00405C7C"/>
    <w:rsid w:val="0040690B"/>
    <w:rsid w:val="00407BF3"/>
    <w:rsid w:val="00410B61"/>
    <w:rsid w:val="004145BB"/>
    <w:rsid w:val="00420BB8"/>
    <w:rsid w:val="00421092"/>
    <w:rsid w:val="00424B59"/>
    <w:rsid w:val="004304A4"/>
    <w:rsid w:val="00432752"/>
    <w:rsid w:val="00436830"/>
    <w:rsid w:val="0044076C"/>
    <w:rsid w:val="00442541"/>
    <w:rsid w:val="004441D1"/>
    <w:rsid w:val="0045114F"/>
    <w:rsid w:val="004609AD"/>
    <w:rsid w:val="00465A8D"/>
    <w:rsid w:val="0046726F"/>
    <w:rsid w:val="00467CD3"/>
    <w:rsid w:val="004741E8"/>
    <w:rsid w:val="00476097"/>
    <w:rsid w:val="004937A1"/>
    <w:rsid w:val="00493B64"/>
    <w:rsid w:val="00495500"/>
    <w:rsid w:val="0049791F"/>
    <w:rsid w:val="004A0794"/>
    <w:rsid w:val="004A32DA"/>
    <w:rsid w:val="004A38F5"/>
    <w:rsid w:val="004A5F7F"/>
    <w:rsid w:val="004A777F"/>
    <w:rsid w:val="004A79C1"/>
    <w:rsid w:val="004B00D0"/>
    <w:rsid w:val="004B38B8"/>
    <w:rsid w:val="004B390B"/>
    <w:rsid w:val="004B3C07"/>
    <w:rsid w:val="004B5010"/>
    <w:rsid w:val="004B57F8"/>
    <w:rsid w:val="004B6C23"/>
    <w:rsid w:val="004B6FE8"/>
    <w:rsid w:val="004B753F"/>
    <w:rsid w:val="004C095D"/>
    <w:rsid w:val="004C2171"/>
    <w:rsid w:val="004C4283"/>
    <w:rsid w:val="004C4514"/>
    <w:rsid w:val="004C49A5"/>
    <w:rsid w:val="004C49E2"/>
    <w:rsid w:val="004C5ABD"/>
    <w:rsid w:val="004D1951"/>
    <w:rsid w:val="004D2914"/>
    <w:rsid w:val="004D2E62"/>
    <w:rsid w:val="004D3454"/>
    <w:rsid w:val="004D3AE1"/>
    <w:rsid w:val="004D3E1B"/>
    <w:rsid w:val="004D71F7"/>
    <w:rsid w:val="004D729C"/>
    <w:rsid w:val="004E2EC8"/>
    <w:rsid w:val="004E3C74"/>
    <w:rsid w:val="004E63B1"/>
    <w:rsid w:val="004E7A05"/>
    <w:rsid w:val="004E7AA2"/>
    <w:rsid w:val="004E7E1A"/>
    <w:rsid w:val="004F0096"/>
    <w:rsid w:val="004F188D"/>
    <w:rsid w:val="004F29B8"/>
    <w:rsid w:val="004F5C24"/>
    <w:rsid w:val="004F610C"/>
    <w:rsid w:val="004F6471"/>
    <w:rsid w:val="004F7701"/>
    <w:rsid w:val="004F7AD3"/>
    <w:rsid w:val="00500319"/>
    <w:rsid w:val="00500345"/>
    <w:rsid w:val="005005E5"/>
    <w:rsid w:val="00500FAE"/>
    <w:rsid w:val="00503B18"/>
    <w:rsid w:val="0050466E"/>
    <w:rsid w:val="005048FD"/>
    <w:rsid w:val="00504D02"/>
    <w:rsid w:val="0050511D"/>
    <w:rsid w:val="00505816"/>
    <w:rsid w:val="0051040F"/>
    <w:rsid w:val="005117C3"/>
    <w:rsid w:val="00513CFA"/>
    <w:rsid w:val="00514FAE"/>
    <w:rsid w:val="00515805"/>
    <w:rsid w:val="00515CFA"/>
    <w:rsid w:val="005161DF"/>
    <w:rsid w:val="00516EE8"/>
    <w:rsid w:val="00520D37"/>
    <w:rsid w:val="005228BE"/>
    <w:rsid w:val="00522CC3"/>
    <w:rsid w:val="00526B1A"/>
    <w:rsid w:val="0053011A"/>
    <w:rsid w:val="0053057E"/>
    <w:rsid w:val="0053530A"/>
    <w:rsid w:val="0053599B"/>
    <w:rsid w:val="005360C0"/>
    <w:rsid w:val="00542D32"/>
    <w:rsid w:val="00545C71"/>
    <w:rsid w:val="0054724B"/>
    <w:rsid w:val="00547390"/>
    <w:rsid w:val="00547EA5"/>
    <w:rsid w:val="0055499A"/>
    <w:rsid w:val="00555236"/>
    <w:rsid w:val="00557D56"/>
    <w:rsid w:val="00560633"/>
    <w:rsid w:val="005606D8"/>
    <w:rsid w:val="0056092A"/>
    <w:rsid w:val="00560B59"/>
    <w:rsid w:val="00563949"/>
    <w:rsid w:val="005647CF"/>
    <w:rsid w:val="005652D0"/>
    <w:rsid w:val="00570141"/>
    <w:rsid w:val="00572F46"/>
    <w:rsid w:val="00573C8F"/>
    <w:rsid w:val="0057594C"/>
    <w:rsid w:val="00576456"/>
    <w:rsid w:val="005820BE"/>
    <w:rsid w:val="00583204"/>
    <w:rsid w:val="0058383D"/>
    <w:rsid w:val="005845A4"/>
    <w:rsid w:val="0058551D"/>
    <w:rsid w:val="00587950"/>
    <w:rsid w:val="005914A8"/>
    <w:rsid w:val="00592545"/>
    <w:rsid w:val="00592E34"/>
    <w:rsid w:val="0059375F"/>
    <w:rsid w:val="00593A88"/>
    <w:rsid w:val="00593E3F"/>
    <w:rsid w:val="00595074"/>
    <w:rsid w:val="00595C10"/>
    <w:rsid w:val="00596953"/>
    <w:rsid w:val="00596989"/>
    <w:rsid w:val="00596A48"/>
    <w:rsid w:val="005A2B18"/>
    <w:rsid w:val="005A3120"/>
    <w:rsid w:val="005A516E"/>
    <w:rsid w:val="005A5A7B"/>
    <w:rsid w:val="005B11ED"/>
    <w:rsid w:val="005B2786"/>
    <w:rsid w:val="005B4590"/>
    <w:rsid w:val="005B495A"/>
    <w:rsid w:val="005B647C"/>
    <w:rsid w:val="005B6EF6"/>
    <w:rsid w:val="005B7431"/>
    <w:rsid w:val="005B7ACC"/>
    <w:rsid w:val="005C09DC"/>
    <w:rsid w:val="005C3C59"/>
    <w:rsid w:val="005C4C42"/>
    <w:rsid w:val="005C5277"/>
    <w:rsid w:val="005D4FDC"/>
    <w:rsid w:val="005D637B"/>
    <w:rsid w:val="005E158F"/>
    <w:rsid w:val="005E4580"/>
    <w:rsid w:val="005E6608"/>
    <w:rsid w:val="005E7DEB"/>
    <w:rsid w:val="005F2B6D"/>
    <w:rsid w:val="005F2E0A"/>
    <w:rsid w:val="005F37B4"/>
    <w:rsid w:val="005F453E"/>
    <w:rsid w:val="005F643E"/>
    <w:rsid w:val="005F7391"/>
    <w:rsid w:val="006044DE"/>
    <w:rsid w:val="00606C86"/>
    <w:rsid w:val="00614CA6"/>
    <w:rsid w:val="00616396"/>
    <w:rsid w:val="00617430"/>
    <w:rsid w:val="006226D2"/>
    <w:rsid w:val="00626350"/>
    <w:rsid w:val="0063017C"/>
    <w:rsid w:val="006307AD"/>
    <w:rsid w:val="00633232"/>
    <w:rsid w:val="006350DB"/>
    <w:rsid w:val="00637806"/>
    <w:rsid w:val="006439C1"/>
    <w:rsid w:val="00647BC0"/>
    <w:rsid w:val="006503F4"/>
    <w:rsid w:val="00670196"/>
    <w:rsid w:val="0067127B"/>
    <w:rsid w:val="006716D7"/>
    <w:rsid w:val="0067216F"/>
    <w:rsid w:val="006746D6"/>
    <w:rsid w:val="006767A3"/>
    <w:rsid w:val="0067791A"/>
    <w:rsid w:val="006804C8"/>
    <w:rsid w:val="00681454"/>
    <w:rsid w:val="00681C69"/>
    <w:rsid w:val="00684CCF"/>
    <w:rsid w:val="00685F3D"/>
    <w:rsid w:val="006907D2"/>
    <w:rsid w:val="00691285"/>
    <w:rsid w:val="006913D1"/>
    <w:rsid w:val="006917EF"/>
    <w:rsid w:val="00692F51"/>
    <w:rsid w:val="00693A65"/>
    <w:rsid w:val="0069440E"/>
    <w:rsid w:val="00694807"/>
    <w:rsid w:val="006A14DA"/>
    <w:rsid w:val="006A4D46"/>
    <w:rsid w:val="006A7783"/>
    <w:rsid w:val="006B2688"/>
    <w:rsid w:val="006B7E2D"/>
    <w:rsid w:val="006C3823"/>
    <w:rsid w:val="006C3E39"/>
    <w:rsid w:val="006D3E47"/>
    <w:rsid w:val="006E08C0"/>
    <w:rsid w:val="006E20E0"/>
    <w:rsid w:val="006E234B"/>
    <w:rsid w:val="006E7679"/>
    <w:rsid w:val="006F1A34"/>
    <w:rsid w:val="006F2F26"/>
    <w:rsid w:val="006F4B61"/>
    <w:rsid w:val="006F70F6"/>
    <w:rsid w:val="007119BC"/>
    <w:rsid w:val="007149F5"/>
    <w:rsid w:val="00714DBB"/>
    <w:rsid w:val="0071725A"/>
    <w:rsid w:val="007232A6"/>
    <w:rsid w:val="00724908"/>
    <w:rsid w:val="007257F5"/>
    <w:rsid w:val="00731F9E"/>
    <w:rsid w:val="00732B4B"/>
    <w:rsid w:val="00732CDF"/>
    <w:rsid w:val="00732E44"/>
    <w:rsid w:val="0073590A"/>
    <w:rsid w:val="00740121"/>
    <w:rsid w:val="00741D63"/>
    <w:rsid w:val="007436E7"/>
    <w:rsid w:val="007446B2"/>
    <w:rsid w:val="00745F61"/>
    <w:rsid w:val="0075310F"/>
    <w:rsid w:val="00753938"/>
    <w:rsid w:val="00755D78"/>
    <w:rsid w:val="0075632D"/>
    <w:rsid w:val="00756DE8"/>
    <w:rsid w:val="00763B49"/>
    <w:rsid w:val="00764B07"/>
    <w:rsid w:val="00766A7E"/>
    <w:rsid w:val="00766DB1"/>
    <w:rsid w:val="00767A85"/>
    <w:rsid w:val="00773986"/>
    <w:rsid w:val="007764FF"/>
    <w:rsid w:val="00777EC4"/>
    <w:rsid w:val="00781160"/>
    <w:rsid w:val="00781993"/>
    <w:rsid w:val="007829FC"/>
    <w:rsid w:val="00782CAD"/>
    <w:rsid w:val="00785792"/>
    <w:rsid w:val="007926D5"/>
    <w:rsid w:val="00793AD6"/>
    <w:rsid w:val="00794238"/>
    <w:rsid w:val="00796C7E"/>
    <w:rsid w:val="00797E55"/>
    <w:rsid w:val="007A0A37"/>
    <w:rsid w:val="007A1BC9"/>
    <w:rsid w:val="007A23FA"/>
    <w:rsid w:val="007A29AC"/>
    <w:rsid w:val="007A3E2F"/>
    <w:rsid w:val="007A5ED5"/>
    <w:rsid w:val="007A6A1C"/>
    <w:rsid w:val="007A7794"/>
    <w:rsid w:val="007B0CD6"/>
    <w:rsid w:val="007B1E23"/>
    <w:rsid w:val="007B4D1E"/>
    <w:rsid w:val="007B606F"/>
    <w:rsid w:val="007B671B"/>
    <w:rsid w:val="007B6A80"/>
    <w:rsid w:val="007C0164"/>
    <w:rsid w:val="007C1C64"/>
    <w:rsid w:val="007C398E"/>
    <w:rsid w:val="007C5761"/>
    <w:rsid w:val="007C6ED1"/>
    <w:rsid w:val="007D2E41"/>
    <w:rsid w:val="007D3F0F"/>
    <w:rsid w:val="007D5555"/>
    <w:rsid w:val="007E32B3"/>
    <w:rsid w:val="007E4616"/>
    <w:rsid w:val="007E5584"/>
    <w:rsid w:val="007E664C"/>
    <w:rsid w:val="007F0005"/>
    <w:rsid w:val="007F323E"/>
    <w:rsid w:val="007F5C8A"/>
    <w:rsid w:val="007F7634"/>
    <w:rsid w:val="007F7710"/>
    <w:rsid w:val="00800CBA"/>
    <w:rsid w:val="00801D44"/>
    <w:rsid w:val="00802282"/>
    <w:rsid w:val="0080279A"/>
    <w:rsid w:val="00802DA3"/>
    <w:rsid w:val="008062EA"/>
    <w:rsid w:val="00806CEF"/>
    <w:rsid w:val="00807EF4"/>
    <w:rsid w:val="00811CFF"/>
    <w:rsid w:val="00811ECC"/>
    <w:rsid w:val="008127D0"/>
    <w:rsid w:val="00817AB4"/>
    <w:rsid w:val="008244FF"/>
    <w:rsid w:val="00825356"/>
    <w:rsid w:val="00826EEB"/>
    <w:rsid w:val="00841926"/>
    <w:rsid w:val="008430F9"/>
    <w:rsid w:val="0084387D"/>
    <w:rsid w:val="00844502"/>
    <w:rsid w:val="00846E19"/>
    <w:rsid w:val="0085024E"/>
    <w:rsid w:val="00851782"/>
    <w:rsid w:val="00852FBE"/>
    <w:rsid w:val="00862737"/>
    <w:rsid w:val="00864BE6"/>
    <w:rsid w:val="00867314"/>
    <w:rsid w:val="008735DA"/>
    <w:rsid w:val="008745A0"/>
    <w:rsid w:val="00874BB4"/>
    <w:rsid w:val="008817B2"/>
    <w:rsid w:val="00883167"/>
    <w:rsid w:val="008842C3"/>
    <w:rsid w:val="0088741C"/>
    <w:rsid w:val="00887BB6"/>
    <w:rsid w:val="00892C71"/>
    <w:rsid w:val="00895966"/>
    <w:rsid w:val="008A6B26"/>
    <w:rsid w:val="008A7740"/>
    <w:rsid w:val="008A7A29"/>
    <w:rsid w:val="008B08DD"/>
    <w:rsid w:val="008B55B9"/>
    <w:rsid w:val="008B5A5E"/>
    <w:rsid w:val="008C4D78"/>
    <w:rsid w:val="008C574A"/>
    <w:rsid w:val="008C70CC"/>
    <w:rsid w:val="008D0CBE"/>
    <w:rsid w:val="008D43A3"/>
    <w:rsid w:val="008D47EA"/>
    <w:rsid w:val="008E0500"/>
    <w:rsid w:val="008E1127"/>
    <w:rsid w:val="008E2829"/>
    <w:rsid w:val="008E2EB1"/>
    <w:rsid w:val="008E3138"/>
    <w:rsid w:val="008F1053"/>
    <w:rsid w:val="008F2777"/>
    <w:rsid w:val="008F3E32"/>
    <w:rsid w:val="008F6EA4"/>
    <w:rsid w:val="009002DC"/>
    <w:rsid w:val="00901DA6"/>
    <w:rsid w:val="00902783"/>
    <w:rsid w:val="00907C33"/>
    <w:rsid w:val="0091728A"/>
    <w:rsid w:val="009237CF"/>
    <w:rsid w:val="00923D89"/>
    <w:rsid w:val="00923F22"/>
    <w:rsid w:val="00923F6F"/>
    <w:rsid w:val="0092468A"/>
    <w:rsid w:val="009251B9"/>
    <w:rsid w:val="0092641C"/>
    <w:rsid w:val="00930489"/>
    <w:rsid w:val="009324A0"/>
    <w:rsid w:val="0093304D"/>
    <w:rsid w:val="00933D98"/>
    <w:rsid w:val="0093620C"/>
    <w:rsid w:val="00937FEF"/>
    <w:rsid w:val="0094048D"/>
    <w:rsid w:val="00941935"/>
    <w:rsid w:val="009420A8"/>
    <w:rsid w:val="00944378"/>
    <w:rsid w:val="009464BC"/>
    <w:rsid w:val="00947BE8"/>
    <w:rsid w:val="009501AF"/>
    <w:rsid w:val="00950E1B"/>
    <w:rsid w:val="00961153"/>
    <w:rsid w:val="00962307"/>
    <w:rsid w:val="009701DD"/>
    <w:rsid w:val="009733D8"/>
    <w:rsid w:val="009753F5"/>
    <w:rsid w:val="00975728"/>
    <w:rsid w:val="00975B47"/>
    <w:rsid w:val="00975D08"/>
    <w:rsid w:val="00976155"/>
    <w:rsid w:val="00981F70"/>
    <w:rsid w:val="009828E3"/>
    <w:rsid w:val="00983847"/>
    <w:rsid w:val="00984AE8"/>
    <w:rsid w:val="00986855"/>
    <w:rsid w:val="0099064C"/>
    <w:rsid w:val="00991028"/>
    <w:rsid w:val="009917A9"/>
    <w:rsid w:val="00993EB2"/>
    <w:rsid w:val="009948B1"/>
    <w:rsid w:val="00994CFD"/>
    <w:rsid w:val="00996A11"/>
    <w:rsid w:val="00997FE3"/>
    <w:rsid w:val="009A0DDB"/>
    <w:rsid w:val="009A0EB7"/>
    <w:rsid w:val="009A1E31"/>
    <w:rsid w:val="009A4EF4"/>
    <w:rsid w:val="009A7773"/>
    <w:rsid w:val="009B407A"/>
    <w:rsid w:val="009C595E"/>
    <w:rsid w:val="009D2822"/>
    <w:rsid w:val="009D2EC7"/>
    <w:rsid w:val="009D3C91"/>
    <w:rsid w:val="009D4CD4"/>
    <w:rsid w:val="009D6BF3"/>
    <w:rsid w:val="009D7639"/>
    <w:rsid w:val="009E361D"/>
    <w:rsid w:val="009E36E1"/>
    <w:rsid w:val="009E3BA3"/>
    <w:rsid w:val="009E68EA"/>
    <w:rsid w:val="009E7CB6"/>
    <w:rsid w:val="009F01B5"/>
    <w:rsid w:val="009F263D"/>
    <w:rsid w:val="009F4A17"/>
    <w:rsid w:val="009F5449"/>
    <w:rsid w:val="009F7135"/>
    <w:rsid w:val="00A01064"/>
    <w:rsid w:val="00A0242A"/>
    <w:rsid w:val="00A02D6B"/>
    <w:rsid w:val="00A02DF2"/>
    <w:rsid w:val="00A02E7A"/>
    <w:rsid w:val="00A0482B"/>
    <w:rsid w:val="00A1210D"/>
    <w:rsid w:val="00A12696"/>
    <w:rsid w:val="00A13357"/>
    <w:rsid w:val="00A33DC4"/>
    <w:rsid w:val="00A35468"/>
    <w:rsid w:val="00A4024A"/>
    <w:rsid w:val="00A4123A"/>
    <w:rsid w:val="00A429D7"/>
    <w:rsid w:val="00A44F46"/>
    <w:rsid w:val="00A45F24"/>
    <w:rsid w:val="00A511AC"/>
    <w:rsid w:val="00A52737"/>
    <w:rsid w:val="00A5512E"/>
    <w:rsid w:val="00A55985"/>
    <w:rsid w:val="00A575A5"/>
    <w:rsid w:val="00A602A9"/>
    <w:rsid w:val="00A6144F"/>
    <w:rsid w:val="00A62240"/>
    <w:rsid w:val="00A66098"/>
    <w:rsid w:val="00A66442"/>
    <w:rsid w:val="00A6779A"/>
    <w:rsid w:val="00A67B4A"/>
    <w:rsid w:val="00A71D74"/>
    <w:rsid w:val="00A722DA"/>
    <w:rsid w:val="00A72E11"/>
    <w:rsid w:val="00A74621"/>
    <w:rsid w:val="00A7472D"/>
    <w:rsid w:val="00A7642A"/>
    <w:rsid w:val="00A76872"/>
    <w:rsid w:val="00A76A6A"/>
    <w:rsid w:val="00A76AAF"/>
    <w:rsid w:val="00A76F0D"/>
    <w:rsid w:val="00A77204"/>
    <w:rsid w:val="00A77501"/>
    <w:rsid w:val="00A777FE"/>
    <w:rsid w:val="00A80B47"/>
    <w:rsid w:val="00A81F1E"/>
    <w:rsid w:val="00A83A58"/>
    <w:rsid w:val="00A845D4"/>
    <w:rsid w:val="00A84F33"/>
    <w:rsid w:val="00A85102"/>
    <w:rsid w:val="00A85DF5"/>
    <w:rsid w:val="00A86744"/>
    <w:rsid w:val="00A86F1A"/>
    <w:rsid w:val="00A8734A"/>
    <w:rsid w:val="00A91C43"/>
    <w:rsid w:val="00A91FF8"/>
    <w:rsid w:val="00A93CEF"/>
    <w:rsid w:val="00A95F66"/>
    <w:rsid w:val="00A9604D"/>
    <w:rsid w:val="00A97D33"/>
    <w:rsid w:val="00A97E80"/>
    <w:rsid w:val="00AA0E56"/>
    <w:rsid w:val="00AA1BDE"/>
    <w:rsid w:val="00AA275C"/>
    <w:rsid w:val="00AA2B6B"/>
    <w:rsid w:val="00AA5027"/>
    <w:rsid w:val="00AB00ED"/>
    <w:rsid w:val="00AB013A"/>
    <w:rsid w:val="00AB09F3"/>
    <w:rsid w:val="00AB2213"/>
    <w:rsid w:val="00AC11EF"/>
    <w:rsid w:val="00AC3B98"/>
    <w:rsid w:val="00AC3C49"/>
    <w:rsid w:val="00AC4465"/>
    <w:rsid w:val="00AC65B9"/>
    <w:rsid w:val="00AD1CCF"/>
    <w:rsid w:val="00AD1ED4"/>
    <w:rsid w:val="00AD2F5E"/>
    <w:rsid w:val="00AD5DBC"/>
    <w:rsid w:val="00AD64D3"/>
    <w:rsid w:val="00AD652D"/>
    <w:rsid w:val="00AD7B90"/>
    <w:rsid w:val="00AE1E6F"/>
    <w:rsid w:val="00AE2BD0"/>
    <w:rsid w:val="00AE3CC9"/>
    <w:rsid w:val="00AE5DC5"/>
    <w:rsid w:val="00AF00DF"/>
    <w:rsid w:val="00AF03B3"/>
    <w:rsid w:val="00AF13B0"/>
    <w:rsid w:val="00AF296F"/>
    <w:rsid w:val="00AF2D8A"/>
    <w:rsid w:val="00AF3FFF"/>
    <w:rsid w:val="00AF69DB"/>
    <w:rsid w:val="00AF7889"/>
    <w:rsid w:val="00AF7C01"/>
    <w:rsid w:val="00B032EF"/>
    <w:rsid w:val="00B05EC5"/>
    <w:rsid w:val="00B11F8A"/>
    <w:rsid w:val="00B151B9"/>
    <w:rsid w:val="00B154E5"/>
    <w:rsid w:val="00B16F10"/>
    <w:rsid w:val="00B2038D"/>
    <w:rsid w:val="00B21726"/>
    <w:rsid w:val="00B22C85"/>
    <w:rsid w:val="00B2398B"/>
    <w:rsid w:val="00B34D0D"/>
    <w:rsid w:val="00B36ED7"/>
    <w:rsid w:val="00B379BD"/>
    <w:rsid w:val="00B40ED4"/>
    <w:rsid w:val="00B43B3E"/>
    <w:rsid w:val="00B43C69"/>
    <w:rsid w:val="00B45649"/>
    <w:rsid w:val="00B45E3A"/>
    <w:rsid w:val="00B51D69"/>
    <w:rsid w:val="00B529DD"/>
    <w:rsid w:val="00B53826"/>
    <w:rsid w:val="00B54C1F"/>
    <w:rsid w:val="00B56D55"/>
    <w:rsid w:val="00B62E8F"/>
    <w:rsid w:val="00B671C9"/>
    <w:rsid w:val="00B74894"/>
    <w:rsid w:val="00B75C35"/>
    <w:rsid w:val="00B76F01"/>
    <w:rsid w:val="00B80059"/>
    <w:rsid w:val="00B824EB"/>
    <w:rsid w:val="00B85A66"/>
    <w:rsid w:val="00B90B61"/>
    <w:rsid w:val="00B92AD5"/>
    <w:rsid w:val="00B9449C"/>
    <w:rsid w:val="00BA0D71"/>
    <w:rsid w:val="00BA5146"/>
    <w:rsid w:val="00BA5961"/>
    <w:rsid w:val="00BA6D30"/>
    <w:rsid w:val="00BC4941"/>
    <w:rsid w:val="00BC6F08"/>
    <w:rsid w:val="00BC70FD"/>
    <w:rsid w:val="00BC7320"/>
    <w:rsid w:val="00BD33DF"/>
    <w:rsid w:val="00BD7A1D"/>
    <w:rsid w:val="00BE0949"/>
    <w:rsid w:val="00BE2AEC"/>
    <w:rsid w:val="00BE4308"/>
    <w:rsid w:val="00BE6424"/>
    <w:rsid w:val="00BF03D4"/>
    <w:rsid w:val="00BF04BE"/>
    <w:rsid w:val="00BF2C39"/>
    <w:rsid w:val="00BF5362"/>
    <w:rsid w:val="00BF59D8"/>
    <w:rsid w:val="00BF75B0"/>
    <w:rsid w:val="00C0103D"/>
    <w:rsid w:val="00C02E03"/>
    <w:rsid w:val="00C0605A"/>
    <w:rsid w:val="00C121C1"/>
    <w:rsid w:val="00C12303"/>
    <w:rsid w:val="00C12952"/>
    <w:rsid w:val="00C132CF"/>
    <w:rsid w:val="00C14C85"/>
    <w:rsid w:val="00C14D02"/>
    <w:rsid w:val="00C152FF"/>
    <w:rsid w:val="00C17F40"/>
    <w:rsid w:val="00C2073C"/>
    <w:rsid w:val="00C216DE"/>
    <w:rsid w:val="00C22D97"/>
    <w:rsid w:val="00C26055"/>
    <w:rsid w:val="00C26595"/>
    <w:rsid w:val="00C27207"/>
    <w:rsid w:val="00C276CB"/>
    <w:rsid w:val="00C30BC6"/>
    <w:rsid w:val="00C32748"/>
    <w:rsid w:val="00C34369"/>
    <w:rsid w:val="00C37936"/>
    <w:rsid w:val="00C37CEA"/>
    <w:rsid w:val="00C40619"/>
    <w:rsid w:val="00C40EE5"/>
    <w:rsid w:val="00C42393"/>
    <w:rsid w:val="00C450BE"/>
    <w:rsid w:val="00C53568"/>
    <w:rsid w:val="00C543F4"/>
    <w:rsid w:val="00C55C50"/>
    <w:rsid w:val="00C627C1"/>
    <w:rsid w:val="00C63060"/>
    <w:rsid w:val="00C6311E"/>
    <w:rsid w:val="00C6623A"/>
    <w:rsid w:val="00C667E6"/>
    <w:rsid w:val="00C6714F"/>
    <w:rsid w:val="00C704AF"/>
    <w:rsid w:val="00C70B90"/>
    <w:rsid w:val="00C7135A"/>
    <w:rsid w:val="00C754EE"/>
    <w:rsid w:val="00C760BF"/>
    <w:rsid w:val="00C80150"/>
    <w:rsid w:val="00C81619"/>
    <w:rsid w:val="00C8769D"/>
    <w:rsid w:val="00C91682"/>
    <w:rsid w:val="00C922CF"/>
    <w:rsid w:val="00C927E5"/>
    <w:rsid w:val="00C95222"/>
    <w:rsid w:val="00C96A2A"/>
    <w:rsid w:val="00CA0B4B"/>
    <w:rsid w:val="00CA1706"/>
    <w:rsid w:val="00CB02A1"/>
    <w:rsid w:val="00CB22B5"/>
    <w:rsid w:val="00CB3A9D"/>
    <w:rsid w:val="00CB441D"/>
    <w:rsid w:val="00CB4D20"/>
    <w:rsid w:val="00CB582F"/>
    <w:rsid w:val="00CB798D"/>
    <w:rsid w:val="00CB7A36"/>
    <w:rsid w:val="00CB7AC3"/>
    <w:rsid w:val="00CC478F"/>
    <w:rsid w:val="00CC65C8"/>
    <w:rsid w:val="00CD0EF6"/>
    <w:rsid w:val="00CD33F5"/>
    <w:rsid w:val="00CD4EDB"/>
    <w:rsid w:val="00CD57FD"/>
    <w:rsid w:val="00CD6DFF"/>
    <w:rsid w:val="00CD6F62"/>
    <w:rsid w:val="00CD76D3"/>
    <w:rsid w:val="00CE34A4"/>
    <w:rsid w:val="00CE360A"/>
    <w:rsid w:val="00CE6604"/>
    <w:rsid w:val="00CE720B"/>
    <w:rsid w:val="00CE748E"/>
    <w:rsid w:val="00CF0DB3"/>
    <w:rsid w:val="00CF0DE0"/>
    <w:rsid w:val="00CF110A"/>
    <w:rsid w:val="00CF54FC"/>
    <w:rsid w:val="00D0295A"/>
    <w:rsid w:val="00D066A8"/>
    <w:rsid w:val="00D1060B"/>
    <w:rsid w:val="00D10A24"/>
    <w:rsid w:val="00D14B64"/>
    <w:rsid w:val="00D15B9D"/>
    <w:rsid w:val="00D15CBA"/>
    <w:rsid w:val="00D20D2D"/>
    <w:rsid w:val="00D21112"/>
    <w:rsid w:val="00D21F8E"/>
    <w:rsid w:val="00D23E03"/>
    <w:rsid w:val="00D24FB8"/>
    <w:rsid w:val="00D25784"/>
    <w:rsid w:val="00D26811"/>
    <w:rsid w:val="00D27CFA"/>
    <w:rsid w:val="00D30BA1"/>
    <w:rsid w:val="00D3196E"/>
    <w:rsid w:val="00D325DF"/>
    <w:rsid w:val="00D4201D"/>
    <w:rsid w:val="00D43229"/>
    <w:rsid w:val="00D44B90"/>
    <w:rsid w:val="00D45D36"/>
    <w:rsid w:val="00D54C63"/>
    <w:rsid w:val="00D54CD2"/>
    <w:rsid w:val="00D56ACA"/>
    <w:rsid w:val="00D57103"/>
    <w:rsid w:val="00D609E9"/>
    <w:rsid w:val="00D61A53"/>
    <w:rsid w:val="00D62A05"/>
    <w:rsid w:val="00D62E11"/>
    <w:rsid w:val="00D71F88"/>
    <w:rsid w:val="00D7207E"/>
    <w:rsid w:val="00D74DFC"/>
    <w:rsid w:val="00D76217"/>
    <w:rsid w:val="00D808DD"/>
    <w:rsid w:val="00D8491D"/>
    <w:rsid w:val="00D86776"/>
    <w:rsid w:val="00D87B14"/>
    <w:rsid w:val="00D87DDE"/>
    <w:rsid w:val="00D94A6D"/>
    <w:rsid w:val="00D95062"/>
    <w:rsid w:val="00D950E4"/>
    <w:rsid w:val="00DA159E"/>
    <w:rsid w:val="00DB2EDC"/>
    <w:rsid w:val="00DB522F"/>
    <w:rsid w:val="00DB5650"/>
    <w:rsid w:val="00DB5FC3"/>
    <w:rsid w:val="00DB628D"/>
    <w:rsid w:val="00DB71AE"/>
    <w:rsid w:val="00DB7B05"/>
    <w:rsid w:val="00DC0F0C"/>
    <w:rsid w:val="00DC280D"/>
    <w:rsid w:val="00DC59C1"/>
    <w:rsid w:val="00DD5BA5"/>
    <w:rsid w:val="00DD72A9"/>
    <w:rsid w:val="00DE3A5B"/>
    <w:rsid w:val="00DE4361"/>
    <w:rsid w:val="00DF0ED4"/>
    <w:rsid w:val="00E004EC"/>
    <w:rsid w:val="00E023D5"/>
    <w:rsid w:val="00E10E93"/>
    <w:rsid w:val="00E130A2"/>
    <w:rsid w:val="00E13512"/>
    <w:rsid w:val="00E1564D"/>
    <w:rsid w:val="00E1649C"/>
    <w:rsid w:val="00E17BA9"/>
    <w:rsid w:val="00E20A1B"/>
    <w:rsid w:val="00E20AE5"/>
    <w:rsid w:val="00E25176"/>
    <w:rsid w:val="00E260B6"/>
    <w:rsid w:val="00E278F0"/>
    <w:rsid w:val="00E35FAB"/>
    <w:rsid w:val="00E42598"/>
    <w:rsid w:val="00E4435A"/>
    <w:rsid w:val="00E44713"/>
    <w:rsid w:val="00E44CAC"/>
    <w:rsid w:val="00E44ED0"/>
    <w:rsid w:val="00E45E38"/>
    <w:rsid w:val="00E47080"/>
    <w:rsid w:val="00E51ADE"/>
    <w:rsid w:val="00E51C48"/>
    <w:rsid w:val="00E51ED3"/>
    <w:rsid w:val="00E538F3"/>
    <w:rsid w:val="00E56482"/>
    <w:rsid w:val="00E6159A"/>
    <w:rsid w:val="00E62693"/>
    <w:rsid w:val="00E62C2B"/>
    <w:rsid w:val="00E62E19"/>
    <w:rsid w:val="00E64A01"/>
    <w:rsid w:val="00E64B76"/>
    <w:rsid w:val="00E66189"/>
    <w:rsid w:val="00E66A73"/>
    <w:rsid w:val="00E71EE0"/>
    <w:rsid w:val="00E722DB"/>
    <w:rsid w:val="00E73126"/>
    <w:rsid w:val="00E74DB3"/>
    <w:rsid w:val="00E75A76"/>
    <w:rsid w:val="00E7655C"/>
    <w:rsid w:val="00E77381"/>
    <w:rsid w:val="00E810FD"/>
    <w:rsid w:val="00E83654"/>
    <w:rsid w:val="00E83E76"/>
    <w:rsid w:val="00E85B0B"/>
    <w:rsid w:val="00E86845"/>
    <w:rsid w:val="00E87782"/>
    <w:rsid w:val="00E90829"/>
    <w:rsid w:val="00E92145"/>
    <w:rsid w:val="00E95CD7"/>
    <w:rsid w:val="00E973C6"/>
    <w:rsid w:val="00EA2177"/>
    <w:rsid w:val="00EA2A0A"/>
    <w:rsid w:val="00EA788A"/>
    <w:rsid w:val="00EB06C2"/>
    <w:rsid w:val="00EB0C70"/>
    <w:rsid w:val="00EB156B"/>
    <w:rsid w:val="00EB32D4"/>
    <w:rsid w:val="00EB3CC9"/>
    <w:rsid w:val="00EB4EF2"/>
    <w:rsid w:val="00EB5316"/>
    <w:rsid w:val="00EB5B91"/>
    <w:rsid w:val="00EC0DFE"/>
    <w:rsid w:val="00EC0FB8"/>
    <w:rsid w:val="00EC22A4"/>
    <w:rsid w:val="00EC3BD5"/>
    <w:rsid w:val="00EC7958"/>
    <w:rsid w:val="00ED0E96"/>
    <w:rsid w:val="00ED2B16"/>
    <w:rsid w:val="00ED2E89"/>
    <w:rsid w:val="00ED3CB4"/>
    <w:rsid w:val="00ED5C8C"/>
    <w:rsid w:val="00ED5F65"/>
    <w:rsid w:val="00EE59F5"/>
    <w:rsid w:val="00EE6E54"/>
    <w:rsid w:val="00EE70E9"/>
    <w:rsid w:val="00EF36DF"/>
    <w:rsid w:val="00EF5299"/>
    <w:rsid w:val="00EF54CC"/>
    <w:rsid w:val="00EF733E"/>
    <w:rsid w:val="00F03EFF"/>
    <w:rsid w:val="00F05B26"/>
    <w:rsid w:val="00F05BAE"/>
    <w:rsid w:val="00F12050"/>
    <w:rsid w:val="00F14DC0"/>
    <w:rsid w:val="00F158F4"/>
    <w:rsid w:val="00F1631C"/>
    <w:rsid w:val="00F16FEB"/>
    <w:rsid w:val="00F1715C"/>
    <w:rsid w:val="00F202C0"/>
    <w:rsid w:val="00F20975"/>
    <w:rsid w:val="00F2311C"/>
    <w:rsid w:val="00F23FF7"/>
    <w:rsid w:val="00F243A7"/>
    <w:rsid w:val="00F249E6"/>
    <w:rsid w:val="00F261ED"/>
    <w:rsid w:val="00F27068"/>
    <w:rsid w:val="00F30CF2"/>
    <w:rsid w:val="00F31817"/>
    <w:rsid w:val="00F32117"/>
    <w:rsid w:val="00F32FE5"/>
    <w:rsid w:val="00F3482F"/>
    <w:rsid w:val="00F35F6D"/>
    <w:rsid w:val="00F3668E"/>
    <w:rsid w:val="00F43560"/>
    <w:rsid w:val="00F43D2B"/>
    <w:rsid w:val="00F47758"/>
    <w:rsid w:val="00F50E07"/>
    <w:rsid w:val="00F536AB"/>
    <w:rsid w:val="00F53D49"/>
    <w:rsid w:val="00F55014"/>
    <w:rsid w:val="00F60D16"/>
    <w:rsid w:val="00F612E1"/>
    <w:rsid w:val="00F63368"/>
    <w:rsid w:val="00F642DD"/>
    <w:rsid w:val="00F64ACC"/>
    <w:rsid w:val="00F660BC"/>
    <w:rsid w:val="00F7055D"/>
    <w:rsid w:val="00F7527C"/>
    <w:rsid w:val="00F7584A"/>
    <w:rsid w:val="00F76060"/>
    <w:rsid w:val="00F775BA"/>
    <w:rsid w:val="00F812B5"/>
    <w:rsid w:val="00F825FB"/>
    <w:rsid w:val="00F833B7"/>
    <w:rsid w:val="00F90D50"/>
    <w:rsid w:val="00F90D6A"/>
    <w:rsid w:val="00F942F9"/>
    <w:rsid w:val="00F95537"/>
    <w:rsid w:val="00F95AD8"/>
    <w:rsid w:val="00FA3239"/>
    <w:rsid w:val="00FA665C"/>
    <w:rsid w:val="00FA7004"/>
    <w:rsid w:val="00FB032D"/>
    <w:rsid w:val="00FB20A3"/>
    <w:rsid w:val="00FB2339"/>
    <w:rsid w:val="00FB2755"/>
    <w:rsid w:val="00FB313E"/>
    <w:rsid w:val="00FB6061"/>
    <w:rsid w:val="00FC14F8"/>
    <w:rsid w:val="00FC29E9"/>
    <w:rsid w:val="00FD0ED7"/>
    <w:rsid w:val="00FD42F1"/>
    <w:rsid w:val="00FE0575"/>
    <w:rsid w:val="00FE0B7C"/>
    <w:rsid w:val="00FE4501"/>
    <w:rsid w:val="00FE5113"/>
    <w:rsid w:val="00FE5275"/>
    <w:rsid w:val="00FE5987"/>
    <w:rsid w:val="00FE7A34"/>
    <w:rsid w:val="00FF3EC7"/>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fn Char"/>
    <w:basedOn w:val="Normal"/>
    <w:link w:val="FootnoteTextChar3"/>
  </w:style>
  <w:style w:type="character" w:styleId="FootnoteReference">
    <w:name w:val="footnote reference"/>
    <w:aliases w:val="Style 12,(NECG) Footnote Reference,o,fr,Style 3,Appel note de bas de p,Style 124,Style 13,Style 17,FR,Style 4,Footnote Reference/,Style 6"/>
    <w:rPr>
      <w:vertAlign w:val="superscript"/>
    </w:rPr>
  </w:style>
  <w:style w:type="character" w:styleId="PageNumber">
    <w:name w:val="page number"/>
    <w:basedOn w:val="DefaultParagraphFont"/>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Pr>
      <w:noProof w:val="0"/>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tabs>
        <w:tab w:val="left" w:pos="720"/>
        <w:tab w:val="left" w:pos="8460"/>
      </w:tabs>
      <w:ind w:right="900"/>
    </w:pPr>
    <w:rPr>
      <w:color w:val="000000"/>
      <w:spacing w:val="-1"/>
      <w:sz w:val="22"/>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 w:val="24"/>
      <w:szCs w:val="24"/>
    </w:rPr>
  </w:style>
  <w:style w:type="paragraph" w:styleId="BalloonText">
    <w:name w:val="Balloon Text"/>
    <w:basedOn w:val="Normal"/>
    <w:semiHidden/>
    <w:rPr>
      <w:rFonts w:ascii="Tahoma" w:hAnsi="Tahoma" w:cs="Tahoma"/>
      <w:sz w:val="16"/>
      <w:szCs w:val="16"/>
    </w:rPr>
  </w:style>
  <w:style w:type="character" w:customStyle="1" w:styleId="bestsection">
    <w:name w:val="bestsection"/>
    <w:basedOn w:val="DefaultParagraphFont"/>
  </w:style>
  <w:style w:type="character" w:customStyle="1" w:styleId="searchterm">
    <w:name w:val="searchterm"/>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3">
    <w:name w:val="Footnote Text Char3"/>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986855"/>
    <w:rPr>
      <w:lang w:val="en-US" w:eastAsia="en-US" w:bidi="ar-SA"/>
    </w:rPr>
  </w:style>
  <w:style w:type="character" w:customStyle="1" w:styleId="documentbody1">
    <w:name w:val="documentbody1"/>
    <w:rsid w:val="002024D2"/>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D54C63"/>
    <w:rPr>
      <w:lang w:val="en-US" w:eastAsia="en-US" w:bidi="ar-SA"/>
    </w:rPr>
  </w:style>
  <w:style w:type="character" w:customStyle="1" w:styleId="documentbody5">
    <w:name w:val="documentbody5"/>
    <w:rsid w:val="00CB22B5"/>
    <w:rPr>
      <w:rFonts w:ascii="Verdana" w:hAnsi="Verdana" w:hint="default"/>
      <w:sz w:val="19"/>
      <w:szCs w:val="19"/>
    </w:rPr>
  </w:style>
  <w:style w:type="paragraph" w:customStyle="1" w:styleId="ParaNum">
    <w:name w:val="ParaNum"/>
    <w:basedOn w:val="Normal"/>
    <w:link w:val="ParaNumChar"/>
    <w:rsid w:val="00800CBA"/>
    <w:pPr>
      <w:widowControl w:val="0"/>
      <w:numPr>
        <w:numId w:val="1"/>
      </w:numPr>
      <w:tabs>
        <w:tab w:val="left" w:pos="1440"/>
      </w:tabs>
      <w:spacing w:after="220"/>
      <w:jc w:val="both"/>
    </w:pPr>
    <w:rPr>
      <w:sz w:val="22"/>
    </w:rPr>
  </w:style>
  <w:style w:type="character" w:customStyle="1" w:styleId="FootnoteTextChar2">
    <w:name w:val="Footnote Text Char2"/>
    <w:aliases w:val="rrfootnote Char1,Footnote Text Char1 Char2,Footnote Text Char Char Char1,rrfootnote Char Char Char1,Footnote Text Char1 Char Char Char1,Footnote Text Char Char Char Char Char1,rrfootnote Char Char Char Char Char1,f Char"/>
    <w:locked/>
    <w:rsid w:val="00800CBA"/>
    <w:rPr>
      <w:lang w:val="en-US" w:eastAsia="en-US" w:bidi="ar-SA"/>
    </w:rPr>
  </w:style>
  <w:style w:type="character" w:customStyle="1" w:styleId="ParaNumChar">
    <w:name w:val="ParaNum Char"/>
    <w:link w:val="ParaNum"/>
    <w:locked/>
    <w:rsid w:val="00800CBA"/>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fn Char"/>
    <w:basedOn w:val="Normal"/>
    <w:link w:val="FootnoteTextChar3"/>
  </w:style>
  <w:style w:type="character" w:styleId="FootnoteReference">
    <w:name w:val="footnote reference"/>
    <w:aliases w:val="Style 12,(NECG) Footnote Reference,o,fr,Style 3,Appel note de bas de p,Style 124,Style 13,Style 17,FR,Style 4,Footnote Reference/,Style 6"/>
    <w:rPr>
      <w:vertAlign w:val="superscript"/>
    </w:rPr>
  </w:style>
  <w:style w:type="character" w:styleId="PageNumber">
    <w:name w:val="page number"/>
    <w:basedOn w:val="DefaultParagraphFont"/>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Pr>
      <w:noProof w:val="0"/>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tabs>
        <w:tab w:val="left" w:pos="720"/>
        <w:tab w:val="left" w:pos="8460"/>
      </w:tabs>
      <w:ind w:right="900"/>
    </w:pPr>
    <w:rPr>
      <w:color w:val="000000"/>
      <w:spacing w:val="-1"/>
      <w:sz w:val="22"/>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 w:val="24"/>
      <w:szCs w:val="24"/>
    </w:rPr>
  </w:style>
  <w:style w:type="paragraph" w:styleId="BalloonText">
    <w:name w:val="Balloon Text"/>
    <w:basedOn w:val="Normal"/>
    <w:semiHidden/>
    <w:rPr>
      <w:rFonts w:ascii="Tahoma" w:hAnsi="Tahoma" w:cs="Tahoma"/>
      <w:sz w:val="16"/>
      <w:szCs w:val="16"/>
    </w:rPr>
  </w:style>
  <w:style w:type="character" w:customStyle="1" w:styleId="bestsection">
    <w:name w:val="bestsection"/>
    <w:basedOn w:val="DefaultParagraphFont"/>
  </w:style>
  <w:style w:type="character" w:customStyle="1" w:styleId="searchterm">
    <w:name w:val="searchterm"/>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3">
    <w:name w:val="Footnote Text Char3"/>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986855"/>
    <w:rPr>
      <w:lang w:val="en-US" w:eastAsia="en-US" w:bidi="ar-SA"/>
    </w:rPr>
  </w:style>
  <w:style w:type="character" w:customStyle="1" w:styleId="documentbody1">
    <w:name w:val="documentbody1"/>
    <w:rsid w:val="002024D2"/>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D54C63"/>
    <w:rPr>
      <w:lang w:val="en-US" w:eastAsia="en-US" w:bidi="ar-SA"/>
    </w:rPr>
  </w:style>
  <w:style w:type="character" w:customStyle="1" w:styleId="documentbody5">
    <w:name w:val="documentbody5"/>
    <w:rsid w:val="00CB22B5"/>
    <w:rPr>
      <w:rFonts w:ascii="Verdana" w:hAnsi="Verdana" w:hint="default"/>
      <w:sz w:val="19"/>
      <w:szCs w:val="19"/>
    </w:rPr>
  </w:style>
  <w:style w:type="paragraph" w:customStyle="1" w:styleId="ParaNum">
    <w:name w:val="ParaNum"/>
    <w:basedOn w:val="Normal"/>
    <w:link w:val="ParaNumChar"/>
    <w:rsid w:val="00800CBA"/>
    <w:pPr>
      <w:widowControl w:val="0"/>
      <w:numPr>
        <w:numId w:val="1"/>
      </w:numPr>
      <w:tabs>
        <w:tab w:val="left" w:pos="1440"/>
      </w:tabs>
      <w:spacing w:after="220"/>
      <w:jc w:val="both"/>
    </w:pPr>
    <w:rPr>
      <w:sz w:val="22"/>
    </w:rPr>
  </w:style>
  <w:style w:type="character" w:customStyle="1" w:styleId="FootnoteTextChar2">
    <w:name w:val="Footnote Text Char2"/>
    <w:aliases w:val="rrfootnote Char1,Footnote Text Char1 Char2,Footnote Text Char Char Char1,rrfootnote Char Char Char1,Footnote Text Char1 Char Char Char1,Footnote Text Char Char Char Char Char1,rrfootnote Char Char Char Char Char1,f Char"/>
    <w:locked/>
    <w:rsid w:val="00800CBA"/>
    <w:rPr>
      <w:lang w:val="en-US" w:eastAsia="en-US" w:bidi="ar-SA"/>
    </w:rPr>
  </w:style>
  <w:style w:type="character" w:customStyle="1" w:styleId="ParaNumChar">
    <w:name w:val="ParaNum Char"/>
    <w:link w:val="ParaNum"/>
    <w:locked/>
    <w:rsid w:val="00800CBA"/>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0808">
      <w:bodyDiv w:val="1"/>
      <w:marLeft w:val="0"/>
      <w:marRight w:val="0"/>
      <w:marTop w:val="0"/>
      <w:marBottom w:val="0"/>
      <w:divBdr>
        <w:top w:val="none" w:sz="0" w:space="0" w:color="auto"/>
        <w:left w:val="none" w:sz="0" w:space="0" w:color="auto"/>
        <w:bottom w:val="none" w:sz="0" w:space="0" w:color="auto"/>
        <w:right w:val="none" w:sz="0" w:space="0" w:color="auto"/>
      </w:divBdr>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1003626624">
      <w:bodyDiv w:val="1"/>
      <w:marLeft w:val="0"/>
      <w:marRight w:val="0"/>
      <w:marTop w:val="0"/>
      <w:marBottom w:val="0"/>
      <w:divBdr>
        <w:top w:val="none" w:sz="0" w:space="0" w:color="auto"/>
        <w:left w:val="none" w:sz="0" w:space="0" w:color="auto"/>
        <w:bottom w:val="none" w:sz="0" w:space="0" w:color="auto"/>
        <w:right w:val="none" w:sz="0" w:space="0" w:color="auto"/>
      </w:divBdr>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86134">
      <w:bodyDiv w:val="1"/>
      <w:marLeft w:val="30"/>
      <w:marRight w:val="30"/>
      <w:marTop w:val="30"/>
      <w:marBottom w:val="30"/>
      <w:divBdr>
        <w:top w:val="none" w:sz="0" w:space="0" w:color="auto"/>
        <w:left w:val="none" w:sz="0" w:space="0" w:color="auto"/>
        <w:bottom w:val="none" w:sz="0" w:space="0" w:color="auto"/>
        <w:right w:val="none" w:sz="0" w:space="0" w:color="auto"/>
      </w:divBdr>
      <w:divsChild>
        <w:div w:id="96948803">
          <w:marLeft w:val="0"/>
          <w:marRight w:val="0"/>
          <w:marTop w:val="0"/>
          <w:marBottom w:val="0"/>
          <w:divBdr>
            <w:top w:val="none" w:sz="0" w:space="0" w:color="auto"/>
            <w:left w:val="none" w:sz="0" w:space="0" w:color="auto"/>
            <w:bottom w:val="none" w:sz="0" w:space="0" w:color="auto"/>
            <w:right w:val="none" w:sz="0" w:space="0" w:color="auto"/>
          </w:divBdr>
          <w:divsChild>
            <w:div w:id="1514566537">
              <w:marLeft w:val="45"/>
              <w:marRight w:val="45"/>
              <w:marTop w:val="45"/>
              <w:marBottom w:val="45"/>
              <w:divBdr>
                <w:top w:val="none" w:sz="0" w:space="0" w:color="auto"/>
                <w:left w:val="none" w:sz="0" w:space="0" w:color="auto"/>
                <w:bottom w:val="none" w:sz="0" w:space="0" w:color="auto"/>
                <w:right w:val="none" w:sz="0" w:space="0" w:color="auto"/>
              </w:divBdr>
              <w:divsChild>
                <w:div w:id="535239167">
                  <w:marLeft w:val="0"/>
                  <w:marRight w:val="0"/>
                  <w:marTop w:val="0"/>
                  <w:marBottom w:val="0"/>
                  <w:divBdr>
                    <w:top w:val="none" w:sz="0" w:space="0" w:color="auto"/>
                    <w:left w:val="none" w:sz="0" w:space="0" w:color="auto"/>
                    <w:bottom w:val="none" w:sz="0" w:space="0" w:color="auto"/>
                    <w:right w:val="none" w:sz="0" w:space="0" w:color="auto"/>
                  </w:divBdr>
                  <w:divsChild>
                    <w:div w:id="19638782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js.prev_hit(36)" TargetMode="External"/><Relationship Id="rId13" Type="http://schemas.openxmlformats.org/officeDocument/2006/relationships/hyperlink" Target="javascript:top.docjs.prev_hit(38)"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top.docjs.next_hit(3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top.docjs.prev_hit(3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top.docjs.next_hit(3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javascript:top.docjs.next_hit(3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javascript:top.docjs.next_hit(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4874</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2012-09-18T14:37:00Z</cp:lastPrinted>
  <dcterms:created xsi:type="dcterms:W3CDTF">2014-10-23T13:41:00Z</dcterms:created>
  <dcterms:modified xsi:type="dcterms:W3CDTF">2014-10-23T13:41:00Z</dcterms:modified>
  <cp:category> </cp:category>
  <cp:contentStatus> </cp:contentStatus>
</cp:coreProperties>
</file>