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B003E"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17537EC" w14:textId="77777777" w:rsidR="00921803" w:rsidRDefault="00921803" w:rsidP="00921803">
      <w:pPr>
        <w:pStyle w:val="StyleBoldCentered"/>
      </w:pPr>
      <w:r>
        <w:t>F</w:t>
      </w:r>
      <w:r>
        <w:rPr>
          <w:caps w:val="0"/>
        </w:rPr>
        <w:t>ederal Communications Commission</w:t>
      </w:r>
    </w:p>
    <w:p w14:paraId="78EF13B3" w14:textId="77777777" w:rsidR="004C2EE3" w:rsidRDefault="00810B6F" w:rsidP="00096D8C">
      <w:pPr>
        <w:pStyle w:val="StyleBoldCentered"/>
      </w:pPr>
      <w:r>
        <w:rPr>
          <w:caps w:val="0"/>
        </w:rPr>
        <w:t>Washington, D.C. 20554</w:t>
      </w:r>
    </w:p>
    <w:p w14:paraId="06D3B85C" w14:textId="77777777" w:rsidR="004C2EE3" w:rsidRDefault="004C2EE3" w:rsidP="0070224F"/>
    <w:p w14:paraId="03545E7E"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500907D4" w14:textId="77777777">
        <w:tc>
          <w:tcPr>
            <w:tcW w:w="4698" w:type="dxa"/>
          </w:tcPr>
          <w:p w14:paraId="56B9BCAC" w14:textId="77777777" w:rsidR="004C2EE3" w:rsidRDefault="004C2EE3">
            <w:pPr>
              <w:tabs>
                <w:tab w:val="center" w:pos="4680"/>
              </w:tabs>
              <w:suppressAutoHyphens/>
              <w:rPr>
                <w:spacing w:val="-2"/>
              </w:rPr>
            </w:pPr>
            <w:r>
              <w:rPr>
                <w:spacing w:val="-2"/>
              </w:rPr>
              <w:t>In the Matter of</w:t>
            </w:r>
          </w:p>
          <w:p w14:paraId="2E87F578" w14:textId="77777777" w:rsidR="004C2EE3" w:rsidRDefault="004C2EE3">
            <w:pPr>
              <w:tabs>
                <w:tab w:val="center" w:pos="4680"/>
              </w:tabs>
              <w:suppressAutoHyphens/>
              <w:rPr>
                <w:spacing w:val="-2"/>
              </w:rPr>
            </w:pPr>
          </w:p>
          <w:p w14:paraId="30E0C50D" w14:textId="77777777" w:rsidR="002B67F0" w:rsidRDefault="008746D8" w:rsidP="00986668">
            <w:pPr>
              <w:tabs>
                <w:tab w:val="center" w:pos="4680"/>
              </w:tabs>
              <w:suppressAutoHyphens/>
              <w:rPr>
                <w:spacing w:val="-2"/>
              </w:rPr>
            </w:pPr>
            <w:r>
              <w:rPr>
                <w:spacing w:val="-2"/>
              </w:rPr>
              <w:t xml:space="preserve">Applications Filed </w:t>
            </w:r>
            <w:r w:rsidR="00986668">
              <w:rPr>
                <w:spacing w:val="-2"/>
              </w:rPr>
              <w:t xml:space="preserve">for the Transfer of Control of </w:t>
            </w:r>
          </w:p>
          <w:p w14:paraId="39F45000" w14:textId="77777777" w:rsidR="004C2EE3" w:rsidRPr="007115F7" w:rsidRDefault="00DB4B3C" w:rsidP="00986668">
            <w:pPr>
              <w:tabs>
                <w:tab w:val="center" w:pos="4680"/>
              </w:tabs>
              <w:suppressAutoHyphens/>
              <w:rPr>
                <w:spacing w:val="-2"/>
              </w:rPr>
            </w:pPr>
            <w:r>
              <w:rPr>
                <w:spacing w:val="-2"/>
              </w:rPr>
              <w:t xml:space="preserve">tw telecom inc. </w:t>
            </w:r>
            <w:r w:rsidR="00986668">
              <w:rPr>
                <w:spacing w:val="-2"/>
              </w:rPr>
              <w:t xml:space="preserve">to </w:t>
            </w:r>
            <w:r>
              <w:rPr>
                <w:spacing w:val="-2"/>
              </w:rPr>
              <w:t xml:space="preserve"> Level 3 Communications, Inc.</w:t>
            </w:r>
            <w:r w:rsidR="008746D8">
              <w:rPr>
                <w:spacing w:val="-2"/>
              </w:rPr>
              <w:t xml:space="preserve"> </w:t>
            </w:r>
          </w:p>
        </w:tc>
        <w:tc>
          <w:tcPr>
            <w:tcW w:w="630" w:type="dxa"/>
          </w:tcPr>
          <w:p w14:paraId="6CADE664" w14:textId="77777777" w:rsidR="004C2EE3" w:rsidRDefault="004C2EE3">
            <w:pPr>
              <w:tabs>
                <w:tab w:val="center" w:pos="4680"/>
              </w:tabs>
              <w:suppressAutoHyphens/>
              <w:rPr>
                <w:b/>
                <w:spacing w:val="-2"/>
              </w:rPr>
            </w:pPr>
            <w:r>
              <w:rPr>
                <w:b/>
                <w:spacing w:val="-2"/>
              </w:rPr>
              <w:t>)</w:t>
            </w:r>
          </w:p>
          <w:p w14:paraId="666C74B9" w14:textId="77777777" w:rsidR="004C2EE3" w:rsidRDefault="004C2EE3">
            <w:pPr>
              <w:tabs>
                <w:tab w:val="center" w:pos="4680"/>
              </w:tabs>
              <w:suppressAutoHyphens/>
              <w:rPr>
                <w:b/>
                <w:spacing w:val="-2"/>
              </w:rPr>
            </w:pPr>
            <w:r>
              <w:rPr>
                <w:b/>
                <w:spacing w:val="-2"/>
              </w:rPr>
              <w:t>)</w:t>
            </w:r>
          </w:p>
          <w:p w14:paraId="69C6DAB6" w14:textId="77777777" w:rsidR="004C2EE3" w:rsidRDefault="004C2EE3">
            <w:pPr>
              <w:tabs>
                <w:tab w:val="center" w:pos="4680"/>
              </w:tabs>
              <w:suppressAutoHyphens/>
              <w:rPr>
                <w:b/>
                <w:spacing w:val="-2"/>
              </w:rPr>
            </w:pPr>
            <w:r>
              <w:rPr>
                <w:b/>
                <w:spacing w:val="-2"/>
              </w:rPr>
              <w:t>)</w:t>
            </w:r>
          </w:p>
          <w:p w14:paraId="0CC15B7A" w14:textId="77777777" w:rsidR="004C2EE3" w:rsidRDefault="004C2EE3">
            <w:pPr>
              <w:tabs>
                <w:tab w:val="center" w:pos="4680"/>
              </w:tabs>
              <w:suppressAutoHyphens/>
              <w:rPr>
                <w:b/>
                <w:spacing w:val="-2"/>
              </w:rPr>
            </w:pPr>
            <w:r>
              <w:rPr>
                <w:b/>
                <w:spacing w:val="-2"/>
              </w:rPr>
              <w:t>)</w:t>
            </w:r>
          </w:p>
          <w:p w14:paraId="70DF0540" w14:textId="4AEE9AEC" w:rsidR="004C2EE3" w:rsidRDefault="004C2EE3">
            <w:pPr>
              <w:tabs>
                <w:tab w:val="center" w:pos="4680"/>
              </w:tabs>
              <w:suppressAutoHyphens/>
              <w:rPr>
                <w:b/>
                <w:spacing w:val="-2"/>
              </w:rPr>
            </w:pPr>
          </w:p>
          <w:p w14:paraId="4D0CA294" w14:textId="77777777" w:rsidR="004C2EE3" w:rsidRDefault="004C2EE3">
            <w:pPr>
              <w:tabs>
                <w:tab w:val="center" w:pos="4680"/>
              </w:tabs>
              <w:suppressAutoHyphens/>
              <w:rPr>
                <w:spacing w:val="-2"/>
              </w:rPr>
            </w:pPr>
          </w:p>
        </w:tc>
        <w:tc>
          <w:tcPr>
            <w:tcW w:w="4248" w:type="dxa"/>
          </w:tcPr>
          <w:p w14:paraId="78C5F1F0" w14:textId="77777777" w:rsidR="004C2EE3" w:rsidRDefault="004C2EE3">
            <w:pPr>
              <w:tabs>
                <w:tab w:val="center" w:pos="4680"/>
              </w:tabs>
              <w:suppressAutoHyphens/>
              <w:rPr>
                <w:spacing w:val="-2"/>
              </w:rPr>
            </w:pPr>
          </w:p>
          <w:p w14:paraId="5CDF6CC9" w14:textId="77777777" w:rsidR="004C2EE3" w:rsidRDefault="004C2EE3">
            <w:pPr>
              <w:pStyle w:val="TOAHeading"/>
              <w:tabs>
                <w:tab w:val="clear" w:pos="9360"/>
                <w:tab w:val="center" w:pos="4680"/>
              </w:tabs>
              <w:rPr>
                <w:spacing w:val="-2"/>
              </w:rPr>
            </w:pPr>
          </w:p>
          <w:p w14:paraId="025D4ABE" w14:textId="77777777" w:rsidR="004C2EE3" w:rsidRDefault="008746D8">
            <w:pPr>
              <w:tabs>
                <w:tab w:val="center" w:pos="4680"/>
              </w:tabs>
              <w:suppressAutoHyphens/>
              <w:rPr>
                <w:spacing w:val="-2"/>
              </w:rPr>
            </w:pPr>
            <w:r>
              <w:rPr>
                <w:spacing w:val="-2"/>
              </w:rPr>
              <w:t>WC Docket No. 14-</w:t>
            </w:r>
            <w:r w:rsidR="00DB4B3C">
              <w:rPr>
                <w:spacing w:val="-2"/>
              </w:rPr>
              <w:t>104</w:t>
            </w:r>
          </w:p>
        </w:tc>
      </w:tr>
    </w:tbl>
    <w:p w14:paraId="057E41B0" w14:textId="77777777" w:rsidR="00841AB1" w:rsidRDefault="00100039" w:rsidP="00F021FA">
      <w:pPr>
        <w:pStyle w:val="StyleBoldCentered"/>
      </w:pPr>
      <w:r>
        <w:t>MEMORANDUM OPINION AND ORDER</w:t>
      </w:r>
    </w:p>
    <w:p w14:paraId="57AAB61B" w14:textId="77777777" w:rsidR="004C2EE3" w:rsidRDefault="004C2EE3">
      <w:pPr>
        <w:tabs>
          <w:tab w:val="left" w:pos="-720"/>
        </w:tabs>
        <w:suppressAutoHyphens/>
        <w:spacing w:line="227" w:lineRule="auto"/>
        <w:rPr>
          <w:spacing w:val="-2"/>
        </w:rPr>
      </w:pPr>
    </w:p>
    <w:p w14:paraId="4B191A5A" w14:textId="0CA0FAA1" w:rsidR="004C2EE3" w:rsidRDefault="004C2EE3" w:rsidP="00133F79">
      <w:pPr>
        <w:tabs>
          <w:tab w:val="left" w:pos="720"/>
          <w:tab w:val="right" w:pos="9360"/>
        </w:tabs>
        <w:suppressAutoHyphens/>
        <w:spacing w:line="227" w:lineRule="auto"/>
        <w:rPr>
          <w:spacing w:val="-2"/>
        </w:rPr>
      </w:pPr>
      <w:r>
        <w:rPr>
          <w:b/>
          <w:spacing w:val="-2"/>
        </w:rPr>
        <w:t xml:space="preserve">Adopted:  </w:t>
      </w:r>
      <w:r w:rsidR="00DB4B3C">
        <w:rPr>
          <w:b/>
          <w:spacing w:val="-2"/>
        </w:rPr>
        <w:t xml:space="preserve">October </w:t>
      </w:r>
      <w:r w:rsidR="00EC08EA">
        <w:rPr>
          <w:b/>
          <w:spacing w:val="-2"/>
        </w:rPr>
        <w:t>24</w:t>
      </w:r>
      <w:r w:rsidR="00786177">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B4B3C">
        <w:rPr>
          <w:b/>
          <w:spacing w:val="-2"/>
        </w:rPr>
        <w:t xml:space="preserve">October </w:t>
      </w:r>
      <w:r w:rsidR="00EC08EA">
        <w:rPr>
          <w:b/>
          <w:spacing w:val="-2"/>
        </w:rPr>
        <w:t>24</w:t>
      </w:r>
      <w:r w:rsidR="00786177">
        <w:rPr>
          <w:b/>
          <w:spacing w:val="-2"/>
        </w:rPr>
        <w:t>, 2014</w:t>
      </w:r>
    </w:p>
    <w:p w14:paraId="1D14C1CB" w14:textId="77777777" w:rsidR="00822CE0" w:rsidRDefault="00822CE0"/>
    <w:p w14:paraId="405B4D15" w14:textId="77777777" w:rsidR="004C2EE3" w:rsidRDefault="004C2EE3">
      <w:pPr>
        <w:rPr>
          <w:spacing w:val="-2"/>
        </w:rPr>
      </w:pPr>
      <w:r>
        <w:t xml:space="preserve">By </w:t>
      </w:r>
      <w:r w:rsidR="004E4A22">
        <w:t>the</w:t>
      </w:r>
      <w:r w:rsidR="00812439">
        <w:t xml:space="preserve"> Chief,</w:t>
      </w:r>
      <w:r w:rsidR="00316215">
        <w:t xml:space="preserve"> Wireline Competition Bureau</w:t>
      </w:r>
      <w:r w:rsidR="00DB4B3C">
        <w:t xml:space="preserve"> and</w:t>
      </w:r>
      <w:r w:rsidR="0072747E">
        <w:t xml:space="preserve"> Chief, International Bureau</w:t>
      </w:r>
      <w:r w:rsidR="00986668">
        <w:t>:</w:t>
      </w:r>
    </w:p>
    <w:p w14:paraId="09A8EB49" w14:textId="77777777" w:rsidR="00412FC5" w:rsidRDefault="00412FC5" w:rsidP="00412FC5"/>
    <w:p w14:paraId="3056FC07" w14:textId="77777777" w:rsidR="002C00E8" w:rsidRDefault="00100039" w:rsidP="002C00E8">
      <w:pPr>
        <w:pStyle w:val="Heading1"/>
      </w:pPr>
      <w:r>
        <w:t>introduction</w:t>
      </w:r>
    </w:p>
    <w:p w14:paraId="140F6E57" w14:textId="18A4D7DC" w:rsidR="002106DE" w:rsidRPr="008E2893" w:rsidRDefault="002106DE" w:rsidP="008E2893">
      <w:pPr>
        <w:pStyle w:val="ParaNum"/>
      </w:pPr>
      <w:r>
        <w:t>Level 3 Communications, Inc. (</w:t>
      </w:r>
      <w:r w:rsidR="0000325F">
        <w:t xml:space="preserve">together with its subsidiaries, </w:t>
      </w:r>
      <w:r>
        <w:t>Level 3) and tw telecom inc. (TWT Parent</w:t>
      </w:r>
      <w:r w:rsidR="002A6DFD">
        <w:t xml:space="preserve"> and, </w:t>
      </w:r>
      <w:r>
        <w:t>together</w:t>
      </w:r>
      <w:r w:rsidR="002A6DFD">
        <w:t xml:space="preserve"> with Level 3</w:t>
      </w:r>
      <w:r>
        <w:t xml:space="preserve">, Applicants) filed a </w:t>
      </w:r>
      <w:r w:rsidRPr="003B284E">
        <w:rPr>
          <w:szCs w:val="22"/>
        </w:rPr>
        <w:t>series</w:t>
      </w:r>
      <w:r>
        <w:t xml:space="preserve"> of applications</w:t>
      </w:r>
      <w:r>
        <w:rPr>
          <w:rStyle w:val="FootnoteReference"/>
        </w:rPr>
        <w:footnoteReference w:id="2"/>
      </w:r>
      <w:r>
        <w:t xml:space="preserve"> pursuant to sections 214 of the Communications Act of 1934, as amended (Act),</w:t>
      </w:r>
      <w:r>
        <w:rPr>
          <w:szCs w:val="22"/>
          <w:vertAlign w:val="superscript"/>
        </w:rPr>
        <w:footnoteReference w:id="3"/>
      </w:r>
      <w:r>
        <w:t xml:space="preserve"> </w:t>
      </w:r>
      <w:r w:rsidRPr="00EE40A3">
        <w:rPr>
          <w:szCs w:val="22"/>
        </w:rPr>
        <w:t>and t</w:t>
      </w:r>
      <w:r w:rsidR="0008712D">
        <w:rPr>
          <w:szCs w:val="22"/>
        </w:rPr>
        <w:t>he Cable Landing License Act</w:t>
      </w:r>
      <w:r w:rsidRPr="00EE40A3">
        <w:rPr>
          <w:szCs w:val="22"/>
        </w:rPr>
        <w:t>,</w:t>
      </w:r>
      <w:r w:rsidRPr="00EE40A3">
        <w:rPr>
          <w:szCs w:val="22"/>
          <w:vertAlign w:val="superscript"/>
        </w:rPr>
        <w:footnoteReference w:id="4"/>
      </w:r>
      <w:r w:rsidRPr="00EE40A3">
        <w:rPr>
          <w:szCs w:val="22"/>
        </w:rPr>
        <w:t xml:space="preserve"> </w:t>
      </w:r>
      <w:r>
        <w:t>seeking approval for various transfers of control of licenses and authorizations held by TWT Parent’s subsidiaries (TWT Subsidiaries</w:t>
      </w:r>
      <w:r w:rsidR="00C81DDA">
        <w:t xml:space="preserve">, </w:t>
      </w:r>
      <w:r w:rsidR="00172DBB">
        <w:t xml:space="preserve">together, </w:t>
      </w:r>
      <w:r w:rsidR="00C81DDA">
        <w:t>with TWT Parent, TWT</w:t>
      </w:r>
      <w:r>
        <w:t xml:space="preserve">) to </w:t>
      </w:r>
      <w:r w:rsidR="0058155B">
        <w:t>Level 3</w:t>
      </w:r>
      <w:r>
        <w:t xml:space="preserve">.  </w:t>
      </w:r>
    </w:p>
    <w:p w14:paraId="2F08B242" w14:textId="77777777" w:rsidR="00A84BEF" w:rsidRPr="00A84BEF" w:rsidRDefault="009276E8" w:rsidP="00665FD8">
      <w:pPr>
        <w:pStyle w:val="ParaNum"/>
      </w:pPr>
      <w:r>
        <w:t>In or</w:t>
      </w:r>
      <w:r w:rsidR="0035115D">
        <w:t>der</w:t>
      </w:r>
      <w:r>
        <w:t xml:space="preserve"> to </w:t>
      </w:r>
      <w:r w:rsidR="00C60E3A">
        <w:t xml:space="preserve">decide </w:t>
      </w:r>
      <w:r>
        <w:t>whether or not the transfer applications should be approved, w</w:t>
      </w:r>
      <w:r w:rsidR="004C4752">
        <w:t xml:space="preserve">e </w:t>
      </w:r>
      <w:r w:rsidR="00004176" w:rsidRPr="00124030">
        <w:t xml:space="preserve">are required to </w:t>
      </w:r>
      <w:r w:rsidR="004C4752">
        <w:t>review the record evidence submitted by Applicants</w:t>
      </w:r>
      <w:r w:rsidR="00A3716B">
        <w:t xml:space="preserve"> </w:t>
      </w:r>
      <w:r w:rsidR="002252E7">
        <w:t xml:space="preserve">to determine if </w:t>
      </w:r>
      <w:r w:rsidR="004C4752">
        <w:t>the</w:t>
      </w:r>
      <w:r w:rsidR="004C4752" w:rsidRPr="002B67F0">
        <w:rPr>
          <w:snapToGrid/>
        </w:rPr>
        <w:t xml:space="preserve"> proposed transaction would serve “the public interest, convenience, and necessity</w:t>
      </w:r>
      <w:r w:rsidR="00B657A2">
        <w:rPr>
          <w:snapToGrid/>
        </w:rPr>
        <w:t>.</w:t>
      </w:r>
      <w:r w:rsidR="004C4752" w:rsidRPr="002B67F0">
        <w:rPr>
          <w:snapToGrid/>
        </w:rPr>
        <w:t>”</w:t>
      </w:r>
      <w:r w:rsidR="004C4752" w:rsidRPr="00124030">
        <w:rPr>
          <w:rStyle w:val="FootnoteReference"/>
          <w:snapToGrid/>
          <w:color w:val="000000"/>
          <w:kern w:val="0"/>
        </w:rPr>
        <w:footnoteReference w:id="5"/>
      </w:r>
      <w:r w:rsidR="004C4752" w:rsidRPr="002B67F0">
        <w:rPr>
          <w:snapToGrid/>
        </w:rPr>
        <w:t xml:space="preserve">  </w:t>
      </w:r>
      <w:r>
        <w:rPr>
          <w:snapToGrid/>
        </w:rPr>
        <w:t>In conducting our review, w</w:t>
      </w:r>
      <w:r w:rsidR="004C4752" w:rsidRPr="002B67F0">
        <w:rPr>
          <w:snapToGrid/>
        </w:rPr>
        <w:t xml:space="preserve">e </w:t>
      </w:r>
      <w:r w:rsidR="00A3716B">
        <w:t xml:space="preserve">assess several important </w:t>
      </w:r>
      <w:r w:rsidR="002252E7">
        <w:t>criteria</w:t>
      </w:r>
      <w:r w:rsidR="009A35B8">
        <w:t>,</w:t>
      </w:r>
      <w:r w:rsidR="00A3716B">
        <w:t xml:space="preserve"> </w:t>
      </w:r>
      <w:r w:rsidR="001E64B1">
        <w:t>including (</w:t>
      </w:r>
      <w:r w:rsidR="00000B55">
        <w:t xml:space="preserve">1) </w:t>
      </w:r>
      <w:r w:rsidR="001E64B1">
        <w:t>whether</w:t>
      </w:r>
      <w:r w:rsidR="001E64B1" w:rsidRPr="00124030">
        <w:t xml:space="preserve"> </w:t>
      </w:r>
      <w:r w:rsidR="001E64B1">
        <w:t>the</w:t>
      </w:r>
      <w:r w:rsidR="00004176" w:rsidRPr="002B67F0">
        <w:rPr>
          <w:snapToGrid/>
        </w:rPr>
        <w:t xml:space="preserve"> Applicants </w:t>
      </w:r>
      <w:r w:rsidR="00A3716B" w:rsidRPr="002B67F0">
        <w:rPr>
          <w:snapToGrid/>
        </w:rPr>
        <w:t>are qualified to hold Commission licenses</w:t>
      </w:r>
      <w:r w:rsidR="002252E7" w:rsidRPr="002B67F0">
        <w:rPr>
          <w:snapToGrid/>
        </w:rPr>
        <w:t xml:space="preserve">, </w:t>
      </w:r>
      <w:r w:rsidR="005B7CFB" w:rsidRPr="002B67F0">
        <w:rPr>
          <w:snapToGrid/>
        </w:rPr>
        <w:t xml:space="preserve">(2) </w:t>
      </w:r>
      <w:r w:rsidR="00000B55" w:rsidRPr="002B67F0">
        <w:rPr>
          <w:snapToGrid/>
        </w:rPr>
        <w:t xml:space="preserve">whether </w:t>
      </w:r>
      <w:r w:rsidR="002252E7" w:rsidRPr="002B67F0">
        <w:rPr>
          <w:snapToGrid/>
        </w:rPr>
        <w:t xml:space="preserve">the proposed transaction would result in public interest harms by, for example, diminishing competition or degrading service for consumers, </w:t>
      </w:r>
      <w:r w:rsidR="004C4752" w:rsidRPr="002B67F0">
        <w:rPr>
          <w:snapToGrid/>
        </w:rPr>
        <w:t xml:space="preserve">and </w:t>
      </w:r>
      <w:r w:rsidR="005B7CFB" w:rsidRPr="002B67F0">
        <w:rPr>
          <w:snapToGrid/>
        </w:rPr>
        <w:t xml:space="preserve">(3) </w:t>
      </w:r>
      <w:r w:rsidR="00000B55" w:rsidRPr="002B67F0">
        <w:rPr>
          <w:snapToGrid/>
        </w:rPr>
        <w:t xml:space="preserve">whether </w:t>
      </w:r>
      <w:r w:rsidR="002252E7" w:rsidRPr="002B67F0">
        <w:rPr>
          <w:snapToGrid/>
        </w:rPr>
        <w:t>there are potential benefits attributable to the transaction</w:t>
      </w:r>
      <w:r w:rsidR="00935025" w:rsidRPr="002B67F0">
        <w:rPr>
          <w:snapToGrid/>
        </w:rPr>
        <w:t>.</w:t>
      </w:r>
      <w:r w:rsidR="005A076E">
        <w:rPr>
          <w:rStyle w:val="FootnoteReference"/>
          <w:snapToGrid/>
        </w:rPr>
        <w:footnoteReference w:id="6"/>
      </w:r>
      <w:r w:rsidR="005E41F2" w:rsidRPr="002B67F0">
        <w:rPr>
          <w:snapToGrid/>
        </w:rPr>
        <w:t xml:space="preserve"> </w:t>
      </w:r>
      <w:r w:rsidR="00935025" w:rsidRPr="002B67F0">
        <w:rPr>
          <w:snapToGrid/>
        </w:rPr>
        <w:t xml:space="preserve"> </w:t>
      </w:r>
      <w:r w:rsidR="000B45C3" w:rsidRPr="002B67F0">
        <w:rPr>
          <w:snapToGrid/>
        </w:rPr>
        <w:t xml:space="preserve"> </w:t>
      </w:r>
      <w:r w:rsidR="00AA0D09" w:rsidRPr="002B67F0">
        <w:rPr>
          <w:snapToGrid/>
        </w:rPr>
        <w:t xml:space="preserve"> </w:t>
      </w:r>
      <w:r w:rsidR="008214F0" w:rsidRPr="002B67F0">
        <w:rPr>
          <w:snapToGrid/>
        </w:rPr>
        <w:t xml:space="preserve"> </w:t>
      </w:r>
      <w:r w:rsidR="00FD65B2">
        <w:t xml:space="preserve">  </w:t>
      </w:r>
      <w:r w:rsidR="000B6AFD" w:rsidRPr="002B67F0">
        <w:rPr>
          <w:snapToGrid/>
        </w:rPr>
        <w:t xml:space="preserve">  </w:t>
      </w:r>
    </w:p>
    <w:p w14:paraId="7BAB5FB8" w14:textId="77777777" w:rsidR="00100039" w:rsidRDefault="00004176" w:rsidP="007D7336">
      <w:pPr>
        <w:pStyle w:val="ParaNum"/>
        <w:widowControl/>
      </w:pPr>
      <w:r w:rsidRPr="00A84BEF">
        <w:rPr>
          <w:snapToGrid/>
        </w:rPr>
        <w:t xml:space="preserve">We have reviewed the record </w:t>
      </w:r>
      <w:r w:rsidR="00A84BEF">
        <w:rPr>
          <w:snapToGrid/>
        </w:rPr>
        <w:t xml:space="preserve">and </w:t>
      </w:r>
      <w:r w:rsidR="009276E8">
        <w:rPr>
          <w:snapToGrid/>
        </w:rPr>
        <w:t xml:space="preserve">have </w:t>
      </w:r>
      <w:r w:rsidR="004B39F5">
        <w:rPr>
          <w:snapToGrid/>
        </w:rPr>
        <w:t xml:space="preserve">requested </w:t>
      </w:r>
      <w:r w:rsidR="00A84BEF">
        <w:rPr>
          <w:snapToGrid/>
        </w:rPr>
        <w:t xml:space="preserve">and analyzed </w:t>
      </w:r>
      <w:r w:rsidRPr="00A84BEF">
        <w:rPr>
          <w:snapToGrid/>
        </w:rPr>
        <w:t>additional data from the Applicants</w:t>
      </w:r>
      <w:r w:rsidR="00000B55">
        <w:rPr>
          <w:snapToGrid/>
        </w:rPr>
        <w:t xml:space="preserve">.  Based on </w:t>
      </w:r>
      <w:r w:rsidR="00931D47">
        <w:rPr>
          <w:snapToGrid/>
        </w:rPr>
        <w:t>our</w:t>
      </w:r>
      <w:r w:rsidR="00000B55">
        <w:rPr>
          <w:snapToGrid/>
        </w:rPr>
        <w:t xml:space="preserve"> analysis</w:t>
      </w:r>
      <w:r w:rsidR="00931D47">
        <w:rPr>
          <w:snapToGrid/>
        </w:rPr>
        <w:t>,</w:t>
      </w:r>
      <w:r w:rsidR="00000B55">
        <w:rPr>
          <w:snapToGrid/>
        </w:rPr>
        <w:t xml:space="preserve"> we</w:t>
      </w:r>
      <w:r w:rsidR="00A84BEF">
        <w:rPr>
          <w:snapToGrid/>
        </w:rPr>
        <w:t xml:space="preserve"> find that </w:t>
      </w:r>
      <w:r w:rsidR="00DF4023">
        <w:rPr>
          <w:snapToGrid/>
        </w:rPr>
        <w:t>the transaction is</w:t>
      </w:r>
      <w:r w:rsidR="00BD0906">
        <w:rPr>
          <w:snapToGrid/>
        </w:rPr>
        <w:t xml:space="preserve"> likely to increase competition by resulting in a combined company with a larger </w:t>
      </w:r>
      <w:r w:rsidR="00C52C8C">
        <w:rPr>
          <w:snapToGrid/>
        </w:rPr>
        <w:t xml:space="preserve">network </w:t>
      </w:r>
      <w:r w:rsidR="00BD0906">
        <w:rPr>
          <w:snapToGrid/>
        </w:rPr>
        <w:t>footprint and a strengthened ability to compete for</w:t>
      </w:r>
      <w:r w:rsidR="002B67F0">
        <w:rPr>
          <w:snapToGrid/>
        </w:rPr>
        <w:t xml:space="preserve"> </w:t>
      </w:r>
      <w:r w:rsidR="000D5AFE">
        <w:rPr>
          <w:snapToGrid/>
        </w:rPr>
        <w:t>business customers.</w:t>
      </w:r>
      <w:r w:rsidR="002C1C88">
        <w:rPr>
          <w:snapToGrid/>
        </w:rPr>
        <w:t xml:space="preserve"> </w:t>
      </w:r>
      <w:r w:rsidR="000D5AFE">
        <w:rPr>
          <w:snapToGrid/>
        </w:rPr>
        <w:t xml:space="preserve"> </w:t>
      </w:r>
      <w:r w:rsidR="00E436C3">
        <w:rPr>
          <w:snapToGrid/>
        </w:rPr>
        <w:t>O</w:t>
      </w:r>
      <w:r w:rsidR="002C1C88">
        <w:rPr>
          <w:snapToGrid/>
        </w:rPr>
        <w:t xml:space="preserve">n balance, </w:t>
      </w:r>
      <w:r w:rsidR="00E436C3" w:rsidRPr="00251C7D">
        <w:t>we find that any potential loss of competition that may occur as a result of the transaction is outweighed by the public interest benefits that will likely result from th</w:t>
      </w:r>
      <w:r w:rsidR="00E436C3">
        <w:t xml:space="preserve">is increased competition.  </w:t>
      </w:r>
      <w:r w:rsidR="00DF4023">
        <w:rPr>
          <w:snapToGrid/>
        </w:rPr>
        <w:t>Accordingly,</w:t>
      </w:r>
      <w:r w:rsidRPr="00A84BEF">
        <w:rPr>
          <w:snapToGrid/>
        </w:rPr>
        <w:t xml:space="preserve"> </w:t>
      </w:r>
      <w:r w:rsidR="00DF4023">
        <w:rPr>
          <w:snapToGrid/>
        </w:rPr>
        <w:t xml:space="preserve">we find </w:t>
      </w:r>
      <w:r w:rsidRPr="00A84BEF">
        <w:rPr>
          <w:snapToGrid/>
        </w:rPr>
        <w:t>that the transaction serves the public interest</w:t>
      </w:r>
      <w:r w:rsidR="00DF4023">
        <w:rPr>
          <w:snapToGrid/>
        </w:rPr>
        <w:t xml:space="preserve"> </w:t>
      </w:r>
      <w:r w:rsidR="00931D47">
        <w:rPr>
          <w:snapToGrid/>
        </w:rPr>
        <w:t xml:space="preserve">and </w:t>
      </w:r>
      <w:r w:rsidR="00931D47" w:rsidRPr="00124030">
        <w:t>consent</w:t>
      </w:r>
      <w:r w:rsidR="00C74768" w:rsidRPr="00124030">
        <w:t xml:space="preserve"> to the </w:t>
      </w:r>
      <w:r w:rsidR="00C74768" w:rsidRPr="00A34D06">
        <w:t>transfer</w:t>
      </w:r>
      <w:r w:rsidR="00C74768" w:rsidRPr="00124030">
        <w:t>.</w:t>
      </w:r>
      <w:r w:rsidRPr="00124030">
        <w:t xml:space="preserve"> </w:t>
      </w:r>
    </w:p>
    <w:p w14:paraId="78841C90" w14:textId="77777777" w:rsidR="00101344" w:rsidRPr="00124030" w:rsidRDefault="00101344" w:rsidP="00A4162E">
      <w:pPr>
        <w:pStyle w:val="Heading1"/>
      </w:pPr>
      <w:bookmarkStart w:id="1" w:name="_Toc232310006"/>
      <w:bookmarkStart w:id="2" w:name="_Toc261897642"/>
      <w:bookmarkStart w:id="3" w:name="_Toc262136932"/>
      <w:r w:rsidRPr="00124030">
        <w:lastRenderedPageBreak/>
        <w:t>BACKGROUND</w:t>
      </w:r>
      <w:bookmarkEnd w:id="1"/>
      <w:bookmarkEnd w:id="2"/>
      <w:bookmarkEnd w:id="3"/>
    </w:p>
    <w:p w14:paraId="7F48B0ED" w14:textId="77777777" w:rsidR="00101344" w:rsidRPr="00124030" w:rsidRDefault="00101344" w:rsidP="00A4162E">
      <w:pPr>
        <w:pStyle w:val="Heading2"/>
      </w:pPr>
      <w:bookmarkStart w:id="4" w:name="_Toc232310007"/>
      <w:bookmarkStart w:id="5" w:name="_Toc261897643"/>
      <w:bookmarkStart w:id="6" w:name="_Toc262136933"/>
      <w:r w:rsidRPr="00124030">
        <w:t>Description of the Applicants</w:t>
      </w:r>
      <w:bookmarkEnd w:id="4"/>
      <w:bookmarkEnd w:id="5"/>
      <w:bookmarkEnd w:id="6"/>
    </w:p>
    <w:p w14:paraId="22B8749A" w14:textId="77777777" w:rsidR="00101344" w:rsidRPr="00124030" w:rsidRDefault="005E7464" w:rsidP="00A4162E">
      <w:pPr>
        <w:pStyle w:val="Heading3"/>
      </w:pPr>
      <w:bookmarkStart w:id="7" w:name="_Toc232310008"/>
      <w:r>
        <w:t>Level 3 Communications, Inc.</w:t>
      </w:r>
    </w:p>
    <w:p w14:paraId="195DFF34" w14:textId="7421D418" w:rsidR="005E7464" w:rsidRDefault="005E7464" w:rsidP="005E7464">
      <w:pPr>
        <w:pStyle w:val="ParaNum"/>
      </w:pPr>
      <w:r>
        <w:t xml:space="preserve">Applicants state that </w:t>
      </w:r>
      <w:r w:rsidR="0000325F">
        <w:t>Level 3</w:t>
      </w:r>
      <w:r>
        <w:t xml:space="preserve">, a publicly-traded Delaware corporation, through its operating subsidiaries, offers communications services </w:t>
      </w:r>
      <w:r w:rsidR="003C6098">
        <w:t xml:space="preserve">to enterprise customers and carriers </w:t>
      </w:r>
      <w:r>
        <w:t>over its broadband fiber-optic network, including I</w:t>
      </w:r>
      <w:r w:rsidR="002E3BDB">
        <w:t>nternet Protocol</w:t>
      </w:r>
      <w:r w:rsidR="002B67F0">
        <w:t xml:space="preserve"> (IP)</w:t>
      </w:r>
      <w:r w:rsidR="002E3BDB">
        <w:t>-</w:t>
      </w:r>
      <w:r>
        <w:t>based services, broadband transport, collocation services, and voice services</w:t>
      </w:r>
      <w:r w:rsidR="003C6098">
        <w:t>.</w:t>
      </w:r>
      <w:r w:rsidR="003C6098">
        <w:rPr>
          <w:rStyle w:val="FootnoteReference"/>
        </w:rPr>
        <w:footnoteReference w:id="7"/>
      </w:r>
      <w:r w:rsidR="003C6098">
        <w:t xml:space="preserve">  Applicants state that its network </w:t>
      </w:r>
      <w:r w:rsidR="002B07CC">
        <w:t>reach</w:t>
      </w:r>
      <w:r w:rsidR="003C6098">
        <w:t>es</w:t>
      </w:r>
      <w:r w:rsidR="002B07CC">
        <w:t xml:space="preserve"> more than 60 co</w:t>
      </w:r>
      <w:r w:rsidR="0035115D">
        <w:t>u</w:t>
      </w:r>
      <w:r w:rsidR="002B07CC">
        <w:t>ntries in the Americas, Europe and Asia</w:t>
      </w:r>
      <w:r>
        <w:t>.</w:t>
      </w:r>
      <w:r>
        <w:rPr>
          <w:rStyle w:val="FootnoteReference"/>
          <w:szCs w:val="22"/>
        </w:rPr>
        <w:footnoteReference w:id="8"/>
      </w:r>
      <w:r>
        <w:t xml:space="preserve">  After consummation of the proposed transaction, Applicants assert that the following entities will hold a ten percent or greater interest in </w:t>
      </w:r>
      <w:r w:rsidR="0058155B">
        <w:t>Level 3</w:t>
      </w:r>
      <w:r>
        <w:t xml:space="preserve">:  Southeastern Asset Management, Inc. (16.6 percent), a </w:t>
      </w:r>
      <w:r w:rsidRPr="003B284E">
        <w:rPr>
          <w:snapToGrid/>
        </w:rPr>
        <w:t>Tennessee</w:t>
      </w:r>
      <w:r>
        <w:t xml:space="preserve"> corporation, and, indirectly, Temasek Holdings (Private) Limited (Temasek) (16.3 percent), which is wholly owned by the Government of Singapore.</w:t>
      </w:r>
      <w:r>
        <w:rPr>
          <w:rStyle w:val="FootnoteReference"/>
          <w:szCs w:val="22"/>
        </w:rPr>
        <w:footnoteReference w:id="9"/>
      </w:r>
      <w:r>
        <w:t xml:space="preserve">   </w:t>
      </w:r>
    </w:p>
    <w:bookmarkEnd w:id="7"/>
    <w:p w14:paraId="46143DC4" w14:textId="77777777" w:rsidR="00101344" w:rsidRPr="00124030" w:rsidRDefault="005E7464" w:rsidP="00A4162E">
      <w:pPr>
        <w:pStyle w:val="Heading3"/>
      </w:pPr>
      <w:r>
        <w:t>twt telecom inc.</w:t>
      </w:r>
    </w:p>
    <w:p w14:paraId="119253CF" w14:textId="63220F39" w:rsidR="00101344" w:rsidRPr="00124030" w:rsidRDefault="008E2893" w:rsidP="008E2893">
      <w:pPr>
        <w:pStyle w:val="ParaNum"/>
      </w:pPr>
      <w:bookmarkStart w:id="8" w:name="_Ref228616549"/>
      <w:r>
        <w:t>TWT Parent, a publicly traded Delaware corporation, wholl</w:t>
      </w:r>
      <w:r w:rsidR="002B67F0">
        <w:t>y owns tw telecom holdings inc. (TWTH)</w:t>
      </w:r>
      <w:r>
        <w:t>, a Delaware corporation that is the direct or indirect parent of 35 TWT Subsidiaries currently providing interstate and international telecommunications services in 46 states and the District of Columbia.</w:t>
      </w:r>
      <w:r>
        <w:rPr>
          <w:rStyle w:val="FootnoteReference"/>
          <w:szCs w:val="22"/>
        </w:rPr>
        <w:footnoteReference w:id="10"/>
      </w:r>
      <w:r>
        <w:t xml:space="preserve">  Applicants state that the TWT Subsidiaries provide business Ethernet, data networking, </w:t>
      </w:r>
      <w:r w:rsidR="002E3BDB">
        <w:t>IP</w:t>
      </w:r>
      <w:r>
        <w:t>-based virtual private network, Internet access, voice, Voice over Internet Protocol, and network services to enterprise customers and carriers.</w:t>
      </w:r>
      <w:r>
        <w:rPr>
          <w:rStyle w:val="FootnoteReference"/>
          <w:szCs w:val="22"/>
        </w:rPr>
        <w:footnoteReference w:id="11"/>
      </w:r>
      <w:r>
        <w:t xml:space="preserve">  They further state that the TWT Subsidiaries serve 76 U.S. metropolitan markets.</w:t>
      </w:r>
      <w:r w:rsidR="0015321C">
        <w:rPr>
          <w:rStyle w:val="FootnoteReference"/>
        </w:rPr>
        <w:footnoteReference w:id="12"/>
      </w:r>
      <w:r>
        <w:t xml:space="preserve">  One of the subsidiaries, tw telecom of </w:t>
      </w:r>
      <w:r w:rsidRPr="00C35A17">
        <w:t>hawaii l.p.</w:t>
      </w:r>
      <w:r>
        <w:t xml:space="preserve"> (TWT Hawaii), has a joint interest in the Hawai</w:t>
      </w:r>
      <w:r w:rsidR="00721AAF">
        <w:t>ian Islands Fiber Network</w:t>
      </w:r>
      <w:r w:rsidR="00791707">
        <w:t xml:space="preserve"> (HIFN)</w:t>
      </w:r>
      <w:r>
        <w:t>, a non-common carrier submarine cable system connecting six of the Hawaiian Islands.</w:t>
      </w:r>
      <w:r>
        <w:rPr>
          <w:rStyle w:val="FootnoteReference"/>
          <w:szCs w:val="22"/>
        </w:rPr>
        <w:footnoteReference w:id="13"/>
      </w:r>
      <w:bookmarkEnd w:id="8"/>
      <w:r w:rsidR="008A43C6">
        <w:t xml:space="preserve"> </w:t>
      </w:r>
    </w:p>
    <w:p w14:paraId="35A5EA3E" w14:textId="77777777" w:rsidR="00101344" w:rsidRPr="00124030" w:rsidRDefault="00101344" w:rsidP="00101344">
      <w:pPr>
        <w:pStyle w:val="Heading2"/>
        <w:widowControl/>
        <w:rPr>
          <w:szCs w:val="22"/>
        </w:rPr>
      </w:pPr>
      <w:bookmarkStart w:id="9" w:name="_Toc232310010"/>
      <w:bookmarkStart w:id="10" w:name="_Toc261897646"/>
      <w:bookmarkStart w:id="11" w:name="_Toc262136936"/>
      <w:r w:rsidRPr="00124030">
        <w:rPr>
          <w:szCs w:val="22"/>
        </w:rPr>
        <w:t>Description of the Transaction</w:t>
      </w:r>
      <w:bookmarkEnd w:id="9"/>
      <w:bookmarkEnd w:id="10"/>
      <w:bookmarkEnd w:id="11"/>
      <w:r w:rsidR="000F644C">
        <w:rPr>
          <w:szCs w:val="22"/>
        </w:rPr>
        <w:t xml:space="preserve"> and </w:t>
      </w:r>
      <w:r w:rsidR="00725A67">
        <w:rPr>
          <w:szCs w:val="22"/>
        </w:rPr>
        <w:t xml:space="preserve">Application </w:t>
      </w:r>
      <w:r w:rsidR="000F644C">
        <w:rPr>
          <w:szCs w:val="22"/>
        </w:rPr>
        <w:t>Review Process</w:t>
      </w:r>
    </w:p>
    <w:p w14:paraId="39180F49" w14:textId="77777777" w:rsidR="008E2893" w:rsidRDefault="008E2893" w:rsidP="008E2893">
      <w:pPr>
        <w:pStyle w:val="ParaNum"/>
      </w:pPr>
      <w:r>
        <w:t xml:space="preserve">According to Applicants, </w:t>
      </w:r>
      <w:r w:rsidR="0058155B">
        <w:t>Level 3</w:t>
      </w:r>
      <w:r>
        <w:t xml:space="preserve"> will acquire all of the issued and outstanding stock of TWT Parent through what they describe as a two-step “double reverse triangular merger.”</w:t>
      </w:r>
      <w:r>
        <w:rPr>
          <w:rStyle w:val="FootnoteReference"/>
          <w:szCs w:val="22"/>
        </w:rPr>
        <w:footnoteReference w:id="14"/>
      </w:r>
      <w:r>
        <w:t xml:space="preserve">  They explain that </w:t>
      </w:r>
      <w:r w:rsidR="0058155B">
        <w:t>Level 3</w:t>
      </w:r>
      <w:r>
        <w:t xml:space="preserve"> and its special-purpose subsidiaries, Saturn Merger Sub 1, LLC (Merger Sub 1) and Saturn Merger Sub 2, </w:t>
      </w:r>
      <w:r w:rsidRPr="003B284E">
        <w:rPr>
          <w:snapToGrid/>
        </w:rPr>
        <w:t>LLC</w:t>
      </w:r>
      <w:r>
        <w:t xml:space="preserve"> (Merger Sub 2), both Delaware limited liability companies, have agreed to acquire TWT Parent in a stock and cash transaction that will result in </w:t>
      </w:r>
      <w:r w:rsidR="0058155B">
        <w:t>Level 3</w:t>
      </w:r>
      <w:r>
        <w:t xml:space="preserve"> controlling the TWT Subsidiaries.</w:t>
      </w:r>
      <w:r>
        <w:rPr>
          <w:rStyle w:val="FootnoteReference"/>
          <w:szCs w:val="22"/>
        </w:rPr>
        <w:footnoteReference w:id="15"/>
      </w:r>
      <w:r>
        <w:t xml:space="preserve">  In the first step of the merger, Merger Sub 1 will merge into TWT Parent, with TWT Parent surviving.  In the second step, Merger Sub 2 will merge into TWT Parent, with Merger Sub 2 surviving as a wholly-owned, direct subsidiary of </w:t>
      </w:r>
      <w:r w:rsidR="0058155B">
        <w:t>Level 3</w:t>
      </w:r>
      <w:r>
        <w:t xml:space="preserve"> and renamed as tw telecom llc.</w:t>
      </w:r>
      <w:r>
        <w:rPr>
          <w:rStyle w:val="FootnoteReference"/>
          <w:szCs w:val="22"/>
        </w:rPr>
        <w:footnoteReference w:id="16"/>
      </w:r>
      <w:r>
        <w:t xml:space="preserve">  After consummation of the proposed transaction, TWTH and the TWT Subsidiaries will be direct or indirect subsidiaries of </w:t>
      </w:r>
      <w:r w:rsidRPr="00C35A17">
        <w:t>tw telecom llc</w:t>
      </w:r>
      <w:r>
        <w:t xml:space="preserve">.  As a part of the transaction, Applicants state that </w:t>
      </w:r>
      <w:r w:rsidR="0058155B">
        <w:t>Level 3</w:t>
      </w:r>
      <w:r>
        <w:t xml:space="preserve"> anticipates issuing approximately 98 million shares of common stock, which will dilute the ownership interest of </w:t>
      </w:r>
      <w:r w:rsidR="0058155B">
        <w:t>Level 3</w:t>
      </w:r>
      <w:r>
        <w:t>’s existing shareholders, including existing foreign shareholders.</w:t>
      </w:r>
      <w:r>
        <w:rPr>
          <w:rStyle w:val="FootnoteReference"/>
          <w:szCs w:val="22"/>
        </w:rPr>
        <w:footnoteReference w:id="17"/>
      </w:r>
      <w:r>
        <w:t xml:space="preserve"> </w:t>
      </w:r>
    </w:p>
    <w:p w14:paraId="6B0F3749" w14:textId="7F3353A8" w:rsidR="000F644C" w:rsidRDefault="000F644C" w:rsidP="008E2893">
      <w:pPr>
        <w:pStyle w:val="ParaNum"/>
      </w:pPr>
      <w:r w:rsidRPr="005956FB">
        <w:t xml:space="preserve">On July 18, 2014, the </w:t>
      </w:r>
      <w:r>
        <w:t xml:space="preserve">Wireline Competition </w:t>
      </w:r>
      <w:r w:rsidRPr="005956FB">
        <w:t xml:space="preserve">Bureau </w:t>
      </w:r>
      <w:r>
        <w:t xml:space="preserve">and the International Bureau </w:t>
      </w:r>
      <w:r w:rsidRPr="005956FB">
        <w:t xml:space="preserve">released a </w:t>
      </w:r>
      <w:r w:rsidR="002E3BDB">
        <w:t>P</w:t>
      </w:r>
      <w:r w:rsidRPr="005956FB">
        <w:t xml:space="preserve">ublic </w:t>
      </w:r>
      <w:r w:rsidR="002E3BDB">
        <w:t>N</w:t>
      </w:r>
      <w:r w:rsidRPr="005956FB">
        <w:t xml:space="preserve">otice seeking comment on the proposed </w:t>
      </w:r>
      <w:r>
        <w:t>transaction.</w:t>
      </w:r>
      <w:r w:rsidR="008345EB">
        <w:rPr>
          <w:rStyle w:val="FootnoteReference"/>
        </w:rPr>
        <w:footnoteReference w:id="18"/>
      </w:r>
      <w:r>
        <w:t xml:space="preserve">  In response to the Public Notice, CenturyLink, FairP</w:t>
      </w:r>
      <w:r w:rsidRPr="005956FB">
        <w:t>oint</w:t>
      </w:r>
      <w:r w:rsidR="002E3BDB">
        <w:t xml:space="preserve"> Communications, Inc. (FairPoint)</w:t>
      </w:r>
      <w:r w:rsidRPr="005956FB">
        <w:t xml:space="preserve">, Foreman Seeley Fountain </w:t>
      </w:r>
      <w:r>
        <w:t>(FSF)</w:t>
      </w:r>
      <w:r w:rsidRPr="005956FB">
        <w:t xml:space="preserve">, </w:t>
      </w:r>
      <w:r>
        <w:t xml:space="preserve">and </w:t>
      </w:r>
      <w:r w:rsidRPr="005956FB">
        <w:t>Proximiti Technologies, Inc.</w:t>
      </w:r>
      <w:r>
        <w:t xml:space="preserve"> (Proximiti)</w:t>
      </w:r>
      <w:r w:rsidRPr="005956FB">
        <w:t xml:space="preserve"> filed comments either opposing grant of the application</w:t>
      </w:r>
      <w:r>
        <w:t>s</w:t>
      </w:r>
      <w:r w:rsidRPr="005956FB">
        <w:t xml:space="preserve"> or requesting conditions.</w:t>
      </w:r>
      <w:r>
        <w:rPr>
          <w:rStyle w:val="FootnoteReference"/>
        </w:rPr>
        <w:footnoteReference w:id="19"/>
      </w:r>
      <w:r w:rsidRPr="005956FB">
        <w:t xml:space="preserve">  </w:t>
      </w:r>
      <w:r w:rsidRPr="00665FD8">
        <w:rPr>
          <w:snapToGrid/>
        </w:rPr>
        <w:t xml:space="preserve">We discuss </w:t>
      </w:r>
      <w:r>
        <w:rPr>
          <w:snapToGrid/>
        </w:rPr>
        <w:t>the issues raised by commenters</w:t>
      </w:r>
      <w:r w:rsidRPr="00665FD8">
        <w:rPr>
          <w:snapToGrid/>
        </w:rPr>
        <w:t xml:space="preserve"> as part of our analysis below.</w:t>
      </w:r>
      <w:r>
        <w:rPr>
          <w:snapToGrid/>
        </w:rPr>
        <w:t xml:space="preserve">  On August 18, 2014, t</w:t>
      </w:r>
      <w:r w:rsidRPr="005956FB">
        <w:t xml:space="preserve">he Department of Justice </w:t>
      </w:r>
      <w:r>
        <w:t>(DOJ), including the Federal Bureau of Investigation</w:t>
      </w:r>
      <w:r w:rsidR="000722F2">
        <w:t xml:space="preserve"> (FBI)</w:t>
      </w:r>
      <w:r>
        <w:t>, with the concurrence of the Department of Homeland Security (</w:t>
      </w:r>
      <w:r w:rsidR="000722F2">
        <w:t>DHS)</w:t>
      </w:r>
      <w:r w:rsidR="007C76AF">
        <w:t xml:space="preserve"> (collectively, the Executive Branch Agencies)</w:t>
      </w:r>
      <w:r w:rsidR="000722F2">
        <w:t xml:space="preserve"> </w:t>
      </w:r>
      <w:r w:rsidRPr="005956FB">
        <w:t xml:space="preserve">filed a petition to defer </w:t>
      </w:r>
      <w:r>
        <w:t xml:space="preserve">Commission action </w:t>
      </w:r>
      <w:r w:rsidRPr="005956FB">
        <w:t>pending their review</w:t>
      </w:r>
      <w:r w:rsidR="00AA0EB9">
        <w:t xml:space="preserve"> for national security, law enforcement</w:t>
      </w:r>
      <w:r w:rsidR="007C76AF">
        <w:t>,</w:t>
      </w:r>
      <w:r w:rsidR="00AA0EB9">
        <w:t xml:space="preserve"> and public safety issues related to the proposed transaction</w:t>
      </w:r>
      <w:r w:rsidR="000722F2">
        <w:t>.</w:t>
      </w:r>
      <w:r w:rsidR="004A444F">
        <w:rPr>
          <w:rStyle w:val="FootnoteReference"/>
        </w:rPr>
        <w:footnoteReference w:id="20"/>
      </w:r>
      <w:r w:rsidR="000722F2">
        <w:t xml:space="preserve">  On October 22, 2014</w:t>
      </w:r>
      <w:r>
        <w:t xml:space="preserve">, </w:t>
      </w:r>
      <w:r w:rsidR="007C76AF">
        <w:t>the Executive Branch Agencies</w:t>
      </w:r>
      <w:r w:rsidR="00AA0EB9">
        <w:t xml:space="preserve"> withdrew their request to defer action.</w:t>
      </w:r>
      <w:r w:rsidR="004A444F">
        <w:rPr>
          <w:rStyle w:val="FootnoteReference"/>
        </w:rPr>
        <w:footnoteReference w:id="21"/>
      </w:r>
      <w:r w:rsidR="00AA0EB9">
        <w:t xml:space="preserve">  </w:t>
      </w:r>
      <w:r>
        <w:rPr>
          <w:snapToGrid/>
        </w:rPr>
        <w:t>We address</w:t>
      </w:r>
      <w:r w:rsidR="008345EB">
        <w:rPr>
          <w:snapToGrid/>
        </w:rPr>
        <w:t xml:space="preserve"> </w:t>
      </w:r>
      <w:r w:rsidR="00AA0EB9">
        <w:t>national security, law enforcement</w:t>
      </w:r>
      <w:r w:rsidR="007C76AF">
        <w:t>,</w:t>
      </w:r>
      <w:r w:rsidR="00AA0EB9">
        <w:t xml:space="preserve"> and public safety issues related to the proposed transaction</w:t>
      </w:r>
      <w:r w:rsidR="00AA0EB9">
        <w:rPr>
          <w:snapToGrid/>
        </w:rPr>
        <w:t xml:space="preserve"> </w:t>
      </w:r>
      <w:r w:rsidR="008345EB">
        <w:rPr>
          <w:snapToGrid/>
        </w:rPr>
        <w:t xml:space="preserve">below.  </w:t>
      </w:r>
      <w:r>
        <w:t>On September 5, 2014, DOJ granted early termination of its pre</w:t>
      </w:r>
      <w:r w:rsidR="00B657A2">
        <w:t>-</w:t>
      </w:r>
      <w:r>
        <w:t>merger review under the Hart-Scott-Rodino Antitrust Improvements Act of 1975.</w:t>
      </w:r>
      <w:r>
        <w:rPr>
          <w:rStyle w:val="FootnoteReference"/>
        </w:rPr>
        <w:footnoteReference w:id="22"/>
      </w:r>
    </w:p>
    <w:p w14:paraId="41C8EE92" w14:textId="77777777" w:rsidR="00101344" w:rsidRDefault="0098346E" w:rsidP="00A4162E">
      <w:pPr>
        <w:pStyle w:val="Heading1"/>
      </w:pPr>
      <w:bookmarkStart w:id="12" w:name="_Toc232310012"/>
      <w:bookmarkStart w:id="13" w:name="_Toc261518182"/>
      <w:bookmarkStart w:id="14" w:name="_Toc261897647"/>
      <w:bookmarkStart w:id="15" w:name="_Toc262136937"/>
      <w:r>
        <w:t>DISCUSSION</w:t>
      </w:r>
      <w:bookmarkEnd w:id="12"/>
      <w:bookmarkEnd w:id="13"/>
      <w:bookmarkEnd w:id="14"/>
      <w:bookmarkEnd w:id="15"/>
    </w:p>
    <w:p w14:paraId="5475250A" w14:textId="77777777" w:rsidR="0098346E" w:rsidRPr="0098346E" w:rsidRDefault="0098346E" w:rsidP="0098346E">
      <w:pPr>
        <w:pStyle w:val="Heading2"/>
      </w:pPr>
      <w:r>
        <w:t>Standard of Review</w:t>
      </w:r>
    </w:p>
    <w:p w14:paraId="2D1ACDD8" w14:textId="576EE6EE" w:rsidR="00101344" w:rsidRPr="00124030" w:rsidRDefault="00101344" w:rsidP="0098346E">
      <w:pPr>
        <w:pStyle w:val="ParaNum"/>
      </w:pPr>
      <w:bookmarkStart w:id="16" w:name="_Ref228616607"/>
      <w:r w:rsidRPr="00124030">
        <w:t>Pursuant to section 214</w:t>
      </w:r>
      <w:r w:rsidR="00385078">
        <w:t xml:space="preserve"> </w:t>
      </w:r>
      <w:r w:rsidRPr="00124030">
        <w:t>of the Act,</w:t>
      </w:r>
      <w:r w:rsidR="00DF4023">
        <w:t xml:space="preserve"> </w:t>
      </w:r>
      <w:r w:rsidR="009B15E1">
        <w:t xml:space="preserve">as amended, and sections 34 through 39 of the Cable Landing License Act, </w:t>
      </w:r>
      <w:r w:rsidRPr="00124030">
        <w:t xml:space="preserve">the Commission must determine whether the proposed transfer of control of certain licenses and authorizations held and controlled by </w:t>
      </w:r>
      <w:r w:rsidR="0089219B">
        <w:t>TWT</w:t>
      </w:r>
      <w:r w:rsidR="00407507">
        <w:t xml:space="preserve"> </w:t>
      </w:r>
      <w:r w:rsidR="00295ED5">
        <w:t>to</w:t>
      </w:r>
      <w:r w:rsidRPr="00124030">
        <w:t xml:space="preserve"> </w:t>
      </w:r>
      <w:r w:rsidR="0089219B">
        <w:t>Level 3</w:t>
      </w:r>
      <w:r w:rsidRPr="00124030">
        <w:t xml:space="preserve"> will serve the public interest, convenience, and necessity.</w:t>
      </w:r>
      <w:r w:rsidR="00B657A2">
        <w:rPr>
          <w:rStyle w:val="FootnoteReference"/>
        </w:rPr>
        <w:footnoteReference w:id="23"/>
      </w:r>
      <w:r w:rsidRPr="00124030">
        <w:t xml:space="preserve">  In making this determination, </w:t>
      </w:r>
      <w:r w:rsidR="00BB6C6F">
        <w:t>the Commission</w:t>
      </w:r>
      <w:r w:rsidRPr="00124030">
        <w:t xml:space="preserve"> first assess</w:t>
      </w:r>
      <w:r w:rsidR="00BB6C6F">
        <w:t>es</w:t>
      </w:r>
      <w:r w:rsidRPr="00124030">
        <w:t xml:space="preserve"> whether the proposed transaction complies with the specific provisions of the Act, other applicable statutes, and the Commission</w:t>
      </w:r>
      <w:r>
        <w:t>’</w:t>
      </w:r>
      <w:r w:rsidRPr="00124030">
        <w:t>s rules.</w:t>
      </w:r>
      <w:r w:rsidRPr="00124030">
        <w:rPr>
          <w:rStyle w:val="FootnoteReference"/>
          <w:color w:val="000000"/>
        </w:rPr>
        <w:footnoteReference w:id="24"/>
      </w:r>
      <w:r w:rsidRPr="00124030">
        <w:t xml:space="preserve">  If the proposed transaction </w:t>
      </w:r>
      <w:r w:rsidR="00542B46">
        <w:t xml:space="preserve">appears to </w:t>
      </w:r>
      <w:r w:rsidRPr="00124030">
        <w:t>not violate a statute or rule, the Commission considers whether it could result in public interest harms by substantially frustrating or impairing the objectives or implementation of the Act or related statutes.</w:t>
      </w:r>
      <w:r w:rsidRPr="00124030">
        <w:rPr>
          <w:rStyle w:val="FootnoteReference"/>
          <w:color w:val="000000"/>
        </w:rPr>
        <w:footnoteReference w:id="25"/>
      </w:r>
      <w:r w:rsidRPr="00124030">
        <w:t xml:space="preserve">  The Commission then employs a balancing test weighing any potential public interest harms of the proposed transaction against the </w:t>
      </w:r>
      <w:r w:rsidR="00542B46">
        <w:t xml:space="preserve">potential </w:t>
      </w:r>
      <w:r w:rsidRPr="00124030">
        <w:t>public interest benefits.</w:t>
      </w:r>
      <w:r w:rsidRPr="00124030">
        <w:rPr>
          <w:rStyle w:val="FootnoteCharacters"/>
          <w:color w:val="000000"/>
          <w:sz w:val="20"/>
        </w:rPr>
        <w:footnoteReference w:id="26"/>
      </w:r>
      <w:r w:rsidRPr="00124030">
        <w:t xml:space="preserve">  Applicants bear the burden of proving, by a preponderance of the evidence, that the proposed transaction, on balance, serves the public interest.</w:t>
      </w:r>
      <w:r w:rsidRPr="00124030">
        <w:rPr>
          <w:rStyle w:val="FootnoteCharacters"/>
          <w:color w:val="000000"/>
          <w:sz w:val="20"/>
        </w:rPr>
        <w:footnoteReference w:id="27"/>
      </w:r>
      <w:r w:rsidRPr="00124030">
        <w:t xml:space="preserve">  </w:t>
      </w:r>
      <w:bookmarkEnd w:id="16"/>
    </w:p>
    <w:p w14:paraId="7857AFCE" w14:textId="77777777" w:rsidR="00101344" w:rsidRPr="00124030" w:rsidRDefault="00353ED1" w:rsidP="00A4162E">
      <w:pPr>
        <w:pStyle w:val="ParaNum"/>
      </w:pPr>
      <w:r>
        <w:t>The</w:t>
      </w:r>
      <w:r w:rsidR="00C636F0">
        <w:t xml:space="preserve"> Commission’s</w:t>
      </w:r>
      <w:r w:rsidR="00101344" w:rsidRPr="00124030">
        <w:t xml:space="preserve"> competitive analysis, which forms an important part of the public interest evaluation, is informed by, but not limited to, traditional antitrust principles.</w:t>
      </w:r>
      <w:r w:rsidR="00101344" w:rsidRPr="00124030">
        <w:rPr>
          <w:rStyle w:val="FootnoteCharacters"/>
          <w:color w:val="000000"/>
          <w:sz w:val="20"/>
        </w:rPr>
        <w:footnoteReference w:id="28"/>
      </w:r>
      <w:r w:rsidR="00101344" w:rsidRPr="00124030">
        <w:t xml:space="preserve">  </w:t>
      </w:r>
      <w:r w:rsidR="002E3BDB">
        <w:t>DOJ</w:t>
      </w:r>
      <w:r w:rsidR="00101344" w:rsidRPr="00124030">
        <w:t xml:space="preserve"> reviews telecommunications mergers pursuant to section 7 of the Clayton Act, and if it wishes to block a merger, it must demonstrate to a court that the merger may substantially lessen competition or tend to create a monopoly.</w:t>
      </w:r>
      <w:r w:rsidR="00101344" w:rsidRPr="00124030">
        <w:rPr>
          <w:rStyle w:val="FootnoteCharacters"/>
          <w:color w:val="000000"/>
          <w:sz w:val="20"/>
        </w:rPr>
        <w:footnoteReference w:id="29"/>
      </w:r>
      <w:r w:rsidR="00101344" w:rsidRPr="00124030">
        <w:t xml:space="preserve">  DOJ</w:t>
      </w:r>
      <w:r w:rsidR="00101344">
        <w:t>’</w:t>
      </w:r>
      <w:r w:rsidR="00101344" w:rsidRPr="00124030">
        <w:t>s review is also limited solely to an examination of the competitive effects of the acquisition, without reference to other public interest considerations.</w:t>
      </w:r>
      <w:r w:rsidR="00101344" w:rsidRPr="00124030">
        <w:rPr>
          <w:rStyle w:val="FootnoteCharacters"/>
          <w:color w:val="000000"/>
          <w:sz w:val="20"/>
        </w:rPr>
        <w:footnoteReference w:id="30"/>
      </w:r>
      <w:r w:rsidR="00101344" w:rsidRPr="00124030">
        <w:t xml:space="preserve">  The Commission</w:t>
      </w:r>
      <w:r w:rsidR="00101344">
        <w:t>’</w:t>
      </w:r>
      <w:r w:rsidR="00101344" w:rsidRPr="00124030">
        <w:t>s competitive analysis under the public interest standard is somewhat broader</w:t>
      </w:r>
      <w:r w:rsidR="00542B46">
        <w:t>.  F</w:t>
      </w:r>
      <w:r w:rsidR="00101344" w:rsidRPr="00124030">
        <w:t>or example, it considers whether a transaction will enhance, rather than merely preserve, existing competition, and</w:t>
      </w:r>
      <w:r w:rsidR="00542B46">
        <w:t xml:space="preserve"> it</w:t>
      </w:r>
      <w:r w:rsidR="00101344" w:rsidRPr="00124030">
        <w:t xml:space="preserve"> takes a more extensive view of potential and future competition and its impact on the relevant market.</w:t>
      </w:r>
      <w:r w:rsidR="00101344" w:rsidRPr="00124030">
        <w:rPr>
          <w:rStyle w:val="FootnoteCharacters"/>
          <w:color w:val="000000"/>
          <w:sz w:val="20"/>
        </w:rPr>
        <w:footnoteReference w:id="31"/>
      </w:r>
    </w:p>
    <w:p w14:paraId="570077F5" w14:textId="257C30BC" w:rsidR="00757933" w:rsidRPr="00124030" w:rsidRDefault="00AF678A" w:rsidP="00757933">
      <w:pPr>
        <w:pStyle w:val="ParaNum"/>
      </w:pPr>
      <w:r>
        <w:t>T</w:t>
      </w:r>
      <w:r w:rsidR="00757933" w:rsidRPr="00757933">
        <w:t>he Commission applies several criteria in deciding whether a claimed benefit should be considered in assessing a proposed transaction.</w:t>
      </w:r>
      <w:r w:rsidR="00757933" w:rsidRPr="00757933">
        <w:rPr>
          <w:vertAlign w:val="superscript"/>
        </w:rPr>
        <w:footnoteReference w:id="32"/>
      </w:r>
      <w:r w:rsidR="00757933" w:rsidRPr="00757933">
        <w:t xml:space="preserve">  First, the benefit must be transaction-specific.  Second, the benefit must be verifiable.</w:t>
      </w:r>
      <w:r w:rsidR="00EE0260">
        <w:rPr>
          <w:rStyle w:val="FootnoteReference"/>
        </w:rPr>
        <w:footnoteReference w:id="33"/>
      </w:r>
      <w:r w:rsidR="00757933" w:rsidRPr="00757933">
        <w:t xml:space="preserve">  Because much of the information relating to the potential benefits of a transaction is in the sole possession of the applicants, they are required to provide sufficient evidence supporting each claimed benefit so that the Commission can verify its likelihood and magnitude.  Third, “the magnitude of benefits must be calculated net of the cost of achieving them.”</w:t>
      </w:r>
      <w:r w:rsidR="00757933" w:rsidRPr="00757933">
        <w:rPr>
          <w:vertAlign w:val="superscript"/>
        </w:rPr>
        <w:footnoteReference w:id="34"/>
      </w:r>
      <w:r w:rsidR="00757933" w:rsidRPr="00757933">
        <w:t xml:space="preserve">  Finally, the Commission applies a “sliding scale approach” to evaluating benefit claims.</w:t>
      </w:r>
      <w:r w:rsidR="00757933" w:rsidRPr="00757933">
        <w:rPr>
          <w:vertAlign w:val="superscript"/>
        </w:rPr>
        <w:footnoteReference w:id="35"/>
      </w:r>
      <w:r w:rsidR="00757933" w:rsidRPr="00757933">
        <w:t xml:space="preserve">  Under this sliding scale approach, where potential harms appear “both substantial and likely, a demonstration of claimed benefits also must reveal a higher degree of magnitude and likelihood than we would otherwise demand.”</w:t>
      </w:r>
      <w:r w:rsidR="00576E7A">
        <w:rPr>
          <w:rStyle w:val="FootnoteReference"/>
        </w:rPr>
        <w:footnoteReference w:id="36"/>
      </w:r>
      <w:r w:rsidR="00757933" w:rsidRPr="00757933">
        <w:t xml:space="preserve">  Conversely, where potential harms appear unlikely or less likely and less substantial, we will accept a lesser showing.</w:t>
      </w:r>
      <w:r w:rsidR="00EE0260" w:rsidRPr="00EE0260">
        <w:rPr>
          <w:vertAlign w:val="superscript"/>
        </w:rPr>
        <w:t xml:space="preserve"> </w:t>
      </w:r>
      <w:r w:rsidR="00EE0260" w:rsidRPr="00757933">
        <w:rPr>
          <w:vertAlign w:val="superscript"/>
        </w:rPr>
        <w:footnoteReference w:id="37"/>
      </w:r>
    </w:p>
    <w:p w14:paraId="4806D13D" w14:textId="546CF795" w:rsidR="00101344" w:rsidRPr="00124030" w:rsidRDefault="0098346E" w:rsidP="0098346E">
      <w:pPr>
        <w:pStyle w:val="Heading2"/>
      </w:pPr>
      <w:bookmarkStart w:id="20" w:name="_Toc232310014"/>
      <w:bookmarkStart w:id="21" w:name="_Toc261897650"/>
      <w:bookmarkStart w:id="22" w:name="_Toc262136939"/>
      <w:r>
        <w:t>Applicants</w:t>
      </w:r>
      <w:r w:rsidR="00101344">
        <w:t>’</w:t>
      </w:r>
      <w:r w:rsidR="00101344" w:rsidRPr="00124030">
        <w:t xml:space="preserve"> Qualifications</w:t>
      </w:r>
      <w:bookmarkEnd w:id="20"/>
      <w:bookmarkEnd w:id="21"/>
      <w:bookmarkEnd w:id="22"/>
    </w:p>
    <w:p w14:paraId="399ED999" w14:textId="348CEE42" w:rsidR="00721889" w:rsidRPr="00124030" w:rsidRDefault="00E046D1" w:rsidP="00FE722A">
      <w:pPr>
        <w:pStyle w:val="ParaNum"/>
      </w:pPr>
      <w:bookmarkStart w:id="23" w:name="_Ref261175603"/>
      <w:bookmarkStart w:id="24" w:name="_Ref230409404"/>
      <w:r>
        <w:t>As part of its public interest review, the Commission generally considers the qualifications of</w:t>
      </w:r>
      <w:r w:rsidR="001958FD">
        <w:t xml:space="preserve"> </w:t>
      </w:r>
      <w:r w:rsidR="006B6E06">
        <w:t>the transferee in</w:t>
      </w:r>
      <w:r>
        <w:t xml:space="preserve"> a proposed transaction.</w:t>
      </w:r>
      <w:r w:rsidRPr="00E046D1">
        <w:rPr>
          <w:rStyle w:val="FootnoteReference"/>
        </w:rPr>
        <w:t xml:space="preserve"> </w:t>
      </w:r>
      <w:r>
        <w:rPr>
          <w:rStyle w:val="FootnoteReference"/>
        </w:rPr>
        <w:footnoteReference w:id="38"/>
      </w:r>
      <w:r>
        <w:t xml:space="preserve">  </w:t>
      </w:r>
      <w:r w:rsidR="00F179A0">
        <w:t xml:space="preserve">The Commission has previously approved Level </w:t>
      </w:r>
      <w:r w:rsidR="006B6E06">
        <w:t xml:space="preserve">3 </w:t>
      </w:r>
      <w:r w:rsidR="00F179A0">
        <w:t>to hold Com</w:t>
      </w:r>
      <w:r w:rsidR="006B6E06">
        <w:t>m</w:t>
      </w:r>
      <w:r w:rsidR="00F179A0">
        <w:t>is</w:t>
      </w:r>
      <w:r w:rsidR="006B6E06">
        <w:t>sion</w:t>
      </w:r>
      <w:r w:rsidR="00F179A0">
        <w:t xml:space="preserve"> licenses and authorizations in other merger proceedings, and we need not reevaluate </w:t>
      </w:r>
      <w:r w:rsidR="006B6E06">
        <w:t xml:space="preserve">its </w:t>
      </w:r>
      <w:r w:rsidR="00F179A0">
        <w:t>qualifications here.</w:t>
      </w:r>
      <w:r w:rsidR="00F179A0" w:rsidRPr="00F179A0">
        <w:rPr>
          <w:rStyle w:val="FootnoteReference"/>
        </w:rPr>
        <w:t xml:space="preserve"> </w:t>
      </w:r>
      <w:r w:rsidR="00F179A0">
        <w:rPr>
          <w:rStyle w:val="FootnoteReference"/>
        </w:rPr>
        <w:footnoteReference w:id="39"/>
      </w:r>
      <w:r w:rsidR="00F179A0">
        <w:t xml:space="preserve">  </w:t>
      </w:r>
      <w:bookmarkStart w:id="29" w:name="_Ref261175641"/>
      <w:bookmarkEnd w:id="23"/>
      <w:r w:rsidR="009C04AE">
        <w:t>Although c</w:t>
      </w:r>
      <w:r w:rsidR="00AF459E">
        <w:t xml:space="preserve">ommenters raise questions regarding </w:t>
      </w:r>
      <w:r w:rsidR="00A740DF">
        <w:t xml:space="preserve">both </w:t>
      </w:r>
      <w:r w:rsidR="00AF459E">
        <w:t xml:space="preserve">TWT’s and Level 3’s </w:t>
      </w:r>
      <w:r w:rsidR="004324B9">
        <w:t xml:space="preserve">pre-existing </w:t>
      </w:r>
      <w:r w:rsidR="00AF459E">
        <w:t>commercial practices, there is no evidence in the record indicating that either entity is not qualified</w:t>
      </w:r>
      <w:r w:rsidR="004324B9">
        <w:t xml:space="preserve"> to provide service</w:t>
      </w:r>
      <w:r w:rsidR="00AF459E">
        <w:t xml:space="preserve">. </w:t>
      </w:r>
      <w:r w:rsidR="00345E1F">
        <w:t xml:space="preserve"> </w:t>
      </w:r>
      <w:r w:rsidR="0098346E">
        <w:t>We discuss commenters</w:t>
      </w:r>
      <w:r w:rsidR="004324B9">
        <w:t>’</w:t>
      </w:r>
      <w:r w:rsidR="0098346E">
        <w:t xml:space="preserve"> claims in greater detail below.</w:t>
      </w:r>
      <w:r w:rsidR="0098346E">
        <w:rPr>
          <w:rStyle w:val="FootnoteReference"/>
        </w:rPr>
        <w:footnoteReference w:id="40"/>
      </w:r>
      <w:r w:rsidR="0098346E">
        <w:t xml:space="preserve">  </w:t>
      </w:r>
      <w:r w:rsidR="009C04AE" w:rsidRPr="00124030">
        <w:t xml:space="preserve"> </w:t>
      </w:r>
    </w:p>
    <w:bookmarkEnd w:id="24"/>
    <w:bookmarkEnd w:id="29"/>
    <w:p w14:paraId="1E0E856C" w14:textId="44B13A63" w:rsidR="00101344" w:rsidRDefault="0098346E" w:rsidP="00A4162E">
      <w:pPr>
        <w:pStyle w:val="Heading2"/>
      </w:pPr>
      <w:r>
        <w:t xml:space="preserve">Public Interest </w:t>
      </w:r>
      <w:r w:rsidR="000138BF">
        <w:t xml:space="preserve">Benefits and </w:t>
      </w:r>
      <w:r>
        <w:t>Harms</w:t>
      </w:r>
    </w:p>
    <w:p w14:paraId="04E4830F" w14:textId="6B92C05D" w:rsidR="00DC6E32" w:rsidRPr="00DC6E32" w:rsidRDefault="00DC6E32" w:rsidP="00C40D89">
      <w:pPr>
        <w:pStyle w:val="ParaNum"/>
      </w:pPr>
      <w:r>
        <w:t>In this section, we consider the potential benefits and harms arising from the merger.  As discussed below, we find that this transaction is likely to result in a stronger competitor and tangible benefits for enterprise customers.  While TWT and Level 3 have overlapping facilities in a</w:t>
      </w:r>
      <w:r w:rsidR="005F4BC5">
        <w:t xml:space="preserve"> small</w:t>
      </w:r>
      <w:r>
        <w:t xml:space="preserve"> fraction of buildings in which they provide service to enterprise customers, we find that there are mitigating factors to any potential competitive harm post-merger.  In addition, we find that the arguments raised by commenters against Applicants’ pre-existing business practices are more appropriately addressed outside this proceeding.  Overall, we find that the benefits, taken as a whole, outweigh any potential public interest harms</w:t>
      </w:r>
      <w:r w:rsidR="007B370F">
        <w:t>.</w:t>
      </w:r>
    </w:p>
    <w:p w14:paraId="319FB1AE" w14:textId="391A6FE2" w:rsidR="00DC6E32" w:rsidRDefault="00DC6E32" w:rsidP="00C40D89">
      <w:pPr>
        <w:pStyle w:val="Heading3"/>
      </w:pPr>
      <w:r>
        <w:t>Potential Benefits</w:t>
      </w:r>
    </w:p>
    <w:p w14:paraId="240CC818" w14:textId="51AB8F25" w:rsidR="00DC6E32" w:rsidRPr="00C60E3A" w:rsidRDefault="00DC6E32" w:rsidP="00DC6E32">
      <w:pPr>
        <w:pStyle w:val="ParaNum"/>
        <w:rPr>
          <w:szCs w:val="22"/>
        </w:rPr>
      </w:pPr>
      <w:r w:rsidRPr="00E00884">
        <w:t>In our expert judgment</w:t>
      </w:r>
      <w:r>
        <w:t>,</w:t>
      </w:r>
      <w:r w:rsidRPr="00E00884">
        <w:t xml:space="preserve"> the merged entity will be a significantly </w:t>
      </w:r>
      <w:r>
        <w:t xml:space="preserve">stronger </w:t>
      </w:r>
      <w:r w:rsidRPr="00E00884">
        <w:t>competit</w:t>
      </w:r>
      <w:r>
        <w:t>or than the two companies are separately</w:t>
      </w:r>
      <w:r w:rsidRPr="00E00884">
        <w:t xml:space="preserve">.  </w:t>
      </w:r>
      <w:r>
        <w:t xml:space="preserve">The </w:t>
      </w:r>
      <w:r w:rsidR="00706164">
        <w:t xml:space="preserve">Wireline Competition </w:t>
      </w:r>
      <w:r>
        <w:t xml:space="preserve">Bureau has consistently found that, in transactions in which competitive </w:t>
      </w:r>
      <w:r w:rsidR="007C76AF">
        <w:t>local exchange carriers (</w:t>
      </w:r>
      <w:r>
        <w:t>LECs</w:t>
      </w:r>
      <w:r w:rsidR="00D6427E">
        <w:t>)</w:t>
      </w:r>
      <w:r>
        <w:t xml:space="preserve"> combine to form a stronger competitor to the incumbent LEC, the transaction will enhance competition.</w:t>
      </w:r>
      <w:r>
        <w:rPr>
          <w:rStyle w:val="FootnoteReference"/>
        </w:rPr>
        <w:footnoteReference w:id="41"/>
      </w:r>
      <w:r>
        <w:t xml:space="preserve">  In this case, </w:t>
      </w:r>
      <w:r w:rsidRPr="0057521F">
        <w:t>Applicants assert that the proposed transaction will increase competition for enterprise and carrier customers by joining two complementary, non-dominant providers that will compete with larger incumbent providers, particularly AT&amp;T, Verizon, and CenturyLink, and with other competitive carriers</w:t>
      </w:r>
      <w:r>
        <w:t>.</w:t>
      </w:r>
      <w:r>
        <w:rPr>
          <w:rStyle w:val="FootnoteReference"/>
        </w:rPr>
        <w:footnoteReference w:id="42"/>
      </w:r>
      <w:r w:rsidRPr="0057521F">
        <w:t xml:space="preserve">  </w:t>
      </w:r>
      <w:r w:rsidRPr="0080660D">
        <w:t xml:space="preserve">Applicants state that </w:t>
      </w:r>
      <w:r w:rsidR="00CD5C84">
        <w:t xml:space="preserve">Level 3 has a </w:t>
      </w:r>
      <w:r w:rsidRPr="0080660D">
        <w:t>global footprint</w:t>
      </w:r>
      <w:r w:rsidR="00CD5C84">
        <w:t>, which TWT lacks</w:t>
      </w:r>
      <w:r w:rsidRPr="0080660D">
        <w:t>.</w:t>
      </w:r>
      <w:r w:rsidRPr="0080660D">
        <w:rPr>
          <w:vertAlign w:val="superscript"/>
        </w:rPr>
        <w:footnoteReference w:id="43"/>
      </w:r>
      <w:r>
        <w:t xml:space="preserve"> </w:t>
      </w:r>
      <w:r w:rsidRPr="0080660D">
        <w:t xml:space="preserve"> </w:t>
      </w:r>
      <w:r w:rsidRPr="0057521F">
        <w:t xml:space="preserve"> </w:t>
      </w:r>
      <w:r>
        <w:t>At the same time, Applicants maintain</w:t>
      </w:r>
      <w:r w:rsidRPr="0057521F">
        <w:t xml:space="preserve"> that TWT has a more extensive metropolitan </w:t>
      </w:r>
      <w:r>
        <w:t xml:space="preserve">footprint as well as </w:t>
      </w:r>
      <w:r w:rsidRPr="0057521F">
        <w:t>many more network-connected buildings than Level 3</w:t>
      </w:r>
      <w:r w:rsidR="00F25740">
        <w:t>.</w:t>
      </w:r>
      <w:r w:rsidR="00F25740">
        <w:rPr>
          <w:rStyle w:val="FootnoteReference"/>
        </w:rPr>
        <w:footnoteReference w:id="44"/>
      </w:r>
      <w:r w:rsidR="00F25740">
        <w:t xml:space="preserve">  </w:t>
      </w:r>
      <w:r w:rsidR="00CD5C84">
        <w:t>Applicants explain</w:t>
      </w:r>
      <w:r w:rsidR="00CD5C84" w:rsidRPr="0057521F">
        <w:t xml:space="preserve"> that TWT’s inventory of on-net buildings coupled with Level 3’s backhaul network will enhance the merged company’s ability to compete for national and international enterprise customers.</w:t>
      </w:r>
      <w:r w:rsidR="00CD5C84">
        <w:rPr>
          <w:rStyle w:val="FootnoteReference"/>
        </w:rPr>
        <w:footnoteReference w:id="45"/>
      </w:r>
      <w:r w:rsidR="00CD5C84" w:rsidRPr="0057521F">
        <w:t xml:space="preserve">  </w:t>
      </w:r>
      <w:r w:rsidR="00F57ADB">
        <w:t>In addition, Applicants expect that combining TWT’s and Level 3’s networks could reduce capital costs associated with further network deployment because it would increase the likelihood that, for a future build-out to a customer, existing facilities would be nearby to the customer.  Nearby facilities would reduce the costs of a network build and may make reaching customers to provide on-net service more cost effective.</w:t>
      </w:r>
      <w:r w:rsidR="00F57ADB">
        <w:rPr>
          <w:rStyle w:val="FootnoteReference"/>
        </w:rPr>
        <w:footnoteReference w:id="46"/>
      </w:r>
      <w:r w:rsidR="00F57ADB">
        <w:t xml:space="preserve">  Overall, </w:t>
      </w:r>
      <w:r w:rsidRPr="0057521F">
        <w:t>Applicants contend that the transaction would leverage TWT’s presence in enterprise markets to make more extensive use of Level 3’s global network footprint and offer large customers greater coverage and reliability.</w:t>
      </w:r>
      <w:r>
        <w:rPr>
          <w:rStyle w:val="FootnoteReference"/>
        </w:rPr>
        <w:footnoteReference w:id="47"/>
      </w:r>
      <w:r w:rsidRPr="0057521F">
        <w:t xml:space="preserve">  Applicants also argue that the merger would allow the combined entity to offer a broader selection of services to all customers.</w:t>
      </w:r>
      <w:r>
        <w:rPr>
          <w:rStyle w:val="FootnoteReference"/>
        </w:rPr>
        <w:footnoteReference w:id="48"/>
      </w:r>
    </w:p>
    <w:p w14:paraId="1964FDCA" w14:textId="11471012" w:rsidR="00DC6E32" w:rsidRPr="0083060B" w:rsidRDefault="00DC6E32" w:rsidP="00DC6E32">
      <w:pPr>
        <w:pStyle w:val="ParaNum"/>
        <w:rPr>
          <w:szCs w:val="22"/>
        </w:rPr>
      </w:pPr>
      <w:r>
        <w:t>We agree</w:t>
      </w:r>
      <w:r w:rsidRPr="0083060B">
        <w:t xml:space="preserve"> </w:t>
      </w:r>
      <w:r>
        <w:t>that Level 3</w:t>
      </w:r>
      <w:r w:rsidRPr="0083060B">
        <w:t xml:space="preserve">’s </w:t>
      </w:r>
      <w:r>
        <w:t xml:space="preserve">scale and scope, combined with TWT’s </w:t>
      </w:r>
      <w:r w:rsidR="00CD5C84">
        <w:t xml:space="preserve">metropolitan </w:t>
      </w:r>
      <w:r>
        <w:t>footprint, suggests that, post-merger,</w:t>
      </w:r>
      <w:r w:rsidRPr="0083060B">
        <w:t xml:space="preserve"> </w:t>
      </w:r>
      <w:r>
        <w:t xml:space="preserve">the combined entity </w:t>
      </w:r>
      <w:r w:rsidRPr="0083060B">
        <w:t>could be a stronger comp</w:t>
      </w:r>
      <w:r>
        <w:t xml:space="preserve">etitor to the incumbent LECs and large national providers, thereby resulting in benefits for consumers.  </w:t>
      </w:r>
      <w:r w:rsidRPr="00065DA4">
        <w:t xml:space="preserve">We find that, based on the record before us, it is likely that the transaction will combine largely complementary networks </w:t>
      </w:r>
      <w:r>
        <w:t xml:space="preserve">and </w:t>
      </w:r>
      <w:r w:rsidRPr="00065DA4">
        <w:t>will ultimately have a net t</w:t>
      </w:r>
      <w:r>
        <w:t>angible public interest benefit</w:t>
      </w:r>
      <w:r w:rsidRPr="00065DA4">
        <w:t xml:space="preserve"> of forming a stronger competitor.  </w:t>
      </w:r>
    </w:p>
    <w:p w14:paraId="34E9E08B" w14:textId="06D7314F" w:rsidR="00DC6E32" w:rsidRPr="00DC6E32" w:rsidRDefault="00DC6E32" w:rsidP="00B84BD0">
      <w:pPr>
        <w:pStyle w:val="ParaNum"/>
        <w:widowControl/>
      </w:pPr>
      <w:r w:rsidRPr="00D8765B">
        <w:rPr>
          <w:bCs/>
        </w:rPr>
        <w:t>Applicants anticipate that access to compl</w:t>
      </w:r>
      <w:r>
        <w:rPr>
          <w:bCs/>
        </w:rPr>
        <w:t>e</w:t>
      </w:r>
      <w:r w:rsidRPr="00D8765B">
        <w:rPr>
          <w:bCs/>
        </w:rPr>
        <w:t>mentary networks and increased purchasing power with vendors will reduce costs for both sides of the merged entity.</w:t>
      </w:r>
      <w:r>
        <w:rPr>
          <w:rStyle w:val="FootnoteReference"/>
          <w:bCs/>
        </w:rPr>
        <w:footnoteReference w:id="49"/>
      </w:r>
      <w:r w:rsidRPr="00D8765B">
        <w:rPr>
          <w:bCs/>
        </w:rPr>
        <w:t xml:space="preserve">  Specifically, Applicants estimate that the transaction would result in approximately $200 million in network and operations savings on an annualized basis for the combined company, and an additional capital-expenditure savings of approximately $40 million on an annualized basis.</w:t>
      </w:r>
      <w:r>
        <w:rPr>
          <w:rStyle w:val="FootnoteReference"/>
          <w:bCs/>
        </w:rPr>
        <w:footnoteReference w:id="50"/>
      </w:r>
      <w:r w:rsidRPr="00D8765B">
        <w:rPr>
          <w:bCs/>
        </w:rPr>
        <w:t xml:space="preserve">  </w:t>
      </w:r>
      <w:r>
        <w:rPr>
          <w:bCs/>
        </w:rPr>
        <w:t>While it is reasonable to anticipate that the transaction would result in some cost savings, we reach our public interest findings independent of consideration of these savings.</w:t>
      </w:r>
      <w:r w:rsidRPr="00230AA3">
        <w:rPr>
          <w:bCs/>
          <w:vertAlign w:val="superscript"/>
        </w:rPr>
        <w:footnoteReference w:id="51"/>
      </w:r>
    </w:p>
    <w:p w14:paraId="09C52141" w14:textId="12593CCE" w:rsidR="00DC6E32" w:rsidRDefault="00DC6E32" w:rsidP="00C40D89">
      <w:pPr>
        <w:pStyle w:val="Heading3"/>
      </w:pPr>
      <w:r>
        <w:t>Potential Harms</w:t>
      </w:r>
    </w:p>
    <w:p w14:paraId="047E6D87" w14:textId="21D6A4F6" w:rsidR="00DC6E32" w:rsidRPr="00DC6E32" w:rsidRDefault="00DC6E32" w:rsidP="00C40D89">
      <w:pPr>
        <w:pStyle w:val="Heading4"/>
      </w:pPr>
      <w:r>
        <w:t>Competition</w:t>
      </w:r>
    </w:p>
    <w:p w14:paraId="5F2A7B75" w14:textId="098C58B3" w:rsidR="00CC1B41" w:rsidRDefault="00542B46" w:rsidP="00AC76E8">
      <w:pPr>
        <w:pStyle w:val="ParaNum"/>
      </w:pPr>
      <w:r>
        <w:t xml:space="preserve">In order for a horizontal merger to </w:t>
      </w:r>
      <w:r w:rsidR="0039774A">
        <w:t xml:space="preserve">have negative </w:t>
      </w:r>
      <w:r>
        <w:t xml:space="preserve">effects on </w:t>
      </w:r>
      <w:r w:rsidR="0039774A">
        <w:t>competition</w:t>
      </w:r>
      <w:r w:rsidR="00721889" w:rsidRPr="00E00884">
        <w:t>, the parties must currently provide, or be very likely to provide, similar services within the same relevant geographic market.</w:t>
      </w:r>
      <w:r w:rsidR="00721889" w:rsidRPr="00E00884">
        <w:rPr>
          <w:vertAlign w:val="superscript"/>
        </w:rPr>
        <w:footnoteReference w:id="52"/>
      </w:r>
      <w:r w:rsidR="00721889" w:rsidRPr="00E00884">
        <w:t xml:space="preserve">  Applicants assert that they generally do not compete for the same class of customers</w:t>
      </w:r>
      <w:r w:rsidR="00AE09BE">
        <w:t>; they argue that t</w:t>
      </w:r>
      <w:r w:rsidR="00721889" w:rsidRPr="00E00884">
        <w:t xml:space="preserve">he proposed transaction will not impact competition for local exchange and interstate services because the TWT Subsidiaries and Level 3 have largely focused on different segments of the enterprise market for these services and </w:t>
      </w:r>
      <w:r w:rsidR="00F24065">
        <w:t xml:space="preserve">typically </w:t>
      </w:r>
      <w:r w:rsidR="00721889" w:rsidRPr="00E00884">
        <w:t>compete against incumbent and competitive carriers</w:t>
      </w:r>
      <w:r w:rsidR="00F24065">
        <w:t xml:space="preserve"> rather than each other</w:t>
      </w:r>
      <w:r w:rsidR="00721889" w:rsidRPr="00E00884">
        <w:t>.</w:t>
      </w:r>
      <w:r w:rsidR="00721889">
        <w:rPr>
          <w:rStyle w:val="FootnoteReference"/>
        </w:rPr>
        <w:footnoteReference w:id="53"/>
      </w:r>
      <w:r w:rsidR="00721889" w:rsidRPr="00E00884">
        <w:t xml:space="preserve">  </w:t>
      </w:r>
      <w:r w:rsidR="0058155B">
        <w:t xml:space="preserve">Specifically, Applicants explain that </w:t>
      </w:r>
      <w:r w:rsidR="00721889">
        <w:t>TWT serves primarily small and medium-sized enterprises</w:t>
      </w:r>
      <w:r w:rsidR="002B67F0">
        <w:t>,</w:t>
      </w:r>
      <w:r w:rsidR="00721889">
        <w:t xml:space="preserve"> and Level 3 primarily serves larger enterprise customers</w:t>
      </w:r>
      <w:r w:rsidR="00721889" w:rsidRPr="00E00884">
        <w:t>.</w:t>
      </w:r>
      <w:r w:rsidR="00721889">
        <w:rPr>
          <w:rStyle w:val="FootnoteReference"/>
        </w:rPr>
        <w:footnoteReference w:id="54"/>
      </w:r>
      <w:r w:rsidR="00721889" w:rsidRPr="00E00884">
        <w:t xml:space="preserve">  Applicants </w:t>
      </w:r>
      <w:r w:rsidR="00AE09BE">
        <w:t>estimate that,</w:t>
      </w:r>
      <w:r w:rsidR="00721889" w:rsidRPr="00E00884">
        <w:t xml:space="preserve"> </w:t>
      </w:r>
      <w:r w:rsidR="00721889">
        <w:t>p</w:t>
      </w:r>
      <w:r w:rsidR="00721889" w:rsidRPr="00E00884">
        <w:t>ost-merger, Level 3 will have approximately 30,</w:t>
      </w:r>
      <w:r w:rsidR="004279BE">
        <w:t>538</w:t>
      </w:r>
      <w:r w:rsidR="00721889" w:rsidRPr="00E00884">
        <w:t xml:space="preserve"> on-net buildings in the United States.</w:t>
      </w:r>
      <w:r w:rsidR="00721889" w:rsidRPr="00E00884">
        <w:rPr>
          <w:vertAlign w:val="superscript"/>
        </w:rPr>
        <w:footnoteReference w:id="55"/>
      </w:r>
      <w:r w:rsidR="00721889" w:rsidRPr="00E00884">
        <w:t xml:space="preserve">  Applicants state that </w:t>
      </w:r>
      <w:r w:rsidR="002B67F0">
        <w:t>Level 3 and TWT have overlapping facilities in 1,739</w:t>
      </w:r>
      <w:r w:rsidR="00721889" w:rsidRPr="00E00884">
        <w:t xml:space="preserve"> of the on-net bui</w:t>
      </w:r>
      <w:r w:rsidR="00721889">
        <w:t>ldings</w:t>
      </w:r>
      <w:r w:rsidR="00721889" w:rsidRPr="006B2810">
        <w:t xml:space="preserve"> (</w:t>
      </w:r>
      <w:r w:rsidR="00B556B0">
        <w:t xml:space="preserve">approximately </w:t>
      </w:r>
      <w:r w:rsidR="00721889" w:rsidRPr="006B2810">
        <w:t>5.7 percent of total on-net buildings).</w:t>
      </w:r>
      <w:r w:rsidR="00F13E3D">
        <w:rPr>
          <w:rStyle w:val="FootnoteReference"/>
        </w:rPr>
        <w:footnoteReference w:id="56"/>
      </w:r>
      <w:r w:rsidR="00721889" w:rsidRPr="00E00884">
        <w:t xml:space="preserve">  </w:t>
      </w:r>
    </w:p>
    <w:p w14:paraId="01A768B9" w14:textId="565E52CA" w:rsidR="001958FD" w:rsidRDefault="00AC76E8" w:rsidP="00AC76E8">
      <w:pPr>
        <w:pStyle w:val="ParaNum"/>
      </w:pPr>
      <w:r w:rsidRPr="006C7DA2">
        <w:t>In previous transactions in which an incumbent LEC has acquired a competitive LEC, the Commission has identified competitive harm where the merging carriers both provide service to a building over their own f</w:t>
      </w:r>
      <w:r w:rsidR="00AE09BE" w:rsidRPr="006C7DA2">
        <w:t>acilities</w:t>
      </w:r>
      <w:r w:rsidRPr="006C7DA2">
        <w:t xml:space="preserve"> and there is no evidence that another competitor is connected to</w:t>
      </w:r>
      <w:r w:rsidR="009A35B8" w:rsidRPr="006C7DA2">
        <w:t xml:space="preserve"> the building</w:t>
      </w:r>
      <w:r w:rsidR="0058155B" w:rsidRPr="006C7DA2">
        <w:t>,</w:t>
      </w:r>
      <w:r w:rsidRPr="006C7DA2">
        <w:t xml:space="preserve"> or is likely to connect the building </w:t>
      </w:r>
      <w:r w:rsidR="009A35B8" w:rsidRPr="006C7DA2">
        <w:t xml:space="preserve">to </w:t>
      </w:r>
      <w:r w:rsidRPr="006C7DA2">
        <w:t>its network</w:t>
      </w:r>
      <w:r>
        <w:rPr>
          <w:color w:val="000000"/>
        </w:rPr>
        <w:t>.</w:t>
      </w:r>
      <w:r>
        <w:rPr>
          <w:rStyle w:val="FootnoteReference"/>
        </w:rPr>
        <w:footnoteReference w:id="57"/>
      </w:r>
      <w:r>
        <w:rPr>
          <w:color w:val="000000"/>
        </w:rPr>
        <w:t xml:space="preserve">  </w:t>
      </w:r>
      <w:r w:rsidRPr="006C7DA2">
        <w:t xml:space="preserve">In contrast, in this proceeding, Applicants are both competitive providers </w:t>
      </w:r>
      <w:r w:rsidR="00906AC6" w:rsidRPr="006C7DA2">
        <w:t xml:space="preserve">and a </w:t>
      </w:r>
      <w:r w:rsidRPr="006C7DA2">
        <w:t xml:space="preserve">source of competition </w:t>
      </w:r>
      <w:r w:rsidR="00FD1D32" w:rsidRPr="006C7DA2">
        <w:t>in buildings where they overlap</w:t>
      </w:r>
      <w:r w:rsidR="0039774A" w:rsidRPr="006C7DA2">
        <w:t xml:space="preserve"> is </w:t>
      </w:r>
      <w:r w:rsidR="00906AC6" w:rsidRPr="006C7DA2">
        <w:t xml:space="preserve">likely </w:t>
      </w:r>
      <w:r w:rsidR="0039774A" w:rsidRPr="006C7DA2">
        <w:t>the incumbent LEC</w:t>
      </w:r>
      <w:r>
        <w:rPr>
          <w:color w:val="000000"/>
        </w:rPr>
        <w:t>.</w:t>
      </w:r>
      <w:r w:rsidR="00345E1F">
        <w:rPr>
          <w:rStyle w:val="FootnoteReference"/>
        </w:rPr>
        <w:footnoteReference w:id="58"/>
      </w:r>
      <w:r>
        <w:rPr>
          <w:color w:val="000000"/>
        </w:rPr>
        <w:t xml:space="preserve">  </w:t>
      </w:r>
      <w:r w:rsidR="00EC60D2" w:rsidRPr="006C7DA2">
        <w:t>Fu</w:t>
      </w:r>
      <w:r w:rsidR="00A86960" w:rsidRPr="006C7DA2">
        <w:t>r</w:t>
      </w:r>
      <w:r w:rsidR="00C65021">
        <w:t xml:space="preserve">thermore, we </w:t>
      </w:r>
      <w:r w:rsidR="00EC60D2" w:rsidRPr="006C7DA2">
        <w:t>take into account Level 3’s assertion</w:t>
      </w:r>
      <w:r w:rsidR="0018258D" w:rsidRPr="006C7DA2">
        <w:t>s</w:t>
      </w:r>
      <w:r w:rsidR="00EC60D2" w:rsidRPr="006C7DA2">
        <w:t xml:space="preserve"> that </w:t>
      </w:r>
      <w:r w:rsidR="00906AC6" w:rsidRPr="006C7DA2">
        <w:t xml:space="preserve">(1) </w:t>
      </w:r>
      <w:r w:rsidR="00EC60D2" w:rsidRPr="006C7DA2">
        <w:t>the central focus of its corporate strategy is to provide communications services to enterprise and wholesale customers, that it has experience providing these services, and that, post-merger, it intends to compete aggressively against the incumbent LEC and other major providers for large enterprise customers with international connectivity needs</w:t>
      </w:r>
      <w:r w:rsidR="00906AC6" w:rsidRPr="006C7DA2">
        <w:t>,</w:t>
      </w:r>
      <w:r w:rsidR="00EC60D2" w:rsidRPr="00EC60D2">
        <w:rPr>
          <w:color w:val="000000"/>
          <w:vertAlign w:val="superscript"/>
        </w:rPr>
        <w:footnoteReference w:id="59"/>
      </w:r>
      <w:r w:rsidR="00EC60D2" w:rsidRPr="00EC60D2">
        <w:rPr>
          <w:color w:val="000000"/>
        </w:rPr>
        <w:t xml:space="preserve"> </w:t>
      </w:r>
      <w:r w:rsidR="0018258D">
        <w:rPr>
          <w:color w:val="000000"/>
        </w:rPr>
        <w:t>a</w:t>
      </w:r>
      <w:r w:rsidR="0018258D" w:rsidRPr="006C7DA2">
        <w:t xml:space="preserve">nd </w:t>
      </w:r>
      <w:r w:rsidR="0000325F" w:rsidRPr="006C7DA2">
        <w:t>(2)</w:t>
      </w:r>
      <w:r w:rsidR="00906AC6" w:rsidRPr="006C7DA2">
        <w:t xml:space="preserve"> as explained above</w:t>
      </w:r>
      <w:r w:rsidR="004279BE" w:rsidRPr="006C7DA2">
        <w:t>,</w:t>
      </w:r>
      <w:r w:rsidR="00906AC6" w:rsidRPr="006C7DA2">
        <w:t xml:space="preserve"> Level 3 and TWT</w:t>
      </w:r>
      <w:r w:rsidR="00906AC6" w:rsidRPr="00BD7E63">
        <w:t xml:space="preserve"> have largely focused on different segments of the enterprise market</w:t>
      </w:r>
      <w:r w:rsidR="00906AC6">
        <w:t>.</w:t>
      </w:r>
      <w:r w:rsidR="009C5A02">
        <w:rPr>
          <w:rStyle w:val="FootnoteReference"/>
        </w:rPr>
        <w:footnoteReference w:id="60"/>
      </w:r>
      <w:r w:rsidR="00906AC6">
        <w:t xml:space="preserve"> </w:t>
      </w:r>
      <w:r w:rsidR="00EC60D2" w:rsidRPr="00EC60D2">
        <w:rPr>
          <w:color w:val="000000"/>
        </w:rPr>
        <w:t xml:space="preserve"> </w:t>
      </w:r>
      <w:r w:rsidR="00596F6E" w:rsidRPr="006C7DA2">
        <w:rPr>
          <w:rFonts w:eastAsia="Calibri"/>
        </w:rPr>
        <w:t xml:space="preserve">While we do not have evidence on the record that shows whether there will be any competitive effects in specific buildings where both parties to the merger currently have facilities, we consider that any potential harm that could result from a loss of competition </w:t>
      </w:r>
      <w:r w:rsidR="00D6427E" w:rsidRPr="006C7DA2">
        <w:rPr>
          <w:rFonts w:eastAsia="Calibri"/>
        </w:rPr>
        <w:t xml:space="preserve">is </w:t>
      </w:r>
      <w:r w:rsidR="00596F6E" w:rsidRPr="006C7DA2">
        <w:rPr>
          <w:rFonts w:eastAsia="Calibri"/>
        </w:rPr>
        <w:t xml:space="preserve">small relative to the </w:t>
      </w:r>
      <w:r w:rsidR="00C65021">
        <w:rPr>
          <w:rFonts w:eastAsia="Calibri"/>
        </w:rPr>
        <w:t xml:space="preserve">overall </w:t>
      </w:r>
      <w:r w:rsidR="00596F6E" w:rsidRPr="006C7DA2">
        <w:rPr>
          <w:rFonts w:eastAsia="Calibri"/>
        </w:rPr>
        <w:t>competitive benefits of the transaction.</w:t>
      </w:r>
    </w:p>
    <w:p w14:paraId="5687D8B6" w14:textId="2C0DD090" w:rsidR="00FD65B2" w:rsidRDefault="004E20CA" w:rsidP="00FE722A">
      <w:pPr>
        <w:pStyle w:val="ParaNum"/>
      </w:pPr>
      <w:r w:rsidRPr="001958FD">
        <w:rPr>
          <w:szCs w:val="22"/>
        </w:rPr>
        <w:t xml:space="preserve">Notably, no commenter asserts that the combined entity will hold market power or potentially threaten competition.  </w:t>
      </w:r>
      <w:bookmarkStart w:id="30" w:name="FN[FN229]"/>
      <w:bookmarkStart w:id="31" w:name="FN[FN230]"/>
      <w:bookmarkEnd w:id="30"/>
      <w:bookmarkEnd w:id="31"/>
      <w:r w:rsidR="00FC7752" w:rsidRPr="001958FD">
        <w:rPr>
          <w:color w:val="000000"/>
          <w:szCs w:val="22"/>
          <w:shd w:val="clear" w:color="auto" w:fill="FFFFFF"/>
        </w:rPr>
        <w:t>W</w:t>
      </w:r>
      <w:r w:rsidR="000B0A67" w:rsidRPr="001958FD">
        <w:rPr>
          <w:color w:val="000000"/>
          <w:szCs w:val="22"/>
          <w:shd w:val="clear" w:color="auto" w:fill="FFFFFF"/>
        </w:rPr>
        <w:t xml:space="preserve">e </w:t>
      </w:r>
      <w:r w:rsidR="00FC7752" w:rsidRPr="001958FD">
        <w:rPr>
          <w:color w:val="000000"/>
          <w:szCs w:val="22"/>
          <w:shd w:val="clear" w:color="auto" w:fill="FFFFFF"/>
        </w:rPr>
        <w:t xml:space="preserve">also </w:t>
      </w:r>
      <w:r w:rsidR="00BC0856" w:rsidRPr="001958FD">
        <w:rPr>
          <w:color w:val="000000"/>
          <w:szCs w:val="22"/>
          <w:shd w:val="clear" w:color="auto" w:fill="FFFFFF"/>
        </w:rPr>
        <w:t>acknowledge</w:t>
      </w:r>
      <w:r w:rsidR="000B0A67" w:rsidRPr="001958FD">
        <w:rPr>
          <w:color w:val="000000"/>
          <w:szCs w:val="22"/>
          <w:shd w:val="clear" w:color="auto" w:fill="FFFFFF"/>
        </w:rPr>
        <w:t xml:space="preserve"> Applicants’ statements that the merged company’s greater scale and geographic presence will enhance its ability to compete </w:t>
      </w:r>
      <w:r w:rsidR="006358CB" w:rsidRPr="001958FD">
        <w:rPr>
          <w:color w:val="000000"/>
          <w:szCs w:val="22"/>
          <w:shd w:val="clear" w:color="auto" w:fill="FFFFFF"/>
        </w:rPr>
        <w:t xml:space="preserve">more aggressively </w:t>
      </w:r>
      <w:r w:rsidR="000B0A67" w:rsidRPr="001958FD">
        <w:rPr>
          <w:color w:val="000000"/>
          <w:szCs w:val="22"/>
          <w:shd w:val="clear" w:color="auto" w:fill="FFFFFF"/>
        </w:rPr>
        <w:t>for</w:t>
      </w:r>
      <w:r w:rsidR="00596F6E">
        <w:rPr>
          <w:color w:val="000000"/>
          <w:szCs w:val="22"/>
          <w:shd w:val="clear" w:color="auto" w:fill="FFFFFF"/>
        </w:rPr>
        <w:t xml:space="preserve"> enterprise customers</w:t>
      </w:r>
      <w:r w:rsidR="00FF7BEB" w:rsidRPr="001958FD">
        <w:rPr>
          <w:color w:val="000000"/>
          <w:szCs w:val="22"/>
          <w:shd w:val="clear" w:color="auto" w:fill="FFFFFF"/>
        </w:rPr>
        <w:t>.</w:t>
      </w:r>
      <w:r w:rsidR="006358CB">
        <w:rPr>
          <w:rStyle w:val="FootnoteReference"/>
          <w:szCs w:val="22"/>
          <w:shd w:val="clear" w:color="auto" w:fill="FFFFFF"/>
        </w:rPr>
        <w:footnoteReference w:id="61"/>
      </w:r>
      <w:r w:rsidR="000B0A67" w:rsidRPr="001958FD">
        <w:rPr>
          <w:color w:val="000000"/>
          <w:szCs w:val="22"/>
          <w:shd w:val="clear" w:color="auto" w:fill="FFFFFF"/>
        </w:rPr>
        <w:t xml:space="preserve">  </w:t>
      </w:r>
      <w:bookmarkStart w:id="32" w:name="SR;3803"/>
      <w:bookmarkStart w:id="33" w:name="SR;3804"/>
      <w:bookmarkStart w:id="34" w:name="SR;3805"/>
      <w:bookmarkStart w:id="35" w:name="FN[FN231]"/>
      <w:bookmarkStart w:id="36" w:name="sp_999_23"/>
      <w:bookmarkStart w:id="37" w:name="SDU_23"/>
      <w:bookmarkStart w:id="38" w:name="sp_1511_18475"/>
      <w:bookmarkStart w:id="39" w:name="SDU_18475"/>
      <w:bookmarkStart w:id="40" w:name="citeas((Cite_as:_20_F.C.C.R._18433,_*184"/>
      <w:bookmarkStart w:id="41" w:name="FN[FN232]"/>
      <w:bookmarkStart w:id="42" w:name="FN[FN233]"/>
      <w:bookmarkStart w:id="43" w:name="FN[FN234]"/>
      <w:bookmarkEnd w:id="32"/>
      <w:bookmarkEnd w:id="33"/>
      <w:bookmarkEnd w:id="34"/>
      <w:bookmarkEnd w:id="35"/>
      <w:bookmarkEnd w:id="36"/>
      <w:bookmarkEnd w:id="37"/>
      <w:bookmarkEnd w:id="38"/>
      <w:bookmarkEnd w:id="39"/>
      <w:bookmarkEnd w:id="40"/>
      <w:bookmarkEnd w:id="41"/>
      <w:bookmarkEnd w:id="42"/>
      <w:bookmarkEnd w:id="43"/>
      <w:r w:rsidR="001101A3" w:rsidRPr="001958FD">
        <w:rPr>
          <w:color w:val="000000"/>
          <w:szCs w:val="22"/>
          <w:shd w:val="clear" w:color="auto" w:fill="FFFFFF"/>
        </w:rPr>
        <w:t>Consistent with the Commission’s prior conclusions, w</w:t>
      </w:r>
      <w:r w:rsidR="003817A1" w:rsidRPr="001958FD">
        <w:rPr>
          <w:color w:val="000000"/>
          <w:szCs w:val="22"/>
          <w:shd w:val="clear" w:color="auto" w:fill="FFFFFF"/>
        </w:rPr>
        <w:t xml:space="preserve">e find that these </w:t>
      </w:r>
      <w:r w:rsidR="00FF7BEB" w:rsidRPr="001958FD">
        <w:rPr>
          <w:color w:val="000000"/>
          <w:szCs w:val="22"/>
          <w:shd w:val="clear" w:color="auto" w:fill="FFFFFF"/>
        </w:rPr>
        <w:t xml:space="preserve">factors </w:t>
      </w:r>
      <w:r w:rsidR="003817A1" w:rsidRPr="001958FD">
        <w:rPr>
          <w:color w:val="000000"/>
          <w:szCs w:val="22"/>
          <w:shd w:val="clear" w:color="auto" w:fill="FFFFFF"/>
        </w:rPr>
        <w:t xml:space="preserve">mitigate our concerns about </w:t>
      </w:r>
      <w:r w:rsidR="00B844C0" w:rsidRPr="001958FD">
        <w:rPr>
          <w:color w:val="000000"/>
          <w:szCs w:val="22"/>
          <w:shd w:val="clear" w:color="auto" w:fill="FFFFFF"/>
        </w:rPr>
        <w:t xml:space="preserve">any </w:t>
      </w:r>
      <w:r w:rsidR="003817A1" w:rsidRPr="001958FD">
        <w:rPr>
          <w:color w:val="000000"/>
          <w:szCs w:val="22"/>
          <w:shd w:val="clear" w:color="auto" w:fill="FFFFFF"/>
        </w:rPr>
        <w:t xml:space="preserve">potential </w:t>
      </w:r>
      <w:r w:rsidR="00C65021">
        <w:rPr>
          <w:color w:val="000000"/>
          <w:szCs w:val="22"/>
          <w:shd w:val="clear" w:color="auto" w:fill="FFFFFF"/>
        </w:rPr>
        <w:t>harm</w:t>
      </w:r>
      <w:r w:rsidR="003817A1" w:rsidRPr="001958FD">
        <w:rPr>
          <w:color w:val="000000"/>
          <w:szCs w:val="22"/>
          <w:shd w:val="clear" w:color="auto" w:fill="FFFFFF"/>
        </w:rPr>
        <w:t xml:space="preserve">.  </w:t>
      </w:r>
    </w:p>
    <w:p w14:paraId="34919F73" w14:textId="77777777" w:rsidR="00FF7BEB" w:rsidRDefault="004D5EAE" w:rsidP="00C40D89">
      <w:pPr>
        <w:pStyle w:val="Heading4"/>
      </w:pPr>
      <w:r>
        <w:t>Other Issues</w:t>
      </w:r>
    </w:p>
    <w:p w14:paraId="519ED6BE" w14:textId="550F5773" w:rsidR="004D5EAE" w:rsidRDefault="00315721" w:rsidP="00FE722A">
      <w:pPr>
        <w:pStyle w:val="ParaNum"/>
      </w:pPr>
      <w:r w:rsidRPr="00B059C8">
        <w:rPr>
          <w:i/>
        </w:rPr>
        <w:t xml:space="preserve">TWT and Level 3 </w:t>
      </w:r>
      <w:r w:rsidR="004D5EAE">
        <w:rPr>
          <w:i/>
        </w:rPr>
        <w:t>Business P</w:t>
      </w:r>
      <w:r w:rsidRPr="00B059C8">
        <w:rPr>
          <w:i/>
        </w:rPr>
        <w:t>ractices.</w:t>
      </w:r>
      <w:r>
        <w:t xml:space="preserve">  </w:t>
      </w:r>
      <w:r w:rsidR="006F13FC">
        <w:t xml:space="preserve">In comments filed in response to the Public Notice, </w:t>
      </w:r>
      <w:r w:rsidRPr="007601A4">
        <w:t>Proximiti, a Level 3 customer, states that it has experienced service outages in violation of its</w:t>
      </w:r>
      <w:r>
        <w:t xml:space="preserve"> </w:t>
      </w:r>
      <w:r w:rsidR="006358CB">
        <w:t xml:space="preserve">service </w:t>
      </w:r>
      <w:r>
        <w:t>agreement with Level 3 and argue</w:t>
      </w:r>
      <w:r w:rsidR="00A727D5">
        <w:t>s</w:t>
      </w:r>
      <w:r>
        <w:t xml:space="preserve"> that</w:t>
      </w:r>
      <w:r w:rsidRPr="007601A4">
        <w:t xml:space="preserve"> the Commission should suspend consideration of the proposed transaction until Level 3 can show substantial service improvement over a prolonged period of time.</w:t>
      </w:r>
      <w:r w:rsidR="00E43889">
        <w:rPr>
          <w:rStyle w:val="FootnoteReference"/>
        </w:rPr>
        <w:footnoteReference w:id="62"/>
      </w:r>
      <w:r>
        <w:t xml:space="preserve">  CenturyLink and FairPoint request that the Commission direct Level 3 to stop </w:t>
      </w:r>
      <w:r w:rsidR="006358CB">
        <w:t xml:space="preserve">its practice of </w:t>
      </w:r>
      <w:r>
        <w:t>unreasonably withholding disputed payments for wholesale telecom services.</w:t>
      </w:r>
      <w:r w:rsidR="00AC58E4">
        <w:rPr>
          <w:rStyle w:val="FootnoteReference"/>
        </w:rPr>
        <w:footnoteReference w:id="63"/>
      </w:r>
      <w:r>
        <w:t xml:space="preserve">  FSF, a TWT customer, states that it filed an informal complaint ag</w:t>
      </w:r>
      <w:r w:rsidR="00A727D5">
        <w:t xml:space="preserve">ainst TWT with the </w:t>
      </w:r>
      <w:r w:rsidR="002309E0">
        <w:t xml:space="preserve">Commission’s </w:t>
      </w:r>
      <w:r w:rsidR="00A727D5">
        <w:t>Enforcement</w:t>
      </w:r>
      <w:r>
        <w:t xml:space="preserve"> Bureau that it will soon convert to a </w:t>
      </w:r>
      <w:r w:rsidRPr="00BA464B">
        <w:t>formal complaint</w:t>
      </w:r>
      <w:r w:rsidR="002309E0">
        <w:t xml:space="preserve"> under section 208 of the Act</w:t>
      </w:r>
      <w:r w:rsidRPr="00BA464B">
        <w:t>,</w:t>
      </w:r>
      <w:r w:rsidR="00A727D5" w:rsidRPr="00BA464B">
        <w:rPr>
          <w:rStyle w:val="FootnoteReference"/>
        </w:rPr>
        <w:footnoteReference w:id="64"/>
      </w:r>
      <w:r>
        <w:t xml:space="preserve"> arguing that TWT has engaged in illegal practices regarding </w:t>
      </w:r>
      <w:r w:rsidR="00AC0DA9">
        <w:t xml:space="preserve">toll fraud and </w:t>
      </w:r>
      <w:r>
        <w:t>its customers’ ability to block international calls</w:t>
      </w:r>
      <w:r w:rsidR="00C6595C">
        <w:t>.</w:t>
      </w:r>
      <w:r w:rsidR="00C6595C">
        <w:rPr>
          <w:rStyle w:val="FootnoteReference"/>
        </w:rPr>
        <w:footnoteReference w:id="65"/>
      </w:r>
      <w:r w:rsidR="00C6595C">
        <w:t xml:space="preserve">  It states that TWT </w:t>
      </w:r>
      <w:r>
        <w:t>does not have the character qualifications to hold its current authorizations and should not be permitted to transfer those assets.</w:t>
      </w:r>
      <w:r w:rsidR="00E43889">
        <w:rPr>
          <w:rStyle w:val="FootnoteReference"/>
        </w:rPr>
        <w:footnoteReference w:id="66"/>
      </w:r>
      <w:r>
        <w:t xml:space="preserve">  </w:t>
      </w:r>
      <w:r w:rsidR="00E43889">
        <w:t>FSF argues</w:t>
      </w:r>
      <w:r>
        <w:t xml:space="preserve"> that the Commission should deny the transaction or, at a minimum, condition a grant on TWT reforming its operating practices and recompensing parties harmed by its violation of customer agreements.</w:t>
      </w:r>
      <w:r w:rsidR="00095A4B">
        <w:rPr>
          <w:rStyle w:val="FootnoteReference"/>
        </w:rPr>
        <w:footnoteReference w:id="67"/>
      </w:r>
      <w:r>
        <w:t xml:space="preserve">  </w:t>
      </w:r>
    </w:p>
    <w:p w14:paraId="55A11A4D" w14:textId="376C8C50" w:rsidR="00315721" w:rsidRPr="00095A4B" w:rsidRDefault="0065611B" w:rsidP="00FE722A">
      <w:pPr>
        <w:pStyle w:val="ParaNum"/>
      </w:pPr>
      <w:r w:rsidRPr="0065611B">
        <w:t>As the Commission has repeatedly held, we will generally not impose conditions to remedy pre-existing harms or harms that are unrelated to the transaction at issue.</w:t>
      </w:r>
      <w:r w:rsidRPr="0065611B">
        <w:rPr>
          <w:vertAlign w:val="superscript"/>
        </w:rPr>
        <w:footnoteReference w:id="68"/>
      </w:r>
      <w:r>
        <w:t xml:space="preserve">  </w:t>
      </w:r>
      <w:r w:rsidR="004D5EAE" w:rsidRPr="00C6595C">
        <w:t xml:space="preserve">We </w:t>
      </w:r>
      <w:r>
        <w:t xml:space="preserve">find </w:t>
      </w:r>
      <w:r w:rsidR="004D5EAE" w:rsidRPr="00C6595C">
        <w:t>that</w:t>
      </w:r>
      <w:r w:rsidR="004D5EAE">
        <w:rPr>
          <w:i/>
        </w:rPr>
        <w:t xml:space="preserve"> </w:t>
      </w:r>
      <w:r w:rsidR="00315721">
        <w:rPr>
          <w:bCs/>
          <w:snapToGrid/>
          <w:color w:val="000000"/>
          <w:kern w:val="0"/>
          <w:szCs w:val="22"/>
        </w:rPr>
        <w:t>CenturyLink’s and FairP</w:t>
      </w:r>
      <w:r w:rsidR="0080660D">
        <w:rPr>
          <w:bCs/>
          <w:snapToGrid/>
          <w:color w:val="000000"/>
          <w:kern w:val="0"/>
          <w:szCs w:val="22"/>
        </w:rPr>
        <w:t>oint’s arguments regarding</w:t>
      </w:r>
      <w:r w:rsidR="00315721" w:rsidRPr="00B059C8">
        <w:rPr>
          <w:bCs/>
          <w:snapToGrid/>
          <w:color w:val="000000"/>
          <w:kern w:val="0"/>
          <w:szCs w:val="22"/>
        </w:rPr>
        <w:t xml:space="preserve"> disputed payments, </w:t>
      </w:r>
      <w:r w:rsidR="00C6595C">
        <w:rPr>
          <w:bCs/>
          <w:snapToGrid/>
          <w:color w:val="000000"/>
          <w:kern w:val="0"/>
          <w:szCs w:val="22"/>
        </w:rPr>
        <w:t xml:space="preserve">FSF’s asserted arguments and remedies </w:t>
      </w:r>
      <w:r w:rsidR="00315721" w:rsidRPr="00B059C8">
        <w:rPr>
          <w:bCs/>
          <w:snapToGrid/>
          <w:color w:val="000000"/>
          <w:kern w:val="0"/>
          <w:szCs w:val="22"/>
        </w:rPr>
        <w:t xml:space="preserve">for </w:t>
      </w:r>
      <w:r w:rsidR="00C6595C">
        <w:rPr>
          <w:bCs/>
          <w:snapToGrid/>
          <w:color w:val="000000"/>
          <w:kern w:val="0"/>
          <w:szCs w:val="22"/>
        </w:rPr>
        <w:t>its</w:t>
      </w:r>
      <w:r w:rsidR="00315721" w:rsidRPr="00B059C8">
        <w:rPr>
          <w:bCs/>
          <w:snapToGrid/>
          <w:color w:val="000000"/>
          <w:kern w:val="0"/>
          <w:szCs w:val="22"/>
        </w:rPr>
        <w:t xml:space="preserve"> toll fraud issue, and Proximiti’s pre-existing quality of service dispute are unrelated to the proposed transaction,</w:t>
      </w:r>
      <w:r w:rsidR="00315721" w:rsidRPr="00B059C8">
        <w:rPr>
          <w:szCs w:val="22"/>
        </w:rPr>
        <w:t xml:space="preserve"> are based on argument</w:t>
      </w:r>
      <w:r w:rsidR="00315721">
        <w:rPr>
          <w:szCs w:val="22"/>
        </w:rPr>
        <w:t>s about prior conduct</w:t>
      </w:r>
      <w:r w:rsidR="00EC60D2">
        <w:rPr>
          <w:szCs w:val="22"/>
        </w:rPr>
        <w:t>,</w:t>
      </w:r>
      <w:r w:rsidR="00315721" w:rsidRPr="00B059C8">
        <w:rPr>
          <w:szCs w:val="22"/>
        </w:rPr>
        <w:t xml:space="preserve"> </w:t>
      </w:r>
      <w:r w:rsidR="00F14851">
        <w:rPr>
          <w:szCs w:val="22"/>
        </w:rPr>
        <w:t xml:space="preserve">do not rise to the level of calling Applicants’ character into question, </w:t>
      </w:r>
      <w:r w:rsidR="00315721" w:rsidRPr="00B059C8">
        <w:rPr>
          <w:szCs w:val="22"/>
        </w:rPr>
        <w:t>and are more appropriately resolved through contractual provisions between the parties or through the Commission’s complaint process under section 208 of the Act.</w:t>
      </w:r>
      <w:r w:rsidR="009546FA">
        <w:rPr>
          <w:rStyle w:val="FootnoteReference"/>
          <w:szCs w:val="22"/>
        </w:rPr>
        <w:footnoteReference w:id="69"/>
      </w:r>
      <w:r w:rsidR="00315721" w:rsidRPr="00B059C8">
        <w:rPr>
          <w:szCs w:val="22"/>
        </w:rPr>
        <w:t xml:space="preserve">  </w:t>
      </w:r>
    </w:p>
    <w:p w14:paraId="78441413" w14:textId="73704245" w:rsidR="00556AA5" w:rsidRDefault="006358CB" w:rsidP="00FE722A">
      <w:pPr>
        <w:pStyle w:val="ParaNum"/>
        <w:rPr>
          <w:bCs/>
        </w:rPr>
      </w:pPr>
      <w:r>
        <w:rPr>
          <w:bCs/>
          <w:i/>
        </w:rPr>
        <w:t>Access to Level 3 Conduit</w:t>
      </w:r>
      <w:r>
        <w:rPr>
          <w:bCs/>
        </w:rPr>
        <w:t xml:space="preserve">: </w:t>
      </w:r>
      <w:r>
        <w:rPr>
          <w:bCs/>
          <w:i/>
        </w:rPr>
        <w:t xml:space="preserve"> </w:t>
      </w:r>
      <w:r w:rsidR="00095A4B" w:rsidRPr="00095A4B">
        <w:rPr>
          <w:bCs/>
        </w:rPr>
        <w:t xml:space="preserve">CenturyLink argues that the merged Level 3/TWT may control a larger share of the Ethernet </w:t>
      </w:r>
      <w:r w:rsidR="003D1ECD">
        <w:rPr>
          <w:bCs/>
        </w:rPr>
        <w:t xml:space="preserve">services </w:t>
      </w:r>
      <w:r w:rsidR="00095A4B" w:rsidRPr="00095A4B">
        <w:rPr>
          <w:bCs/>
        </w:rPr>
        <w:t>market than Centu</w:t>
      </w:r>
      <w:r w:rsidR="007950B8">
        <w:rPr>
          <w:bCs/>
        </w:rPr>
        <w:t xml:space="preserve">ryLink, and that, overall, the incumbent </w:t>
      </w:r>
      <w:r w:rsidR="00095A4B" w:rsidRPr="00095A4B">
        <w:rPr>
          <w:bCs/>
        </w:rPr>
        <w:t>LECs are no longer monopoly providers</w:t>
      </w:r>
      <w:r w:rsidR="003D1ECD">
        <w:rPr>
          <w:bCs/>
        </w:rPr>
        <w:t xml:space="preserve"> </w:t>
      </w:r>
      <w:r w:rsidR="002456CE">
        <w:rPr>
          <w:bCs/>
        </w:rPr>
        <w:t xml:space="preserve">for enterprise services </w:t>
      </w:r>
      <w:r w:rsidR="003D1ECD">
        <w:rPr>
          <w:bCs/>
        </w:rPr>
        <w:t>and should have access to the facilities of competitive LECs</w:t>
      </w:r>
      <w:r w:rsidR="002309E0">
        <w:rPr>
          <w:bCs/>
        </w:rPr>
        <w:t xml:space="preserve"> in order to </w:t>
      </w:r>
      <w:r w:rsidR="002456CE">
        <w:rPr>
          <w:bCs/>
        </w:rPr>
        <w:t>compete for</w:t>
      </w:r>
      <w:r w:rsidR="002309E0">
        <w:rPr>
          <w:bCs/>
        </w:rPr>
        <w:t xml:space="preserve"> customers</w:t>
      </w:r>
      <w:r w:rsidR="00095A4B" w:rsidRPr="00095A4B">
        <w:rPr>
          <w:bCs/>
        </w:rPr>
        <w:t>.</w:t>
      </w:r>
      <w:r w:rsidR="007950B8">
        <w:rPr>
          <w:rStyle w:val="FootnoteReference"/>
          <w:bCs/>
        </w:rPr>
        <w:footnoteReference w:id="70"/>
      </w:r>
      <w:r w:rsidR="00095A4B" w:rsidRPr="00095A4B">
        <w:rPr>
          <w:bCs/>
        </w:rPr>
        <w:t xml:space="preserve">  CenturyLink argues that Level 3 should have a post-merger duty to provide Cen</w:t>
      </w:r>
      <w:r w:rsidR="007950B8">
        <w:rPr>
          <w:bCs/>
        </w:rPr>
        <w:t xml:space="preserve">turyLink and other incumbent </w:t>
      </w:r>
      <w:r w:rsidR="00095A4B" w:rsidRPr="00095A4B">
        <w:rPr>
          <w:bCs/>
        </w:rPr>
        <w:t>LECs with access to entrance conduit at Level 3’s on-net buildin</w:t>
      </w:r>
      <w:r w:rsidR="007950B8">
        <w:rPr>
          <w:bCs/>
        </w:rPr>
        <w:t xml:space="preserve">gs in the same manner that the incumbent </w:t>
      </w:r>
      <w:r w:rsidR="00095A4B" w:rsidRPr="00095A4B">
        <w:rPr>
          <w:bCs/>
        </w:rPr>
        <w:t>LECs are required to provide access to their facilities under section 251(b)(4) of the Act.</w:t>
      </w:r>
      <w:r w:rsidR="007950B8">
        <w:rPr>
          <w:rStyle w:val="FootnoteReference"/>
          <w:bCs/>
        </w:rPr>
        <w:footnoteReference w:id="71"/>
      </w:r>
      <w:r w:rsidR="00095A4B" w:rsidRPr="00095A4B">
        <w:rPr>
          <w:bCs/>
        </w:rPr>
        <w:t xml:space="preserve">  It also argues that Level 3’s strengthened competitive ability makes it critical for the Commission to quickly grant CenturyLink’s pending forbearance petition regarding dominant carrier regulation for enterprise services.</w:t>
      </w:r>
      <w:r w:rsidR="00B556B0">
        <w:rPr>
          <w:rStyle w:val="FootnoteReference"/>
          <w:bCs/>
        </w:rPr>
        <w:footnoteReference w:id="72"/>
      </w:r>
      <w:r w:rsidR="00095A4B">
        <w:rPr>
          <w:bCs/>
        </w:rPr>
        <w:t xml:space="preserve"> </w:t>
      </w:r>
    </w:p>
    <w:p w14:paraId="207AEFAA" w14:textId="170A68F0" w:rsidR="00095A4B" w:rsidRDefault="007950B8" w:rsidP="00FE722A">
      <w:pPr>
        <w:pStyle w:val="ParaNum"/>
        <w:rPr>
          <w:bCs/>
        </w:rPr>
      </w:pPr>
      <w:r>
        <w:rPr>
          <w:bCs/>
        </w:rPr>
        <w:t>I</w:t>
      </w:r>
      <w:r w:rsidR="00095A4B" w:rsidRPr="00095A4B">
        <w:rPr>
          <w:bCs/>
        </w:rPr>
        <w:t xml:space="preserve">n the </w:t>
      </w:r>
      <w:r w:rsidR="00095A4B" w:rsidRPr="00095A4B">
        <w:rPr>
          <w:bCs/>
          <w:i/>
        </w:rPr>
        <w:t>Local Competition Order</w:t>
      </w:r>
      <w:r w:rsidR="00095A4B" w:rsidRPr="00095A4B">
        <w:rPr>
          <w:bCs/>
        </w:rPr>
        <w:t>, the Commission stated that section 251(b)(4) of the Act, which obligates a LEC to afford access to rights-of-way “on rates, terms, and conditions that are consistent wi</w:t>
      </w:r>
      <w:r w:rsidR="009546FA">
        <w:rPr>
          <w:bCs/>
        </w:rPr>
        <w:t xml:space="preserve">th section 224” does not grant incumbent </w:t>
      </w:r>
      <w:r w:rsidR="00095A4B" w:rsidRPr="00095A4B">
        <w:rPr>
          <w:bCs/>
        </w:rPr>
        <w:t>LECs the reciprocal right to gain</w:t>
      </w:r>
      <w:r w:rsidR="009546FA">
        <w:rPr>
          <w:bCs/>
        </w:rPr>
        <w:t xml:space="preserve"> access to the facilities of a competitive </w:t>
      </w:r>
      <w:r w:rsidR="00095A4B" w:rsidRPr="00095A4B">
        <w:rPr>
          <w:bCs/>
        </w:rPr>
        <w:t>LEC.</w:t>
      </w:r>
      <w:r w:rsidR="00095A4B" w:rsidRPr="00095A4B">
        <w:rPr>
          <w:bCs/>
          <w:vertAlign w:val="superscript"/>
        </w:rPr>
        <w:footnoteReference w:id="73"/>
      </w:r>
      <w:r w:rsidR="00095A4B" w:rsidRPr="00095A4B">
        <w:rPr>
          <w:bCs/>
        </w:rPr>
        <w:t xml:space="preserve">  Consistent with Commission precedent, Cen</w:t>
      </w:r>
      <w:r w:rsidR="00306EB3">
        <w:rPr>
          <w:bCs/>
        </w:rPr>
        <w:t>t</w:t>
      </w:r>
      <w:r w:rsidR="00095A4B" w:rsidRPr="00095A4B">
        <w:rPr>
          <w:bCs/>
        </w:rPr>
        <w:t xml:space="preserve">uryLink’s request to revisit this determination is an industry-wide issue better addressed in a </w:t>
      </w:r>
      <w:r w:rsidR="0035686A">
        <w:rPr>
          <w:bCs/>
        </w:rPr>
        <w:t>separate</w:t>
      </w:r>
      <w:r w:rsidR="00095A4B" w:rsidRPr="00095A4B">
        <w:rPr>
          <w:bCs/>
        </w:rPr>
        <w:t xml:space="preserve"> proceeding.</w:t>
      </w:r>
      <w:r w:rsidR="00095A4B" w:rsidRPr="00095A4B">
        <w:rPr>
          <w:bCs/>
          <w:vertAlign w:val="superscript"/>
        </w:rPr>
        <w:footnoteReference w:id="74"/>
      </w:r>
      <w:r w:rsidR="00095A4B" w:rsidRPr="00095A4B">
        <w:rPr>
          <w:bCs/>
        </w:rPr>
        <w:t xml:space="preserve">  Further, the Commission is actively undertaking a review of CenturyLink’s pending forbearance petition and</w:t>
      </w:r>
      <w:r w:rsidR="00EC60D2">
        <w:rPr>
          <w:bCs/>
        </w:rPr>
        <w:t xml:space="preserve"> that review is separate and distinct from the application</w:t>
      </w:r>
      <w:r w:rsidR="0052201C">
        <w:rPr>
          <w:bCs/>
        </w:rPr>
        <w:t>s</w:t>
      </w:r>
      <w:r w:rsidR="00095A4B" w:rsidRPr="00095A4B">
        <w:rPr>
          <w:bCs/>
        </w:rPr>
        <w:t xml:space="preserve"> </w:t>
      </w:r>
      <w:r w:rsidR="00EC60D2">
        <w:rPr>
          <w:bCs/>
        </w:rPr>
        <w:t>we are addressing in this order</w:t>
      </w:r>
      <w:r w:rsidR="00095A4B" w:rsidRPr="00095A4B">
        <w:rPr>
          <w:bCs/>
        </w:rPr>
        <w:t>.</w:t>
      </w:r>
      <w:r w:rsidR="00095A4B" w:rsidRPr="00095A4B">
        <w:rPr>
          <w:bCs/>
          <w:vertAlign w:val="superscript"/>
        </w:rPr>
        <w:footnoteReference w:id="75"/>
      </w:r>
      <w:r w:rsidR="00095A4B" w:rsidRPr="00095A4B">
        <w:rPr>
          <w:bCs/>
        </w:rPr>
        <w:t xml:space="preserve"> </w:t>
      </w:r>
      <w:r w:rsidR="00EC60D2">
        <w:rPr>
          <w:bCs/>
        </w:rPr>
        <w:t xml:space="preserve"> T</w:t>
      </w:r>
      <w:r w:rsidR="00095A4B" w:rsidRPr="00095A4B">
        <w:rPr>
          <w:bCs/>
        </w:rPr>
        <w:t>herefore</w:t>
      </w:r>
      <w:r w:rsidR="00EC60D2">
        <w:rPr>
          <w:bCs/>
        </w:rPr>
        <w:t>,</w:t>
      </w:r>
      <w:r w:rsidR="00AC6B3E">
        <w:rPr>
          <w:bCs/>
        </w:rPr>
        <w:t xml:space="preserve"> </w:t>
      </w:r>
      <w:r w:rsidR="00EC60D2">
        <w:rPr>
          <w:bCs/>
        </w:rPr>
        <w:t>these issues are</w:t>
      </w:r>
      <w:r w:rsidR="00095A4B" w:rsidRPr="00095A4B">
        <w:rPr>
          <w:bCs/>
        </w:rPr>
        <w:t xml:space="preserve"> not appropriate </w:t>
      </w:r>
      <w:r w:rsidR="00EC60D2">
        <w:rPr>
          <w:bCs/>
        </w:rPr>
        <w:t xml:space="preserve">for review as part of this </w:t>
      </w:r>
      <w:r w:rsidR="00095A4B" w:rsidRPr="00095A4B">
        <w:rPr>
          <w:bCs/>
        </w:rPr>
        <w:t>transaction.</w:t>
      </w:r>
    </w:p>
    <w:p w14:paraId="4E97115B" w14:textId="77777777" w:rsidR="0008712D" w:rsidRPr="0008712D" w:rsidRDefault="0008712D" w:rsidP="0008712D">
      <w:pPr>
        <w:pStyle w:val="ParaNum"/>
        <w:numPr>
          <w:ilvl w:val="1"/>
          <w:numId w:val="3"/>
        </w:numPr>
        <w:rPr>
          <w:b/>
        </w:rPr>
      </w:pPr>
      <w:r w:rsidRPr="0008712D">
        <w:rPr>
          <w:b/>
        </w:rPr>
        <w:t>Reclassification of Level 3 International Carriers on the U.S.-Singapore Route</w:t>
      </w:r>
    </w:p>
    <w:p w14:paraId="564EEBF2" w14:textId="290A3E0A" w:rsidR="00BD7E63" w:rsidRDefault="00556AA5" w:rsidP="00BD7E63">
      <w:pPr>
        <w:pStyle w:val="ParaNum"/>
      </w:pPr>
      <w:r>
        <w:t>At the same time that the Applicants filed their Applicati</w:t>
      </w:r>
      <w:r w:rsidR="006C7DA2">
        <w:t>o</w:t>
      </w:r>
      <w:r>
        <w:t>ns, f</w:t>
      </w:r>
      <w:r w:rsidR="0008712D" w:rsidRPr="0008712D">
        <w:t xml:space="preserve">our subsidiaries of Level 3 – Level 3 Communications, LLC, Level 3 International, Inc., Global Crossing Americas Solutions, Inc., and Global Crossing North America, Inc. (Level 3 International Carriers) – filed </w:t>
      </w:r>
      <w:r w:rsidR="0008712D" w:rsidRPr="001E7D55">
        <w:rPr>
          <w:bCs/>
        </w:rPr>
        <w:t>petitions</w:t>
      </w:r>
      <w:r w:rsidR="0008712D" w:rsidRPr="0008712D">
        <w:t xml:space="preserve"> pursuant to section 63.13 of the Commission’s rules,</w:t>
      </w:r>
      <w:r w:rsidR="0008712D" w:rsidRPr="0008712D">
        <w:rPr>
          <w:vertAlign w:val="superscript"/>
        </w:rPr>
        <w:footnoteReference w:id="76"/>
      </w:r>
      <w:r w:rsidR="0008712D" w:rsidRPr="0008712D">
        <w:t xml:space="preserve"> requesting that they be reclassified as non-</w:t>
      </w:r>
      <w:r w:rsidR="0008712D" w:rsidRPr="001E7D55">
        <w:rPr>
          <w:bCs/>
        </w:rPr>
        <w:t>dominant</w:t>
      </w:r>
      <w:r w:rsidR="0008712D" w:rsidRPr="0008712D">
        <w:t xml:space="preserve"> carriers on the U.S.-Singapore route.</w:t>
      </w:r>
      <w:r w:rsidR="0008712D" w:rsidRPr="0008712D">
        <w:rPr>
          <w:vertAlign w:val="superscript"/>
        </w:rPr>
        <w:t xml:space="preserve"> </w:t>
      </w:r>
      <w:r w:rsidR="0008712D" w:rsidRPr="0008712D">
        <w:rPr>
          <w:vertAlign w:val="superscript"/>
        </w:rPr>
        <w:footnoteReference w:id="77"/>
      </w:r>
      <w:r w:rsidR="0008712D" w:rsidRPr="0008712D">
        <w:t xml:space="preserve">  The Level 3 International Carriers are classified as dominant on the U.S.-Singapore route under section 63.10 of the Commission’s rules</w:t>
      </w:r>
      <w:r w:rsidR="0008712D" w:rsidRPr="0008712D">
        <w:rPr>
          <w:vertAlign w:val="superscript"/>
        </w:rPr>
        <w:footnoteReference w:id="78"/>
      </w:r>
      <w:r w:rsidR="0008712D" w:rsidRPr="0008712D">
        <w:t xml:space="preserve"> due to their affiliation with Singapore Telecommunications LTD (SingTel), a foreign carrier presumed to have market power in Singapore,</w:t>
      </w:r>
      <w:r w:rsidR="0008712D" w:rsidRPr="0008712D">
        <w:rPr>
          <w:vertAlign w:val="superscript"/>
        </w:rPr>
        <w:footnoteReference w:id="79"/>
      </w:r>
      <w:r w:rsidR="0008712D" w:rsidRPr="0008712D">
        <w:t xml:space="preserve"> </w:t>
      </w:r>
      <w:r w:rsidR="0035686A">
        <w:t xml:space="preserve">and </w:t>
      </w:r>
      <w:r w:rsidR="0008712D" w:rsidRPr="0008712D">
        <w:t>through Temasek, which holds an indirect, controlling interest in SingTel.</w:t>
      </w:r>
      <w:r w:rsidR="0008712D" w:rsidRPr="0008712D">
        <w:rPr>
          <w:vertAlign w:val="superscript"/>
        </w:rPr>
        <w:footnoteReference w:id="80"/>
      </w:r>
      <w:r w:rsidR="0008712D" w:rsidRPr="0008712D">
        <w:t xml:space="preserve">  According to Applicants, upon consummation of the proposed merger with TWT Parent, Temasek’s indirect interest in Level 3 and the Level 3 International Carriers will decrease to approximately 16.3 percent,</w:t>
      </w:r>
      <w:r w:rsidR="0008712D" w:rsidRPr="0008712D">
        <w:rPr>
          <w:vertAlign w:val="superscript"/>
        </w:rPr>
        <w:footnoteReference w:id="81"/>
      </w:r>
      <w:r w:rsidR="0008712D" w:rsidRPr="0008712D">
        <w:t xml:space="preserve"> below the Commission’s threshold for affiliation.</w:t>
      </w:r>
      <w:r w:rsidR="0008712D" w:rsidRPr="0008712D">
        <w:rPr>
          <w:vertAlign w:val="superscript"/>
        </w:rPr>
        <w:footnoteReference w:id="82"/>
      </w:r>
      <w:r w:rsidR="0008712D" w:rsidRPr="0008712D">
        <w:t xml:space="preserve">  The Level 3 International Carriers thus request that the Commission reclassify them as non-dominant on the U.S-Singapore route effective upon consummation of the proposed merger.</w:t>
      </w:r>
      <w:r w:rsidR="0008712D" w:rsidRPr="0008712D">
        <w:rPr>
          <w:vertAlign w:val="superscript"/>
        </w:rPr>
        <w:footnoteReference w:id="83"/>
      </w:r>
      <w:r w:rsidR="0008712D" w:rsidRPr="0008712D">
        <w:t xml:space="preserve">  No commenter addressed this request. </w:t>
      </w:r>
    </w:p>
    <w:p w14:paraId="02583CFB" w14:textId="2CBE87C5" w:rsidR="0008712D" w:rsidRPr="006C7DA2" w:rsidRDefault="0008712D" w:rsidP="00BD7E63">
      <w:pPr>
        <w:pStyle w:val="ParaNum"/>
      </w:pPr>
      <w:r w:rsidRPr="0008712D">
        <w:t>Under our rules applicable to U.S.-international common carriers, a carrier is affiliated with a foreign carrier “if one of them, or an entity that controls one of them, directly or indirectly owns more than 25 percent of the capital stock of, or controls, the other one.”</w:t>
      </w:r>
      <w:r w:rsidRPr="00BD7E63">
        <w:rPr>
          <w:vertAlign w:val="superscript"/>
        </w:rPr>
        <w:t xml:space="preserve"> </w:t>
      </w:r>
      <w:r w:rsidRPr="0008712D">
        <w:rPr>
          <w:vertAlign w:val="superscript"/>
        </w:rPr>
        <w:footnoteReference w:id="84"/>
      </w:r>
      <w:r w:rsidRPr="0008712D">
        <w:t xml:space="preserve">  According to the Applicants, upon consummation of the proposed </w:t>
      </w:r>
      <w:r w:rsidRPr="00BD7E63">
        <w:rPr>
          <w:bCs/>
        </w:rPr>
        <w:t>merger</w:t>
      </w:r>
      <w:r w:rsidR="0035686A" w:rsidRPr="00BD7E63">
        <w:rPr>
          <w:bCs/>
        </w:rPr>
        <w:t>,</w:t>
      </w:r>
      <w:r w:rsidRPr="0008712D">
        <w:t xml:space="preserve"> Temasek’s ownership interest in Level 3 will decrease to 16.3 percent due to Level 3’s issuance of common stock as part of the merger.</w:t>
      </w:r>
      <w:r w:rsidRPr="0008712D">
        <w:rPr>
          <w:vertAlign w:val="superscript"/>
        </w:rPr>
        <w:footnoteReference w:id="85"/>
      </w:r>
      <w:r w:rsidRPr="0008712D">
        <w:t xml:space="preserve">  When Temasek’s ownership interest in Level 3 falls below 25 percent, Level 3 will no longer be affiliated with SingTel under our rules.  We thus grant the request of the Level 3 International carriers to be reclassified as non-dominant on the U.S.-Singapore route upon consummation of the proposed merger.  We note, however, that should Temasek’s ownership interest in Level 3 exceed 25 percent, the Level 3 International Carriers are required to notify the Commission.</w:t>
      </w:r>
      <w:r w:rsidRPr="0008712D">
        <w:rPr>
          <w:vertAlign w:val="superscript"/>
        </w:rPr>
        <w:footnoteReference w:id="86"/>
      </w:r>
    </w:p>
    <w:p w14:paraId="0E28086F" w14:textId="77777777" w:rsidR="0008712D" w:rsidRPr="0008712D" w:rsidRDefault="0008712D" w:rsidP="0008712D">
      <w:pPr>
        <w:pStyle w:val="ParaNum"/>
        <w:numPr>
          <w:ilvl w:val="1"/>
          <w:numId w:val="3"/>
        </w:numPr>
        <w:rPr>
          <w:b/>
        </w:rPr>
      </w:pPr>
      <w:r w:rsidRPr="0008712D">
        <w:rPr>
          <w:b/>
        </w:rPr>
        <w:t>National Security, Law Enforcement, Foreign Policy, and Trade Concerns</w:t>
      </w:r>
    </w:p>
    <w:p w14:paraId="30D833FD" w14:textId="330B2826" w:rsidR="0008712D" w:rsidRPr="0008712D" w:rsidRDefault="0008712D" w:rsidP="0008712D">
      <w:pPr>
        <w:pStyle w:val="ParaNum"/>
      </w:pPr>
      <w:r w:rsidRPr="0008712D">
        <w:t xml:space="preserve">When analyzing a transfer of control or assignment application </w:t>
      </w:r>
      <w:r w:rsidR="00706164">
        <w:t>that involve</w:t>
      </w:r>
      <w:r w:rsidR="000722F2">
        <w:t xml:space="preserve">s </w:t>
      </w:r>
      <w:r w:rsidR="00706164">
        <w:t>foreign ownership</w:t>
      </w:r>
      <w:r w:rsidRPr="0008712D">
        <w:t>, we also consider any national security, law enforcement, foreign policy, or trade policy concerns raised by the Executive Branch.</w:t>
      </w:r>
      <w:bookmarkStart w:id="45" w:name="FN[FN182]"/>
      <w:bookmarkEnd w:id="45"/>
      <w:r w:rsidRPr="0008712D">
        <w:rPr>
          <w:vertAlign w:val="superscript"/>
        </w:rPr>
        <w:footnoteReference w:id="87"/>
      </w:r>
      <w:r w:rsidRPr="0008712D">
        <w:t xml:space="preserve">  </w:t>
      </w:r>
      <w:r w:rsidR="008A6740">
        <w:t xml:space="preserve">Applicants note that Level 3 </w:t>
      </w:r>
      <w:r w:rsidR="00CF5AE9">
        <w:t>entered into an agreement with the Executive Branch Agencies on September 26, 2011 regarding national security, law enforcement</w:t>
      </w:r>
      <w:r w:rsidR="007C76AF">
        <w:t>,</w:t>
      </w:r>
      <w:r w:rsidR="00CF5AE9">
        <w:t xml:space="preserve"> and public safety issues </w:t>
      </w:r>
      <w:r w:rsidR="00184A7D">
        <w:t xml:space="preserve">(September 26, 2011 Agreement) </w:t>
      </w:r>
      <w:r w:rsidR="00CF5AE9">
        <w:t xml:space="preserve">and </w:t>
      </w:r>
      <w:r w:rsidR="00C65021">
        <w:t xml:space="preserve">that the Commission </w:t>
      </w:r>
      <w:r w:rsidR="00CF5AE9">
        <w:t>conditioned grant of Level 3’s applications to acquire Global Crossing Ltd. on compliance with the agreement.</w:t>
      </w:r>
      <w:r w:rsidR="00CF5AE9">
        <w:rPr>
          <w:rStyle w:val="FootnoteReference"/>
        </w:rPr>
        <w:footnoteReference w:id="88"/>
      </w:r>
      <w:r w:rsidR="00184A7D">
        <w:t xml:space="preserve">  Applicants </w:t>
      </w:r>
      <w:r w:rsidR="00796B67">
        <w:t xml:space="preserve">state that Level 3 commits to extend the commitments it made in the September 26, 2011 Agreement to TWT and </w:t>
      </w:r>
      <w:r w:rsidR="00184A7D">
        <w:t>request that the Commission condition grant of the pending applications on L</w:t>
      </w:r>
      <w:r w:rsidR="00BB7558">
        <w:t>evel 3’s continued compliance with</w:t>
      </w:r>
      <w:r w:rsidR="00184A7D">
        <w:t xml:space="preserve"> the September 26, 2011 Agreement.</w:t>
      </w:r>
      <w:r w:rsidR="00184A7D">
        <w:rPr>
          <w:rStyle w:val="FootnoteReference"/>
        </w:rPr>
        <w:footnoteReference w:id="89"/>
      </w:r>
      <w:r w:rsidR="00184A7D">
        <w:t xml:space="preserve">  </w:t>
      </w:r>
      <w:r w:rsidRPr="0008712D">
        <w:t xml:space="preserve">On October </w:t>
      </w:r>
      <w:r w:rsidR="00796B67">
        <w:t>22</w:t>
      </w:r>
      <w:r w:rsidRPr="0008712D">
        <w:t>, 201</w:t>
      </w:r>
      <w:r w:rsidR="00556AA5">
        <w:t>4,</w:t>
      </w:r>
      <w:r w:rsidRPr="0008712D">
        <w:t xml:space="preserve"> the </w:t>
      </w:r>
      <w:r w:rsidR="00796B67">
        <w:t>Executive Branch Agencies filed a letter stating that</w:t>
      </w:r>
      <w:r w:rsidR="007C76AF">
        <w:t>,</w:t>
      </w:r>
      <w:r w:rsidR="00796B67">
        <w:t xml:space="preserve"> based on Level 3’s commitment, information provided to the Executive Branch Agencies by the Applicants</w:t>
      </w:r>
      <w:r w:rsidR="007C76AF">
        <w:t>,</w:t>
      </w:r>
      <w:r w:rsidR="00796B67">
        <w:t xml:space="preserve"> and their analysis of potential national security, law enforcement</w:t>
      </w:r>
      <w:r w:rsidR="007C76AF">
        <w:t>,</w:t>
      </w:r>
      <w:r w:rsidR="00796B67">
        <w:t xml:space="preserve"> and public safety issues, the Executive Branch Agencies have no objection to the </w:t>
      </w:r>
      <w:r w:rsidR="00C65021">
        <w:t xml:space="preserve">grant of the </w:t>
      </w:r>
      <w:r w:rsidR="00796B67">
        <w:t xml:space="preserve">applications provided that </w:t>
      </w:r>
      <w:r w:rsidR="00C65021">
        <w:t xml:space="preserve">it </w:t>
      </w:r>
      <w:r w:rsidR="00796B67">
        <w:t>is conditioned on continuing compliance by Level 3 with the September 26, 2011 Agreement</w:t>
      </w:r>
      <w:r w:rsidRPr="0008712D">
        <w:t>.</w:t>
      </w:r>
      <w:r w:rsidRPr="0008712D">
        <w:rPr>
          <w:vertAlign w:val="superscript"/>
        </w:rPr>
        <w:footnoteReference w:id="90"/>
      </w:r>
      <w:r w:rsidRPr="0008712D">
        <w:t xml:space="preserve">  </w:t>
      </w:r>
    </w:p>
    <w:p w14:paraId="714F3B16" w14:textId="00E558B0" w:rsidR="0008712D" w:rsidRPr="0008712D" w:rsidRDefault="0008712D" w:rsidP="0008712D">
      <w:pPr>
        <w:pStyle w:val="ParaNum"/>
      </w:pPr>
      <w:r w:rsidRPr="0008712D">
        <w:t>In assessing the public interest, we take into account the record and accord deference to Executive Branch expertise on national security and law enforcement issues.</w:t>
      </w:r>
      <w:r w:rsidRPr="0008712D">
        <w:rPr>
          <w:vertAlign w:val="superscript"/>
        </w:rPr>
        <w:footnoteReference w:id="91"/>
      </w:r>
      <w:r w:rsidRPr="0008712D">
        <w:t xml:space="preserve"> As the Commission stated in the </w:t>
      </w:r>
      <w:r w:rsidRPr="0008712D">
        <w:rPr>
          <w:i/>
          <w:iCs/>
        </w:rPr>
        <w:t>Foreign Participation Order</w:t>
      </w:r>
      <w:r w:rsidRPr="0008712D">
        <w:t>, foreign participation in the U.S. telecommunications market may implicate significant national security or law enforcement issues uniquely within the expertise of the Executive Branch.</w:t>
      </w:r>
      <w:r w:rsidRPr="0008712D">
        <w:rPr>
          <w:vertAlign w:val="superscript"/>
        </w:rPr>
        <w:footnoteReference w:id="92"/>
      </w:r>
      <w:r w:rsidRPr="0008712D">
        <w:t xml:space="preserve">  In accordance with the request of </w:t>
      </w:r>
      <w:r w:rsidR="00796B67">
        <w:t xml:space="preserve">Level </w:t>
      </w:r>
      <w:r w:rsidR="00A862E8">
        <w:t>3</w:t>
      </w:r>
      <w:r w:rsidR="00EB395D">
        <w:t xml:space="preserve"> </w:t>
      </w:r>
      <w:r w:rsidRPr="0008712D">
        <w:t xml:space="preserve">and </w:t>
      </w:r>
      <w:r w:rsidR="00C65021">
        <w:t xml:space="preserve">the </w:t>
      </w:r>
      <w:r w:rsidR="00A862E8">
        <w:t>Executive Branch Agencies</w:t>
      </w:r>
      <w:r w:rsidRPr="0008712D">
        <w:t xml:space="preserve">, we condition our grant of the applications </w:t>
      </w:r>
      <w:r w:rsidR="00D66C90">
        <w:t xml:space="preserve">on </w:t>
      </w:r>
      <w:r w:rsidRPr="0008712D">
        <w:t xml:space="preserve">Applicants’ </w:t>
      </w:r>
      <w:r w:rsidR="00EB395D">
        <w:t xml:space="preserve">continuing </w:t>
      </w:r>
      <w:r w:rsidRPr="0008712D">
        <w:t xml:space="preserve">compliance with the commitments set forth in the </w:t>
      </w:r>
      <w:r w:rsidR="00EB395D">
        <w:t xml:space="preserve">September 26, 2011 </w:t>
      </w:r>
      <w:r w:rsidRPr="0008712D">
        <w:t>Agreement.</w:t>
      </w:r>
      <w:r w:rsidR="00BB7558">
        <w:rPr>
          <w:rStyle w:val="FootnoteReference"/>
        </w:rPr>
        <w:footnoteReference w:id="93"/>
      </w:r>
      <w:r w:rsidRPr="0008712D">
        <w:t xml:space="preserve">  The </w:t>
      </w:r>
      <w:r w:rsidR="00EB395D">
        <w:t>October 22, 2014 letter from the Executive Branch Agencies and the September 26, 2011 a</w:t>
      </w:r>
      <w:r w:rsidRPr="0008712D">
        <w:t xml:space="preserve">greement are </w:t>
      </w:r>
      <w:r w:rsidR="00596F6E">
        <w:t>available as part of the public record in this proceeding</w:t>
      </w:r>
      <w:r w:rsidRPr="0008712D">
        <w:t>.</w:t>
      </w:r>
      <w:r w:rsidRPr="0008712D">
        <w:rPr>
          <w:vertAlign w:val="superscript"/>
        </w:rPr>
        <w:footnoteReference w:id="94"/>
      </w:r>
    </w:p>
    <w:p w14:paraId="2832CB42" w14:textId="77777777" w:rsidR="001D6659" w:rsidRPr="001D6659" w:rsidRDefault="001D6659" w:rsidP="003F5576">
      <w:pPr>
        <w:pStyle w:val="Heading1"/>
      </w:pPr>
      <w:bookmarkStart w:id="46" w:name="_Ref230409139"/>
      <w:bookmarkStart w:id="47" w:name="_Ref228275489"/>
      <w:r>
        <w:t>Conclusion</w:t>
      </w:r>
    </w:p>
    <w:p w14:paraId="3FAC6045" w14:textId="64A8DA59" w:rsidR="002D4956" w:rsidRPr="008345EB" w:rsidRDefault="001032AA" w:rsidP="00FE722A">
      <w:pPr>
        <w:pStyle w:val="ParaNum"/>
        <w:rPr>
          <w:szCs w:val="22"/>
        </w:rPr>
      </w:pPr>
      <w:r w:rsidRPr="008A03BA">
        <w:rPr>
          <w:bCs/>
        </w:rPr>
        <w:t>A</w:t>
      </w:r>
      <w:r>
        <w:t xml:space="preserve">s discussed above, based on our review of the record, we find that the </w:t>
      </w:r>
      <w:r w:rsidR="002700A1">
        <w:t xml:space="preserve">proposed </w:t>
      </w:r>
      <w:r>
        <w:t>transaction is</w:t>
      </w:r>
      <w:r w:rsidR="001958FD" w:rsidRPr="001958FD">
        <w:t xml:space="preserve"> </w:t>
      </w:r>
      <w:r w:rsidR="001958FD">
        <w:t>likely to result in some public interest benefits</w:t>
      </w:r>
      <w:r>
        <w:t xml:space="preserve"> </w:t>
      </w:r>
      <w:r w:rsidR="001958FD">
        <w:t xml:space="preserve">and is </w:t>
      </w:r>
      <w:r>
        <w:t xml:space="preserve">unlikely to result in any significant public interest harms.  </w:t>
      </w:r>
      <w:r w:rsidR="001E79EA" w:rsidRPr="001E79EA">
        <w:t xml:space="preserve">The combined company’s broader service footprint, </w:t>
      </w:r>
      <w:r w:rsidR="008F737F">
        <w:t>complimentary networks</w:t>
      </w:r>
      <w:r w:rsidR="001E79EA" w:rsidRPr="001E79EA">
        <w:t>, and greater scale and scope create a potentially stronger competitor to the incumbent LEC</w:t>
      </w:r>
      <w:r w:rsidR="00C6595C">
        <w:t>,</w:t>
      </w:r>
      <w:r w:rsidR="001E79EA" w:rsidRPr="001E79EA">
        <w:t xml:space="preserve"> especially in light of the combined company’s ability to </w:t>
      </w:r>
      <w:r w:rsidR="0098053C">
        <w:t xml:space="preserve">reach more customers with its network and to </w:t>
      </w:r>
      <w:r w:rsidR="001E79EA" w:rsidRPr="001E79EA">
        <w:t xml:space="preserve">offer </w:t>
      </w:r>
      <w:r w:rsidR="001E79EA">
        <w:t xml:space="preserve">new services to TWT’s customers.  We find that these </w:t>
      </w:r>
      <w:r w:rsidR="000F4C6F">
        <w:t xml:space="preserve">likely </w:t>
      </w:r>
      <w:r w:rsidR="001E79EA">
        <w:t>benefits outweigh</w:t>
      </w:r>
      <w:r w:rsidR="001E79EA" w:rsidRPr="001E79EA">
        <w:t xml:space="preserve"> </w:t>
      </w:r>
      <w:r w:rsidR="002700A1">
        <w:t>any</w:t>
      </w:r>
      <w:r w:rsidR="001E79EA" w:rsidRPr="001E79EA">
        <w:t xml:space="preserve"> potential harm that could arise from eliminating </w:t>
      </w:r>
      <w:r w:rsidR="001E79EA">
        <w:t>TWT</w:t>
      </w:r>
      <w:r w:rsidR="001E79EA" w:rsidRPr="001E79EA">
        <w:t xml:space="preserve"> as a competitor in the limited area in which both companies compete.</w:t>
      </w:r>
      <w:r w:rsidR="001E79EA">
        <w:t xml:space="preserve">  </w:t>
      </w:r>
      <w:r>
        <w:t xml:space="preserve">Accordingly, we conclude that granting the </w:t>
      </w:r>
      <w:r w:rsidR="00B219E1">
        <w:t>A</w:t>
      </w:r>
      <w:r>
        <w:t>pplications serve</w:t>
      </w:r>
      <w:r w:rsidR="000F4C6F">
        <w:t>s</w:t>
      </w:r>
      <w:r>
        <w:t xml:space="preserve"> the public interest.  </w:t>
      </w:r>
    </w:p>
    <w:p w14:paraId="52F600DF" w14:textId="77777777" w:rsidR="000A764F" w:rsidRPr="004E0084" w:rsidRDefault="000A764F" w:rsidP="0060494B">
      <w:pPr>
        <w:pStyle w:val="Heading1"/>
      </w:pPr>
      <w:bookmarkStart w:id="48" w:name="_Toc232310024"/>
      <w:bookmarkEnd w:id="46"/>
      <w:bookmarkEnd w:id="47"/>
      <w:r w:rsidRPr="004E0084">
        <w:t>ORDERING CLAUSES</w:t>
      </w:r>
      <w:bookmarkEnd w:id="48"/>
    </w:p>
    <w:p w14:paraId="428C41A1" w14:textId="76AC52C9" w:rsidR="00E73046" w:rsidRDefault="000A764F" w:rsidP="00FE722A">
      <w:pPr>
        <w:pStyle w:val="ParaNum"/>
      </w:pPr>
      <w:bookmarkStart w:id="49" w:name="_Ref228616763"/>
      <w:r w:rsidRPr="00A4162E">
        <w:t xml:space="preserve">Accordingly, having reviewed the applications and the record in this matter, </w:t>
      </w:r>
      <w:r w:rsidR="009050A9" w:rsidRPr="009050A9">
        <w:t xml:space="preserve">IT IS ORDERED that, pursuant to sections 4(i)–(j), </w:t>
      </w:r>
      <w:r w:rsidR="009A0379">
        <w:t xml:space="preserve">5(c), </w:t>
      </w:r>
      <w:r w:rsidR="0035686A">
        <w:t xml:space="preserve">and </w:t>
      </w:r>
      <w:r w:rsidR="009050A9" w:rsidRPr="009050A9">
        <w:t xml:space="preserve">214 of the Communications Act of 1934, as amended, 47 U.S.C. §§ 154(i)–(j), </w:t>
      </w:r>
      <w:r w:rsidR="009A0379">
        <w:t xml:space="preserve">155(c), </w:t>
      </w:r>
      <w:r w:rsidR="009050A9" w:rsidRPr="009050A9">
        <w:t xml:space="preserve">214, </w:t>
      </w:r>
      <w:r w:rsidR="0008712D" w:rsidRPr="0008712D">
        <w:t xml:space="preserve">section 2 of the Cable Landing License Act, 47 U.S.C. § 35, Executive Order No. 10530, </w:t>
      </w:r>
      <w:r w:rsidR="005A2A58">
        <w:t xml:space="preserve">and </w:t>
      </w:r>
      <w:r w:rsidR="005A2A58" w:rsidRPr="005A2A58">
        <w:rPr>
          <w:szCs w:val="22"/>
        </w:rPr>
        <w:t xml:space="preserve">sections 0.51, 0.91, 0.261, </w:t>
      </w:r>
      <w:r w:rsidR="007322C2">
        <w:rPr>
          <w:szCs w:val="22"/>
        </w:rPr>
        <w:t xml:space="preserve">and </w:t>
      </w:r>
      <w:r w:rsidR="005A2A58" w:rsidRPr="005A2A58">
        <w:rPr>
          <w:szCs w:val="22"/>
        </w:rPr>
        <w:t xml:space="preserve">0.291 of the Commission’s Rules, 47 C.F.R. §§ 0.51, 0.91, 0.261, 0.291, </w:t>
      </w:r>
      <w:r w:rsidR="007322C2">
        <w:rPr>
          <w:szCs w:val="22"/>
        </w:rPr>
        <w:t>t</w:t>
      </w:r>
      <w:r w:rsidR="007322C2">
        <w:t xml:space="preserve">he </w:t>
      </w:r>
      <w:r w:rsidR="00E053F4">
        <w:t>A</w:t>
      </w:r>
      <w:r w:rsidR="009050A9" w:rsidRPr="009050A9">
        <w:t>pplications to transfer control of domestic and international section 214 authorizations</w:t>
      </w:r>
      <w:r w:rsidR="00C6595C">
        <w:t xml:space="preserve"> and </w:t>
      </w:r>
      <w:r w:rsidR="007322C2">
        <w:t xml:space="preserve">the </w:t>
      </w:r>
      <w:r w:rsidR="00C6595C">
        <w:t>cable landing</w:t>
      </w:r>
      <w:r w:rsidR="009050A9" w:rsidRPr="009050A9">
        <w:t xml:space="preserve"> license ARE GRANTED.</w:t>
      </w:r>
      <w:bookmarkStart w:id="50" w:name="comebackhere"/>
      <w:bookmarkEnd w:id="50"/>
    </w:p>
    <w:p w14:paraId="5ED2C6AE" w14:textId="77777777" w:rsidR="0008712D" w:rsidRPr="00E7697D" w:rsidRDefault="0008712D" w:rsidP="0008712D">
      <w:pPr>
        <w:pStyle w:val="ParaNum"/>
      </w:pPr>
      <w:r>
        <w:t xml:space="preserve">IT IS FURTHER ORDERED that, pursuant to </w:t>
      </w:r>
      <w:r w:rsidRPr="005A2A58">
        <w:rPr>
          <w:szCs w:val="22"/>
        </w:rPr>
        <w:t xml:space="preserve">sections </w:t>
      </w:r>
      <w:r>
        <w:rPr>
          <w:szCs w:val="22"/>
        </w:rPr>
        <w:t>63.10 and 63.13</w:t>
      </w:r>
      <w:r w:rsidRPr="005A2A58">
        <w:rPr>
          <w:szCs w:val="22"/>
        </w:rPr>
        <w:t xml:space="preserve"> of the Commission’s Rules, 47 C.F.R. §§ </w:t>
      </w:r>
      <w:r>
        <w:rPr>
          <w:szCs w:val="22"/>
        </w:rPr>
        <w:t>63.10</w:t>
      </w:r>
      <w:r w:rsidRPr="005A2A58">
        <w:rPr>
          <w:szCs w:val="22"/>
        </w:rPr>
        <w:t xml:space="preserve">, </w:t>
      </w:r>
      <w:r>
        <w:rPr>
          <w:szCs w:val="22"/>
        </w:rPr>
        <w:t>63.13,</w:t>
      </w:r>
      <w:r>
        <w:t xml:space="preserve"> the petitions of </w:t>
      </w:r>
      <w:r w:rsidRPr="005D7D50">
        <w:rPr>
          <w:color w:val="000000"/>
          <w:szCs w:val="22"/>
        </w:rPr>
        <w:t>Level 3 Communications, LLC, Level 3 International, Inc., Global Crossing Americas Solutions, Inc., and Global Crossing North America, Inc.</w:t>
      </w:r>
      <w:r>
        <w:rPr>
          <w:color w:val="000000"/>
          <w:szCs w:val="22"/>
        </w:rPr>
        <w:t xml:space="preserve"> to be reclassified as non-dominant carriers on the U.S-Singapore route ARE GRANTED to the extent discussed herein.</w:t>
      </w:r>
    </w:p>
    <w:p w14:paraId="25E22FCE" w14:textId="411FF976" w:rsidR="00B84BD0" w:rsidRDefault="0008712D" w:rsidP="001A6964">
      <w:pPr>
        <w:pStyle w:val="ParaNum"/>
        <w:rPr>
          <w:rFonts w:eastAsia="Batang"/>
          <w:snapToGrid/>
          <w:lang w:eastAsia="ko-KR"/>
        </w:rPr>
      </w:pPr>
      <w:r>
        <w:rPr>
          <w:rFonts w:eastAsia="Batang"/>
          <w:snapToGrid/>
          <w:lang w:eastAsia="ko-KR"/>
        </w:rPr>
        <w:t xml:space="preserve">IT IS FURTHER ORDERED that, pursuant to sections 4(i)–(j), and 214 of the Communications Act of 1934, as amended, 47 U.S.C. §§ 154(i)–(j), 214, grant of the applications IS CONDITIONED UPON compliance by Level 3 with the provisions of the Agreement between </w:t>
      </w:r>
      <w:r w:rsidR="006F750A">
        <w:rPr>
          <w:rFonts w:eastAsia="Batang"/>
          <w:snapToGrid/>
          <w:lang w:eastAsia="ko-KR"/>
        </w:rPr>
        <w:t xml:space="preserve">Level 3 and </w:t>
      </w:r>
      <w:r>
        <w:rPr>
          <w:rFonts w:eastAsia="Batang"/>
          <w:snapToGrid/>
          <w:lang w:eastAsia="ko-KR"/>
        </w:rPr>
        <w:t xml:space="preserve">the Department of Justice, the Department of Defense, and the Department of Homeland Security, dated </w:t>
      </w:r>
      <w:r w:rsidR="00920ADF">
        <w:rPr>
          <w:rFonts w:eastAsia="Batang"/>
          <w:snapToGrid/>
          <w:lang w:eastAsia="ko-KR"/>
        </w:rPr>
        <w:t>September 26, 2011</w:t>
      </w:r>
      <w:r>
        <w:rPr>
          <w:rFonts w:eastAsia="Batang"/>
          <w:snapToGrid/>
          <w:lang w:eastAsia="ko-KR"/>
        </w:rPr>
        <w:t>, which is publicly available on the Commission’s website.</w:t>
      </w:r>
      <w:r>
        <w:rPr>
          <w:rStyle w:val="FootnoteReference"/>
          <w:rFonts w:eastAsia="Batang"/>
          <w:snapToGrid/>
          <w:lang w:eastAsia="ko-KR"/>
        </w:rPr>
        <w:footnoteReference w:id="95"/>
      </w:r>
    </w:p>
    <w:p w14:paraId="75BBCFCE" w14:textId="5B24E013" w:rsidR="0008712D" w:rsidRPr="008A03BA" w:rsidRDefault="00B84BD0" w:rsidP="00B84BD0">
      <w:pPr>
        <w:widowControl/>
        <w:rPr>
          <w:rFonts w:eastAsia="Batang"/>
          <w:snapToGrid/>
          <w:lang w:eastAsia="ko-KR"/>
        </w:rPr>
      </w:pPr>
      <w:r>
        <w:rPr>
          <w:rFonts w:eastAsia="Batang"/>
          <w:snapToGrid/>
          <w:lang w:eastAsia="ko-KR"/>
        </w:rPr>
        <w:br w:type="page"/>
      </w:r>
    </w:p>
    <w:bookmarkEnd w:id="49"/>
    <w:p w14:paraId="22916B24" w14:textId="6F0D92CC" w:rsidR="00E22202" w:rsidRDefault="000A764F" w:rsidP="00FE722A">
      <w:pPr>
        <w:pStyle w:val="ParaNum"/>
      </w:pPr>
      <w:r w:rsidRPr="004E0084">
        <w:t>IT IS FURTHER ORDERED, pursuant to section 1.10</w:t>
      </w:r>
      <w:r w:rsidR="006D33D1">
        <w:t>2(b)(1)</w:t>
      </w:r>
      <w:r w:rsidRPr="004E0084">
        <w:t xml:space="preserve"> of the Commission’s rules, 47 C.F.R. § 1.10</w:t>
      </w:r>
      <w:r w:rsidR="006D33D1">
        <w:t>2(b)(1)</w:t>
      </w:r>
      <w:r w:rsidRPr="004E0084">
        <w:t>, that this Memorandum Opinion and Order IS EFFECTIVE upon release.</w:t>
      </w:r>
      <w:r w:rsidR="00724575">
        <w:t xml:space="preserve">  </w:t>
      </w:r>
      <w:r w:rsidR="00724575" w:rsidRPr="00724575">
        <w:t>Petitions for reconsideration under section 1.106 of the Commission’s rules, 47 C.F.R. § 1.106, or applications for review under section 1.115 of the Commission’s rules, 47 C.F.R. § 1.115, may be filed within thirty days of the date of public notice of this Memorandum Opinion and Order.</w:t>
      </w:r>
    </w:p>
    <w:p w14:paraId="3FC80DCF" w14:textId="77777777" w:rsidR="00A4162E" w:rsidRDefault="00A4162E" w:rsidP="005D3CAC"/>
    <w:p w14:paraId="78C68DD8" w14:textId="77777777" w:rsidR="00CF5E90" w:rsidRDefault="00465CDE" w:rsidP="005D3CAC">
      <w:pPr>
        <w:tabs>
          <w:tab w:val="left" w:pos="4680"/>
        </w:tabs>
      </w:pPr>
      <w:r>
        <w:tab/>
      </w:r>
      <w:r w:rsidR="00CF5E90">
        <w:t>FEDERAL COMMUNICATIONS COMMISSION</w:t>
      </w:r>
    </w:p>
    <w:p w14:paraId="743C9AE4" w14:textId="77777777" w:rsidR="00CF5E90" w:rsidRDefault="00CF5E90" w:rsidP="00CF5E90"/>
    <w:p w14:paraId="540F0DBF" w14:textId="77777777" w:rsidR="00CF5E90" w:rsidRDefault="00CF5E90" w:rsidP="00CF5E90"/>
    <w:p w14:paraId="608F2809" w14:textId="77777777" w:rsidR="00CF5E90" w:rsidRDefault="00CF5E90" w:rsidP="00CF5E90"/>
    <w:p w14:paraId="6EFFBE54" w14:textId="77777777" w:rsidR="00CF5E90" w:rsidRDefault="00CF5E90" w:rsidP="00CF5E90"/>
    <w:p w14:paraId="1F845105" w14:textId="4EA5ED6C" w:rsidR="008B4A0D" w:rsidRDefault="008B4A0D" w:rsidP="005D3CAC">
      <w:pPr>
        <w:tabs>
          <w:tab w:val="left" w:pos="4680"/>
        </w:tabs>
        <w:rPr>
          <w:szCs w:val="22"/>
          <w:lang w:val="fr-FR"/>
        </w:rPr>
      </w:pPr>
      <w:r>
        <w:rPr>
          <w:szCs w:val="22"/>
        </w:rPr>
        <w:tab/>
      </w:r>
      <w:r w:rsidR="008B5139">
        <w:rPr>
          <w:szCs w:val="22"/>
        </w:rPr>
        <w:t xml:space="preserve">Julie </w:t>
      </w:r>
      <w:r w:rsidR="00FC7752">
        <w:rPr>
          <w:szCs w:val="22"/>
        </w:rPr>
        <w:t xml:space="preserve">A. </w:t>
      </w:r>
      <w:r w:rsidR="008B5139">
        <w:rPr>
          <w:szCs w:val="22"/>
        </w:rPr>
        <w:t>Veach</w:t>
      </w:r>
      <w:r w:rsidR="00465CDE" w:rsidRPr="00465CDE">
        <w:rPr>
          <w:szCs w:val="22"/>
          <w:lang w:val="fr-FR"/>
        </w:rPr>
        <w:t xml:space="preserve"> </w:t>
      </w:r>
      <w:r w:rsidR="00465CDE">
        <w:rPr>
          <w:szCs w:val="22"/>
          <w:lang w:val="fr-FR"/>
        </w:rPr>
        <w:tab/>
      </w:r>
    </w:p>
    <w:p w14:paraId="4E922871" w14:textId="27D87B8F" w:rsidR="008B4A0D" w:rsidRDefault="008B4A0D" w:rsidP="005D3CAC">
      <w:pPr>
        <w:tabs>
          <w:tab w:val="left" w:pos="4680"/>
        </w:tabs>
        <w:rPr>
          <w:szCs w:val="22"/>
          <w:lang w:val="fr-FR"/>
        </w:rPr>
      </w:pPr>
      <w:r>
        <w:rPr>
          <w:szCs w:val="22"/>
          <w:lang w:val="fr-FR"/>
        </w:rPr>
        <w:tab/>
      </w:r>
      <w:r w:rsidRPr="009050A9">
        <w:rPr>
          <w:szCs w:val="22"/>
        </w:rPr>
        <w:t>Chief</w:t>
      </w:r>
      <w:r>
        <w:rPr>
          <w:szCs w:val="22"/>
        </w:rPr>
        <w:t xml:space="preserve">, </w:t>
      </w:r>
      <w:r w:rsidRPr="009050A9">
        <w:rPr>
          <w:szCs w:val="22"/>
        </w:rPr>
        <w:t>Wireline Competition Bureau</w:t>
      </w:r>
    </w:p>
    <w:p w14:paraId="58265995" w14:textId="77777777" w:rsidR="008B4A0D" w:rsidRDefault="008B4A0D" w:rsidP="005D3CAC">
      <w:pPr>
        <w:tabs>
          <w:tab w:val="left" w:pos="4680"/>
        </w:tabs>
        <w:rPr>
          <w:szCs w:val="22"/>
          <w:lang w:val="fr-FR"/>
        </w:rPr>
      </w:pPr>
    </w:p>
    <w:p w14:paraId="52477D7F" w14:textId="77777777" w:rsidR="008B4A0D" w:rsidRDefault="008B4A0D" w:rsidP="005D3CAC">
      <w:pPr>
        <w:tabs>
          <w:tab w:val="left" w:pos="4680"/>
        </w:tabs>
        <w:rPr>
          <w:szCs w:val="22"/>
          <w:lang w:val="fr-FR"/>
        </w:rPr>
      </w:pPr>
    </w:p>
    <w:p w14:paraId="3708E7CE" w14:textId="77777777" w:rsidR="008B4A0D" w:rsidRDefault="008B4A0D" w:rsidP="005D3CAC">
      <w:pPr>
        <w:tabs>
          <w:tab w:val="left" w:pos="4680"/>
        </w:tabs>
        <w:rPr>
          <w:szCs w:val="22"/>
          <w:lang w:val="fr-FR"/>
        </w:rPr>
      </w:pPr>
    </w:p>
    <w:p w14:paraId="0391C663" w14:textId="77777777" w:rsidR="008B4A0D" w:rsidRDefault="008B4A0D" w:rsidP="005D3CAC">
      <w:pPr>
        <w:tabs>
          <w:tab w:val="left" w:pos="4680"/>
        </w:tabs>
        <w:rPr>
          <w:szCs w:val="22"/>
          <w:lang w:val="fr-FR"/>
        </w:rPr>
      </w:pPr>
      <w:r>
        <w:rPr>
          <w:szCs w:val="22"/>
          <w:lang w:val="fr-FR"/>
        </w:rPr>
        <w:tab/>
      </w:r>
    </w:p>
    <w:p w14:paraId="64358D48" w14:textId="2E623AE4" w:rsidR="00465CDE" w:rsidRDefault="008B4A0D" w:rsidP="005D3CAC">
      <w:pPr>
        <w:tabs>
          <w:tab w:val="left" w:pos="4680"/>
        </w:tabs>
        <w:rPr>
          <w:szCs w:val="22"/>
        </w:rPr>
      </w:pPr>
      <w:r>
        <w:rPr>
          <w:szCs w:val="22"/>
          <w:lang w:val="fr-FR"/>
        </w:rPr>
        <w:tab/>
      </w:r>
      <w:r w:rsidR="00465CDE" w:rsidRPr="009050A9">
        <w:rPr>
          <w:szCs w:val="22"/>
          <w:lang w:val="fr-FR"/>
        </w:rPr>
        <w:t>Mindel De La Torre</w:t>
      </w:r>
    </w:p>
    <w:p w14:paraId="63064B1B" w14:textId="433680B9" w:rsidR="009050A9" w:rsidRPr="009050A9" w:rsidRDefault="009050A9" w:rsidP="008B4A0D">
      <w:pPr>
        <w:tabs>
          <w:tab w:val="left" w:pos="4680"/>
        </w:tabs>
        <w:rPr>
          <w:szCs w:val="22"/>
        </w:rPr>
      </w:pPr>
      <w:r w:rsidRPr="009050A9">
        <w:rPr>
          <w:szCs w:val="22"/>
          <w:lang w:val="fr-FR"/>
        </w:rPr>
        <w:tab/>
      </w:r>
      <w:r w:rsidR="00CF5E90" w:rsidRPr="009050A9">
        <w:rPr>
          <w:szCs w:val="22"/>
        </w:rPr>
        <w:t>Chief</w:t>
      </w:r>
      <w:r w:rsidR="00465CDE">
        <w:rPr>
          <w:szCs w:val="22"/>
        </w:rPr>
        <w:t xml:space="preserve">, </w:t>
      </w:r>
      <w:r w:rsidR="00CF5E90" w:rsidRPr="009050A9">
        <w:rPr>
          <w:szCs w:val="22"/>
        </w:rPr>
        <w:t>International Bureau</w:t>
      </w:r>
    </w:p>
    <w:p w14:paraId="037C2BFF" w14:textId="3DE046A1" w:rsidR="00B84BD0" w:rsidRDefault="00B84BD0">
      <w:pPr>
        <w:widowControl/>
        <w:rPr>
          <w:szCs w:val="22"/>
        </w:rPr>
      </w:pPr>
      <w:r>
        <w:rPr>
          <w:szCs w:val="22"/>
        </w:rPr>
        <w:br w:type="page"/>
      </w:r>
    </w:p>
    <w:p w14:paraId="674EB0BB" w14:textId="097A11F3" w:rsidR="00247B66" w:rsidRDefault="00247B66" w:rsidP="008B4A0D">
      <w:pPr>
        <w:tabs>
          <w:tab w:val="left" w:pos="3915"/>
          <w:tab w:val="center" w:pos="4680"/>
        </w:tabs>
        <w:jc w:val="center"/>
        <w:rPr>
          <w:rFonts w:ascii="Times New Roman Bold" w:hAnsi="Times New Roman Bold"/>
          <w:b/>
          <w:kern w:val="0"/>
          <w:szCs w:val="22"/>
        </w:rPr>
      </w:pPr>
      <w:r w:rsidRPr="00A4162E">
        <w:rPr>
          <w:rFonts w:ascii="Times New Roman Bold" w:hAnsi="Times New Roman Bold"/>
          <w:b/>
          <w:kern w:val="0"/>
          <w:szCs w:val="22"/>
        </w:rPr>
        <w:t>APPENDI</w:t>
      </w:r>
      <w:r>
        <w:rPr>
          <w:rFonts w:ascii="Times New Roman Bold" w:hAnsi="Times New Roman Bold"/>
          <w:b/>
          <w:kern w:val="0"/>
          <w:szCs w:val="22"/>
        </w:rPr>
        <w:t>X</w:t>
      </w:r>
    </w:p>
    <w:p w14:paraId="50DEE07B" w14:textId="77777777" w:rsidR="00247B66" w:rsidRDefault="00247B66" w:rsidP="00247B66">
      <w:pPr>
        <w:jc w:val="center"/>
      </w:pPr>
    </w:p>
    <w:p w14:paraId="1156B3C4" w14:textId="77777777" w:rsidR="00247B66" w:rsidRPr="004432B3" w:rsidRDefault="00247B66" w:rsidP="00247B66">
      <w:pPr>
        <w:jc w:val="center"/>
        <w:rPr>
          <w:snapToGrid/>
          <w:color w:val="000000"/>
          <w:kern w:val="0"/>
        </w:rPr>
      </w:pPr>
      <w:r w:rsidRPr="004432B3">
        <w:rPr>
          <w:b/>
          <w:snapToGrid/>
          <w:color w:val="000000"/>
          <w:kern w:val="0"/>
        </w:rPr>
        <w:t>S</w:t>
      </w:r>
      <w:r>
        <w:rPr>
          <w:b/>
          <w:snapToGrid/>
          <w:color w:val="000000"/>
          <w:kern w:val="0"/>
        </w:rPr>
        <w:t xml:space="preserve">ection </w:t>
      </w:r>
      <w:r w:rsidRPr="004432B3">
        <w:rPr>
          <w:b/>
          <w:snapToGrid/>
          <w:color w:val="000000"/>
          <w:kern w:val="0"/>
        </w:rPr>
        <w:t xml:space="preserve">214 </w:t>
      </w:r>
      <w:r w:rsidRPr="00A4162E">
        <w:rPr>
          <w:rFonts w:ascii="Times New Roman Bold" w:hAnsi="Times New Roman Bold"/>
          <w:b/>
          <w:kern w:val="0"/>
          <w:szCs w:val="22"/>
        </w:rPr>
        <w:t>A</w:t>
      </w:r>
      <w:r>
        <w:rPr>
          <w:rFonts w:ascii="Times New Roman Bold" w:hAnsi="Times New Roman Bold"/>
          <w:b/>
          <w:kern w:val="0"/>
          <w:szCs w:val="22"/>
        </w:rPr>
        <w:t>uthorizations</w:t>
      </w:r>
    </w:p>
    <w:p w14:paraId="463B1AF4" w14:textId="77777777" w:rsidR="00247B66" w:rsidRDefault="00247B66" w:rsidP="00247B66">
      <w:pPr>
        <w:keepNext/>
        <w:widowControl/>
        <w:rPr>
          <w:snapToGrid/>
          <w:color w:val="000000"/>
          <w:kern w:val="0"/>
        </w:rPr>
      </w:pPr>
    </w:p>
    <w:p w14:paraId="6485D7AF" w14:textId="77777777" w:rsidR="00247B66" w:rsidRPr="004432B3" w:rsidRDefault="00247B66" w:rsidP="00247B66">
      <w:pPr>
        <w:keepNext/>
        <w:widowControl/>
        <w:rPr>
          <w:snapToGrid/>
          <w:color w:val="000000"/>
          <w:kern w:val="0"/>
        </w:rPr>
      </w:pPr>
    </w:p>
    <w:p w14:paraId="7DB034A1" w14:textId="77777777" w:rsidR="00247B66" w:rsidRPr="004432B3" w:rsidRDefault="00247B66" w:rsidP="00247B66">
      <w:pPr>
        <w:keepNext/>
        <w:widowControl/>
        <w:ind w:firstLine="720"/>
        <w:rPr>
          <w:b/>
          <w:snapToGrid/>
          <w:color w:val="000000"/>
          <w:kern w:val="0"/>
        </w:rPr>
      </w:pPr>
      <w:r w:rsidRPr="004432B3">
        <w:rPr>
          <w:b/>
          <w:snapToGrid/>
          <w:color w:val="000000"/>
          <w:kern w:val="0"/>
        </w:rPr>
        <w:t>A.</w:t>
      </w:r>
      <w:r w:rsidRPr="004432B3">
        <w:rPr>
          <w:b/>
          <w:snapToGrid/>
          <w:color w:val="000000"/>
          <w:kern w:val="0"/>
        </w:rPr>
        <w:tab/>
        <w:t>International</w:t>
      </w:r>
    </w:p>
    <w:p w14:paraId="6BDFFF71" w14:textId="77777777" w:rsidR="00247B66" w:rsidRPr="004432B3" w:rsidRDefault="00247B66" w:rsidP="00247B66">
      <w:pPr>
        <w:keepNext/>
        <w:widowControl/>
        <w:rPr>
          <w:snapToGrid/>
          <w:color w:val="000000"/>
          <w:kern w:val="0"/>
        </w:rPr>
      </w:pPr>
    </w:p>
    <w:tbl>
      <w:tblPr>
        <w:tblW w:w="9738" w:type="dxa"/>
        <w:tblLook w:val="01E0" w:firstRow="1" w:lastRow="1" w:firstColumn="1" w:lastColumn="1" w:noHBand="0" w:noVBand="0"/>
      </w:tblPr>
      <w:tblGrid>
        <w:gridCol w:w="2880"/>
        <w:gridCol w:w="3888"/>
        <w:gridCol w:w="2970"/>
      </w:tblGrid>
      <w:tr w:rsidR="00247B66" w:rsidRPr="004432B3" w14:paraId="1E7724FE" w14:textId="77777777" w:rsidTr="00D216AB">
        <w:tc>
          <w:tcPr>
            <w:tcW w:w="2880" w:type="dxa"/>
          </w:tcPr>
          <w:p w14:paraId="0B57951B" w14:textId="77777777" w:rsidR="00247B66" w:rsidRPr="004432B3" w:rsidRDefault="00247B66" w:rsidP="00D216AB">
            <w:pPr>
              <w:widowControl/>
              <w:rPr>
                <w:b/>
                <w:snapToGrid/>
                <w:color w:val="000000"/>
                <w:kern w:val="0"/>
              </w:rPr>
            </w:pPr>
            <w:r w:rsidRPr="004432B3">
              <w:rPr>
                <w:b/>
                <w:snapToGrid/>
                <w:color w:val="000000"/>
                <w:kern w:val="0"/>
                <w:u w:val="single"/>
              </w:rPr>
              <w:t>File Number</w:t>
            </w:r>
          </w:p>
        </w:tc>
        <w:tc>
          <w:tcPr>
            <w:tcW w:w="3888" w:type="dxa"/>
          </w:tcPr>
          <w:p w14:paraId="39FFD472" w14:textId="77777777" w:rsidR="00247B66" w:rsidRPr="004432B3" w:rsidRDefault="00247B66" w:rsidP="00D216AB">
            <w:pPr>
              <w:widowControl/>
              <w:rPr>
                <w:b/>
                <w:snapToGrid/>
                <w:color w:val="000000"/>
                <w:kern w:val="0"/>
              </w:rPr>
            </w:pPr>
            <w:r w:rsidRPr="004432B3">
              <w:rPr>
                <w:b/>
                <w:snapToGrid/>
                <w:color w:val="000000"/>
                <w:kern w:val="0"/>
                <w:u w:val="single"/>
              </w:rPr>
              <w:t>Authorization Holder</w:t>
            </w:r>
          </w:p>
        </w:tc>
        <w:tc>
          <w:tcPr>
            <w:tcW w:w="2970" w:type="dxa"/>
          </w:tcPr>
          <w:p w14:paraId="2685F6A0" w14:textId="77777777" w:rsidR="00247B66" w:rsidRPr="004432B3" w:rsidRDefault="00247B66" w:rsidP="00D216AB">
            <w:pPr>
              <w:widowControl/>
              <w:rPr>
                <w:b/>
                <w:snapToGrid/>
                <w:color w:val="000000"/>
                <w:kern w:val="0"/>
                <w:u w:val="single"/>
              </w:rPr>
            </w:pPr>
            <w:r w:rsidRPr="004432B3">
              <w:rPr>
                <w:b/>
                <w:snapToGrid/>
                <w:color w:val="000000"/>
                <w:kern w:val="0"/>
                <w:u w:val="single"/>
              </w:rPr>
              <w:t>Authorization Number</w:t>
            </w:r>
          </w:p>
          <w:p w14:paraId="7C533076" w14:textId="77777777" w:rsidR="00247B66" w:rsidRPr="004432B3" w:rsidRDefault="00247B66" w:rsidP="00D216AB">
            <w:pPr>
              <w:widowControl/>
              <w:rPr>
                <w:b/>
                <w:snapToGrid/>
                <w:color w:val="000000"/>
                <w:kern w:val="0"/>
                <w:u w:val="single"/>
              </w:rPr>
            </w:pPr>
          </w:p>
        </w:tc>
      </w:tr>
      <w:tr w:rsidR="00247B66" w:rsidRPr="004432B3" w14:paraId="21814505" w14:textId="77777777" w:rsidTr="00D216AB">
        <w:tc>
          <w:tcPr>
            <w:tcW w:w="2880" w:type="dxa"/>
          </w:tcPr>
          <w:p w14:paraId="5BD2DD25" w14:textId="77777777" w:rsidR="00247B66" w:rsidRPr="004432B3" w:rsidRDefault="00247B66" w:rsidP="00D216AB">
            <w:pPr>
              <w:widowControl/>
              <w:rPr>
                <w:snapToGrid/>
                <w:color w:val="000000"/>
                <w:kern w:val="0"/>
              </w:rPr>
            </w:pPr>
            <w:r>
              <w:rPr>
                <w:snapToGrid/>
                <w:color w:val="000000"/>
                <w:kern w:val="0"/>
              </w:rPr>
              <w:t>ITC-T/C-20140707-00193</w:t>
            </w:r>
          </w:p>
          <w:p w14:paraId="437AA91C" w14:textId="77777777" w:rsidR="00247B66" w:rsidRPr="004432B3" w:rsidRDefault="00247B66" w:rsidP="00D216AB">
            <w:pPr>
              <w:widowControl/>
              <w:rPr>
                <w:snapToGrid/>
                <w:color w:val="000000"/>
                <w:kern w:val="0"/>
              </w:rPr>
            </w:pPr>
          </w:p>
        </w:tc>
        <w:tc>
          <w:tcPr>
            <w:tcW w:w="3888" w:type="dxa"/>
          </w:tcPr>
          <w:p w14:paraId="53B67AC0" w14:textId="77777777" w:rsidR="00247B66" w:rsidRPr="004432B3" w:rsidRDefault="00247B66" w:rsidP="00D216AB">
            <w:pPr>
              <w:widowControl/>
              <w:rPr>
                <w:snapToGrid/>
                <w:color w:val="000000"/>
                <w:kern w:val="0"/>
              </w:rPr>
            </w:pPr>
            <w:r>
              <w:rPr>
                <w:snapToGrid/>
                <w:color w:val="000000"/>
                <w:kern w:val="0"/>
              </w:rPr>
              <w:t>tw telecom holdings inc.</w:t>
            </w:r>
          </w:p>
        </w:tc>
        <w:tc>
          <w:tcPr>
            <w:tcW w:w="2970" w:type="dxa"/>
          </w:tcPr>
          <w:p w14:paraId="1A9000F4" w14:textId="77777777" w:rsidR="00247B66" w:rsidRPr="004432B3" w:rsidRDefault="00247B66" w:rsidP="00D216AB">
            <w:pPr>
              <w:widowControl/>
              <w:rPr>
                <w:snapToGrid/>
                <w:color w:val="000000"/>
                <w:kern w:val="0"/>
              </w:rPr>
            </w:pPr>
            <w:r>
              <w:rPr>
                <w:snapToGrid/>
                <w:color w:val="000000"/>
                <w:kern w:val="0"/>
              </w:rPr>
              <w:t>ITC-214-20000927-00570</w:t>
            </w:r>
          </w:p>
        </w:tc>
      </w:tr>
    </w:tbl>
    <w:p w14:paraId="77418304" w14:textId="77777777" w:rsidR="00247B66" w:rsidRPr="004432B3" w:rsidRDefault="00247B66" w:rsidP="00247B66">
      <w:pPr>
        <w:keepNext/>
        <w:widowControl/>
        <w:ind w:firstLine="720"/>
        <w:rPr>
          <w:b/>
          <w:snapToGrid/>
          <w:color w:val="000000"/>
          <w:kern w:val="0"/>
        </w:rPr>
      </w:pPr>
    </w:p>
    <w:p w14:paraId="274C251E" w14:textId="77777777" w:rsidR="00247B66" w:rsidRPr="004432B3" w:rsidRDefault="00247B66" w:rsidP="00247B66">
      <w:pPr>
        <w:keepNext/>
        <w:widowControl/>
        <w:ind w:firstLine="720"/>
        <w:rPr>
          <w:b/>
          <w:snapToGrid/>
          <w:color w:val="000000"/>
          <w:kern w:val="0"/>
        </w:rPr>
      </w:pPr>
      <w:r w:rsidRPr="004432B3">
        <w:rPr>
          <w:b/>
          <w:snapToGrid/>
          <w:color w:val="000000"/>
          <w:kern w:val="0"/>
        </w:rPr>
        <w:t>B.</w:t>
      </w:r>
      <w:r w:rsidRPr="004432B3">
        <w:rPr>
          <w:b/>
          <w:snapToGrid/>
          <w:color w:val="000000"/>
          <w:kern w:val="0"/>
        </w:rPr>
        <w:tab/>
        <w:t>Domestic</w:t>
      </w:r>
    </w:p>
    <w:p w14:paraId="2F38C2B2" w14:textId="77777777" w:rsidR="00247B66" w:rsidRPr="004432B3" w:rsidRDefault="00247B66" w:rsidP="00247B66">
      <w:pPr>
        <w:keepNext/>
        <w:widowControl/>
        <w:rPr>
          <w:snapToGrid/>
          <w:color w:val="000000"/>
          <w:kern w:val="0"/>
        </w:rPr>
      </w:pPr>
    </w:p>
    <w:p w14:paraId="2F91F57D" w14:textId="77777777" w:rsidR="00247B66" w:rsidRPr="004432B3" w:rsidRDefault="00247B66" w:rsidP="00247B66">
      <w:pPr>
        <w:widowControl/>
        <w:ind w:firstLine="720"/>
        <w:rPr>
          <w:snapToGrid/>
          <w:kern w:val="0"/>
          <w:szCs w:val="22"/>
        </w:rPr>
      </w:pPr>
      <w:r w:rsidRPr="004432B3">
        <w:rPr>
          <w:snapToGrid/>
          <w:color w:val="000000"/>
          <w:kern w:val="0"/>
        </w:rPr>
        <w:t xml:space="preserve">The </w:t>
      </w:r>
      <w:r>
        <w:rPr>
          <w:snapToGrid/>
          <w:color w:val="000000"/>
          <w:kern w:val="0"/>
        </w:rPr>
        <w:t xml:space="preserve">domestic section 214 application for consent to transfer control of TWT Subsidiaries to Level 3 is granted.  </w:t>
      </w:r>
    </w:p>
    <w:p w14:paraId="25DABD30" w14:textId="77777777" w:rsidR="00247B66" w:rsidRPr="00A66AD2" w:rsidRDefault="00247B66" w:rsidP="00247B66">
      <w:pPr>
        <w:jc w:val="center"/>
        <w:rPr>
          <w:b/>
        </w:rPr>
      </w:pPr>
      <w:r w:rsidRPr="00A66AD2">
        <w:rPr>
          <w:b/>
        </w:rPr>
        <w:t>Cable Landing License</w:t>
      </w:r>
    </w:p>
    <w:p w14:paraId="53988E23" w14:textId="77777777" w:rsidR="00247B66" w:rsidRDefault="00247B66" w:rsidP="00247B66">
      <w:pPr>
        <w:jc w:val="center"/>
      </w:pPr>
    </w:p>
    <w:tbl>
      <w:tblPr>
        <w:tblW w:w="9738" w:type="dxa"/>
        <w:tblLook w:val="01E0" w:firstRow="1" w:lastRow="1" w:firstColumn="1" w:lastColumn="1" w:noHBand="0" w:noVBand="0"/>
      </w:tblPr>
      <w:tblGrid>
        <w:gridCol w:w="2880"/>
        <w:gridCol w:w="3888"/>
        <w:gridCol w:w="2970"/>
      </w:tblGrid>
      <w:tr w:rsidR="00247B66" w:rsidRPr="004432B3" w14:paraId="020DF75C" w14:textId="77777777" w:rsidTr="00D216AB">
        <w:tc>
          <w:tcPr>
            <w:tcW w:w="2880" w:type="dxa"/>
          </w:tcPr>
          <w:p w14:paraId="1E91BB4B" w14:textId="77777777" w:rsidR="00247B66" w:rsidRPr="004432B3" w:rsidRDefault="00247B66" w:rsidP="00D216AB">
            <w:pPr>
              <w:widowControl/>
              <w:rPr>
                <w:b/>
                <w:snapToGrid/>
                <w:color w:val="000000"/>
                <w:kern w:val="0"/>
              </w:rPr>
            </w:pPr>
            <w:r w:rsidRPr="004432B3">
              <w:rPr>
                <w:b/>
                <w:snapToGrid/>
                <w:color w:val="000000"/>
                <w:kern w:val="0"/>
                <w:u w:val="single"/>
              </w:rPr>
              <w:t>File Number</w:t>
            </w:r>
          </w:p>
        </w:tc>
        <w:tc>
          <w:tcPr>
            <w:tcW w:w="3888" w:type="dxa"/>
          </w:tcPr>
          <w:p w14:paraId="57CAF945" w14:textId="77777777" w:rsidR="00247B66" w:rsidRPr="004432B3" w:rsidRDefault="00247B66" w:rsidP="00D216AB">
            <w:pPr>
              <w:widowControl/>
              <w:rPr>
                <w:b/>
                <w:snapToGrid/>
                <w:color w:val="000000"/>
                <w:kern w:val="0"/>
              </w:rPr>
            </w:pPr>
            <w:r w:rsidRPr="004432B3">
              <w:rPr>
                <w:b/>
                <w:snapToGrid/>
                <w:color w:val="000000"/>
                <w:kern w:val="0"/>
                <w:u w:val="single"/>
              </w:rPr>
              <w:t>Authorization Holder</w:t>
            </w:r>
          </w:p>
        </w:tc>
        <w:tc>
          <w:tcPr>
            <w:tcW w:w="2970" w:type="dxa"/>
          </w:tcPr>
          <w:p w14:paraId="20C9C1C8" w14:textId="77777777" w:rsidR="00247B66" w:rsidRPr="004432B3" w:rsidRDefault="00247B66" w:rsidP="00D216AB">
            <w:pPr>
              <w:widowControl/>
              <w:rPr>
                <w:b/>
                <w:snapToGrid/>
                <w:color w:val="000000"/>
                <w:kern w:val="0"/>
                <w:u w:val="single"/>
              </w:rPr>
            </w:pPr>
            <w:r w:rsidRPr="004432B3">
              <w:rPr>
                <w:b/>
                <w:snapToGrid/>
                <w:color w:val="000000"/>
                <w:kern w:val="0"/>
                <w:u w:val="single"/>
              </w:rPr>
              <w:t>Authorization Number</w:t>
            </w:r>
          </w:p>
          <w:p w14:paraId="771BD6D7" w14:textId="77777777" w:rsidR="00247B66" w:rsidRPr="004432B3" w:rsidRDefault="00247B66" w:rsidP="00D216AB">
            <w:pPr>
              <w:widowControl/>
              <w:rPr>
                <w:b/>
                <w:snapToGrid/>
                <w:color w:val="000000"/>
                <w:kern w:val="0"/>
                <w:u w:val="single"/>
              </w:rPr>
            </w:pPr>
          </w:p>
        </w:tc>
      </w:tr>
      <w:tr w:rsidR="00247B66" w:rsidRPr="004432B3" w14:paraId="1DB4897C" w14:textId="77777777" w:rsidTr="00D216AB">
        <w:tc>
          <w:tcPr>
            <w:tcW w:w="2880" w:type="dxa"/>
          </w:tcPr>
          <w:p w14:paraId="6CD744A2" w14:textId="77777777" w:rsidR="00247B66" w:rsidRPr="004432B3" w:rsidRDefault="00247B66" w:rsidP="00D216AB">
            <w:pPr>
              <w:widowControl/>
              <w:rPr>
                <w:snapToGrid/>
                <w:color w:val="000000"/>
                <w:kern w:val="0"/>
              </w:rPr>
            </w:pPr>
            <w:r>
              <w:rPr>
                <w:snapToGrid/>
                <w:color w:val="000000"/>
                <w:kern w:val="0"/>
              </w:rPr>
              <w:t>SCL-T/C-20140707-00005</w:t>
            </w:r>
          </w:p>
          <w:p w14:paraId="1970EE3F" w14:textId="77777777" w:rsidR="00247B66" w:rsidRPr="004432B3" w:rsidRDefault="00247B66" w:rsidP="00D216AB">
            <w:pPr>
              <w:widowControl/>
              <w:rPr>
                <w:snapToGrid/>
                <w:color w:val="000000"/>
                <w:kern w:val="0"/>
              </w:rPr>
            </w:pPr>
          </w:p>
        </w:tc>
        <w:tc>
          <w:tcPr>
            <w:tcW w:w="3888" w:type="dxa"/>
          </w:tcPr>
          <w:p w14:paraId="1C70A6F4" w14:textId="77777777" w:rsidR="00247B66" w:rsidRPr="004432B3" w:rsidRDefault="00247B66" w:rsidP="00D216AB">
            <w:pPr>
              <w:widowControl/>
              <w:rPr>
                <w:snapToGrid/>
                <w:color w:val="000000"/>
                <w:kern w:val="0"/>
              </w:rPr>
            </w:pPr>
            <w:r>
              <w:rPr>
                <w:snapToGrid/>
                <w:color w:val="000000"/>
                <w:kern w:val="0"/>
              </w:rPr>
              <w:t>tw telecom of Hawaii l.p.</w:t>
            </w:r>
          </w:p>
        </w:tc>
        <w:tc>
          <w:tcPr>
            <w:tcW w:w="2970" w:type="dxa"/>
          </w:tcPr>
          <w:p w14:paraId="28C19DBB" w14:textId="77777777" w:rsidR="00247B66" w:rsidRDefault="00247B66" w:rsidP="00D216AB">
            <w:pPr>
              <w:widowControl/>
              <w:rPr>
                <w:snapToGrid/>
                <w:color w:val="000000"/>
                <w:kern w:val="0"/>
              </w:rPr>
            </w:pPr>
            <w:r>
              <w:rPr>
                <w:snapToGrid/>
                <w:color w:val="000000"/>
                <w:kern w:val="0"/>
              </w:rPr>
              <w:t>SCL-MOD-20001025-00036</w:t>
            </w:r>
          </w:p>
          <w:p w14:paraId="26CCE687" w14:textId="77777777" w:rsidR="00247B66" w:rsidRPr="004432B3" w:rsidRDefault="00247B66" w:rsidP="00D216AB">
            <w:pPr>
              <w:widowControl/>
              <w:rPr>
                <w:snapToGrid/>
                <w:color w:val="000000"/>
                <w:kern w:val="0"/>
              </w:rPr>
            </w:pPr>
            <w:r>
              <w:rPr>
                <w:snapToGrid/>
                <w:color w:val="000000"/>
                <w:kern w:val="0"/>
              </w:rPr>
              <w:t>SCL-MOD-20131114-00012</w:t>
            </w:r>
          </w:p>
        </w:tc>
      </w:tr>
    </w:tbl>
    <w:p w14:paraId="320B159E" w14:textId="77777777" w:rsidR="00247B66" w:rsidRDefault="00247B66" w:rsidP="00247B66"/>
    <w:p w14:paraId="6E491162" w14:textId="77777777" w:rsidR="00247B66" w:rsidRDefault="00247B66" w:rsidP="00247B66"/>
    <w:p w14:paraId="042CC548" w14:textId="77777777" w:rsidR="00247B66" w:rsidRPr="00744B3B" w:rsidRDefault="00247B66" w:rsidP="00247B66">
      <w:pPr>
        <w:jc w:val="center"/>
        <w:rPr>
          <w:b/>
        </w:rPr>
      </w:pPr>
      <w:r w:rsidRPr="00744B3B">
        <w:rPr>
          <w:b/>
        </w:rPr>
        <w:t>Petitions for Declaratory Ruling</w:t>
      </w:r>
    </w:p>
    <w:p w14:paraId="44990531" w14:textId="77777777" w:rsidR="00247B66" w:rsidRDefault="00247B66" w:rsidP="00247B66">
      <w:pPr>
        <w:jc w:val="center"/>
      </w:pPr>
    </w:p>
    <w:p w14:paraId="3D68FED2" w14:textId="77777777" w:rsidR="00247B66" w:rsidRDefault="00247B66" w:rsidP="00247B66">
      <w:r>
        <w:tab/>
      </w:r>
    </w:p>
    <w:tbl>
      <w:tblPr>
        <w:tblW w:w="9738" w:type="dxa"/>
        <w:tblLook w:val="01E0" w:firstRow="1" w:lastRow="1" w:firstColumn="1" w:lastColumn="1" w:noHBand="0" w:noVBand="0"/>
      </w:tblPr>
      <w:tblGrid>
        <w:gridCol w:w="2880"/>
        <w:gridCol w:w="3888"/>
        <w:gridCol w:w="2970"/>
      </w:tblGrid>
      <w:tr w:rsidR="00247B66" w:rsidRPr="004432B3" w14:paraId="5AB04AAD" w14:textId="77777777" w:rsidTr="00D216AB">
        <w:tc>
          <w:tcPr>
            <w:tcW w:w="2880" w:type="dxa"/>
          </w:tcPr>
          <w:p w14:paraId="000485DA" w14:textId="77777777" w:rsidR="00247B66" w:rsidRPr="004432B3" w:rsidRDefault="00247B66" w:rsidP="00D216AB">
            <w:pPr>
              <w:widowControl/>
              <w:rPr>
                <w:b/>
                <w:snapToGrid/>
                <w:color w:val="000000"/>
                <w:kern w:val="0"/>
              </w:rPr>
            </w:pPr>
            <w:r w:rsidRPr="004432B3">
              <w:rPr>
                <w:b/>
                <w:snapToGrid/>
                <w:color w:val="000000"/>
                <w:kern w:val="0"/>
                <w:u w:val="single"/>
              </w:rPr>
              <w:t>File Number</w:t>
            </w:r>
          </w:p>
        </w:tc>
        <w:tc>
          <w:tcPr>
            <w:tcW w:w="3888" w:type="dxa"/>
          </w:tcPr>
          <w:p w14:paraId="488F9B37" w14:textId="77777777" w:rsidR="00247B66" w:rsidRPr="004432B3" w:rsidRDefault="00247B66" w:rsidP="00D216AB">
            <w:pPr>
              <w:widowControl/>
              <w:rPr>
                <w:b/>
                <w:snapToGrid/>
                <w:color w:val="000000"/>
                <w:kern w:val="0"/>
              </w:rPr>
            </w:pPr>
            <w:r>
              <w:rPr>
                <w:b/>
                <w:snapToGrid/>
                <w:color w:val="000000"/>
                <w:kern w:val="0"/>
                <w:u w:val="single"/>
              </w:rPr>
              <w:t>Petitioner</w:t>
            </w:r>
          </w:p>
        </w:tc>
        <w:tc>
          <w:tcPr>
            <w:tcW w:w="2970" w:type="dxa"/>
          </w:tcPr>
          <w:p w14:paraId="48426E77" w14:textId="77777777" w:rsidR="00247B66" w:rsidRDefault="00247B66" w:rsidP="00D216AB">
            <w:pPr>
              <w:widowControl/>
              <w:rPr>
                <w:b/>
                <w:snapToGrid/>
                <w:color w:val="000000"/>
                <w:kern w:val="0"/>
                <w:u w:val="single"/>
              </w:rPr>
            </w:pPr>
          </w:p>
          <w:p w14:paraId="379498A2" w14:textId="77777777" w:rsidR="00247B66" w:rsidRPr="004432B3" w:rsidRDefault="00247B66" w:rsidP="00D216AB">
            <w:pPr>
              <w:widowControl/>
              <w:rPr>
                <w:b/>
                <w:snapToGrid/>
                <w:color w:val="000000"/>
                <w:kern w:val="0"/>
                <w:u w:val="single"/>
              </w:rPr>
            </w:pPr>
          </w:p>
        </w:tc>
      </w:tr>
      <w:tr w:rsidR="00247B66" w:rsidRPr="004432B3" w14:paraId="073A919B" w14:textId="77777777" w:rsidTr="00D216AB">
        <w:tc>
          <w:tcPr>
            <w:tcW w:w="2880" w:type="dxa"/>
          </w:tcPr>
          <w:p w14:paraId="382DC828" w14:textId="77777777" w:rsidR="00247B66" w:rsidRPr="004432B3" w:rsidRDefault="00247B66" w:rsidP="00D216AB">
            <w:pPr>
              <w:widowControl/>
              <w:rPr>
                <w:snapToGrid/>
                <w:color w:val="000000"/>
                <w:kern w:val="0"/>
              </w:rPr>
            </w:pPr>
            <w:r>
              <w:rPr>
                <w:snapToGrid/>
                <w:color w:val="000000"/>
                <w:kern w:val="0"/>
              </w:rPr>
              <w:t>ISP-PDR-20140707-00005</w:t>
            </w:r>
          </w:p>
          <w:p w14:paraId="4F64834B" w14:textId="77777777" w:rsidR="00247B66" w:rsidRPr="004432B3" w:rsidRDefault="00247B66" w:rsidP="00D216AB">
            <w:pPr>
              <w:widowControl/>
              <w:rPr>
                <w:snapToGrid/>
                <w:color w:val="000000"/>
                <w:kern w:val="0"/>
              </w:rPr>
            </w:pPr>
            <w:r>
              <w:rPr>
                <w:snapToGrid/>
                <w:color w:val="000000"/>
                <w:kern w:val="0"/>
              </w:rPr>
              <w:t>ISP-PDR-20140707-00006</w:t>
            </w:r>
          </w:p>
          <w:p w14:paraId="5E0DA923" w14:textId="77777777" w:rsidR="00247B66" w:rsidRPr="004432B3" w:rsidRDefault="00247B66" w:rsidP="00D216AB">
            <w:pPr>
              <w:widowControl/>
              <w:rPr>
                <w:snapToGrid/>
                <w:color w:val="000000"/>
                <w:kern w:val="0"/>
              </w:rPr>
            </w:pPr>
            <w:r>
              <w:rPr>
                <w:snapToGrid/>
                <w:color w:val="000000"/>
                <w:kern w:val="0"/>
              </w:rPr>
              <w:t>ISP-PDR-20140707-00007</w:t>
            </w:r>
          </w:p>
          <w:p w14:paraId="4D1E9C33" w14:textId="77777777" w:rsidR="00247B66" w:rsidRPr="004432B3" w:rsidRDefault="00247B66" w:rsidP="00D216AB">
            <w:pPr>
              <w:widowControl/>
              <w:rPr>
                <w:snapToGrid/>
                <w:color w:val="000000"/>
                <w:kern w:val="0"/>
              </w:rPr>
            </w:pPr>
            <w:r>
              <w:rPr>
                <w:snapToGrid/>
                <w:color w:val="000000"/>
                <w:kern w:val="0"/>
              </w:rPr>
              <w:t>ISP-PDR-20140707-00008</w:t>
            </w:r>
          </w:p>
          <w:p w14:paraId="2A5B2D5D" w14:textId="77777777" w:rsidR="00247B66" w:rsidRPr="004432B3" w:rsidRDefault="00247B66" w:rsidP="00D216AB">
            <w:pPr>
              <w:widowControl/>
              <w:rPr>
                <w:snapToGrid/>
                <w:color w:val="000000"/>
                <w:kern w:val="0"/>
              </w:rPr>
            </w:pPr>
          </w:p>
        </w:tc>
        <w:tc>
          <w:tcPr>
            <w:tcW w:w="3888" w:type="dxa"/>
          </w:tcPr>
          <w:p w14:paraId="06E824A7" w14:textId="77777777" w:rsidR="00247B66" w:rsidRDefault="00247B66" w:rsidP="00D216AB">
            <w:pPr>
              <w:widowControl/>
              <w:rPr>
                <w:snapToGrid/>
                <w:color w:val="000000"/>
                <w:kern w:val="0"/>
              </w:rPr>
            </w:pPr>
            <w:r>
              <w:rPr>
                <w:snapToGrid/>
                <w:color w:val="000000"/>
                <w:kern w:val="0"/>
              </w:rPr>
              <w:t>Level 3 Communications, LLC</w:t>
            </w:r>
          </w:p>
          <w:p w14:paraId="12D2C24F" w14:textId="77777777" w:rsidR="00247B66" w:rsidRDefault="00247B66" w:rsidP="00D216AB">
            <w:pPr>
              <w:widowControl/>
              <w:rPr>
                <w:snapToGrid/>
                <w:color w:val="000000"/>
                <w:kern w:val="0"/>
              </w:rPr>
            </w:pPr>
            <w:r>
              <w:rPr>
                <w:snapToGrid/>
                <w:color w:val="000000"/>
                <w:kern w:val="0"/>
              </w:rPr>
              <w:t>Global Crossing Americas Solutions, Inc.</w:t>
            </w:r>
          </w:p>
          <w:p w14:paraId="3A75078C" w14:textId="77777777" w:rsidR="00247B66" w:rsidRDefault="00247B66" w:rsidP="00D216AB">
            <w:pPr>
              <w:widowControl/>
              <w:rPr>
                <w:snapToGrid/>
                <w:color w:val="000000"/>
                <w:kern w:val="0"/>
              </w:rPr>
            </w:pPr>
            <w:r>
              <w:rPr>
                <w:snapToGrid/>
                <w:color w:val="000000"/>
                <w:kern w:val="0"/>
              </w:rPr>
              <w:t>Level 3 International, Inc.</w:t>
            </w:r>
          </w:p>
          <w:p w14:paraId="36AF5E33" w14:textId="77777777" w:rsidR="00247B66" w:rsidRPr="004432B3" w:rsidRDefault="00247B66" w:rsidP="00D216AB">
            <w:pPr>
              <w:widowControl/>
              <w:rPr>
                <w:snapToGrid/>
                <w:color w:val="000000"/>
                <w:kern w:val="0"/>
              </w:rPr>
            </w:pPr>
            <w:r>
              <w:rPr>
                <w:snapToGrid/>
                <w:color w:val="000000"/>
                <w:kern w:val="0"/>
              </w:rPr>
              <w:t>Global Crossing North America, Inc.</w:t>
            </w:r>
          </w:p>
        </w:tc>
        <w:tc>
          <w:tcPr>
            <w:tcW w:w="2970" w:type="dxa"/>
          </w:tcPr>
          <w:p w14:paraId="00BDAA4A" w14:textId="77777777" w:rsidR="00247B66" w:rsidRPr="004432B3" w:rsidRDefault="00247B66" w:rsidP="00D216AB">
            <w:pPr>
              <w:widowControl/>
              <w:rPr>
                <w:snapToGrid/>
                <w:color w:val="000000"/>
                <w:kern w:val="0"/>
              </w:rPr>
            </w:pPr>
          </w:p>
        </w:tc>
      </w:tr>
    </w:tbl>
    <w:p w14:paraId="6CF0AE0A" w14:textId="77777777" w:rsidR="00247B66" w:rsidRPr="00100039" w:rsidRDefault="00247B66" w:rsidP="00247B66"/>
    <w:p w14:paraId="5F1A4D42" w14:textId="77777777" w:rsidR="004432B3" w:rsidRPr="00100039" w:rsidRDefault="004432B3" w:rsidP="008A03BA">
      <w:pPr>
        <w:keepNext/>
        <w:widowControl/>
        <w:ind w:firstLine="720"/>
      </w:pPr>
      <w:bookmarkStart w:id="51" w:name="sp_999_4"/>
      <w:bookmarkStart w:id="52" w:name="SDU_4"/>
      <w:bookmarkStart w:id="53" w:name="citeas((Cite_as:_26_F.C.C.R._13372,_*133"/>
      <w:bookmarkEnd w:id="51"/>
      <w:bookmarkEnd w:id="52"/>
      <w:bookmarkEnd w:id="53"/>
    </w:p>
    <w:sectPr w:rsidR="004432B3" w:rsidRPr="00100039" w:rsidSect="00005C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A2CEF" w14:textId="77777777" w:rsidR="0069692A" w:rsidRDefault="0069692A">
      <w:pPr>
        <w:spacing w:line="20" w:lineRule="exact"/>
      </w:pPr>
    </w:p>
  </w:endnote>
  <w:endnote w:type="continuationSeparator" w:id="0">
    <w:p w14:paraId="2C23C2F5" w14:textId="77777777" w:rsidR="0069692A" w:rsidRDefault="0069692A">
      <w:r>
        <w:t xml:space="preserve"> </w:t>
      </w:r>
    </w:p>
  </w:endnote>
  <w:endnote w:type="continuationNotice" w:id="1">
    <w:p w14:paraId="1F13493C" w14:textId="77777777" w:rsidR="0069692A" w:rsidRDefault="006969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4DF2B" w14:textId="77777777" w:rsidR="005A2A58" w:rsidRDefault="005A2A58" w:rsidP="0055614C">
    <w:pPr>
      <w:pStyle w:val="Footer"/>
      <w:framePr w:wrap="around" w:vAnchor="text" w:hAnchor="margin" w:xAlign="center" w:y="1"/>
    </w:pPr>
    <w:r>
      <w:fldChar w:fldCharType="begin"/>
    </w:r>
    <w:r>
      <w:instrText xml:space="preserve">PAGE  </w:instrText>
    </w:r>
    <w:r>
      <w:fldChar w:fldCharType="end"/>
    </w:r>
  </w:p>
  <w:p w14:paraId="2E62452C" w14:textId="77777777" w:rsidR="005A2A58" w:rsidRDefault="005A2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FFB15" w14:textId="77777777" w:rsidR="005A2A58" w:rsidRDefault="005A2A58" w:rsidP="0055614C">
    <w:pPr>
      <w:pStyle w:val="Footer"/>
      <w:framePr w:wrap="around" w:vAnchor="text" w:hAnchor="margin" w:xAlign="center" w:y="1"/>
    </w:pPr>
    <w:r>
      <w:fldChar w:fldCharType="begin"/>
    </w:r>
    <w:r>
      <w:instrText xml:space="preserve">PAGE  </w:instrText>
    </w:r>
    <w:r>
      <w:fldChar w:fldCharType="separate"/>
    </w:r>
    <w:r w:rsidR="00D44869">
      <w:rPr>
        <w:noProof/>
      </w:rPr>
      <w:t>2</w:t>
    </w:r>
    <w:r>
      <w:fldChar w:fldCharType="end"/>
    </w:r>
  </w:p>
  <w:p w14:paraId="25B01AC4" w14:textId="77777777" w:rsidR="005A2A58" w:rsidRDefault="005A2A58">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045D" w14:textId="28A680EE" w:rsidR="00986668" w:rsidRDefault="00986668">
    <w:pPr>
      <w:pStyle w:val="Footer"/>
      <w:jc w:val="center"/>
    </w:pPr>
  </w:p>
  <w:p w14:paraId="2CA5317D" w14:textId="77777777" w:rsidR="005A2A58" w:rsidRDefault="005A2A58">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0D93A" w14:textId="77777777" w:rsidR="0069692A" w:rsidRDefault="0069692A">
      <w:r>
        <w:separator/>
      </w:r>
    </w:p>
  </w:footnote>
  <w:footnote w:type="continuationSeparator" w:id="0">
    <w:p w14:paraId="243BB051" w14:textId="77777777" w:rsidR="0069692A" w:rsidRDefault="0069692A" w:rsidP="00C721AC">
      <w:pPr>
        <w:spacing w:before="120"/>
        <w:rPr>
          <w:sz w:val="20"/>
        </w:rPr>
      </w:pPr>
      <w:r>
        <w:rPr>
          <w:sz w:val="20"/>
        </w:rPr>
        <w:t xml:space="preserve">(Continued from previous page)  </w:t>
      </w:r>
      <w:r>
        <w:rPr>
          <w:sz w:val="20"/>
        </w:rPr>
        <w:separator/>
      </w:r>
    </w:p>
  </w:footnote>
  <w:footnote w:type="continuationNotice" w:id="1">
    <w:p w14:paraId="79CE7AAB" w14:textId="77777777" w:rsidR="0069692A" w:rsidRDefault="0069692A" w:rsidP="00C721AC">
      <w:pPr>
        <w:jc w:val="right"/>
        <w:rPr>
          <w:sz w:val="20"/>
        </w:rPr>
      </w:pPr>
      <w:r>
        <w:rPr>
          <w:sz w:val="20"/>
        </w:rPr>
        <w:t>(continued…)</w:t>
      </w:r>
    </w:p>
  </w:footnote>
  <w:footnote w:id="2">
    <w:p w14:paraId="7509A648" w14:textId="16ACFA90" w:rsidR="002106DE" w:rsidRPr="006D587D" w:rsidRDefault="002106DE" w:rsidP="002106DE">
      <w:pPr>
        <w:spacing w:after="120"/>
        <w:rPr>
          <w:color w:val="000000"/>
          <w:sz w:val="20"/>
        </w:rPr>
      </w:pPr>
      <w:r w:rsidRPr="006D587D">
        <w:rPr>
          <w:rStyle w:val="FootnoteReference"/>
        </w:rPr>
        <w:footnoteRef/>
      </w:r>
      <w:r w:rsidRPr="006D587D">
        <w:rPr>
          <w:sz w:val="20"/>
        </w:rPr>
        <w:t xml:space="preserve"> </w:t>
      </w:r>
      <w:r w:rsidRPr="006D587D">
        <w:rPr>
          <w:i/>
          <w:sz w:val="20"/>
        </w:rPr>
        <w:t>See</w:t>
      </w:r>
      <w:r w:rsidRPr="006D587D">
        <w:rPr>
          <w:sz w:val="20"/>
        </w:rPr>
        <w:t xml:space="preserve"> </w:t>
      </w:r>
      <w:r w:rsidRPr="006D587D">
        <w:rPr>
          <w:i/>
          <w:sz w:val="20"/>
        </w:rPr>
        <w:t>tw tel</w:t>
      </w:r>
      <w:r w:rsidR="00F93528">
        <w:rPr>
          <w:i/>
          <w:sz w:val="20"/>
        </w:rPr>
        <w:t>e</w:t>
      </w:r>
      <w:r w:rsidRPr="006D587D">
        <w:rPr>
          <w:i/>
          <w:sz w:val="20"/>
        </w:rPr>
        <w:t>com inc. and Level 3 Communications, Inc. Application for Consent to Transfer Control of Authority to Provide Global Facilities-Based and Global Resale International Telecommunications Services and of Domestic Common Carrier Transmission Lines, Pursuant to Section 214 of the Communications Act of 1934, as Amended</w:t>
      </w:r>
      <w:r w:rsidR="000D5AFE">
        <w:rPr>
          <w:sz w:val="20"/>
        </w:rPr>
        <w:t>,</w:t>
      </w:r>
      <w:r w:rsidRPr="006D587D">
        <w:rPr>
          <w:sz w:val="20"/>
        </w:rPr>
        <w:t xml:space="preserve"> WC Docket No. 14-104 (filed July 8, 2014) (</w:t>
      </w:r>
      <w:r w:rsidR="000D5AFE">
        <w:rPr>
          <w:sz w:val="20"/>
        </w:rPr>
        <w:t xml:space="preserve">Domestic 214 </w:t>
      </w:r>
      <w:r w:rsidRPr="006D587D">
        <w:rPr>
          <w:sz w:val="20"/>
        </w:rPr>
        <w:t xml:space="preserve">Application); </w:t>
      </w:r>
      <w:r w:rsidRPr="006D587D">
        <w:rPr>
          <w:color w:val="000000"/>
          <w:sz w:val="20"/>
        </w:rPr>
        <w:t>ITC-T/C-20140707-00193 (filed July 7, 2014); and</w:t>
      </w:r>
      <w:r w:rsidR="000D5AFE">
        <w:rPr>
          <w:color w:val="000000"/>
          <w:sz w:val="20"/>
        </w:rPr>
        <w:t xml:space="preserve"> </w:t>
      </w:r>
      <w:r w:rsidRPr="006D587D">
        <w:rPr>
          <w:color w:val="000000"/>
          <w:sz w:val="20"/>
        </w:rPr>
        <w:t>SCL-T/C-20140707-00005</w:t>
      </w:r>
      <w:r w:rsidR="00EC08EA">
        <w:rPr>
          <w:color w:val="000000"/>
          <w:sz w:val="20"/>
        </w:rPr>
        <w:t xml:space="preserve"> </w:t>
      </w:r>
      <w:r w:rsidRPr="006D587D">
        <w:rPr>
          <w:color w:val="000000"/>
          <w:sz w:val="20"/>
        </w:rPr>
        <w:t>(filed July 7, 2014)</w:t>
      </w:r>
      <w:r w:rsidR="00E053F4">
        <w:rPr>
          <w:color w:val="000000"/>
          <w:sz w:val="20"/>
        </w:rPr>
        <w:t xml:space="preserve"> </w:t>
      </w:r>
      <w:r w:rsidR="006D2FDA">
        <w:rPr>
          <w:color w:val="000000"/>
          <w:sz w:val="20"/>
        </w:rPr>
        <w:t xml:space="preserve">(International 214 Applications) </w:t>
      </w:r>
      <w:r w:rsidR="00E053F4">
        <w:rPr>
          <w:color w:val="000000"/>
          <w:sz w:val="20"/>
        </w:rPr>
        <w:t>(collectively, Applications)</w:t>
      </w:r>
      <w:r w:rsidRPr="006D587D">
        <w:rPr>
          <w:sz w:val="20"/>
        </w:rPr>
        <w:t xml:space="preserve">.  </w:t>
      </w:r>
    </w:p>
  </w:footnote>
  <w:footnote w:id="3">
    <w:p w14:paraId="0E3D1750" w14:textId="77777777" w:rsidR="002106DE" w:rsidRPr="006D587D" w:rsidRDefault="002106DE" w:rsidP="002106DE">
      <w:pPr>
        <w:pStyle w:val="FootnoteText"/>
      </w:pPr>
      <w:r w:rsidRPr="006D587D">
        <w:rPr>
          <w:rStyle w:val="FootnoteReference"/>
        </w:rPr>
        <w:footnoteRef/>
      </w:r>
      <w:r w:rsidRPr="006D587D">
        <w:t xml:space="preserve"> 47 U.S.C. § 214.</w:t>
      </w:r>
    </w:p>
  </w:footnote>
  <w:footnote w:id="4">
    <w:p w14:paraId="58B414FA" w14:textId="4AC26E97" w:rsidR="002106DE" w:rsidRPr="006D587D" w:rsidRDefault="002106DE" w:rsidP="002106DE">
      <w:pPr>
        <w:pStyle w:val="FootnoteText"/>
      </w:pPr>
      <w:r w:rsidRPr="006D587D">
        <w:rPr>
          <w:rStyle w:val="FootnoteReference"/>
        </w:rPr>
        <w:footnoteRef/>
      </w:r>
      <w:r>
        <w:t xml:space="preserve"> </w:t>
      </w:r>
      <w:r>
        <w:rPr>
          <w:i/>
        </w:rPr>
        <w:t xml:space="preserve">See </w:t>
      </w:r>
      <w:r w:rsidR="00EC08EA">
        <w:t>47 U.S.C.</w:t>
      </w:r>
      <w:r w:rsidRPr="006D587D">
        <w:t xml:space="preserve"> §§ 34-39. </w:t>
      </w:r>
    </w:p>
  </w:footnote>
  <w:footnote w:id="5">
    <w:p w14:paraId="0F95AE83" w14:textId="77777777" w:rsidR="005A2A58" w:rsidRPr="00AB0617" w:rsidRDefault="005A2A58" w:rsidP="004C4752">
      <w:pPr>
        <w:pStyle w:val="FootnoteText"/>
        <w:rPr>
          <w:color w:val="000000"/>
        </w:rPr>
      </w:pPr>
      <w:r w:rsidRPr="00AB0617">
        <w:rPr>
          <w:rStyle w:val="FootnoteReference"/>
          <w:color w:val="000000"/>
        </w:rPr>
        <w:footnoteRef/>
      </w:r>
      <w:r w:rsidRPr="00AB0617">
        <w:rPr>
          <w:color w:val="000000"/>
        </w:rPr>
        <w:t xml:space="preserve"> 47 U.S.C. § 214(a).</w:t>
      </w:r>
    </w:p>
  </w:footnote>
  <w:footnote w:id="6">
    <w:p w14:paraId="7C549C72" w14:textId="77777777" w:rsidR="005A2A58" w:rsidRPr="005A076E" w:rsidRDefault="005A2A58">
      <w:pPr>
        <w:pStyle w:val="FootnoteText"/>
      </w:pPr>
      <w:r>
        <w:rPr>
          <w:rStyle w:val="FootnoteReference"/>
        </w:rPr>
        <w:footnoteRef/>
      </w:r>
      <w:r>
        <w:t xml:space="preserve"> </w:t>
      </w:r>
      <w:r>
        <w:rPr>
          <w:i/>
        </w:rPr>
        <w:t>See infra</w:t>
      </w:r>
      <w:r w:rsidR="000D5AFE">
        <w:t xml:space="preserve"> paras. 8-2</w:t>
      </w:r>
      <w:r w:rsidR="00721AAF">
        <w:t>2</w:t>
      </w:r>
      <w:r>
        <w:t>.</w:t>
      </w:r>
    </w:p>
  </w:footnote>
  <w:footnote w:id="7">
    <w:p w14:paraId="5502BED8" w14:textId="77777777" w:rsidR="003C6098" w:rsidRDefault="003C6098">
      <w:pPr>
        <w:pStyle w:val="FootnoteText"/>
      </w:pPr>
      <w:r>
        <w:rPr>
          <w:rStyle w:val="FootnoteReference"/>
        </w:rPr>
        <w:footnoteRef/>
      </w:r>
      <w:r>
        <w:t xml:space="preserve"> </w:t>
      </w:r>
      <w:r w:rsidRPr="003C6098">
        <w:t>Domestic 214 Application at 6</w:t>
      </w:r>
      <w:r w:rsidR="0039774A">
        <w:t>.</w:t>
      </w:r>
    </w:p>
  </w:footnote>
  <w:footnote w:id="8">
    <w:p w14:paraId="65604101" w14:textId="77777777" w:rsidR="005E7464" w:rsidRPr="006D587D" w:rsidRDefault="005E7464" w:rsidP="005E7464">
      <w:pPr>
        <w:pStyle w:val="FootnoteText"/>
      </w:pPr>
      <w:r w:rsidRPr="006D587D">
        <w:rPr>
          <w:rStyle w:val="FootnoteReference"/>
        </w:rPr>
        <w:footnoteRef/>
      </w:r>
      <w:r w:rsidR="009276E8">
        <w:t xml:space="preserve"> </w:t>
      </w:r>
      <w:r w:rsidR="0039774A" w:rsidRPr="00005C7E">
        <w:rPr>
          <w:i/>
        </w:rPr>
        <w:t>Id</w:t>
      </w:r>
      <w:r w:rsidR="0039774A">
        <w:t>. at 9.</w:t>
      </w:r>
    </w:p>
  </w:footnote>
  <w:footnote w:id="9">
    <w:p w14:paraId="38AAA9B7" w14:textId="77777777" w:rsidR="005E7464" w:rsidRPr="006D587D" w:rsidRDefault="005E7464" w:rsidP="005E7464">
      <w:pPr>
        <w:pStyle w:val="FootnoteText"/>
      </w:pPr>
      <w:r w:rsidRPr="006D587D">
        <w:rPr>
          <w:rStyle w:val="FootnoteReference"/>
        </w:rPr>
        <w:footnoteRef/>
      </w:r>
      <w:r w:rsidRPr="006D587D">
        <w:t xml:space="preserve"> </w:t>
      </w:r>
      <w:r w:rsidRPr="006D587D">
        <w:rPr>
          <w:i/>
        </w:rPr>
        <w:t>Id</w:t>
      </w:r>
      <w:r w:rsidRPr="006D587D">
        <w:t>. at 18-19.</w:t>
      </w:r>
    </w:p>
  </w:footnote>
  <w:footnote w:id="10">
    <w:p w14:paraId="063DAFF8" w14:textId="77777777" w:rsidR="008E2893" w:rsidRPr="0006375B" w:rsidRDefault="008E2893" w:rsidP="008E2893">
      <w:pPr>
        <w:pStyle w:val="FootnoteText"/>
      </w:pPr>
      <w:r w:rsidRPr="006D587D">
        <w:rPr>
          <w:rStyle w:val="FootnoteReference"/>
        </w:rPr>
        <w:footnoteRef/>
      </w:r>
      <w:r w:rsidRPr="006D587D">
        <w:t xml:space="preserve"> </w:t>
      </w:r>
      <w:r w:rsidR="00E053F4">
        <w:rPr>
          <w:i/>
        </w:rPr>
        <w:t>Id</w:t>
      </w:r>
      <w:r w:rsidR="00E053F4">
        <w:t>.</w:t>
      </w:r>
      <w:r w:rsidRPr="006D587D">
        <w:t xml:space="preserve"> at 3-6.</w:t>
      </w:r>
      <w:r w:rsidR="0006375B" w:rsidRPr="0006375B">
        <w:t xml:space="preserve"> </w:t>
      </w:r>
      <w:r w:rsidR="0006375B">
        <w:t xml:space="preserve"> Applicants state that TWT Parent was originally founded as a division of Time Warner Cable, which was owned by Time </w:t>
      </w:r>
      <w:r w:rsidR="0006375B" w:rsidRPr="003B284E">
        <w:t>Warner</w:t>
      </w:r>
      <w:r w:rsidR="0006375B">
        <w:t xml:space="preserve"> Inc.  Time Warner Inc. sold its ownership stake in TWT Parent in 2006, and, according to Applicants, neither Time Warner Inc. nor Time Warner Cable currently </w:t>
      </w:r>
      <w:r w:rsidR="00072416">
        <w:t>holds</w:t>
      </w:r>
      <w:r w:rsidR="0006375B">
        <w:t xml:space="preserve"> any ownership interest in TWT Parent.  </w:t>
      </w:r>
      <w:r w:rsidR="0006375B">
        <w:rPr>
          <w:i/>
        </w:rPr>
        <w:t>Id</w:t>
      </w:r>
      <w:r w:rsidR="0006375B">
        <w:t>.</w:t>
      </w:r>
    </w:p>
  </w:footnote>
  <w:footnote w:id="11">
    <w:p w14:paraId="07947272" w14:textId="77777777" w:rsidR="008E2893" w:rsidRPr="006D587D" w:rsidRDefault="008E2893" w:rsidP="008E2893">
      <w:pPr>
        <w:pStyle w:val="FootnoteText"/>
      </w:pPr>
      <w:r w:rsidRPr="006D587D">
        <w:rPr>
          <w:rStyle w:val="FootnoteReference"/>
        </w:rPr>
        <w:footnoteRef/>
      </w:r>
      <w:r w:rsidRPr="006D587D">
        <w:t xml:space="preserve"> </w:t>
      </w:r>
      <w:r w:rsidRPr="006D587D">
        <w:rPr>
          <w:i/>
        </w:rPr>
        <w:t>Id</w:t>
      </w:r>
      <w:r w:rsidRPr="006D587D">
        <w:t>. at 3-4.</w:t>
      </w:r>
    </w:p>
  </w:footnote>
  <w:footnote w:id="12">
    <w:p w14:paraId="2CAEEAF4" w14:textId="5C95F5D9" w:rsidR="0015321C" w:rsidRDefault="0015321C">
      <w:pPr>
        <w:pStyle w:val="FootnoteText"/>
      </w:pPr>
      <w:r>
        <w:rPr>
          <w:rStyle w:val="FootnoteReference"/>
        </w:rPr>
        <w:footnoteRef/>
      </w:r>
      <w:r>
        <w:t xml:space="preserve"> </w:t>
      </w:r>
      <w:r w:rsidRPr="006679C0">
        <w:rPr>
          <w:i/>
        </w:rPr>
        <w:t>Id</w:t>
      </w:r>
      <w:r>
        <w:t>. at 3.</w:t>
      </w:r>
    </w:p>
  </w:footnote>
  <w:footnote w:id="13">
    <w:p w14:paraId="64F73F7A" w14:textId="77777777" w:rsidR="008E2893" w:rsidRPr="006D587D" w:rsidRDefault="008E2893" w:rsidP="008E2893">
      <w:pPr>
        <w:pStyle w:val="FootnoteText"/>
      </w:pPr>
      <w:r w:rsidRPr="006D587D">
        <w:rPr>
          <w:rStyle w:val="FootnoteReference"/>
        </w:rPr>
        <w:footnoteRef/>
      </w:r>
      <w:r w:rsidRPr="006D587D">
        <w:t xml:space="preserve"> TWT Hawaii owns HIFN jointly with Wavecom Solutions Corporation (Wavecom), a subsidiary of Hawaiian Telcom Inc.  This transaction does not affect the Wavecom ownership in HIFN.  </w:t>
      </w:r>
      <w:r w:rsidRPr="006D587D">
        <w:rPr>
          <w:i/>
        </w:rPr>
        <w:t>Id</w:t>
      </w:r>
      <w:r w:rsidRPr="006D587D">
        <w:t xml:space="preserve">. at 13. </w:t>
      </w:r>
    </w:p>
  </w:footnote>
  <w:footnote w:id="14">
    <w:p w14:paraId="7C4B10C5" w14:textId="77777777" w:rsidR="008E2893" w:rsidRDefault="008E2893" w:rsidP="008E2893">
      <w:pPr>
        <w:pStyle w:val="FootnoteText"/>
      </w:pPr>
      <w:r>
        <w:rPr>
          <w:rStyle w:val="FootnoteReference"/>
        </w:rPr>
        <w:footnoteRef/>
      </w:r>
      <w:r>
        <w:t xml:space="preserve"> </w:t>
      </w:r>
      <w:r w:rsidRPr="009E2B86">
        <w:rPr>
          <w:i/>
        </w:rPr>
        <w:t>Id</w:t>
      </w:r>
      <w:r w:rsidRPr="009E2B86">
        <w:t>. at 7.</w:t>
      </w:r>
    </w:p>
  </w:footnote>
  <w:footnote w:id="15">
    <w:p w14:paraId="66CF5385" w14:textId="77777777" w:rsidR="008E2893" w:rsidRDefault="008E2893" w:rsidP="008E2893">
      <w:pPr>
        <w:pStyle w:val="FootnoteText"/>
      </w:pPr>
      <w:r>
        <w:rPr>
          <w:rStyle w:val="FootnoteReference"/>
        </w:rPr>
        <w:footnoteRef/>
      </w:r>
      <w:r>
        <w:t xml:space="preserve"> </w:t>
      </w:r>
      <w:r w:rsidRPr="009E2B86">
        <w:rPr>
          <w:i/>
        </w:rPr>
        <w:t>Id.</w:t>
      </w:r>
      <w:r w:rsidRPr="009E2B86">
        <w:t xml:space="preserve"> at 1.</w:t>
      </w:r>
      <w:r>
        <w:t xml:space="preserve"> </w:t>
      </w:r>
      <w:r w:rsidR="003B5E12">
        <w:t xml:space="preserve"> </w:t>
      </w:r>
    </w:p>
  </w:footnote>
  <w:footnote w:id="16">
    <w:p w14:paraId="3AC3FC32" w14:textId="77777777" w:rsidR="008E2893" w:rsidRDefault="008E2893" w:rsidP="008E2893">
      <w:pPr>
        <w:pStyle w:val="FootnoteText"/>
      </w:pPr>
      <w:r>
        <w:rPr>
          <w:rStyle w:val="FootnoteReference"/>
        </w:rPr>
        <w:footnoteRef/>
      </w:r>
      <w:r>
        <w:t xml:space="preserve"> </w:t>
      </w:r>
      <w:r w:rsidRPr="009E2B86">
        <w:rPr>
          <w:i/>
        </w:rPr>
        <w:t xml:space="preserve">Id. </w:t>
      </w:r>
      <w:r w:rsidRPr="009E2B86">
        <w:t>at 6-7.</w:t>
      </w:r>
    </w:p>
  </w:footnote>
  <w:footnote w:id="17">
    <w:p w14:paraId="0BAECCB4" w14:textId="77777777" w:rsidR="008E2893" w:rsidRPr="006D587D" w:rsidRDefault="008E2893" w:rsidP="008E2893">
      <w:pPr>
        <w:pStyle w:val="FootnoteText"/>
      </w:pPr>
      <w:r w:rsidRPr="006D587D">
        <w:rPr>
          <w:rStyle w:val="FootnoteReference"/>
        </w:rPr>
        <w:footnoteRef/>
      </w:r>
      <w:r w:rsidRPr="006D587D">
        <w:t xml:space="preserve"> </w:t>
      </w:r>
      <w:r w:rsidRPr="00B91E31">
        <w:rPr>
          <w:i/>
        </w:rPr>
        <w:t>Id</w:t>
      </w:r>
      <w:r>
        <w:t xml:space="preserve">. </w:t>
      </w:r>
      <w:r w:rsidRPr="006D587D">
        <w:t>at 7-8.</w:t>
      </w:r>
    </w:p>
  </w:footnote>
  <w:footnote w:id="18">
    <w:p w14:paraId="4BEFD441" w14:textId="6EB6B12C" w:rsidR="008345EB" w:rsidRDefault="008345EB">
      <w:pPr>
        <w:pStyle w:val="FootnoteText"/>
      </w:pPr>
      <w:r>
        <w:rPr>
          <w:rStyle w:val="FootnoteReference"/>
        </w:rPr>
        <w:footnoteRef/>
      </w:r>
      <w:r>
        <w:t xml:space="preserve"> </w:t>
      </w:r>
      <w:r w:rsidRPr="002B67F0">
        <w:rPr>
          <w:i/>
        </w:rPr>
        <w:t>Applications Filed for the Transfer of Control of TW Telecom Inc. to Level 3 Communications, Inc</w:t>
      </w:r>
      <w:r>
        <w:t xml:space="preserve">., WC Docket No. 14-104, Public Notice, </w:t>
      </w:r>
      <w:r w:rsidR="0045225F">
        <w:t>29 FCC Rcd 8521</w:t>
      </w:r>
      <w:r>
        <w:t xml:space="preserve"> (</w:t>
      </w:r>
      <w:r w:rsidR="0045225F">
        <w:t>WCB/IB</w:t>
      </w:r>
      <w:r>
        <w:t xml:space="preserve"> 2014).</w:t>
      </w:r>
    </w:p>
  </w:footnote>
  <w:footnote w:id="19">
    <w:p w14:paraId="4AAEAAAA" w14:textId="53EC87C3" w:rsidR="000F644C" w:rsidRDefault="000F644C" w:rsidP="000F644C">
      <w:pPr>
        <w:pStyle w:val="FootnoteText"/>
      </w:pPr>
      <w:r>
        <w:rPr>
          <w:rStyle w:val="FootnoteReference"/>
        </w:rPr>
        <w:footnoteRef/>
      </w:r>
      <w:r>
        <w:t xml:space="preserve"> </w:t>
      </w:r>
      <w:r w:rsidR="00D72C84">
        <w:t xml:space="preserve">Comments of </w:t>
      </w:r>
      <w:r>
        <w:t>CenturyLink</w:t>
      </w:r>
      <w:r w:rsidR="00D72C84">
        <w:t xml:space="preserve">, WC Docket No. 14-104, </w:t>
      </w:r>
      <w:r>
        <w:t xml:space="preserve"> at 4-7</w:t>
      </w:r>
      <w:r w:rsidR="00D72C84">
        <w:t xml:space="preserve"> (filed Aug. 18, 2014) (CenturyLink Comments)</w:t>
      </w:r>
      <w:r>
        <w:t xml:space="preserve">; </w:t>
      </w:r>
      <w:r w:rsidR="00D72C84">
        <w:t xml:space="preserve">Reply Comments of </w:t>
      </w:r>
      <w:r>
        <w:t xml:space="preserve">FairPoint </w:t>
      </w:r>
      <w:r w:rsidR="00D72C84">
        <w:t xml:space="preserve">Communications, Inc., WC Docket No. 14-104, </w:t>
      </w:r>
      <w:r>
        <w:t xml:space="preserve"> at 1-2</w:t>
      </w:r>
      <w:r w:rsidR="00D72C84">
        <w:t xml:space="preserve"> (filed Sept. 2, 2014) (FairPoint Reply)</w:t>
      </w:r>
      <w:r>
        <w:t xml:space="preserve">; </w:t>
      </w:r>
      <w:r w:rsidR="006A4176">
        <w:t>Foreman Seeley Fountain Opposition to Level 3 Communications and tw telecom inc</w:t>
      </w:r>
      <w:r w:rsidR="002F4E11">
        <w:t xml:space="preserve">. </w:t>
      </w:r>
      <w:r w:rsidR="006A4176">
        <w:t xml:space="preserve">214 Applications to Transfer Authorizations of </w:t>
      </w:r>
      <w:r w:rsidR="002F4E11">
        <w:t xml:space="preserve">Subsidiaries of tw telecom inc. </w:t>
      </w:r>
      <w:r w:rsidR="006A4176">
        <w:t xml:space="preserve">to Level 3, WC Docket No. 14-104, </w:t>
      </w:r>
      <w:r>
        <w:t xml:space="preserve"> at 16</w:t>
      </w:r>
      <w:r w:rsidR="006A4176">
        <w:t xml:space="preserve"> (filed Aug. 18, 2014) (FSF Opposition)</w:t>
      </w:r>
      <w:r>
        <w:t xml:space="preserve">; </w:t>
      </w:r>
      <w:r w:rsidR="006A4176">
        <w:t xml:space="preserve">Comments of Proximiti Technologies, Inc., WC Docket No. 14-104, </w:t>
      </w:r>
      <w:r>
        <w:t xml:space="preserve"> at 3</w:t>
      </w:r>
      <w:r w:rsidR="006A4176">
        <w:t xml:space="preserve"> (filed Aug. 18, 2014) (Proximiti Comments)</w:t>
      </w:r>
      <w:r>
        <w:t>.</w:t>
      </w:r>
    </w:p>
  </w:footnote>
  <w:footnote w:id="20">
    <w:p w14:paraId="4AFA6CE1" w14:textId="71B7D081" w:rsidR="004A444F" w:rsidRDefault="004A444F">
      <w:pPr>
        <w:pStyle w:val="FootnoteText"/>
      </w:pPr>
      <w:r>
        <w:rPr>
          <w:rStyle w:val="FootnoteReference"/>
        </w:rPr>
        <w:footnoteRef/>
      </w:r>
      <w:r>
        <w:t xml:space="preserve"> Letter from Joanne P. Ongman, National Security Division, DOJ, </w:t>
      </w:r>
      <w:r w:rsidR="00912F8E" w:rsidRPr="00912F8E">
        <w:t xml:space="preserve">to Marlene H. Dortch, </w:t>
      </w:r>
      <w:r w:rsidR="0045225F">
        <w:t xml:space="preserve">Secretary, </w:t>
      </w:r>
      <w:r w:rsidR="00912F8E" w:rsidRPr="00912F8E">
        <w:t xml:space="preserve">FCC, </w:t>
      </w:r>
      <w:r w:rsidR="00912F8E">
        <w:t>WC Docket No. 14-104 (filed</w:t>
      </w:r>
      <w:r>
        <w:t xml:space="preserve"> Aug. 18, 2014</w:t>
      </w:r>
      <w:r w:rsidR="00912F8E">
        <w:t>)</w:t>
      </w:r>
      <w:r>
        <w:t>.</w:t>
      </w:r>
    </w:p>
  </w:footnote>
  <w:footnote w:id="21">
    <w:p w14:paraId="0F9D15DF" w14:textId="33C6D7E1" w:rsidR="004A444F" w:rsidRDefault="004A444F">
      <w:pPr>
        <w:pStyle w:val="FootnoteText"/>
      </w:pPr>
      <w:r>
        <w:rPr>
          <w:rStyle w:val="FootnoteReference"/>
        </w:rPr>
        <w:footnoteRef/>
      </w:r>
      <w:r>
        <w:t xml:space="preserve"> Letter </w:t>
      </w:r>
      <w:r w:rsidR="00912F8E">
        <w:t xml:space="preserve">from Joanne P. Ongman, National Security Division, DOJ, </w:t>
      </w:r>
      <w:r>
        <w:t xml:space="preserve">to Marlene H. Dortch, </w:t>
      </w:r>
      <w:r w:rsidR="0045225F">
        <w:t xml:space="preserve">Secretary, </w:t>
      </w:r>
      <w:r>
        <w:t xml:space="preserve">FCC, </w:t>
      </w:r>
      <w:r w:rsidR="00912F8E">
        <w:t xml:space="preserve">WC Docket No. 14-104 (filed </w:t>
      </w:r>
      <w:r>
        <w:t>Oct. 22, 2014</w:t>
      </w:r>
      <w:r w:rsidR="00912F8E">
        <w:t>) (DOJ</w:t>
      </w:r>
      <w:r w:rsidR="00912F8E" w:rsidRPr="00E4512B">
        <w:t xml:space="preserve"> </w:t>
      </w:r>
      <w:r w:rsidR="00912F8E">
        <w:t>Oct</w:t>
      </w:r>
      <w:r w:rsidR="00912F8E" w:rsidRPr="00E4512B">
        <w:t xml:space="preserve">. </w:t>
      </w:r>
      <w:r w:rsidR="00912F8E">
        <w:t>2</w:t>
      </w:r>
      <w:r w:rsidR="00912F8E" w:rsidRPr="00E4512B">
        <w:t xml:space="preserve">2, 2014 </w:t>
      </w:r>
      <w:r w:rsidR="00912F8E" w:rsidRPr="00E4512B">
        <w:rPr>
          <w:i/>
        </w:rPr>
        <w:t>Ex Parte</w:t>
      </w:r>
      <w:r w:rsidR="00912F8E" w:rsidRPr="00E4512B">
        <w:t xml:space="preserve"> </w:t>
      </w:r>
      <w:r w:rsidR="00912F8E">
        <w:t>Letter)</w:t>
      </w:r>
      <w:r>
        <w:t>.</w:t>
      </w:r>
    </w:p>
  </w:footnote>
  <w:footnote w:id="22">
    <w:p w14:paraId="29D60890" w14:textId="72E7081E" w:rsidR="000F644C" w:rsidRPr="0016771D" w:rsidRDefault="000F644C" w:rsidP="000F644C">
      <w:pPr>
        <w:pStyle w:val="FootnoteText"/>
        <w:rPr>
          <w:color w:val="000000" w:themeColor="text1"/>
        </w:rPr>
      </w:pPr>
      <w:r>
        <w:rPr>
          <w:rStyle w:val="FootnoteReference"/>
        </w:rPr>
        <w:footnoteRef/>
      </w:r>
      <w:r>
        <w:t xml:space="preserve"> Early Termination Notices, </w:t>
      </w:r>
      <w:hyperlink r:id="rId1" w:history="1">
        <w:r w:rsidRPr="0016771D">
          <w:rPr>
            <w:rStyle w:val="Hyperlink"/>
            <w:color w:val="000000" w:themeColor="text1"/>
            <w:u w:val="none"/>
          </w:rPr>
          <w:t>http://www.ftc.gov/enforcement/premerger-notification-program/early-termination-notices/20141222</w:t>
        </w:r>
      </w:hyperlink>
      <w:r w:rsidRPr="0016771D">
        <w:rPr>
          <w:color w:val="000000" w:themeColor="text1"/>
        </w:rPr>
        <w:t xml:space="preserve">.  </w:t>
      </w:r>
    </w:p>
  </w:footnote>
  <w:footnote w:id="23">
    <w:p w14:paraId="131336C2" w14:textId="7124281F" w:rsidR="00B657A2" w:rsidRPr="00C60E3A" w:rsidRDefault="00B657A2" w:rsidP="00B657A2">
      <w:pPr>
        <w:pStyle w:val="FootnoteText"/>
      </w:pPr>
      <w:r w:rsidRPr="00C60E3A">
        <w:rPr>
          <w:rStyle w:val="FootnoteReference"/>
        </w:rPr>
        <w:footnoteRef/>
      </w:r>
      <w:r w:rsidRPr="00C60E3A">
        <w:t xml:space="preserve"> </w:t>
      </w:r>
      <w:hyperlink r:id="rId2" w:tgtFrame="_top" w:history="1">
        <w:r w:rsidRPr="00576E7A">
          <w:t>47 U.S.C. §§ 34</w:t>
        </w:r>
      </w:hyperlink>
      <w:r w:rsidRPr="00576E7A">
        <w:t>-</w:t>
      </w:r>
      <w:hyperlink r:id="rId3" w:tgtFrame="_top" w:history="1">
        <w:r w:rsidRPr="00576E7A">
          <w:t>39</w:t>
        </w:r>
      </w:hyperlink>
      <w:r w:rsidRPr="00C60E3A">
        <w:t xml:space="preserve">, 214(a). </w:t>
      </w:r>
      <w:r w:rsidR="0045225F">
        <w:t xml:space="preserve"> </w:t>
      </w:r>
      <w:r w:rsidRPr="00C60E3A">
        <w:t>The Cable Landing License Act provides that approval of a license application may be granted “upon such terms as shall be necessary to assure just and reasonable rates and service.”</w:t>
      </w:r>
      <w:r w:rsidR="0015321C">
        <w:t xml:space="preserve"> </w:t>
      </w:r>
      <w:r w:rsidRPr="00C60E3A">
        <w:t xml:space="preserve"> </w:t>
      </w:r>
      <w:hyperlink r:id="rId4" w:tgtFrame="_top" w:history="1">
        <w:r w:rsidRPr="00C60E3A">
          <w:t>47 U.S.C. § 35</w:t>
        </w:r>
      </w:hyperlink>
      <w:r w:rsidRPr="00C60E3A">
        <w:t xml:space="preserve">. The Commission does not conduct a separate public interest analysis under this statute.  </w:t>
      </w:r>
      <w:r w:rsidRPr="00C60E3A">
        <w:rPr>
          <w:i/>
          <w:iCs/>
        </w:rPr>
        <w:t xml:space="preserve">See, e.g., </w:t>
      </w:r>
      <w:hyperlink r:id="rId5" w:tgtFrame="_top" w:history="1">
        <w:r w:rsidRPr="00C60E3A">
          <w:rPr>
            <w:i/>
            <w:iCs/>
          </w:rPr>
          <w:t>SBC Communications, Inc. and AT&amp;T Corp. Applications for Approval of Transfer of Control</w:t>
        </w:r>
        <w:r w:rsidRPr="00C60E3A">
          <w:t>, WC Docket No. 05-65, Memorandum Opinion and Order, 20 FCC Rcd 18290, 18300</w:t>
        </w:r>
        <w:r w:rsidR="0045225F">
          <w:t>, para. 16</w:t>
        </w:r>
        <w:r w:rsidRPr="00C60E3A">
          <w:t xml:space="preserve"> n.59</w:t>
        </w:r>
      </w:hyperlink>
      <w:r w:rsidRPr="00C60E3A">
        <w:t xml:space="preserve"> (2005); </w:t>
      </w:r>
      <w:r w:rsidRPr="00C60E3A">
        <w:rPr>
          <w:i/>
          <w:iCs/>
        </w:rPr>
        <w:t>Verizon Communications, Inc. and MCI, Inc. Applications for Approval of Transfer of Control</w:t>
      </w:r>
      <w:r w:rsidRPr="00C60E3A">
        <w:t xml:space="preserve">, WC Docket No. 05-75, Memorandum Opinion and Order, </w:t>
      </w:r>
      <w:hyperlink r:id="rId6" w:tgtFrame="_top" w:history="1">
        <w:r w:rsidRPr="00C60E3A">
          <w:t>20 FCC Rcd 18433, 18442</w:t>
        </w:r>
        <w:r w:rsidR="0045225F">
          <w:t>, para. 16</w:t>
        </w:r>
        <w:r w:rsidRPr="00C60E3A">
          <w:t xml:space="preserve"> n.58 (2005)</w:t>
        </w:r>
      </w:hyperlink>
      <w:r w:rsidRPr="00C60E3A">
        <w:t>.</w:t>
      </w:r>
    </w:p>
  </w:footnote>
  <w:footnote w:id="24">
    <w:p w14:paraId="63287E07" w14:textId="77777777" w:rsidR="005A2A58" w:rsidRPr="003A550C" w:rsidRDefault="005A2A58" w:rsidP="00101344">
      <w:pPr>
        <w:pStyle w:val="FootnoteText"/>
        <w:rPr>
          <w:color w:val="000000"/>
        </w:rPr>
      </w:pPr>
      <w:r w:rsidRPr="00AB0617">
        <w:rPr>
          <w:rStyle w:val="FootnoteReference"/>
          <w:color w:val="000000"/>
        </w:rPr>
        <w:footnoteRef/>
      </w:r>
      <w:r w:rsidRPr="00AB0617">
        <w:rPr>
          <w:color w:val="000000"/>
        </w:rPr>
        <w:t xml:space="preserve"> </w:t>
      </w:r>
      <w:r w:rsidRPr="00AB0617">
        <w:rPr>
          <w:i/>
          <w:color w:val="000000"/>
        </w:rPr>
        <w:t xml:space="preserve">Applications </w:t>
      </w:r>
      <w:r>
        <w:rPr>
          <w:i/>
          <w:color w:val="000000"/>
        </w:rPr>
        <w:t>filed by</w:t>
      </w:r>
      <w:r w:rsidRPr="00AB0617">
        <w:rPr>
          <w:i/>
          <w:color w:val="000000"/>
        </w:rPr>
        <w:t xml:space="preserve"> Qwest Communications International Inc. and CenturyTel, Inc. d/b/a CenturyLink for Consent to Transfer Control</w:t>
      </w:r>
      <w:r w:rsidRPr="00AB0617">
        <w:rPr>
          <w:color w:val="000000"/>
        </w:rPr>
        <w:t>, WC Docket No. 10-110, Memorandum Opinion and Order, 26 FCC Rcd 4194, 4199, para. 7 (2011)</w:t>
      </w:r>
      <w:r w:rsidR="00345E1F">
        <w:rPr>
          <w:color w:val="000000"/>
        </w:rPr>
        <w:t xml:space="preserve"> (</w:t>
      </w:r>
      <w:r w:rsidR="00345E1F" w:rsidRPr="00345E1F">
        <w:rPr>
          <w:i/>
          <w:color w:val="000000"/>
        </w:rPr>
        <w:t>Qwest/CenturyLink Order</w:t>
      </w:r>
      <w:r w:rsidR="00345E1F">
        <w:rPr>
          <w:color w:val="000000"/>
        </w:rPr>
        <w:t>)</w:t>
      </w:r>
      <w:r w:rsidR="003A550C">
        <w:rPr>
          <w:color w:val="000000"/>
        </w:rPr>
        <w:t xml:space="preserve">; </w:t>
      </w:r>
      <w:r w:rsidR="003A550C" w:rsidRPr="003A550C">
        <w:rPr>
          <w:i/>
          <w:color w:val="000000"/>
        </w:rPr>
        <w:t>AT&amp;T Inc. and BellSouth Corporation Application for Transfer of Control</w:t>
      </w:r>
      <w:r w:rsidR="003A550C">
        <w:rPr>
          <w:color w:val="000000"/>
        </w:rPr>
        <w:t>, WC Docket No. 06-74, Memorandum Opinion and Order, 22 FCC Rcd 5662, 5671-72, para. 19 (2005) (</w:t>
      </w:r>
      <w:r w:rsidR="003A550C">
        <w:rPr>
          <w:i/>
          <w:color w:val="000000"/>
        </w:rPr>
        <w:t>AT&amp;T/BellSouth Order</w:t>
      </w:r>
      <w:r w:rsidR="003A550C">
        <w:rPr>
          <w:color w:val="000000"/>
        </w:rPr>
        <w:t>).</w:t>
      </w:r>
    </w:p>
  </w:footnote>
  <w:footnote w:id="25">
    <w:p w14:paraId="2377AC4F" w14:textId="77777777" w:rsidR="005A2A58" w:rsidRPr="00AB0617" w:rsidRDefault="005A2A58" w:rsidP="00101344">
      <w:pPr>
        <w:pStyle w:val="FootnoteText"/>
        <w:rPr>
          <w:color w:val="000000"/>
        </w:rPr>
      </w:pPr>
      <w:r w:rsidRPr="00AB0617">
        <w:rPr>
          <w:rStyle w:val="FootnoteReference"/>
          <w:color w:val="000000"/>
        </w:rPr>
        <w:footnoteRef/>
      </w:r>
      <w:r w:rsidRPr="00AB0617">
        <w:rPr>
          <w:color w:val="000000"/>
        </w:rPr>
        <w:t xml:space="preserve"> </w:t>
      </w:r>
      <w:r w:rsidR="003A550C" w:rsidRPr="00AB0617">
        <w:rPr>
          <w:i/>
          <w:color w:val="000000"/>
        </w:rPr>
        <w:t>See, e.g.</w:t>
      </w:r>
      <w:r w:rsidR="003A550C" w:rsidRPr="00AB0617">
        <w:rPr>
          <w:color w:val="000000"/>
        </w:rPr>
        <w:t xml:space="preserve">, </w:t>
      </w:r>
      <w:r w:rsidR="003A550C" w:rsidRPr="00AB0617">
        <w:rPr>
          <w:i/>
          <w:color w:val="000000"/>
        </w:rPr>
        <w:t>AT&amp;T/BellSouth Order</w:t>
      </w:r>
      <w:r w:rsidR="003A550C" w:rsidRPr="00AB0617">
        <w:rPr>
          <w:color w:val="000000"/>
        </w:rPr>
        <w:t>,</w:t>
      </w:r>
      <w:r w:rsidR="003A550C" w:rsidRPr="00AB0617">
        <w:rPr>
          <w:i/>
          <w:color w:val="000000"/>
        </w:rPr>
        <w:t xml:space="preserve"> </w:t>
      </w:r>
      <w:r w:rsidR="003A550C" w:rsidRPr="00AB0617">
        <w:rPr>
          <w:color w:val="000000"/>
        </w:rPr>
        <w:t>22 FCC Rcd at 5672, para. 19.</w:t>
      </w:r>
    </w:p>
  </w:footnote>
  <w:footnote w:id="26">
    <w:p w14:paraId="411A1D67" w14:textId="77777777" w:rsidR="005A2A58" w:rsidRPr="00AB0617" w:rsidRDefault="005A2A58" w:rsidP="00101344">
      <w:pPr>
        <w:pStyle w:val="FootnoteText"/>
        <w:rPr>
          <w:color w:val="000000"/>
        </w:rPr>
      </w:pPr>
      <w:r w:rsidRPr="00AB0617">
        <w:rPr>
          <w:rStyle w:val="FootnoteCharacters"/>
          <w:color w:val="000000"/>
        </w:rPr>
        <w:footnoteRef/>
      </w:r>
      <w:r w:rsidRPr="00AB0617">
        <w:rPr>
          <w:color w:val="000000"/>
        </w:rPr>
        <w:t xml:space="preserve"> </w:t>
      </w:r>
      <w:r w:rsidRPr="00AB0617">
        <w:rPr>
          <w:i/>
          <w:color w:val="000000"/>
        </w:rPr>
        <w:t>See, e.g.</w:t>
      </w:r>
      <w:r w:rsidRPr="00AB0617">
        <w:rPr>
          <w:color w:val="000000"/>
        </w:rPr>
        <w:t xml:space="preserve">, </w:t>
      </w:r>
      <w:r w:rsidR="003A550C" w:rsidRPr="003A550C">
        <w:rPr>
          <w:i/>
          <w:color w:val="000000"/>
        </w:rPr>
        <w:t>id</w:t>
      </w:r>
      <w:r w:rsidRPr="00AB0617">
        <w:rPr>
          <w:color w:val="000000"/>
        </w:rPr>
        <w:t xml:space="preserve">. </w:t>
      </w:r>
    </w:p>
  </w:footnote>
  <w:footnote w:id="27">
    <w:p w14:paraId="21E6D5EE" w14:textId="77777777" w:rsidR="005A2A58" w:rsidRPr="00AB0617" w:rsidRDefault="005A2A58" w:rsidP="00101344">
      <w:pPr>
        <w:pStyle w:val="FootnoteText"/>
        <w:rPr>
          <w:color w:val="000000"/>
        </w:rPr>
      </w:pPr>
      <w:r w:rsidRPr="00AB0617">
        <w:rPr>
          <w:rStyle w:val="FootnoteCharacters"/>
          <w:color w:val="000000"/>
        </w:rPr>
        <w:footnoteRef/>
      </w:r>
      <w:r w:rsidRPr="00AB0617">
        <w:rPr>
          <w:color w:val="000000"/>
        </w:rPr>
        <w:t xml:space="preserve"> </w:t>
      </w:r>
      <w:r w:rsidRPr="00AB0617">
        <w:rPr>
          <w:i/>
          <w:color w:val="000000"/>
        </w:rPr>
        <w:t>See, e.g.</w:t>
      </w:r>
      <w:r w:rsidRPr="00AB0617">
        <w:rPr>
          <w:color w:val="000000"/>
        </w:rPr>
        <w:t xml:space="preserve">, </w:t>
      </w:r>
      <w:r w:rsidRPr="00AB0617">
        <w:rPr>
          <w:i/>
          <w:color w:val="000000"/>
        </w:rPr>
        <w:t>id</w:t>
      </w:r>
      <w:r w:rsidRPr="00AB0617">
        <w:rPr>
          <w:color w:val="000000"/>
        </w:rPr>
        <w:t>.</w:t>
      </w:r>
    </w:p>
  </w:footnote>
  <w:footnote w:id="28">
    <w:p w14:paraId="2FA9D950" w14:textId="77777777" w:rsidR="005A2A58" w:rsidRPr="00AB0617" w:rsidRDefault="005A2A58" w:rsidP="00101344">
      <w:pPr>
        <w:pStyle w:val="FootnoteText"/>
        <w:rPr>
          <w:color w:val="000000"/>
        </w:rPr>
      </w:pPr>
      <w:r w:rsidRPr="00AB0617">
        <w:rPr>
          <w:rStyle w:val="FootnoteCharacters"/>
          <w:color w:val="000000"/>
        </w:rPr>
        <w:footnoteRef/>
      </w:r>
      <w:r w:rsidRPr="00AB0617">
        <w:rPr>
          <w:color w:val="000000"/>
        </w:rPr>
        <w:t xml:space="preserve"> </w:t>
      </w:r>
      <w:r w:rsidRPr="00AB0617">
        <w:rPr>
          <w:i/>
          <w:color w:val="000000"/>
        </w:rPr>
        <w:t xml:space="preserve">See, e.g., </w:t>
      </w:r>
      <w:bookmarkStart w:id="17" w:name="SearchTerm"/>
      <w:r w:rsidR="00267937" w:rsidRPr="00EF683D">
        <w:rPr>
          <w:i/>
          <w:color w:val="000000"/>
          <w:shd w:val="clear" w:color="auto" w:fill="FFFFFF"/>
        </w:rPr>
        <w:t>Applications of S</w:t>
      </w:r>
      <w:r w:rsidR="00267937">
        <w:rPr>
          <w:i/>
          <w:color w:val="000000"/>
          <w:shd w:val="clear" w:color="auto" w:fill="FFFFFF"/>
        </w:rPr>
        <w:t>oftbank Corp.,</w:t>
      </w:r>
      <w:r w:rsidR="00267937" w:rsidRPr="00EF683D">
        <w:rPr>
          <w:i/>
          <w:color w:val="000000"/>
          <w:shd w:val="clear" w:color="auto" w:fill="FFFFFF"/>
        </w:rPr>
        <w:t xml:space="preserve"> Starburst II,</w:t>
      </w:r>
      <w:r w:rsidR="00267937">
        <w:rPr>
          <w:i/>
          <w:color w:val="000000"/>
          <w:shd w:val="clear" w:color="auto" w:fill="FFFFFF"/>
        </w:rPr>
        <w:t xml:space="preserve"> </w:t>
      </w:r>
      <w:r w:rsidR="00267937" w:rsidRPr="00EF683D">
        <w:rPr>
          <w:i/>
          <w:color w:val="000000"/>
          <w:shd w:val="clear" w:color="auto" w:fill="FFFFFF"/>
        </w:rPr>
        <w:t>Inc., Sprint Nextel Corporation, and Clearwire</w:t>
      </w:r>
      <w:r w:rsidR="00267937">
        <w:rPr>
          <w:i/>
          <w:color w:val="000000"/>
          <w:shd w:val="clear" w:color="auto" w:fill="FFFFFF"/>
        </w:rPr>
        <w:t xml:space="preserve"> </w:t>
      </w:r>
      <w:r w:rsidR="00267937" w:rsidRPr="00EF683D">
        <w:rPr>
          <w:i/>
          <w:color w:val="000000"/>
          <w:shd w:val="clear" w:color="auto" w:fill="FFFFFF"/>
        </w:rPr>
        <w:t>Corporation</w:t>
      </w:r>
      <w:r w:rsidR="00267937">
        <w:rPr>
          <w:i/>
          <w:color w:val="000000"/>
          <w:shd w:val="clear" w:color="auto" w:fill="FFFFFF"/>
        </w:rPr>
        <w:t xml:space="preserve"> f</w:t>
      </w:r>
      <w:r w:rsidR="00267937" w:rsidRPr="00EF683D">
        <w:rPr>
          <w:i/>
          <w:color w:val="000000"/>
          <w:shd w:val="clear" w:color="auto" w:fill="FFFFFF"/>
        </w:rPr>
        <w:t>or Consent to Transfer Control of Licenses and</w:t>
      </w:r>
      <w:r w:rsidR="00267937">
        <w:rPr>
          <w:i/>
          <w:color w:val="000000"/>
          <w:shd w:val="clear" w:color="auto" w:fill="FFFFFF"/>
        </w:rPr>
        <w:t xml:space="preserve"> </w:t>
      </w:r>
      <w:r w:rsidR="00267937" w:rsidRPr="00EF683D">
        <w:rPr>
          <w:i/>
          <w:color w:val="000000"/>
          <w:shd w:val="clear" w:color="auto" w:fill="FFFFFF"/>
        </w:rPr>
        <w:t>Authorizations</w:t>
      </w:r>
      <w:r w:rsidR="00267937">
        <w:rPr>
          <w:i/>
          <w:color w:val="000000"/>
          <w:shd w:val="clear" w:color="auto" w:fill="FFFFFF"/>
        </w:rPr>
        <w:t xml:space="preserve">; </w:t>
      </w:r>
      <w:r w:rsidR="00267937" w:rsidRPr="00EF683D">
        <w:rPr>
          <w:i/>
          <w:color w:val="000000"/>
          <w:shd w:val="clear" w:color="auto" w:fill="FFFFFF"/>
        </w:rPr>
        <w:t>Petitions for Reconsideration of Applications of</w:t>
      </w:r>
      <w:r w:rsidR="00267937">
        <w:rPr>
          <w:i/>
          <w:color w:val="000000"/>
          <w:shd w:val="clear" w:color="auto" w:fill="FFFFFF"/>
        </w:rPr>
        <w:t xml:space="preserve"> </w:t>
      </w:r>
      <w:r w:rsidR="00267937" w:rsidRPr="00EF683D">
        <w:rPr>
          <w:i/>
          <w:color w:val="000000"/>
          <w:shd w:val="clear" w:color="auto" w:fill="FFFFFF"/>
        </w:rPr>
        <w:t xml:space="preserve">Clearwire Corporation for </w:t>
      </w:r>
      <w:r w:rsidR="00267937" w:rsidRPr="00EF683D">
        <w:rPr>
          <w:i/>
          <w:iCs/>
          <w:color w:val="000000"/>
          <w:shd w:val="clear" w:color="auto" w:fill="FFFFFF"/>
        </w:rPr>
        <w:t xml:space="preserve">Pro Forma </w:t>
      </w:r>
      <w:r w:rsidR="00267937" w:rsidRPr="00EF683D">
        <w:rPr>
          <w:i/>
          <w:color w:val="000000"/>
          <w:shd w:val="clear" w:color="auto" w:fill="FFFFFF"/>
        </w:rPr>
        <w:t>Transfer of</w:t>
      </w:r>
      <w:r w:rsidR="00267937">
        <w:rPr>
          <w:i/>
          <w:color w:val="000000"/>
          <w:shd w:val="clear" w:color="auto" w:fill="FFFFFF"/>
        </w:rPr>
        <w:t xml:space="preserve"> </w:t>
      </w:r>
      <w:r w:rsidR="00267937" w:rsidRPr="00EF683D">
        <w:rPr>
          <w:i/>
          <w:snapToGrid w:val="0"/>
          <w:color w:val="000000"/>
          <w:kern w:val="28"/>
          <w:shd w:val="clear" w:color="auto" w:fill="FFFFFF"/>
        </w:rPr>
        <w:t>Control</w:t>
      </w:r>
      <w:r w:rsidR="00267937" w:rsidRPr="006537C1">
        <w:rPr>
          <w:snapToGrid w:val="0"/>
          <w:color w:val="000000"/>
          <w:kern w:val="28"/>
          <w:shd w:val="clear" w:color="auto" w:fill="FFFFFF"/>
        </w:rPr>
        <w:t>, IB Docket No. 12-343, Memorandum Opinion and Order, </w:t>
      </w:r>
      <w:r w:rsidR="00267937" w:rsidRPr="006537C1">
        <w:rPr>
          <w:iCs/>
          <w:snapToGrid w:val="0"/>
          <w:color w:val="000000"/>
          <w:kern w:val="28"/>
          <w:shd w:val="clear" w:color="auto" w:fill="FFFFFF"/>
        </w:rPr>
        <w:t xml:space="preserve">Declaratory </w:t>
      </w:r>
      <w:r w:rsidR="00267937" w:rsidRPr="008E7D81">
        <w:rPr>
          <w:iCs/>
          <w:snapToGrid w:val="0"/>
          <w:kern w:val="28"/>
          <w:shd w:val="clear" w:color="auto" w:fill="FFFFFF"/>
        </w:rPr>
        <w:t>Ruling, and Order on Reconsideration</w:t>
      </w:r>
      <w:r w:rsidR="00267937" w:rsidRPr="008E7D81">
        <w:rPr>
          <w:snapToGrid w:val="0"/>
          <w:kern w:val="28"/>
          <w:shd w:val="clear" w:color="auto" w:fill="FFFFFF"/>
        </w:rPr>
        <w:t>, 28 FCC Rcd 9642, 9651, para. 2</w:t>
      </w:r>
      <w:r w:rsidR="00267937">
        <w:rPr>
          <w:snapToGrid w:val="0"/>
          <w:kern w:val="28"/>
          <w:shd w:val="clear" w:color="auto" w:fill="FFFFFF"/>
        </w:rPr>
        <w:t>5</w:t>
      </w:r>
      <w:r w:rsidR="00267937" w:rsidRPr="008E7D81">
        <w:rPr>
          <w:snapToGrid w:val="0"/>
          <w:kern w:val="28"/>
          <w:shd w:val="clear" w:color="auto" w:fill="FFFFFF"/>
        </w:rPr>
        <w:t xml:space="preserve"> (2013) (</w:t>
      </w:r>
      <w:bookmarkStart w:id="18" w:name="SR;29000"/>
      <w:bookmarkEnd w:id="17"/>
      <w:bookmarkEnd w:id="18"/>
      <w:r w:rsidR="00267937">
        <w:rPr>
          <w:i/>
          <w:snapToGrid w:val="0"/>
          <w:kern w:val="28"/>
          <w:shd w:val="clear" w:color="auto" w:fill="FFFFFF"/>
        </w:rPr>
        <w:t>Softbank/</w:t>
      </w:r>
      <w:r w:rsidR="00267937" w:rsidRPr="008E7D81">
        <w:rPr>
          <w:i/>
          <w:snapToGrid w:val="0"/>
          <w:kern w:val="28"/>
          <w:shd w:val="clear" w:color="auto" w:fill="FFFFFF"/>
        </w:rPr>
        <w:t>Sprint</w:t>
      </w:r>
      <w:r w:rsidR="00267937" w:rsidRPr="008E7D81">
        <w:rPr>
          <w:snapToGrid w:val="0"/>
          <w:kern w:val="28"/>
          <w:shd w:val="clear" w:color="auto" w:fill="FFFFFF"/>
        </w:rPr>
        <w:t xml:space="preserve"> </w:t>
      </w:r>
      <w:r w:rsidR="00267937" w:rsidRPr="008E7D81">
        <w:rPr>
          <w:i/>
          <w:iCs/>
          <w:snapToGrid w:val="0"/>
          <w:kern w:val="28"/>
        </w:rPr>
        <w:t>Order</w:t>
      </w:r>
      <w:r w:rsidR="00267937" w:rsidRPr="008E7D81">
        <w:rPr>
          <w:snapToGrid w:val="0"/>
          <w:kern w:val="28"/>
        </w:rPr>
        <w:t>)</w:t>
      </w:r>
      <w:bookmarkStart w:id="19" w:name="SR;29124"/>
      <w:bookmarkEnd w:id="19"/>
      <w:r w:rsidR="00267937" w:rsidRPr="008E7D81">
        <w:rPr>
          <w:snapToGrid w:val="0"/>
          <w:kern w:val="28"/>
        </w:rPr>
        <w:t>;</w:t>
      </w:r>
      <w:r>
        <w:rPr>
          <w:color w:val="000000"/>
        </w:rPr>
        <w:t xml:space="preserve"> </w:t>
      </w:r>
      <w:r>
        <w:rPr>
          <w:i/>
          <w:color w:val="000000"/>
        </w:rPr>
        <w:t>AT&amp;T/BellSouth Order</w:t>
      </w:r>
      <w:r>
        <w:rPr>
          <w:color w:val="000000"/>
        </w:rPr>
        <w:t>, 22 FCC Rcd at 5673,</w:t>
      </w:r>
      <w:r w:rsidRPr="00AB0617">
        <w:rPr>
          <w:color w:val="000000"/>
        </w:rPr>
        <w:t xml:space="preserve"> para. 21.</w:t>
      </w:r>
    </w:p>
  </w:footnote>
  <w:footnote w:id="29">
    <w:p w14:paraId="2202A157" w14:textId="77777777" w:rsidR="005A2A58" w:rsidRPr="00E248D2" w:rsidRDefault="005A2A58" w:rsidP="00A4162E">
      <w:pPr>
        <w:pStyle w:val="FootnoteText"/>
        <w:rPr>
          <w:b/>
        </w:rPr>
      </w:pPr>
      <w:r w:rsidRPr="00AB0617">
        <w:rPr>
          <w:rStyle w:val="FootnoteCharacters"/>
          <w:color w:val="000000"/>
        </w:rPr>
        <w:footnoteRef/>
      </w:r>
      <w:r w:rsidRPr="00AB0617">
        <w:rPr>
          <w:color w:val="000000"/>
        </w:rPr>
        <w:t xml:space="preserve"> </w:t>
      </w:r>
      <w:r>
        <w:rPr>
          <w:color w:val="000000"/>
        </w:rPr>
        <w:t xml:space="preserve">15 U.S.C. § 18.  </w:t>
      </w:r>
    </w:p>
  </w:footnote>
  <w:footnote w:id="30">
    <w:p w14:paraId="59F440D3" w14:textId="6358F33E" w:rsidR="005A2A58" w:rsidRPr="00AB0617" w:rsidRDefault="005A2A58" w:rsidP="00101344">
      <w:pPr>
        <w:pStyle w:val="FootnoteText"/>
        <w:rPr>
          <w:color w:val="000000"/>
        </w:rPr>
      </w:pPr>
      <w:r w:rsidRPr="00AB0617">
        <w:rPr>
          <w:rStyle w:val="FootnoteCharacters"/>
          <w:color w:val="000000"/>
        </w:rPr>
        <w:footnoteRef/>
      </w:r>
      <w:r w:rsidRPr="00AB0617">
        <w:rPr>
          <w:color w:val="000000"/>
        </w:rPr>
        <w:t xml:space="preserve"> </w:t>
      </w:r>
      <w:r w:rsidR="001A6964" w:rsidRPr="008A03BA">
        <w:rPr>
          <w:i/>
          <w:color w:val="000000"/>
        </w:rPr>
        <w:t>Id</w:t>
      </w:r>
      <w:r w:rsidR="001A6964">
        <w:rPr>
          <w:color w:val="000000"/>
        </w:rPr>
        <w:t>.</w:t>
      </w:r>
    </w:p>
  </w:footnote>
  <w:footnote w:id="31">
    <w:p w14:paraId="0A67BDAA" w14:textId="77777777" w:rsidR="005A2A58" w:rsidRPr="00AB0617" w:rsidRDefault="005A2A58" w:rsidP="00101344">
      <w:pPr>
        <w:pStyle w:val="FootnoteText"/>
        <w:rPr>
          <w:color w:val="000000"/>
        </w:rPr>
      </w:pPr>
      <w:r w:rsidRPr="00AB0617">
        <w:rPr>
          <w:rStyle w:val="FootnoteCharacters"/>
          <w:color w:val="000000"/>
        </w:rPr>
        <w:footnoteRef/>
      </w:r>
      <w:r w:rsidRPr="00AB0617">
        <w:rPr>
          <w:color w:val="000000"/>
        </w:rPr>
        <w:t xml:space="preserve"> </w:t>
      </w:r>
      <w:r w:rsidRPr="00AB0617">
        <w:rPr>
          <w:i/>
          <w:color w:val="000000"/>
        </w:rPr>
        <w:t>See, e.g.</w:t>
      </w:r>
      <w:r w:rsidRPr="00AB0617">
        <w:rPr>
          <w:color w:val="000000"/>
        </w:rPr>
        <w:t xml:space="preserve">, </w:t>
      </w:r>
      <w:r w:rsidR="00BC073E">
        <w:rPr>
          <w:i/>
        </w:rPr>
        <w:t>Softbank/Sprint O</w:t>
      </w:r>
      <w:r w:rsidR="00BC073E" w:rsidRPr="00EE0260">
        <w:rPr>
          <w:i/>
        </w:rPr>
        <w:t>rder</w:t>
      </w:r>
      <w:r w:rsidR="00BC073E">
        <w:t>, 28 FCC Rcd at 9651-52, para. 25</w:t>
      </w:r>
      <w:r w:rsidR="00910008">
        <w:t xml:space="preserve">; </w:t>
      </w:r>
      <w:r w:rsidR="00910008">
        <w:rPr>
          <w:i/>
          <w:color w:val="000000"/>
        </w:rPr>
        <w:t>AT&amp;T/BellSouth Order</w:t>
      </w:r>
      <w:r w:rsidR="00910008">
        <w:rPr>
          <w:color w:val="000000"/>
        </w:rPr>
        <w:t>, 22 FCC Rcd at 5673,</w:t>
      </w:r>
      <w:r w:rsidR="00910008" w:rsidRPr="00AB0617">
        <w:rPr>
          <w:color w:val="000000"/>
        </w:rPr>
        <w:t xml:space="preserve"> para. 21.</w:t>
      </w:r>
      <w:r w:rsidR="00BC073E">
        <w:t xml:space="preserve"> </w:t>
      </w:r>
    </w:p>
  </w:footnote>
  <w:footnote w:id="32">
    <w:p w14:paraId="48E3E286" w14:textId="77777777" w:rsidR="00757933" w:rsidRPr="00AB0617" w:rsidRDefault="00757933" w:rsidP="00757933">
      <w:pPr>
        <w:pStyle w:val="FootnoteText"/>
      </w:pPr>
      <w:r w:rsidRPr="00AB0617">
        <w:rPr>
          <w:rStyle w:val="FootnoteReference"/>
        </w:rPr>
        <w:footnoteRef/>
      </w:r>
      <w:r w:rsidRPr="00AB0617">
        <w:t xml:space="preserve"> </w:t>
      </w:r>
      <w:r w:rsidR="00BC073E">
        <w:rPr>
          <w:i/>
        </w:rPr>
        <w:t>See, e.g</w:t>
      </w:r>
      <w:r w:rsidR="00BC073E">
        <w:t>.,</w:t>
      </w:r>
      <w:r w:rsidR="00BC073E">
        <w:rPr>
          <w:i/>
        </w:rPr>
        <w:t xml:space="preserve"> Softbank/Sprint O</w:t>
      </w:r>
      <w:r w:rsidR="00BC073E" w:rsidRPr="00EE0260">
        <w:rPr>
          <w:i/>
        </w:rPr>
        <w:t>rder</w:t>
      </w:r>
      <w:r w:rsidR="00BC073E">
        <w:t>, 28 FCC Rcd at 9677-78, para. 91</w:t>
      </w:r>
      <w:r w:rsidR="00910008">
        <w:t>;</w:t>
      </w:r>
      <w:r w:rsidR="00910008" w:rsidRPr="00910008">
        <w:rPr>
          <w:i/>
          <w:color w:val="000000"/>
        </w:rPr>
        <w:t xml:space="preserve"> </w:t>
      </w:r>
      <w:r w:rsidR="00910008">
        <w:rPr>
          <w:i/>
          <w:color w:val="000000"/>
        </w:rPr>
        <w:t>AT&amp;T/BellSouth Order</w:t>
      </w:r>
      <w:r w:rsidR="00910008">
        <w:rPr>
          <w:color w:val="000000"/>
        </w:rPr>
        <w:t>, 22 FCC Rcd at 5760,</w:t>
      </w:r>
      <w:r w:rsidR="00910008" w:rsidRPr="00AB0617">
        <w:rPr>
          <w:color w:val="000000"/>
        </w:rPr>
        <w:t xml:space="preserve"> para. </w:t>
      </w:r>
      <w:r w:rsidR="00910008">
        <w:rPr>
          <w:color w:val="000000"/>
        </w:rPr>
        <w:t>200</w:t>
      </w:r>
      <w:r w:rsidR="00BC073E">
        <w:t xml:space="preserve">.  </w:t>
      </w:r>
      <w:r w:rsidRPr="00AB0617">
        <w:t xml:space="preserve">  </w:t>
      </w:r>
    </w:p>
  </w:footnote>
  <w:footnote w:id="33">
    <w:p w14:paraId="6975F842" w14:textId="77777777" w:rsidR="00EE0260" w:rsidRPr="00EE0260" w:rsidRDefault="00EE0260">
      <w:pPr>
        <w:pStyle w:val="FootnoteText"/>
      </w:pPr>
      <w:r>
        <w:rPr>
          <w:rStyle w:val="FootnoteReference"/>
        </w:rPr>
        <w:footnoteRef/>
      </w:r>
      <w:r>
        <w:t xml:space="preserve"> </w:t>
      </w:r>
      <w:r>
        <w:rPr>
          <w:i/>
        </w:rPr>
        <w:t>See, e.g</w:t>
      </w:r>
      <w:r>
        <w:t>.,</w:t>
      </w:r>
      <w:r>
        <w:rPr>
          <w:i/>
        </w:rPr>
        <w:t xml:space="preserve"> Softbank/Sprint O</w:t>
      </w:r>
      <w:r w:rsidRPr="00EE0260">
        <w:rPr>
          <w:i/>
        </w:rPr>
        <w:t>rder</w:t>
      </w:r>
      <w:r>
        <w:t>, 28 FCC Rcd at 9677-78, para. 91.</w:t>
      </w:r>
    </w:p>
  </w:footnote>
  <w:footnote w:id="34">
    <w:p w14:paraId="6DC1E40D" w14:textId="77777777" w:rsidR="00757933" w:rsidRPr="00AB0617" w:rsidRDefault="00757933" w:rsidP="00757933">
      <w:pPr>
        <w:pStyle w:val="FootnoteText"/>
      </w:pPr>
      <w:r w:rsidRPr="00AB0617">
        <w:rPr>
          <w:rStyle w:val="FootnoteReference"/>
        </w:rPr>
        <w:footnoteRef/>
      </w:r>
      <w:r w:rsidRPr="00AB0617">
        <w:t xml:space="preserve"> </w:t>
      </w:r>
      <w:r w:rsidRPr="00AB0617">
        <w:rPr>
          <w:i/>
          <w:iCs/>
        </w:rPr>
        <w:t>See, e.g</w:t>
      </w:r>
      <w:r w:rsidRPr="00AB0617">
        <w:t>.</w:t>
      </w:r>
      <w:r w:rsidR="003A550C">
        <w:t xml:space="preserve">, </w:t>
      </w:r>
      <w:r w:rsidR="003A550C" w:rsidRPr="003A550C">
        <w:rPr>
          <w:i/>
        </w:rPr>
        <w:t>id</w:t>
      </w:r>
      <w:r w:rsidRPr="00AB0617">
        <w:t xml:space="preserve">.  </w:t>
      </w:r>
    </w:p>
  </w:footnote>
  <w:footnote w:id="35">
    <w:p w14:paraId="4256AC07" w14:textId="77777777" w:rsidR="00757933" w:rsidRPr="00AB0617" w:rsidRDefault="00757933" w:rsidP="00757933">
      <w:pPr>
        <w:pStyle w:val="FootnoteText"/>
      </w:pPr>
      <w:r w:rsidRPr="00AB0617">
        <w:rPr>
          <w:rStyle w:val="FootnoteReference"/>
        </w:rPr>
        <w:footnoteRef/>
      </w:r>
      <w:r w:rsidRPr="00AB0617">
        <w:t xml:space="preserve"> </w:t>
      </w:r>
      <w:r w:rsidR="00EE0260">
        <w:rPr>
          <w:i/>
          <w:iCs/>
        </w:rPr>
        <w:t>See</w:t>
      </w:r>
      <w:r w:rsidR="00D2326E">
        <w:rPr>
          <w:i/>
          <w:iCs/>
        </w:rPr>
        <w:t>, e.g</w:t>
      </w:r>
      <w:r w:rsidR="00D2326E">
        <w:rPr>
          <w:iCs/>
        </w:rPr>
        <w:t>.,</w:t>
      </w:r>
      <w:r w:rsidR="00EE0260">
        <w:rPr>
          <w:i/>
          <w:iCs/>
        </w:rPr>
        <w:t xml:space="preserve"> id</w:t>
      </w:r>
      <w:r w:rsidR="00EE0260">
        <w:rPr>
          <w:iCs/>
        </w:rPr>
        <w:t xml:space="preserve">. </w:t>
      </w:r>
      <w:r w:rsidR="00EE0260">
        <w:rPr>
          <w:i/>
          <w:iCs/>
        </w:rPr>
        <w:t xml:space="preserve"> </w:t>
      </w:r>
      <w:r w:rsidRPr="00AB0617">
        <w:t xml:space="preserve">  </w:t>
      </w:r>
    </w:p>
  </w:footnote>
  <w:footnote w:id="36">
    <w:p w14:paraId="12125233" w14:textId="77777777" w:rsidR="00576E7A" w:rsidRDefault="00576E7A">
      <w:pPr>
        <w:pStyle w:val="FootnoteText"/>
      </w:pPr>
      <w:r>
        <w:rPr>
          <w:rStyle w:val="FootnoteReference"/>
        </w:rPr>
        <w:footnoteRef/>
      </w:r>
      <w:r>
        <w:t xml:space="preserve"> </w:t>
      </w:r>
      <w:r w:rsidRPr="00576E7A">
        <w:rPr>
          <w:i/>
        </w:rPr>
        <w:t>See, e.g.</w:t>
      </w:r>
      <w:r>
        <w:t xml:space="preserve">, </w:t>
      </w:r>
      <w:r w:rsidRPr="00506885">
        <w:rPr>
          <w:i/>
        </w:rPr>
        <w:t>id</w:t>
      </w:r>
      <w:r>
        <w:t xml:space="preserve">. at </w:t>
      </w:r>
      <w:r w:rsidR="00506885">
        <w:t>9678-79, para. 93.</w:t>
      </w:r>
    </w:p>
  </w:footnote>
  <w:footnote w:id="37">
    <w:p w14:paraId="63E83735" w14:textId="77777777" w:rsidR="00EE0260" w:rsidRPr="00AB0617" w:rsidRDefault="00EE0260" w:rsidP="00EE0260">
      <w:pPr>
        <w:pStyle w:val="FootnoteText"/>
      </w:pPr>
      <w:r w:rsidRPr="00AB0617">
        <w:rPr>
          <w:rStyle w:val="FootnoteReference"/>
        </w:rPr>
        <w:footnoteRef/>
      </w:r>
      <w:r w:rsidRPr="00AB0617">
        <w:t xml:space="preserve"> </w:t>
      </w:r>
      <w:r>
        <w:rPr>
          <w:i/>
          <w:iCs/>
        </w:rPr>
        <w:t>See</w:t>
      </w:r>
      <w:r w:rsidR="00D2326E">
        <w:rPr>
          <w:i/>
          <w:iCs/>
        </w:rPr>
        <w:t>, e.g</w:t>
      </w:r>
      <w:r w:rsidR="00D2326E">
        <w:rPr>
          <w:iCs/>
        </w:rPr>
        <w:t xml:space="preserve">., </w:t>
      </w:r>
      <w:r>
        <w:rPr>
          <w:i/>
          <w:iCs/>
        </w:rPr>
        <w:t>id</w:t>
      </w:r>
      <w:r>
        <w:rPr>
          <w:iCs/>
        </w:rPr>
        <w:t xml:space="preserve">.  </w:t>
      </w:r>
      <w:r>
        <w:t xml:space="preserve">  </w:t>
      </w:r>
    </w:p>
  </w:footnote>
  <w:footnote w:id="38">
    <w:p w14:paraId="7DFD11C8" w14:textId="1348FEFF" w:rsidR="00E046D1" w:rsidRPr="00F179A0" w:rsidRDefault="00E046D1" w:rsidP="00E046D1">
      <w:pPr>
        <w:pStyle w:val="FootnoteText"/>
      </w:pPr>
      <w:r>
        <w:rPr>
          <w:rStyle w:val="FootnoteReference"/>
        </w:rPr>
        <w:footnoteRef/>
      </w:r>
      <w:r>
        <w:t xml:space="preserve"> </w:t>
      </w:r>
      <w:r w:rsidRPr="00F179A0">
        <w:rPr>
          <w:i/>
          <w:iCs/>
        </w:rPr>
        <w:t>See id</w:t>
      </w:r>
      <w:r w:rsidRPr="00F179A0">
        <w:rPr>
          <w:iCs/>
        </w:rPr>
        <w:t>. at</w:t>
      </w:r>
      <w:r w:rsidR="00F179A0" w:rsidRPr="00F179A0">
        <w:rPr>
          <w:iCs/>
        </w:rPr>
        <w:t xml:space="preserve"> </w:t>
      </w:r>
      <w:r w:rsidRPr="00F179A0">
        <w:rPr>
          <w:iCs/>
        </w:rPr>
        <w:t>9652-53, paras. 26-27 (explaining the general character qualifications the Commission reviews under Title III of the Act</w:t>
      </w:r>
      <w:r w:rsidR="006B6E06">
        <w:rPr>
          <w:iCs/>
        </w:rPr>
        <w:t xml:space="preserve"> for the proposed transferee and that the Commission generally does not review the qualifications of the transferor except in certain limited circumstances</w:t>
      </w:r>
      <w:r w:rsidRPr="00F179A0">
        <w:rPr>
          <w:iCs/>
        </w:rPr>
        <w:t xml:space="preserve">).  </w:t>
      </w:r>
      <w:r w:rsidR="00F179A0" w:rsidRPr="0016771D">
        <w:rPr>
          <w:i/>
          <w:iCs/>
          <w:snapToGrid w:val="0"/>
          <w:color w:val="000000" w:themeColor="text1"/>
          <w:kern w:val="28"/>
          <w:shd w:val="clear" w:color="auto" w:fill="FFFFFF"/>
        </w:rPr>
        <w:t>See</w:t>
      </w:r>
      <w:r w:rsidR="00F179A0" w:rsidRPr="0016771D">
        <w:rPr>
          <w:snapToGrid w:val="0"/>
          <w:color w:val="000000" w:themeColor="text1"/>
          <w:kern w:val="28"/>
          <w:shd w:val="clear" w:color="auto" w:fill="FFFFFF"/>
        </w:rPr>
        <w:t> 47 U.S.C. § 308(b) (authorizing the Commission to prescribe citizenship,</w:t>
      </w:r>
      <w:r w:rsidR="006B6E06" w:rsidRPr="0016771D">
        <w:rPr>
          <w:snapToGrid w:val="0"/>
          <w:color w:val="000000" w:themeColor="text1"/>
          <w:kern w:val="28"/>
          <w:shd w:val="clear" w:color="auto" w:fill="FFFFFF"/>
        </w:rPr>
        <w:t xml:space="preserve"> </w:t>
      </w:r>
      <w:r w:rsidR="00F179A0" w:rsidRPr="0016771D">
        <w:rPr>
          <w:snapToGrid w:val="0"/>
          <w:color w:val="000000" w:themeColor="text1"/>
          <w:kern w:val="28"/>
          <w:shd w:val="clear" w:color="auto" w:fill="FFFFFF"/>
        </w:rPr>
        <w:t>character</w:t>
      </w:r>
      <w:bookmarkStart w:id="25" w:name="SR;4107"/>
      <w:bookmarkEnd w:id="25"/>
      <w:r w:rsidR="00F179A0" w:rsidRPr="0016771D">
        <w:rPr>
          <w:snapToGrid w:val="0"/>
          <w:color w:val="000000" w:themeColor="text1"/>
          <w:kern w:val="28"/>
          <w:shd w:val="clear" w:color="auto" w:fill="FFFFFF"/>
        </w:rPr>
        <w:t>, and other qualifications for station licensees under </w:t>
      </w:r>
      <w:bookmarkStart w:id="26" w:name="SR;4115"/>
      <w:bookmarkEnd w:id="26"/>
      <w:r w:rsidR="00F179A0" w:rsidRPr="0016771D">
        <w:rPr>
          <w:snapToGrid w:val="0"/>
          <w:color w:val="000000" w:themeColor="text1"/>
          <w:kern w:val="28"/>
          <w:shd w:val="clear" w:color="auto" w:fill="FFFFFF"/>
        </w:rPr>
        <w:t>Title III</w:t>
      </w:r>
      <w:bookmarkStart w:id="27" w:name="SR;4116"/>
      <w:bookmarkEnd w:id="27"/>
      <w:r w:rsidR="00F179A0" w:rsidRPr="0016771D">
        <w:rPr>
          <w:snapToGrid w:val="0"/>
          <w:color w:val="000000" w:themeColor="text1"/>
          <w:kern w:val="28"/>
          <w:shd w:val="clear" w:color="auto" w:fill="FFFFFF"/>
        </w:rPr>
        <w:t> of the Communications Act); </w:t>
      </w:r>
      <w:bookmarkStart w:id="28" w:name="SR;4123"/>
      <w:bookmarkEnd w:id="28"/>
      <w:r w:rsidR="00F179A0" w:rsidRPr="0016771D">
        <w:rPr>
          <w:i/>
          <w:iCs/>
          <w:snapToGrid w:val="0"/>
          <w:color w:val="000000" w:themeColor="text1"/>
          <w:kern w:val="28"/>
          <w:shd w:val="clear" w:color="auto" w:fill="FFFFFF"/>
        </w:rPr>
        <w:t>Policy Regarding Character Qualifications in Broadcast Licensing</w:t>
      </w:r>
      <w:r w:rsidR="00F179A0" w:rsidRPr="0016771D">
        <w:rPr>
          <w:snapToGrid w:val="0"/>
          <w:color w:val="000000" w:themeColor="text1"/>
          <w:kern w:val="28"/>
          <w:shd w:val="clear" w:color="auto" w:fill="FFFFFF"/>
        </w:rPr>
        <w:t>, 102 FCC 2d 1179, 1209-10 (1986), </w:t>
      </w:r>
      <w:r w:rsidR="00F179A0" w:rsidRPr="0016771D">
        <w:rPr>
          <w:i/>
          <w:iCs/>
          <w:snapToGrid w:val="0"/>
          <w:color w:val="000000" w:themeColor="text1"/>
          <w:kern w:val="28"/>
          <w:shd w:val="clear" w:color="auto" w:fill="FFFFFF"/>
        </w:rPr>
        <w:t>modified</w:t>
      </w:r>
      <w:r w:rsidR="00F179A0" w:rsidRPr="0016771D">
        <w:rPr>
          <w:snapToGrid w:val="0"/>
          <w:color w:val="000000" w:themeColor="text1"/>
          <w:kern w:val="28"/>
          <w:shd w:val="clear" w:color="auto" w:fill="FFFFFF"/>
        </w:rPr>
        <w:t> 5 FCC Rcd 3252 (1990), </w:t>
      </w:r>
      <w:r w:rsidR="00F179A0" w:rsidRPr="0016771D">
        <w:rPr>
          <w:i/>
          <w:iCs/>
          <w:snapToGrid w:val="0"/>
          <w:color w:val="000000" w:themeColor="text1"/>
          <w:kern w:val="28"/>
          <w:shd w:val="clear" w:color="auto" w:fill="FFFFFF"/>
        </w:rPr>
        <w:t>recon. granted in part</w:t>
      </w:r>
      <w:r w:rsidR="00F179A0" w:rsidRPr="0016771D">
        <w:rPr>
          <w:snapToGrid w:val="0"/>
          <w:color w:val="000000" w:themeColor="text1"/>
          <w:kern w:val="28"/>
          <w:shd w:val="clear" w:color="auto" w:fill="FFFFFF"/>
        </w:rPr>
        <w:t>, </w:t>
      </w:r>
      <w:hyperlink r:id="rId7" w:tgtFrame="_top" w:history="1">
        <w:r w:rsidR="00F179A0" w:rsidRPr="0016771D">
          <w:rPr>
            <w:snapToGrid w:val="0"/>
            <w:color w:val="000000" w:themeColor="text1"/>
            <w:kern w:val="28"/>
            <w:shd w:val="clear" w:color="auto" w:fill="FFFFFF"/>
          </w:rPr>
          <w:t>6 FCC Rcd 3448 (1991)</w:t>
        </w:r>
      </w:hyperlink>
      <w:r w:rsidR="00F179A0" w:rsidRPr="0016771D">
        <w:rPr>
          <w:snapToGrid w:val="0"/>
          <w:color w:val="000000" w:themeColor="text1"/>
          <w:kern w:val="28"/>
          <w:shd w:val="clear" w:color="auto" w:fill="FFFFFF"/>
        </w:rPr>
        <w:t>, </w:t>
      </w:r>
      <w:r w:rsidR="00F179A0" w:rsidRPr="0016771D">
        <w:rPr>
          <w:i/>
          <w:iCs/>
          <w:snapToGrid w:val="0"/>
          <w:color w:val="000000" w:themeColor="text1"/>
          <w:kern w:val="28"/>
          <w:shd w:val="clear" w:color="auto" w:fill="FFFFFF"/>
        </w:rPr>
        <w:t>modified in part</w:t>
      </w:r>
      <w:r w:rsidR="00F179A0" w:rsidRPr="0016771D">
        <w:rPr>
          <w:snapToGrid w:val="0"/>
          <w:color w:val="000000" w:themeColor="text1"/>
          <w:kern w:val="28"/>
          <w:shd w:val="clear" w:color="auto" w:fill="FFFFFF"/>
        </w:rPr>
        <w:t xml:space="preserve">, 7 FCC Rcd 6564 (1992).  Although not directly applicable to common carriers, the character qualifications standards adopted in the </w:t>
      </w:r>
      <w:r w:rsidR="006B6E06" w:rsidRPr="0016771D">
        <w:rPr>
          <w:snapToGrid w:val="0"/>
          <w:color w:val="000000" w:themeColor="text1"/>
          <w:kern w:val="28"/>
          <w:shd w:val="clear" w:color="auto" w:fill="FFFFFF"/>
        </w:rPr>
        <w:t>Title III</w:t>
      </w:r>
      <w:r w:rsidR="00F179A0" w:rsidRPr="0016771D">
        <w:rPr>
          <w:snapToGrid w:val="0"/>
          <w:color w:val="000000" w:themeColor="text1"/>
          <w:kern w:val="28"/>
          <w:shd w:val="clear" w:color="auto" w:fill="FFFFFF"/>
        </w:rPr>
        <w:t xml:space="preserve"> context can provide guidance in the common carrier area as well. </w:t>
      </w:r>
      <w:r w:rsidR="006B6E06" w:rsidRPr="0016771D">
        <w:rPr>
          <w:snapToGrid w:val="0"/>
          <w:color w:val="000000" w:themeColor="text1"/>
          <w:kern w:val="28"/>
          <w:shd w:val="clear" w:color="auto" w:fill="FFFFFF"/>
        </w:rPr>
        <w:t xml:space="preserve"> </w:t>
      </w:r>
      <w:r w:rsidR="00F179A0" w:rsidRPr="0016771D">
        <w:rPr>
          <w:i/>
          <w:iCs/>
          <w:snapToGrid w:val="0"/>
          <w:color w:val="000000" w:themeColor="text1"/>
          <w:kern w:val="28"/>
          <w:shd w:val="clear" w:color="auto" w:fill="FFFFFF"/>
        </w:rPr>
        <w:t>See MCI Telecommunications Corporation Petition for Revocation of Operating Authority</w:t>
      </w:r>
      <w:r w:rsidR="00F179A0" w:rsidRPr="0016771D">
        <w:rPr>
          <w:snapToGrid w:val="0"/>
          <w:color w:val="000000" w:themeColor="text1"/>
          <w:kern w:val="28"/>
          <w:shd w:val="clear" w:color="auto" w:fill="FFFFFF"/>
        </w:rPr>
        <w:t>, Order and Notice of Apparent Liability, 3 FCC Rcd 509, 515</w:t>
      </w:r>
      <w:r w:rsidR="006766E0">
        <w:rPr>
          <w:snapToGrid w:val="0"/>
          <w:color w:val="000000" w:themeColor="text1"/>
          <w:kern w:val="28"/>
          <w:shd w:val="clear" w:color="auto" w:fill="FFFFFF"/>
        </w:rPr>
        <w:t>, para. 31</w:t>
      </w:r>
      <w:r w:rsidR="00F179A0" w:rsidRPr="0016771D">
        <w:rPr>
          <w:snapToGrid w:val="0"/>
          <w:color w:val="000000" w:themeColor="text1"/>
          <w:kern w:val="28"/>
          <w:shd w:val="clear" w:color="auto" w:fill="FFFFFF"/>
        </w:rPr>
        <w:t xml:space="preserve"> n.14 (1988) (applying</w:t>
      </w:r>
      <w:r w:rsidR="00F179A0" w:rsidRPr="0016771D">
        <w:rPr>
          <w:snapToGrid w:val="0"/>
          <w:color w:val="000000"/>
          <w:kern w:val="28"/>
          <w:shd w:val="clear" w:color="auto" w:fill="FFFFFF"/>
        </w:rPr>
        <w:t xml:space="preserve"> the bro</w:t>
      </w:r>
      <w:r w:rsidR="00F179A0" w:rsidRPr="00C40D89">
        <w:rPr>
          <w:snapToGrid w:val="0"/>
          <w:color w:val="000000"/>
          <w:kern w:val="28"/>
          <w:shd w:val="clear" w:color="auto" w:fill="FFFFFF"/>
        </w:rPr>
        <w:t>adcast character standards in a common carrier case). </w:t>
      </w:r>
    </w:p>
  </w:footnote>
  <w:footnote w:id="39">
    <w:p w14:paraId="43033CD3" w14:textId="120BD4D1" w:rsidR="00F179A0" w:rsidRPr="00CE5CCA" w:rsidRDefault="00F179A0" w:rsidP="00F179A0">
      <w:pPr>
        <w:pStyle w:val="FootnoteText"/>
      </w:pPr>
      <w:r>
        <w:rPr>
          <w:rStyle w:val="FootnoteReference"/>
        </w:rPr>
        <w:footnoteRef/>
      </w:r>
      <w:r>
        <w:t xml:space="preserve"> </w:t>
      </w:r>
      <w:r>
        <w:rPr>
          <w:i/>
        </w:rPr>
        <w:t>See</w:t>
      </w:r>
      <w:r w:rsidRPr="00CE5CCA">
        <w:rPr>
          <w:i/>
        </w:rPr>
        <w:t>, e.g</w:t>
      </w:r>
      <w:r>
        <w:t xml:space="preserve">., </w:t>
      </w:r>
      <w:r w:rsidRPr="002B67F0">
        <w:rPr>
          <w:i/>
        </w:rPr>
        <w:t>Applications Filed by Global Crossing Limited and Level 3 Communications, Inc. for Consent to Transfer Control</w:t>
      </w:r>
      <w:r>
        <w:rPr>
          <w:i/>
        </w:rPr>
        <w:t xml:space="preserve">, </w:t>
      </w:r>
      <w:r w:rsidRPr="002B67F0">
        <w:t>IB Docket No. 11-78, Memorandum Opinion and Order and Declaratory Ruling</w:t>
      </w:r>
      <w:r w:rsidRPr="00CE5CCA">
        <w:t xml:space="preserve">, </w:t>
      </w:r>
      <w:r>
        <w:t>26 FCC Rcd 14056, 14064, para. 15 (</w:t>
      </w:r>
      <w:r w:rsidR="006766E0">
        <w:t>WCB/IB</w:t>
      </w:r>
      <w:r>
        <w:t xml:space="preserve"> 2011)</w:t>
      </w:r>
      <w:r w:rsidR="00184A7D">
        <w:t xml:space="preserve"> (</w:t>
      </w:r>
      <w:r w:rsidR="00184A7D">
        <w:rPr>
          <w:i/>
        </w:rPr>
        <w:t>Level 3/Global Crossing Order</w:t>
      </w:r>
      <w:r w:rsidR="00184A7D">
        <w:t>)</w:t>
      </w:r>
      <w:r>
        <w:t>.</w:t>
      </w:r>
    </w:p>
  </w:footnote>
  <w:footnote w:id="40">
    <w:p w14:paraId="5599BFEE" w14:textId="1945FC52" w:rsidR="0098346E" w:rsidRPr="00FE722A" w:rsidRDefault="0098346E">
      <w:pPr>
        <w:pStyle w:val="FootnoteText"/>
      </w:pPr>
      <w:r>
        <w:rPr>
          <w:rStyle w:val="FootnoteReference"/>
        </w:rPr>
        <w:footnoteRef/>
      </w:r>
      <w:r>
        <w:t xml:space="preserve"> </w:t>
      </w:r>
      <w:r w:rsidR="00721AAF" w:rsidRPr="00721AAF">
        <w:rPr>
          <w:i/>
        </w:rPr>
        <w:t xml:space="preserve">See </w:t>
      </w:r>
      <w:r w:rsidR="0058155B">
        <w:rPr>
          <w:i/>
        </w:rPr>
        <w:t>infra</w:t>
      </w:r>
      <w:r w:rsidR="00FE722A">
        <w:rPr>
          <w:i/>
        </w:rPr>
        <w:t xml:space="preserve"> </w:t>
      </w:r>
      <w:r w:rsidR="00FE722A">
        <w:t xml:space="preserve">paras. </w:t>
      </w:r>
      <w:r w:rsidR="001A6964">
        <w:t>19</w:t>
      </w:r>
      <w:r w:rsidR="00FE722A">
        <w:t>-</w:t>
      </w:r>
      <w:r w:rsidR="001A6964">
        <w:t>2</w:t>
      </w:r>
      <w:r w:rsidR="006766E0">
        <w:t>2</w:t>
      </w:r>
      <w:r w:rsidR="00FE722A">
        <w:t>.</w:t>
      </w:r>
    </w:p>
  </w:footnote>
  <w:footnote w:id="41">
    <w:p w14:paraId="1CE42424" w14:textId="7128DE2C" w:rsidR="00DC6E32" w:rsidRDefault="00DC6E32" w:rsidP="00DC6E32">
      <w:pPr>
        <w:pStyle w:val="FootnoteText"/>
      </w:pPr>
      <w:r>
        <w:rPr>
          <w:rStyle w:val="FootnoteReference"/>
        </w:rPr>
        <w:footnoteRef/>
      </w:r>
      <w:r>
        <w:t xml:space="preserve"> </w:t>
      </w:r>
      <w:r w:rsidRPr="00065DA4">
        <w:rPr>
          <w:i/>
        </w:rPr>
        <w:t>See</w:t>
      </w:r>
      <w:r w:rsidRPr="00065DA4">
        <w:t xml:space="preserve"> </w:t>
      </w:r>
      <w:r w:rsidR="001A1DC2" w:rsidRPr="008A338F">
        <w:rPr>
          <w:i/>
        </w:rPr>
        <w:t>Applications Filed for the Transfer of Control of Insight Communications Company, Inc. to Time Warner Cable Inc</w:t>
      </w:r>
      <w:r w:rsidR="001A1DC2" w:rsidRPr="008A338F">
        <w:t>., WC Docket No. 11-148, Memorandum Opinion and Order, 27 FCC Rcd 497, 505-06, paras. 18-19 (W</w:t>
      </w:r>
      <w:r w:rsidR="006766E0">
        <w:t>CB/IB/WTB</w:t>
      </w:r>
      <w:r w:rsidR="001A1DC2" w:rsidRPr="008A338F">
        <w:t xml:space="preserve"> 2012) </w:t>
      </w:r>
      <w:r w:rsidR="001A1DC2">
        <w:t>(finding that the merged competitive LECs would benefit from combined networks and expanded services</w:t>
      </w:r>
      <w:r w:rsidR="006766E0">
        <w:t>,</w:t>
      </w:r>
      <w:r w:rsidR="001A1DC2">
        <w:t xml:space="preserve"> and therefore be a stronger competitor to the incumbent LEC and enhance competition)</w:t>
      </w:r>
      <w:r w:rsidR="001A1DC2" w:rsidRPr="008A338F">
        <w:t xml:space="preserve">; </w:t>
      </w:r>
      <w:r w:rsidR="001A1DC2" w:rsidRPr="008A338F">
        <w:rPr>
          <w:i/>
        </w:rPr>
        <w:t>Application of XO Communications, Inc. for Consent to Transfer Control of Licenses and Authorizations Pursuant to Sections 214 and 310(d) of the Communications Act</w:t>
      </w:r>
      <w:r w:rsidR="001A1DC2" w:rsidRPr="008A338F">
        <w:t>, IB Docket No. 02-50, 17 FCC Rcd 19212, 19225-26, para. 30 (I</w:t>
      </w:r>
      <w:r w:rsidR="006766E0">
        <w:t>B/WTB/WCB</w:t>
      </w:r>
      <w:r w:rsidR="001A1DC2" w:rsidRPr="008A338F">
        <w:t xml:space="preserve"> </w:t>
      </w:r>
      <w:r w:rsidR="001A1DC2">
        <w:t xml:space="preserve">2002) (finding that the merged competitive </w:t>
      </w:r>
      <w:r w:rsidR="001A1DC2" w:rsidRPr="008A338F">
        <w:t>LECs would b</w:t>
      </w:r>
      <w:r w:rsidR="001A1DC2">
        <w:t xml:space="preserve">e a stronger competitor to the incumbent </w:t>
      </w:r>
      <w:r w:rsidR="001A1DC2" w:rsidRPr="008A338F">
        <w:t>LEC in their overlap states and that the proposed transaction would therefore further competition rather than curtail it).</w:t>
      </w:r>
    </w:p>
  </w:footnote>
  <w:footnote w:id="42">
    <w:p w14:paraId="774B2A87" w14:textId="53BBAB28" w:rsidR="00DC6E32" w:rsidRPr="00F25740" w:rsidRDefault="00DC6E32" w:rsidP="00DC6E32">
      <w:pPr>
        <w:pStyle w:val="FootnoteText"/>
      </w:pPr>
      <w:r>
        <w:rPr>
          <w:rStyle w:val="FootnoteReference"/>
        </w:rPr>
        <w:footnoteRef/>
      </w:r>
      <w:r>
        <w:t xml:space="preserve"> Domestic 214 Application at 10, 11; Level 3 Communications, Inc. and tw telecom inc. Joint Opposition and Reply, WC Docket No. 14-104,  at 2 (filed Sept. 2, 2014</w:t>
      </w:r>
      <w:r w:rsidR="008D47DE">
        <w:t>)</w:t>
      </w:r>
      <w:r>
        <w:t xml:space="preserve"> (Applicant Reply); </w:t>
      </w:r>
      <w:r w:rsidR="00F25740" w:rsidRPr="00A33002">
        <w:t>Letter from Kent Bressie, Counsel for Level 3</w:t>
      </w:r>
      <w:r w:rsidR="002F4E11">
        <w:t>,</w:t>
      </w:r>
      <w:r w:rsidR="00F25740" w:rsidRPr="00A33002">
        <w:t xml:space="preserve"> to Marlene H. Dortch, Secretary, FCC, WC Docket No. 14-104</w:t>
      </w:r>
      <w:r w:rsidR="008D47DE">
        <w:t>,</w:t>
      </w:r>
      <w:r w:rsidR="00F25740" w:rsidRPr="00A33002">
        <w:t xml:space="preserve"> at </w:t>
      </w:r>
      <w:r w:rsidR="00F25740">
        <w:t xml:space="preserve">1, 3 </w:t>
      </w:r>
      <w:r w:rsidR="00F25740" w:rsidRPr="00A33002">
        <w:t xml:space="preserve">(filed Sept. 12, 2014) (Level 3 Sept. 12, 2014 </w:t>
      </w:r>
      <w:r w:rsidR="00F25740" w:rsidRPr="00A33002">
        <w:rPr>
          <w:i/>
        </w:rPr>
        <w:t xml:space="preserve">Ex Parte </w:t>
      </w:r>
      <w:r w:rsidR="00F25740" w:rsidRPr="00C6595C">
        <w:t>Letter</w:t>
      </w:r>
      <w:r w:rsidR="00F25740" w:rsidRPr="00A33002">
        <w:rPr>
          <w:i/>
        </w:rPr>
        <w:t>)</w:t>
      </w:r>
      <w:r w:rsidR="00F25740">
        <w:t xml:space="preserve">.  </w:t>
      </w:r>
      <w:r w:rsidRPr="0058155B">
        <w:t>The Applicants contend that the incumbent LECs are dominant in the enterprise market, often owning the only connection to buildings.</w:t>
      </w:r>
      <w:r>
        <w:t xml:space="preserve">  </w:t>
      </w:r>
      <w:r w:rsidR="00F25740">
        <w:rPr>
          <w:i/>
        </w:rPr>
        <w:t>Id</w:t>
      </w:r>
      <w:r w:rsidR="00F25740">
        <w:t>. at 3.</w:t>
      </w:r>
    </w:p>
  </w:footnote>
  <w:footnote w:id="43">
    <w:p w14:paraId="19AB78C1" w14:textId="4D6BF5ED" w:rsidR="00DC6E32" w:rsidRDefault="00DC6E32" w:rsidP="00DC6E32">
      <w:pPr>
        <w:pStyle w:val="FootnoteText"/>
      </w:pPr>
      <w:r>
        <w:rPr>
          <w:rStyle w:val="FootnoteReference"/>
        </w:rPr>
        <w:footnoteRef/>
      </w:r>
      <w:r>
        <w:t xml:space="preserve"> </w:t>
      </w:r>
      <w:r w:rsidRPr="00AC0DA9">
        <w:t>Level 3 Sept</w:t>
      </w:r>
      <w:r w:rsidR="00F25740">
        <w:t>.</w:t>
      </w:r>
      <w:r w:rsidRPr="00AC0DA9">
        <w:t xml:space="preserve"> 12, 2014 </w:t>
      </w:r>
      <w:r w:rsidRPr="00AC0DA9">
        <w:rPr>
          <w:i/>
        </w:rPr>
        <w:t>Ex Parte</w:t>
      </w:r>
      <w:r w:rsidRPr="00AC0DA9">
        <w:t xml:space="preserve"> Letter at 1, 3</w:t>
      </w:r>
      <w:r w:rsidR="00F25740">
        <w:t>; Letter from Joseph C. Cavender, Level 3, to Marlene H. Dortch, Secretary, FCC, WC Docket No. 14-104</w:t>
      </w:r>
      <w:r w:rsidR="008D47DE">
        <w:t>,</w:t>
      </w:r>
      <w:r w:rsidR="00F25740">
        <w:t xml:space="preserve"> at 1 (filed Oct. 7, 2014</w:t>
      </w:r>
      <w:r w:rsidR="002F4E11">
        <w:t xml:space="preserve">) </w:t>
      </w:r>
      <w:r w:rsidR="00F25740">
        <w:t xml:space="preserve">(Level 3 Oct. 7, 2014 </w:t>
      </w:r>
      <w:r w:rsidR="00F25740">
        <w:rPr>
          <w:i/>
        </w:rPr>
        <w:t>Ex Parte</w:t>
      </w:r>
      <w:r w:rsidR="00F25740">
        <w:t xml:space="preserve"> Letter)</w:t>
      </w:r>
      <w:r w:rsidR="001958FD">
        <w:t>.</w:t>
      </w:r>
    </w:p>
  </w:footnote>
  <w:footnote w:id="44">
    <w:p w14:paraId="23529FA7" w14:textId="41C66215" w:rsidR="00F25740" w:rsidRPr="00F25740" w:rsidRDefault="00F25740">
      <w:pPr>
        <w:pStyle w:val="FootnoteText"/>
      </w:pPr>
      <w:r>
        <w:rPr>
          <w:rStyle w:val="FootnoteReference"/>
        </w:rPr>
        <w:footnoteRef/>
      </w:r>
      <w:r>
        <w:t xml:space="preserve"> Level 3 Sept. 12</w:t>
      </w:r>
      <w:r w:rsidR="008D47DE">
        <w:t>, 2014</w:t>
      </w:r>
      <w:r>
        <w:t xml:space="preserve"> </w:t>
      </w:r>
      <w:r>
        <w:rPr>
          <w:i/>
        </w:rPr>
        <w:t>Ex Parte</w:t>
      </w:r>
      <w:r>
        <w:t xml:space="preserve"> Letter at 1.</w:t>
      </w:r>
    </w:p>
  </w:footnote>
  <w:footnote w:id="45">
    <w:p w14:paraId="238DC83A" w14:textId="0CB92460" w:rsidR="00CD5C84" w:rsidRDefault="00CD5C84" w:rsidP="00CD5C84">
      <w:pPr>
        <w:pStyle w:val="FootnoteText"/>
      </w:pPr>
      <w:r>
        <w:rPr>
          <w:rStyle w:val="FootnoteReference"/>
        </w:rPr>
        <w:footnoteRef/>
      </w:r>
      <w:r>
        <w:t xml:space="preserve"> Applicant Reply at 2; Level 3 Sept. 12</w:t>
      </w:r>
      <w:r w:rsidR="008D0FE0">
        <w:t>, 2014</w:t>
      </w:r>
      <w:r>
        <w:t xml:space="preserve"> </w:t>
      </w:r>
      <w:r>
        <w:rPr>
          <w:i/>
        </w:rPr>
        <w:t xml:space="preserve">Ex Parte </w:t>
      </w:r>
      <w:r>
        <w:t>Letter at 1-3; Level 3 Oct. 7</w:t>
      </w:r>
      <w:r w:rsidR="008D0FE0">
        <w:t>, 2014</w:t>
      </w:r>
      <w:r>
        <w:t xml:space="preserve"> </w:t>
      </w:r>
      <w:r>
        <w:rPr>
          <w:i/>
        </w:rPr>
        <w:t>Ex Parte</w:t>
      </w:r>
      <w:r>
        <w:t xml:space="preserve"> Letter at 1.</w:t>
      </w:r>
    </w:p>
  </w:footnote>
  <w:footnote w:id="46">
    <w:p w14:paraId="2298D87B" w14:textId="35B53D3C" w:rsidR="00F57ADB" w:rsidRPr="00F57ADB" w:rsidRDefault="00F57ADB">
      <w:pPr>
        <w:pStyle w:val="FootnoteText"/>
      </w:pPr>
      <w:r>
        <w:rPr>
          <w:rStyle w:val="FootnoteReference"/>
        </w:rPr>
        <w:footnoteRef/>
      </w:r>
      <w:r>
        <w:t xml:space="preserve"> Level 3 Oct. 7</w:t>
      </w:r>
      <w:r w:rsidR="008D0FE0">
        <w:t>, 2014</w:t>
      </w:r>
      <w:r>
        <w:t xml:space="preserve"> </w:t>
      </w:r>
      <w:r>
        <w:rPr>
          <w:i/>
        </w:rPr>
        <w:t>Ex Parte</w:t>
      </w:r>
      <w:r>
        <w:t xml:space="preserve"> Letter at 1.</w:t>
      </w:r>
    </w:p>
  </w:footnote>
  <w:footnote w:id="47">
    <w:p w14:paraId="27B0838F" w14:textId="77777777" w:rsidR="00DC6E32" w:rsidRDefault="00DC6E32" w:rsidP="00DC6E32">
      <w:pPr>
        <w:pStyle w:val="FootnoteText"/>
      </w:pPr>
      <w:r>
        <w:rPr>
          <w:rStyle w:val="FootnoteReference"/>
        </w:rPr>
        <w:footnoteRef/>
      </w:r>
      <w:r>
        <w:t xml:space="preserve"> </w:t>
      </w:r>
      <w:r w:rsidRPr="00791B63">
        <w:rPr>
          <w:i/>
        </w:rPr>
        <w:t>Id.</w:t>
      </w:r>
      <w:r>
        <w:t xml:space="preserve"> at 1</w:t>
      </w:r>
      <w:r w:rsidRPr="008B5139">
        <w:t>.</w:t>
      </w:r>
    </w:p>
  </w:footnote>
  <w:footnote w:id="48">
    <w:p w14:paraId="39B3BE45" w14:textId="29CD7BFD" w:rsidR="00DC6E32" w:rsidRPr="0039090C" w:rsidRDefault="00DC6E32" w:rsidP="00DC6E32">
      <w:pPr>
        <w:pStyle w:val="FootnoteText"/>
      </w:pPr>
      <w:r>
        <w:rPr>
          <w:rStyle w:val="FootnoteReference"/>
        </w:rPr>
        <w:footnoteRef/>
      </w:r>
      <w:r>
        <w:t xml:space="preserve"> </w:t>
      </w:r>
      <w:r w:rsidR="002F4E11">
        <w:t>Domestic 214 Application at 8-9; Level 3 Sept. 12</w:t>
      </w:r>
      <w:r w:rsidR="008D0FE0">
        <w:t>, 2014</w:t>
      </w:r>
      <w:r w:rsidR="002F4E11">
        <w:t xml:space="preserve"> </w:t>
      </w:r>
      <w:r w:rsidR="002F4E11" w:rsidRPr="002F4E11">
        <w:rPr>
          <w:i/>
        </w:rPr>
        <w:t>Ex Parte</w:t>
      </w:r>
      <w:r w:rsidR="002F4E11">
        <w:t xml:space="preserve"> Letter </w:t>
      </w:r>
      <w:r>
        <w:t xml:space="preserve">at 2.  </w:t>
      </w:r>
      <w:r w:rsidRPr="0057521F">
        <w:t xml:space="preserve">For example, Level 3 </w:t>
      </w:r>
      <w:r>
        <w:t xml:space="preserve">states that it </w:t>
      </w:r>
      <w:r w:rsidRPr="0057521F">
        <w:t>currently offers various collocation, data center, and video services that TWT do</w:t>
      </w:r>
      <w:r>
        <w:t xml:space="preserve">es not offer to its customers.  </w:t>
      </w:r>
      <w:r w:rsidR="002F4E11">
        <w:t>Level 3 Sept. 12</w:t>
      </w:r>
      <w:r w:rsidR="008D0FE0">
        <w:t>, 2014</w:t>
      </w:r>
      <w:r w:rsidR="002F4E11">
        <w:t xml:space="preserve"> </w:t>
      </w:r>
      <w:r w:rsidR="002F4E11">
        <w:rPr>
          <w:i/>
        </w:rPr>
        <w:t>Ex Parte</w:t>
      </w:r>
      <w:r w:rsidR="002F4E11">
        <w:t xml:space="preserve"> Letter at 2</w:t>
      </w:r>
      <w:r>
        <w:t>.</w:t>
      </w:r>
    </w:p>
  </w:footnote>
  <w:footnote w:id="49">
    <w:p w14:paraId="3F97352F" w14:textId="7E1C71F4" w:rsidR="00DC6E32" w:rsidRDefault="00DC6E32" w:rsidP="00DC6E32">
      <w:pPr>
        <w:pStyle w:val="FootnoteText"/>
      </w:pPr>
      <w:r>
        <w:rPr>
          <w:rStyle w:val="FootnoteReference"/>
        </w:rPr>
        <w:footnoteRef/>
      </w:r>
      <w:r>
        <w:t xml:space="preserve"> </w:t>
      </w:r>
      <w:r w:rsidR="008D0FE0">
        <w:t xml:space="preserve">Level 3 Sept. 12, 2014 </w:t>
      </w:r>
      <w:r w:rsidR="008D0FE0">
        <w:rPr>
          <w:i/>
        </w:rPr>
        <w:t>Ex Parte</w:t>
      </w:r>
      <w:r w:rsidR="008D0FE0">
        <w:t xml:space="preserve"> Letter at 2.</w:t>
      </w:r>
    </w:p>
  </w:footnote>
  <w:footnote w:id="50">
    <w:p w14:paraId="26E016EE" w14:textId="77777777" w:rsidR="00DC6E32" w:rsidRDefault="00DC6E32" w:rsidP="00DC6E32">
      <w:pPr>
        <w:pStyle w:val="FootnoteText"/>
      </w:pPr>
      <w:r>
        <w:rPr>
          <w:rStyle w:val="FootnoteReference"/>
        </w:rPr>
        <w:footnoteRef/>
      </w:r>
      <w:r>
        <w:t xml:space="preserve"> </w:t>
      </w:r>
      <w:r w:rsidRPr="00430807">
        <w:rPr>
          <w:i/>
        </w:rPr>
        <w:t>Id</w:t>
      </w:r>
      <w:r>
        <w:t xml:space="preserve">. </w:t>
      </w:r>
    </w:p>
  </w:footnote>
  <w:footnote w:id="51">
    <w:p w14:paraId="7DDC6D8B" w14:textId="77777777" w:rsidR="00DC6E32" w:rsidRPr="00AB0617" w:rsidRDefault="00DC6E32" w:rsidP="00DC6E32">
      <w:pPr>
        <w:pStyle w:val="FootnoteText"/>
      </w:pPr>
      <w:r w:rsidRPr="00AB0617">
        <w:rPr>
          <w:rStyle w:val="FootnoteReference"/>
        </w:rPr>
        <w:footnoteRef/>
      </w:r>
      <w:r w:rsidRPr="00AB0617">
        <w:t xml:space="preserve"> </w:t>
      </w:r>
      <w:r>
        <w:t xml:space="preserve">Similarly in our consideration of the Frontier/Verizon transaction, the Commission found </w:t>
      </w:r>
      <w:r w:rsidRPr="002700A1">
        <w:t>that transaction synergies were a potential transact</w:t>
      </w:r>
      <w:r>
        <w:t>ion benefit, but relied</w:t>
      </w:r>
      <w:r w:rsidRPr="002700A1">
        <w:t xml:space="preserve"> on other merger benefits to support a determination that the transac</w:t>
      </w:r>
      <w:r>
        <w:t xml:space="preserve">tion was in the public interest.  </w:t>
      </w:r>
      <w:r w:rsidRPr="00AB0617">
        <w:rPr>
          <w:i/>
        </w:rPr>
        <w:t>Applications Filed by Frontier Communications Corporation and Verizon Communications Inc. for Assignment or Transfer of Control</w:t>
      </w:r>
      <w:r w:rsidRPr="00AB0617">
        <w:t>, WC Docket 09-95, Memorandum Opinion and Order, 25 FCC Rcd 5972, 59</w:t>
      </w:r>
      <w:r>
        <w:t>95, para</w:t>
      </w:r>
      <w:r w:rsidRPr="00AB0617">
        <w:t xml:space="preserve">. </w:t>
      </w:r>
      <w:r>
        <w:t>57</w:t>
      </w:r>
      <w:r w:rsidRPr="00AB0617">
        <w:t xml:space="preserve"> (2010)</w:t>
      </w:r>
      <w:r>
        <w:t xml:space="preserve"> (</w:t>
      </w:r>
      <w:r>
        <w:rPr>
          <w:i/>
        </w:rPr>
        <w:t>Frontier/Verizon Order</w:t>
      </w:r>
      <w:r>
        <w:t>).</w:t>
      </w:r>
    </w:p>
  </w:footnote>
  <w:footnote w:id="52">
    <w:p w14:paraId="0664DF36" w14:textId="77777777" w:rsidR="00721889" w:rsidRPr="00AB0617" w:rsidRDefault="00721889" w:rsidP="00721889">
      <w:pPr>
        <w:pStyle w:val="FootnoteText"/>
      </w:pPr>
      <w:r w:rsidRPr="00AB0617">
        <w:rPr>
          <w:rStyle w:val="FootnoteReference"/>
        </w:rPr>
        <w:footnoteRef/>
      </w:r>
      <w:r w:rsidRPr="00AB0617">
        <w:t xml:space="preserve"> </w:t>
      </w:r>
      <w:r w:rsidR="00542B46">
        <w:t xml:space="preserve">The Commission has stated that </w:t>
      </w:r>
      <w:r w:rsidR="00542B46">
        <w:rPr>
          <w:color w:val="000000"/>
        </w:rPr>
        <w:t>a</w:t>
      </w:r>
      <w:r w:rsidRPr="00AB0617">
        <w:rPr>
          <w:color w:val="000000"/>
        </w:rPr>
        <w:t xml:space="preserve"> transaction is </w:t>
      </w:r>
      <w:r w:rsidR="00BC0856">
        <w:rPr>
          <w:color w:val="000000"/>
        </w:rPr>
        <w:t>considered to be</w:t>
      </w:r>
      <w:r w:rsidR="00385078">
        <w:rPr>
          <w:color w:val="000000"/>
        </w:rPr>
        <w:t xml:space="preserve"> </w:t>
      </w:r>
      <w:r w:rsidRPr="00AB0617">
        <w:rPr>
          <w:color w:val="000000"/>
        </w:rPr>
        <w:t xml:space="preserve">horizontal when the parties to the transaction sell products that are in the same relevant product and geographic markets.  </w:t>
      </w:r>
      <w:r w:rsidRPr="00AB0617">
        <w:rPr>
          <w:i/>
          <w:color w:val="000000"/>
        </w:rPr>
        <w:t>See, e.g.</w:t>
      </w:r>
      <w:r w:rsidRPr="00AB0617">
        <w:rPr>
          <w:color w:val="000000"/>
        </w:rPr>
        <w:t>,</w:t>
      </w:r>
      <w:r w:rsidRPr="00AB0617">
        <w:rPr>
          <w:iCs/>
          <w:color w:val="000000"/>
        </w:rPr>
        <w:t xml:space="preserve"> </w:t>
      </w:r>
      <w:r w:rsidRPr="00AB0617">
        <w:rPr>
          <w:i/>
          <w:iCs/>
          <w:color w:val="000000"/>
        </w:rPr>
        <w:t xml:space="preserve">AT&amp;T/BellSouth Order, </w:t>
      </w:r>
      <w:r w:rsidRPr="00AB0617">
        <w:rPr>
          <w:color w:val="000000"/>
        </w:rPr>
        <w:t xml:space="preserve">22 FCC Rcd at 5675, para. 23 </w:t>
      </w:r>
      <w:r>
        <w:rPr>
          <w:color w:val="000000"/>
        </w:rPr>
        <w:t>&amp;</w:t>
      </w:r>
      <w:r w:rsidRPr="00AB0617">
        <w:rPr>
          <w:color w:val="000000"/>
        </w:rPr>
        <w:t xml:space="preserve"> n.82</w:t>
      </w:r>
      <w:r w:rsidR="00813C18">
        <w:rPr>
          <w:color w:val="000000"/>
        </w:rPr>
        <w:t>.</w:t>
      </w:r>
    </w:p>
  </w:footnote>
  <w:footnote w:id="53">
    <w:p w14:paraId="66D3D49C" w14:textId="77777777" w:rsidR="00721889" w:rsidRDefault="00721889" w:rsidP="00721889">
      <w:pPr>
        <w:pStyle w:val="FootnoteText"/>
      </w:pPr>
      <w:r>
        <w:rPr>
          <w:rStyle w:val="FootnoteReference"/>
        </w:rPr>
        <w:footnoteRef/>
      </w:r>
      <w:r>
        <w:t xml:space="preserve"> </w:t>
      </w:r>
      <w:r w:rsidR="00D2326E">
        <w:t>Domestic 214 Application at 8-10</w:t>
      </w:r>
      <w:r>
        <w:t>.</w:t>
      </w:r>
    </w:p>
  </w:footnote>
  <w:footnote w:id="54">
    <w:p w14:paraId="67905523" w14:textId="77777777" w:rsidR="00721889" w:rsidRDefault="00721889" w:rsidP="00721889">
      <w:pPr>
        <w:pStyle w:val="FootnoteText"/>
      </w:pPr>
      <w:r>
        <w:rPr>
          <w:rStyle w:val="FootnoteReference"/>
        </w:rPr>
        <w:footnoteRef/>
      </w:r>
      <w:r>
        <w:t xml:space="preserve"> </w:t>
      </w:r>
      <w:r w:rsidRPr="002956FE">
        <w:rPr>
          <w:i/>
        </w:rPr>
        <w:t>Id</w:t>
      </w:r>
      <w:r>
        <w:t>.</w:t>
      </w:r>
    </w:p>
  </w:footnote>
  <w:footnote w:id="55">
    <w:p w14:paraId="271F1235" w14:textId="1AD80C50" w:rsidR="00721889" w:rsidRDefault="00721889" w:rsidP="00721889">
      <w:pPr>
        <w:pStyle w:val="FootnoteText"/>
      </w:pPr>
      <w:r>
        <w:rPr>
          <w:rStyle w:val="FootnoteReference"/>
        </w:rPr>
        <w:footnoteRef/>
      </w:r>
      <w:r>
        <w:t xml:space="preserve"> </w:t>
      </w:r>
      <w:r w:rsidR="00F25740">
        <w:t>Level 3 Sept. 12</w:t>
      </w:r>
      <w:r w:rsidR="00736D1F">
        <w:t>, 2014</w:t>
      </w:r>
      <w:r w:rsidR="00F25740">
        <w:t xml:space="preserve"> </w:t>
      </w:r>
      <w:r w:rsidR="00F25740">
        <w:rPr>
          <w:i/>
        </w:rPr>
        <w:t xml:space="preserve">Ex </w:t>
      </w:r>
      <w:r w:rsidR="00F25740" w:rsidRPr="00C40D89">
        <w:rPr>
          <w:i/>
        </w:rPr>
        <w:t>Pa</w:t>
      </w:r>
      <w:r w:rsidR="00F25740" w:rsidRPr="00F25740">
        <w:rPr>
          <w:i/>
        </w:rPr>
        <w:t>rte</w:t>
      </w:r>
      <w:r w:rsidR="00F25740">
        <w:t xml:space="preserve"> Letter </w:t>
      </w:r>
      <w:r w:rsidR="004279BE" w:rsidRPr="00A33002">
        <w:t>at 2</w:t>
      </w:r>
      <w:r w:rsidR="00C04943">
        <w:t xml:space="preserve"> and</w:t>
      </w:r>
      <w:r w:rsidR="004279BE">
        <w:t xml:space="preserve"> Attach. at </w:t>
      </w:r>
      <w:r w:rsidR="00910008">
        <w:t>para. 4</w:t>
      </w:r>
      <w:r w:rsidR="004279BE">
        <w:t xml:space="preserve"> (Decl. of Michael J. Mooney)</w:t>
      </w:r>
      <w:r w:rsidR="004279BE" w:rsidRPr="00A33002">
        <w:t>.</w:t>
      </w:r>
      <w:r w:rsidR="00D2326E">
        <w:t xml:space="preserve">  </w:t>
      </w:r>
      <w:r w:rsidRPr="00354DB5">
        <w:t xml:space="preserve">Level 3 and TWT </w:t>
      </w:r>
      <w:r>
        <w:t>explain that they</w:t>
      </w:r>
      <w:r w:rsidRPr="00354DB5">
        <w:t xml:space="preserve"> provide service through a combination of "on-net" and "off-net" last-mile facilities or services. "On-net" last-mile facilities consist of fibers that are owned, held as indefeasible rights of use, or leased on a long-term basis and that are lit and manag</w:t>
      </w:r>
      <w:r>
        <w:t xml:space="preserve">ed by the competitive </w:t>
      </w:r>
      <w:r w:rsidRPr="00354DB5">
        <w:t>LEC to reach an end-user customer's building. "Off-net</w:t>
      </w:r>
      <w:r>
        <w:t>" last-mile services-such as DS</w:t>
      </w:r>
      <w:r w:rsidRPr="00354DB5">
        <w:t xml:space="preserve">ls, DS3s, </w:t>
      </w:r>
      <w:r w:rsidR="00C37F68">
        <w:t>unbundled network element</w:t>
      </w:r>
      <w:r>
        <w:t xml:space="preserve"> loops, or Ethernet connections </w:t>
      </w:r>
      <w:r w:rsidRPr="00354DB5">
        <w:t xml:space="preserve">are purchased from another </w:t>
      </w:r>
      <w:r>
        <w:t xml:space="preserve">provider, usually the incumbent LEC, and then combined with a competitive </w:t>
      </w:r>
      <w:r w:rsidRPr="00354DB5">
        <w:t>LEC's metro or intercity network facilities to provide service to a particular customer location.</w:t>
      </w:r>
      <w:r>
        <w:t xml:space="preserve"> </w:t>
      </w:r>
      <w:r w:rsidRPr="00354DB5">
        <w:t xml:space="preserve"> The</w:t>
      </w:r>
      <w:r>
        <w:t>y state that the</w:t>
      </w:r>
      <w:r w:rsidRPr="00354DB5">
        <w:t xml:space="preserve"> ability to connect to a customer location using "on-net" fac</w:t>
      </w:r>
      <w:r>
        <w:t xml:space="preserve">ilities </w:t>
      </w:r>
      <w:r w:rsidRPr="00354DB5">
        <w:t xml:space="preserve">provides the </w:t>
      </w:r>
      <w:r w:rsidR="00C37F68">
        <w:t xml:space="preserve">competitive </w:t>
      </w:r>
      <w:r w:rsidRPr="00354DB5">
        <w:t xml:space="preserve">LEC with a significant advantage in terms </w:t>
      </w:r>
      <w:r>
        <w:t xml:space="preserve">of </w:t>
      </w:r>
      <w:r w:rsidRPr="00354DB5">
        <w:t xml:space="preserve">control of the service, service quality, and </w:t>
      </w:r>
      <w:r>
        <w:t>costs</w:t>
      </w:r>
      <w:r w:rsidRPr="00354DB5">
        <w:t>.</w:t>
      </w:r>
      <w:r w:rsidR="00C37F68">
        <w:t xml:space="preserve">  </w:t>
      </w:r>
      <w:r w:rsidR="00D2326E">
        <w:t xml:space="preserve">Domestic 214 </w:t>
      </w:r>
      <w:r w:rsidR="004279BE">
        <w:t>Application</w:t>
      </w:r>
      <w:r w:rsidR="00C37F68">
        <w:t xml:space="preserve"> at 11.</w:t>
      </w:r>
    </w:p>
  </w:footnote>
  <w:footnote w:id="56">
    <w:p w14:paraId="6E0A43B5" w14:textId="38966C45" w:rsidR="00F13E3D" w:rsidRDefault="00F13E3D">
      <w:pPr>
        <w:pStyle w:val="FootnoteText"/>
      </w:pPr>
      <w:r>
        <w:rPr>
          <w:rStyle w:val="FootnoteReference"/>
        </w:rPr>
        <w:footnoteRef/>
      </w:r>
      <w:r>
        <w:t xml:space="preserve"> </w:t>
      </w:r>
      <w:r w:rsidR="00A33002" w:rsidRPr="00A33002">
        <w:t xml:space="preserve">Level 3 Sept. 12, 2014 </w:t>
      </w:r>
      <w:r w:rsidR="00A33002" w:rsidRPr="00A33002">
        <w:rPr>
          <w:i/>
        </w:rPr>
        <w:t xml:space="preserve">Ex Parte </w:t>
      </w:r>
      <w:r w:rsidR="00A33002" w:rsidRPr="00C6595C">
        <w:t>Letter</w:t>
      </w:r>
      <w:r w:rsidR="004279BE">
        <w:t xml:space="preserve"> at 2; Attach</w:t>
      </w:r>
      <w:r w:rsidR="001A6964">
        <w:t>.</w:t>
      </w:r>
      <w:r w:rsidR="004279BE">
        <w:t xml:space="preserve"> at 1.</w:t>
      </w:r>
    </w:p>
  </w:footnote>
  <w:footnote w:id="57">
    <w:p w14:paraId="1AD46966" w14:textId="77777777" w:rsidR="00AC76E8" w:rsidRDefault="00AC76E8" w:rsidP="00AC76E8">
      <w:pPr>
        <w:pStyle w:val="FootnoteText"/>
      </w:pPr>
      <w:r>
        <w:rPr>
          <w:rStyle w:val="FootnoteReference"/>
        </w:rPr>
        <w:footnoteRef/>
      </w:r>
      <w:r>
        <w:t xml:space="preserve"> </w:t>
      </w:r>
      <w:r>
        <w:rPr>
          <w:i/>
        </w:rPr>
        <w:t>Qwest/CenturyLink Order</w:t>
      </w:r>
      <w:r>
        <w:t>, 26 FCC Rcd at 4202-03, paras. 16-17.</w:t>
      </w:r>
    </w:p>
  </w:footnote>
  <w:footnote w:id="58">
    <w:p w14:paraId="61DC1E3B" w14:textId="01F57185" w:rsidR="00345E1F" w:rsidRDefault="00345E1F">
      <w:pPr>
        <w:pStyle w:val="FootnoteText"/>
      </w:pPr>
      <w:r>
        <w:rPr>
          <w:rStyle w:val="FootnoteReference"/>
        </w:rPr>
        <w:footnoteRef/>
      </w:r>
      <w:r>
        <w:t xml:space="preserve"> </w:t>
      </w:r>
      <w:r w:rsidR="00E053F4">
        <w:t xml:space="preserve">Domestic 214 </w:t>
      </w:r>
      <w:r w:rsidR="00586EC2">
        <w:t>Application at 10</w:t>
      </w:r>
      <w:r w:rsidR="002B67F0">
        <w:t xml:space="preserve">; Level 3 Sept. 12, 2014 </w:t>
      </w:r>
      <w:r w:rsidR="002B67F0">
        <w:rPr>
          <w:i/>
        </w:rPr>
        <w:t>Ex Parte</w:t>
      </w:r>
      <w:r w:rsidR="002B67F0">
        <w:t xml:space="preserve"> Letter </w:t>
      </w:r>
      <w:r w:rsidR="00AB49CC">
        <w:t xml:space="preserve">at 2-3 and </w:t>
      </w:r>
      <w:r w:rsidR="00910008">
        <w:t>Attach. at</w:t>
      </w:r>
      <w:r w:rsidR="00AB49CC">
        <w:t xml:space="preserve"> para. 8</w:t>
      </w:r>
      <w:r w:rsidR="00586EC2">
        <w:t>.</w:t>
      </w:r>
      <w:r w:rsidR="00FC7752">
        <w:t xml:space="preserve">  </w:t>
      </w:r>
    </w:p>
  </w:footnote>
  <w:footnote w:id="59">
    <w:p w14:paraId="5480B5C4" w14:textId="77777777" w:rsidR="00EC60D2" w:rsidRDefault="00EC60D2" w:rsidP="00EC60D2">
      <w:pPr>
        <w:pStyle w:val="FootnoteText"/>
      </w:pPr>
      <w:r>
        <w:rPr>
          <w:rStyle w:val="FootnoteReference"/>
        </w:rPr>
        <w:footnoteRef/>
      </w:r>
      <w:r>
        <w:t xml:space="preserve"> Domestic 214 Application at 10-11; Level 3 Sept. 12, 2014 </w:t>
      </w:r>
      <w:r w:rsidRPr="00B722C8">
        <w:rPr>
          <w:i/>
        </w:rPr>
        <w:t>Ex Parte</w:t>
      </w:r>
      <w:r>
        <w:t xml:space="preserve"> Letter at 1-2</w:t>
      </w:r>
      <w:r w:rsidR="00910008">
        <w:t xml:space="preserve"> and Attach.</w:t>
      </w:r>
      <w:r w:rsidR="00C04943">
        <w:t xml:space="preserve"> </w:t>
      </w:r>
      <w:r>
        <w:t>at para. 8.</w:t>
      </w:r>
    </w:p>
  </w:footnote>
  <w:footnote w:id="60">
    <w:p w14:paraId="68CA1577" w14:textId="77777777" w:rsidR="009C5A02" w:rsidRDefault="009C5A02">
      <w:pPr>
        <w:pStyle w:val="FootnoteText"/>
      </w:pPr>
      <w:r>
        <w:rPr>
          <w:rStyle w:val="FootnoteReference"/>
        </w:rPr>
        <w:footnoteRef/>
      </w:r>
      <w:r>
        <w:t xml:space="preserve"> </w:t>
      </w:r>
      <w:r w:rsidR="00C04943">
        <w:t xml:space="preserve">Domestic 214 Application at 10-11; </w:t>
      </w:r>
      <w:r w:rsidRPr="009C5A02">
        <w:t xml:space="preserve">Level 3 Sept. 12, 2014 </w:t>
      </w:r>
      <w:r w:rsidRPr="009C5A02">
        <w:rPr>
          <w:i/>
        </w:rPr>
        <w:t>Ex Parte</w:t>
      </w:r>
      <w:r w:rsidRPr="009C5A02">
        <w:t xml:space="preserve"> Letter at 2-3</w:t>
      </w:r>
      <w:r>
        <w:t xml:space="preserve">.  </w:t>
      </w:r>
    </w:p>
  </w:footnote>
  <w:footnote w:id="61">
    <w:p w14:paraId="7FA36006" w14:textId="3DF6CC94" w:rsidR="006358CB" w:rsidRPr="006358CB" w:rsidRDefault="006358CB">
      <w:pPr>
        <w:pStyle w:val="FootnoteText"/>
      </w:pPr>
      <w:r>
        <w:rPr>
          <w:rStyle w:val="FootnoteReference"/>
        </w:rPr>
        <w:footnoteRef/>
      </w:r>
      <w:r>
        <w:t xml:space="preserve"> </w:t>
      </w:r>
      <w:r w:rsidR="00C04943">
        <w:t xml:space="preserve">Domestic 214 Application at 8-10; </w:t>
      </w:r>
      <w:r>
        <w:t xml:space="preserve">Level 3 Sept. 12, 2014 </w:t>
      </w:r>
      <w:r>
        <w:rPr>
          <w:i/>
        </w:rPr>
        <w:t>Ex Parte</w:t>
      </w:r>
      <w:r>
        <w:t xml:space="preserve"> </w:t>
      </w:r>
      <w:r w:rsidR="00E4512B">
        <w:t xml:space="preserve">Letter </w:t>
      </w:r>
      <w:r>
        <w:t>at 1-2.</w:t>
      </w:r>
    </w:p>
  </w:footnote>
  <w:footnote w:id="62">
    <w:p w14:paraId="39A7C7BB" w14:textId="77777777" w:rsidR="00E43889" w:rsidRDefault="00E43889">
      <w:pPr>
        <w:pStyle w:val="FootnoteText"/>
      </w:pPr>
      <w:r>
        <w:rPr>
          <w:rStyle w:val="FootnoteReference"/>
        </w:rPr>
        <w:footnoteRef/>
      </w:r>
      <w:r w:rsidR="001F30A1">
        <w:t xml:space="preserve"> Proximiti Comments at 1-2</w:t>
      </w:r>
      <w:r>
        <w:t>.</w:t>
      </w:r>
    </w:p>
  </w:footnote>
  <w:footnote w:id="63">
    <w:p w14:paraId="74A62D04" w14:textId="12BFD1B0" w:rsidR="00AC58E4" w:rsidRDefault="00AC58E4">
      <w:pPr>
        <w:pStyle w:val="FootnoteText"/>
      </w:pPr>
      <w:r>
        <w:rPr>
          <w:rStyle w:val="FootnoteReference"/>
        </w:rPr>
        <w:footnoteRef/>
      </w:r>
      <w:r>
        <w:t xml:space="preserve"> CenturyLink Comments at </w:t>
      </w:r>
      <w:r w:rsidR="00B556B0">
        <w:t>1, 3-5; FairPoint Reply at 2, 4-5</w:t>
      </w:r>
      <w:r w:rsidR="005F2819">
        <w:t xml:space="preserve">; Letter from Jeffrey S. Lanning, Vice President-Federal Regulatory Affairs, CenturyLink, to Marlene H. Dortch, Secretary, FCC, WC Docket No. 14-104 at 1 (filed Oct. 23, 2014) (CenturyLink Oct. 23, 2014 </w:t>
      </w:r>
      <w:r w:rsidR="005F2819">
        <w:rPr>
          <w:i/>
        </w:rPr>
        <w:t>Ex Parte</w:t>
      </w:r>
      <w:r w:rsidR="005F2819">
        <w:t xml:space="preserve"> Letter)</w:t>
      </w:r>
    </w:p>
  </w:footnote>
  <w:footnote w:id="64">
    <w:p w14:paraId="2619FBB9" w14:textId="77777777" w:rsidR="00A727D5" w:rsidRDefault="00A727D5">
      <w:pPr>
        <w:pStyle w:val="FootnoteText"/>
      </w:pPr>
      <w:r>
        <w:rPr>
          <w:rStyle w:val="FootnoteReference"/>
        </w:rPr>
        <w:footnoteRef/>
      </w:r>
      <w:r w:rsidR="00613240">
        <w:t xml:space="preserve"> </w:t>
      </w:r>
      <w:r w:rsidR="002309E0">
        <w:t xml:space="preserve">FSF </w:t>
      </w:r>
      <w:r w:rsidR="00C37F68">
        <w:t>Opposition</w:t>
      </w:r>
      <w:r w:rsidR="002309E0">
        <w:t xml:space="preserve"> at 2.  FSF filed its formal complaint on Sept. 11, 2014.  </w:t>
      </w:r>
      <w:r w:rsidR="00D1151C" w:rsidRPr="00D1151C">
        <w:rPr>
          <w:i/>
        </w:rPr>
        <w:t>See</w:t>
      </w:r>
      <w:r w:rsidR="00D1151C">
        <w:t xml:space="preserve"> </w:t>
      </w:r>
      <w:r w:rsidR="0095099E" w:rsidRPr="0095099E">
        <w:rPr>
          <w:i/>
        </w:rPr>
        <w:t>Foreman Seeley Fountain Inc. v. TW Telecom Holdings, Inc.</w:t>
      </w:r>
      <w:r w:rsidR="0095099E">
        <w:t xml:space="preserve">, </w:t>
      </w:r>
      <w:r w:rsidR="00D1151C" w:rsidRPr="00D1151C">
        <w:t>File No. EB-14-MD-010</w:t>
      </w:r>
      <w:r w:rsidR="00D1151C">
        <w:t xml:space="preserve">, </w:t>
      </w:r>
      <w:r w:rsidR="0095099E">
        <w:t xml:space="preserve">Formal Complaint </w:t>
      </w:r>
      <w:r w:rsidR="00D1151C">
        <w:t>A</w:t>
      </w:r>
      <w:r w:rsidR="0095099E">
        <w:t xml:space="preserve">gainst </w:t>
      </w:r>
      <w:r w:rsidR="00C37F68">
        <w:t>tw telecom inc.</w:t>
      </w:r>
      <w:r w:rsidR="0095099E">
        <w:t xml:space="preserve"> (filed Sept. 11, 2014). </w:t>
      </w:r>
    </w:p>
  </w:footnote>
  <w:footnote w:id="65">
    <w:p w14:paraId="4DDAB90E" w14:textId="77777777" w:rsidR="00C6595C" w:rsidRDefault="00C6595C">
      <w:pPr>
        <w:pStyle w:val="FootnoteText"/>
      </w:pPr>
      <w:r>
        <w:rPr>
          <w:rStyle w:val="FootnoteReference"/>
        </w:rPr>
        <w:footnoteRef/>
      </w:r>
      <w:r>
        <w:t xml:space="preserve"> FSF Opposition at 2-16.</w:t>
      </w:r>
    </w:p>
  </w:footnote>
  <w:footnote w:id="66">
    <w:p w14:paraId="5AFA278D" w14:textId="11586ED5" w:rsidR="00E43889" w:rsidRDefault="00E43889">
      <w:pPr>
        <w:pStyle w:val="FootnoteText"/>
      </w:pPr>
      <w:r>
        <w:rPr>
          <w:rStyle w:val="FootnoteReference"/>
        </w:rPr>
        <w:footnoteRef/>
      </w:r>
      <w:r>
        <w:t xml:space="preserve"> </w:t>
      </w:r>
      <w:r w:rsidR="001A1DC2" w:rsidRPr="00C40D89">
        <w:rPr>
          <w:i/>
        </w:rPr>
        <w:t>I</w:t>
      </w:r>
      <w:r w:rsidR="001A1DC2" w:rsidRPr="001A1DC2">
        <w:rPr>
          <w:i/>
        </w:rPr>
        <w:t>d</w:t>
      </w:r>
      <w:r w:rsidR="001A1DC2">
        <w:t>.</w:t>
      </w:r>
      <w:r w:rsidR="00AC0DA9">
        <w:t xml:space="preserve"> at 1-2, 8</w:t>
      </w:r>
      <w:r w:rsidR="00AC58E4">
        <w:t>.</w:t>
      </w:r>
    </w:p>
  </w:footnote>
  <w:footnote w:id="67">
    <w:p w14:paraId="49CC216A" w14:textId="77777777" w:rsidR="00095A4B" w:rsidRDefault="00095A4B">
      <w:pPr>
        <w:pStyle w:val="FootnoteText"/>
      </w:pPr>
      <w:r>
        <w:rPr>
          <w:rStyle w:val="FootnoteReference"/>
        </w:rPr>
        <w:footnoteRef/>
      </w:r>
      <w:r>
        <w:t xml:space="preserve"> </w:t>
      </w:r>
      <w:r w:rsidRPr="00095A4B">
        <w:rPr>
          <w:i/>
        </w:rPr>
        <w:t>Id</w:t>
      </w:r>
      <w:r>
        <w:t xml:space="preserve">. at </w:t>
      </w:r>
      <w:r w:rsidR="00AC0DA9">
        <w:t>4-16</w:t>
      </w:r>
      <w:r>
        <w:t>.</w:t>
      </w:r>
    </w:p>
  </w:footnote>
  <w:footnote w:id="68">
    <w:p w14:paraId="372ACD81" w14:textId="77777777" w:rsidR="0065611B" w:rsidRPr="00316A29" w:rsidRDefault="0065611B" w:rsidP="0065611B">
      <w:pPr>
        <w:pStyle w:val="FootnoteText"/>
      </w:pPr>
      <w:r w:rsidRPr="00316A29">
        <w:rPr>
          <w:rStyle w:val="FootnoteReference"/>
        </w:rPr>
        <w:footnoteRef/>
      </w:r>
      <w:r w:rsidRPr="00316A29">
        <w:t xml:space="preserve"> </w:t>
      </w:r>
      <w:r w:rsidRPr="00316A29">
        <w:rPr>
          <w:i/>
        </w:rPr>
        <w:t>See Verizon Communications, Inc. and America Móvil, S.A. de C.V., Application for Authority to Transfer Control of Telecommunicaciones de Puerto Rico</w:t>
      </w:r>
      <w:r w:rsidRPr="00316A29">
        <w:t>, WT Docket No. 07-43, Memorandum Opinion and Order and Declaratory Ruling, 22 FCC Rcd 6195, 620</w:t>
      </w:r>
      <w:r>
        <w:t>6-07</w:t>
      </w:r>
      <w:r w:rsidRPr="00316A29">
        <w:t xml:space="preserve">, </w:t>
      </w:r>
      <w:r>
        <w:t xml:space="preserve">para. </w:t>
      </w:r>
      <w:r w:rsidRPr="00316A29">
        <w:t>2</w:t>
      </w:r>
      <w:r>
        <w:t>5</w:t>
      </w:r>
      <w:r w:rsidRPr="00316A29">
        <w:t xml:space="preserve"> (2007) (rejecting assertions that a transfer of control should be denied or conditioned based on non-merger-specific issues and finding that applicants were subject to existing requirements).</w:t>
      </w:r>
      <w:r>
        <w:rPr>
          <w:i/>
          <w:iCs/>
        </w:rPr>
        <w:t xml:space="preserve">  See </w:t>
      </w:r>
      <w:r w:rsidRPr="00316A29">
        <w:rPr>
          <w:i/>
        </w:rPr>
        <w:t>Applications of AT&amp;T Inc. and Centennial Communications Corp. For Consent to Transfer Control of Licenses, Authorizations, and Spectrum Leasing Arrangements</w:t>
      </w:r>
      <w:r w:rsidRPr="00316A29">
        <w:t>,</w:t>
      </w:r>
      <w:r w:rsidRPr="00316A29">
        <w:rPr>
          <w:i/>
        </w:rPr>
        <w:t xml:space="preserve"> </w:t>
      </w:r>
      <w:r w:rsidRPr="00316A29">
        <w:t>WT Docket No. 08-246, Memorandum Opinion and Order</w:t>
      </w:r>
      <w:r w:rsidRPr="00316A29">
        <w:rPr>
          <w:i/>
        </w:rPr>
        <w:t xml:space="preserve">, </w:t>
      </w:r>
      <w:r w:rsidRPr="00316A29">
        <w:t>24 FCC Rcd 13915, 1392</w:t>
      </w:r>
      <w:r>
        <w:t>9</w:t>
      </w:r>
      <w:r w:rsidRPr="00316A29">
        <w:t xml:space="preserve">, </w:t>
      </w:r>
      <w:r>
        <w:t xml:space="preserve">para. 30, 13974-75, para. 150 (2009) (stating that the Commission will not impose conditions in a merger proceeding to remedy pre-existing harms).  </w:t>
      </w:r>
    </w:p>
  </w:footnote>
  <w:footnote w:id="69">
    <w:p w14:paraId="001A9A38" w14:textId="4826B379" w:rsidR="009546FA" w:rsidRPr="00482854" w:rsidRDefault="009546FA">
      <w:pPr>
        <w:pStyle w:val="FootnoteText"/>
      </w:pPr>
      <w:r>
        <w:rPr>
          <w:rStyle w:val="FootnoteReference"/>
        </w:rPr>
        <w:footnoteRef/>
      </w:r>
      <w:r>
        <w:t xml:space="preserve"> </w:t>
      </w:r>
      <w:r w:rsidR="0080660D">
        <w:t xml:space="preserve">47 </w:t>
      </w:r>
      <w:r>
        <w:t xml:space="preserve">U.S.C. </w:t>
      </w:r>
      <w:r w:rsidR="0080660D">
        <w:t>§ 208.</w:t>
      </w:r>
      <w:r w:rsidR="0094545C">
        <w:t xml:space="preserve">   </w:t>
      </w:r>
      <w:r w:rsidR="00482854" w:rsidRPr="00482854">
        <w:rPr>
          <w:color w:val="000000"/>
        </w:rPr>
        <w:t>With regard to FSF’s pending formal complaint described above, the Commission has found that </w:t>
      </w:r>
      <w:r w:rsidR="00482854" w:rsidRPr="00482854">
        <w:rPr>
          <w:color w:val="000000"/>
          <w:shd w:val="clear" w:color="auto" w:fill="FFFFFF"/>
        </w:rPr>
        <w:t>the most appropriate forum to address an alleged violation is in the enforcement proceeding in which the allegations were raised.</w:t>
      </w:r>
      <w:r w:rsidR="00482854" w:rsidRPr="00482854">
        <w:rPr>
          <w:color w:val="000000"/>
          <w:vertAlign w:val="superscript"/>
        </w:rPr>
        <w:t> </w:t>
      </w:r>
      <w:r w:rsidR="00482854" w:rsidRPr="00482854">
        <w:rPr>
          <w:color w:val="000000"/>
        </w:rPr>
        <w:t> Post-divestiture, TWT will continue to be subject to action regarding the resolution of pending complaints, and it is thus unnecessary to address FSF’s claims here because they are not specific to this transaction.  </w:t>
      </w:r>
      <w:r w:rsidR="00482854" w:rsidRPr="00482854">
        <w:rPr>
          <w:i/>
          <w:iCs/>
          <w:color w:val="000000"/>
        </w:rPr>
        <w:t>See Assignment and/or Transfer of Control of Licenses of Time Warner Inc. to Time Warner Cable, Inc</w:t>
      </w:r>
      <w:r w:rsidR="00482854" w:rsidRPr="00482854">
        <w:rPr>
          <w:color w:val="000000"/>
        </w:rPr>
        <w:t>., MB Docket No. 08-120, WC Docket No. 08-157, Memorandum Opinion and Order, 24 FCC Rcd 879, 891, para. 23 (Media Bur., Wireline Comp. Bur., Wireless Telecom. Bur. 2009) (citing </w:t>
      </w:r>
      <w:r w:rsidR="00482854" w:rsidRPr="00482854">
        <w:rPr>
          <w:i/>
          <w:iCs/>
          <w:color w:val="000000"/>
          <w:shd w:val="clear" w:color="auto" w:fill="FFFFFF"/>
        </w:rPr>
        <w:t>General Motors Corp. and Hughes Electronics Corp., Transferors, and The News Corp. Ltd, Transferee,</w:t>
      </w:r>
      <w:r w:rsidR="00482854" w:rsidRPr="00482854">
        <w:rPr>
          <w:color w:val="000000"/>
          <w:shd w:val="clear" w:color="auto" w:fill="FFFFFF"/>
        </w:rPr>
        <w:t> MB Docket No. 03-124, Memorandum Opinion and Order, 19 FCC Rcd 473, 607, para. 309 (2004) (denying arguments that the Commission should delay or condition a transaction based on pending complaints and stating that the applicants continue to be subject to Commission action).  We note here that a grant of the</w:t>
      </w:r>
      <w:r w:rsidR="00482854" w:rsidRPr="00482854">
        <w:rPr>
          <w:rStyle w:val="apple-converted-space"/>
          <w:color w:val="000000"/>
          <w:shd w:val="clear" w:color="auto" w:fill="FFFFFF"/>
        </w:rPr>
        <w:t> </w:t>
      </w:r>
      <w:r w:rsidR="00482854" w:rsidRPr="00482854">
        <w:rPr>
          <w:color w:val="000000"/>
          <w:shd w:val="clear" w:color="auto" w:fill="FFFFFF"/>
        </w:rPr>
        <w:t>Applications is </w:t>
      </w:r>
      <w:r w:rsidR="00482854" w:rsidRPr="00482854">
        <w:rPr>
          <w:color w:val="000000"/>
        </w:rPr>
        <w:t>without</w:t>
      </w:r>
      <w:r w:rsidR="00482854" w:rsidRPr="00482854">
        <w:rPr>
          <w:rStyle w:val="apple-converted-space"/>
          <w:color w:val="000000"/>
        </w:rPr>
        <w:t> </w:t>
      </w:r>
      <w:r w:rsidR="00482854" w:rsidRPr="00482854">
        <w:rPr>
          <w:color w:val="000000"/>
        </w:rPr>
        <w:t>prejudice to any</w:t>
      </w:r>
      <w:r w:rsidR="00482854" w:rsidRPr="00482854">
        <w:rPr>
          <w:rStyle w:val="apple-converted-space"/>
          <w:color w:val="000000"/>
        </w:rPr>
        <w:t> </w:t>
      </w:r>
      <w:r w:rsidR="00482854" w:rsidRPr="00482854">
        <w:rPr>
          <w:color w:val="000000"/>
        </w:rPr>
        <w:t>enforcement action by the Commission for non-compliance with the Act or the Commission's rules.  </w:t>
      </w:r>
      <w:r w:rsidR="00482854" w:rsidRPr="00482854">
        <w:rPr>
          <w:i/>
          <w:iCs/>
          <w:color w:val="000000"/>
        </w:rPr>
        <w:t>See, e.g</w:t>
      </w:r>
      <w:r w:rsidR="00482854" w:rsidRPr="00482854">
        <w:rPr>
          <w:color w:val="000000"/>
        </w:rPr>
        <w:t>.,</w:t>
      </w:r>
      <w:r w:rsidR="00482854" w:rsidRPr="00482854">
        <w:rPr>
          <w:i/>
          <w:iCs/>
          <w:color w:val="000000"/>
        </w:rPr>
        <w:t> </w:t>
      </w:r>
      <w:r w:rsidR="0030514B">
        <w:rPr>
          <w:i/>
          <w:iCs/>
          <w:color w:val="000000"/>
        </w:rPr>
        <w:t xml:space="preserve">Applications Granted for the </w:t>
      </w:r>
      <w:r w:rsidR="00482854" w:rsidRPr="00482854">
        <w:rPr>
          <w:i/>
          <w:iCs/>
          <w:color w:val="000000"/>
        </w:rPr>
        <w:t xml:space="preserve">Acquisition of </w:t>
      </w:r>
      <w:r w:rsidR="0030514B">
        <w:rPr>
          <w:i/>
          <w:iCs/>
          <w:color w:val="000000"/>
        </w:rPr>
        <w:t xml:space="preserve">Certain </w:t>
      </w:r>
      <w:r w:rsidR="00482854" w:rsidRPr="00482854">
        <w:rPr>
          <w:i/>
          <w:iCs/>
          <w:color w:val="000000"/>
        </w:rPr>
        <w:t>Assets of Mex</w:t>
      </w:r>
      <w:r w:rsidR="0030514B">
        <w:rPr>
          <w:i/>
          <w:iCs/>
          <w:color w:val="000000"/>
        </w:rPr>
        <w:t>T</w:t>
      </w:r>
      <w:r w:rsidR="00482854" w:rsidRPr="00482854">
        <w:rPr>
          <w:i/>
          <w:iCs/>
          <w:color w:val="000000"/>
        </w:rPr>
        <w:t>el Corporation</w:t>
      </w:r>
      <w:r w:rsidR="0030514B">
        <w:rPr>
          <w:i/>
          <w:iCs/>
          <w:color w:val="000000"/>
        </w:rPr>
        <w:t>, LLC d/b/a LifeTel</w:t>
      </w:r>
      <w:r w:rsidR="00482854" w:rsidRPr="00482854">
        <w:rPr>
          <w:color w:val="000000"/>
        </w:rPr>
        <w:t>, WC Docket Nos. 13-15</w:t>
      </w:r>
      <w:r w:rsidR="0030514B">
        <w:rPr>
          <w:color w:val="000000"/>
        </w:rPr>
        <w:t>4 and</w:t>
      </w:r>
      <w:r w:rsidR="00482854" w:rsidRPr="00482854">
        <w:rPr>
          <w:color w:val="000000"/>
        </w:rPr>
        <w:t xml:space="preserve"> 13-15</w:t>
      </w:r>
      <w:r w:rsidR="0030514B">
        <w:rPr>
          <w:color w:val="000000"/>
        </w:rPr>
        <w:t>5</w:t>
      </w:r>
      <w:r w:rsidR="00482854" w:rsidRPr="00482854">
        <w:rPr>
          <w:color w:val="000000"/>
        </w:rPr>
        <w:t>, Public Notice, 29 FCC Rcd 5032 (Wireline Comp. Bur. 2014).</w:t>
      </w:r>
    </w:p>
  </w:footnote>
  <w:footnote w:id="70">
    <w:p w14:paraId="179B0D58" w14:textId="23767747" w:rsidR="007950B8" w:rsidRDefault="007950B8">
      <w:pPr>
        <w:pStyle w:val="FootnoteText"/>
      </w:pPr>
      <w:r>
        <w:rPr>
          <w:rStyle w:val="FootnoteReference"/>
        </w:rPr>
        <w:footnoteRef/>
      </w:r>
      <w:r>
        <w:t xml:space="preserve"> CenturyLink Comments at </w:t>
      </w:r>
      <w:r w:rsidR="00D44B33">
        <w:t>7</w:t>
      </w:r>
      <w:r w:rsidR="005F2819">
        <w:t xml:space="preserve">; CenturyLink Oct. 23, 2014 </w:t>
      </w:r>
      <w:r w:rsidR="005F2819">
        <w:rPr>
          <w:i/>
        </w:rPr>
        <w:t>Ex Parte</w:t>
      </w:r>
      <w:r w:rsidR="005F2819">
        <w:t xml:space="preserve"> Letter at 1.</w:t>
      </w:r>
    </w:p>
  </w:footnote>
  <w:footnote w:id="71">
    <w:p w14:paraId="325BA8E3" w14:textId="1D130B53" w:rsidR="007950B8" w:rsidRDefault="007950B8">
      <w:pPr>
        <w:pStyle w:val="FootnoteText"/>
      </w:pPr>
      <w:r>
        <w:rPr>
          <w:rStyle w:val="FootnoteReference"/>
        </w:rPr>
        <w:footnoteRef/>
      </w:r>
      <w:r>
        <w:t xml:space="preserve"> </w:t>
      </w:r>
      <w:r w:rsidR="005F2819">
        <w:t xml:space="preserve">CenturyLink Comments </w:t>
      </w:r>
      <w:r>
        <w:t xml:space="preserve">at </w:t>
      </w:r>
      <w:r w:rsidR="00D44B33">
        <w:t>2, 5-6</w:t>
      </w:r>
      <w:r>
        <w:t>.</w:t>
      </w:r>
    </w:p>
  </w:footnote>
  <w:footnote w:id="72">
    <w:p w14:paraId="016ACBFD" w14:textId="7B8334FA" w:rsidR="00B556B0" w:rsidRDefault="00B556B0">
      <w:pPr>
        <w:pStyle w:val="FootnoteText"/>
      </w:pPr>
      <w:r>
        <w:rPr>
          <w:rStyle w:val="FootnoteReference"/>
        </w:rPr>
        <w:footnoteRef/>
      </w:r>
      <w:r>
        <w:t xml:space="preserve"> </w:t>
      </w:r>
      <w:r w:rsidRPr="00D44B33">
        <w:rPr>
          <w:i/>
        </w:rPr>
        <w:t>Id</w:t>
      </w:r>
      <w:r w:rsidR="005F2819">
        <w:t xml:space="preserve">. at 7; CenturyLink Oct. 23, 2014 </w:t>
      </w:r>
      <w:r w:rsidR="005F2819">
        <w:rPr>
          <w:i/>
        </w:rPr>
        <w:t>Ex Parte</w:t>
      </w:r>
      <w:r w:rsidR="005F2819">
        <w:t xml:space="preserve"> Letter at 1.</w:t>
      </w:r>
    </w:p>
  </w:footnote>
  <w:footnote w:id="73">
    <w:p w14:paraId="79206573" w14:textId="77777777" w:rsidR="00095A4B" w:rsidRPr="00BA485F" w:rsidRDefault="00095A4B" w:rsidP="00095A4B">
      <w:pPr>
        <w:pStyle w:val="FootnoteText"/>
      </w:pPr>
      <w:r>
        <w:rPr>
          <w:rStyle w:val="FootnoteReference"/>
        </w:rPr>
        <w:footnoteRef/>
      </w:r>
      <w:r>
        <w:t xml:space="preserve"> </w:t>
      </w:r>
      <w:r w:rsidRPr="00822C4C">
        <w:rPr>
          <w:i/>
        </w:rPr>
        <w:t>Implement</w:t>
      </w:r>
      <w:r>
        <w:rPr>
          <w:i/>
        </w:rPr>
        <w:t>ation</w:t>
      </w:r>
      <w:r w:rsidRPr="00822C4C">
        <w:rPr>
          <w:i/>
          <w:iCs/>
          <w:color w:val="000000" w:themeColor="text1"/>
          <w:shd w:val="clear" w:color="auto" w:fill="FFFFFF"/>
        </w:rPr>
        <w:t xml:space="preserve"> of the Local Competition Provisions of the Telecommunications Act of </w:t>
      </w:r>
      <w:r w:rsidRPr="00FC7D38">
        <w:rPr>
          <w:i/>
          <w:iCs/>
          <w:color w:val="000000" w:themeColor="text1"/>
          <w:shd w:val="clear" w:color="auto" w:fill="FFFFFF"/>
        </w:rPr>
        <w:t>1996</w:t>
      </w:r>
      <w:r>
        <w:rPr>
          <w:color w:val="000000" w:themeColor="text1"/>
          <w:shd w:val="clear" w:color="auto" w:fill="FFFFFF"/>
        </w:rPr>
        <w:t xml:space="preserve">, </w:t>
      </w:r>
      <w:r w:rsidRPr="00822C4C">
        <w:rPr>
          <w:color w:val="000000" w:themeColor="text1"/>
          <w:shd w:val="clear" w:color="auto" w:fill="FFFFFF"/>
        </w:rPr>
        <w:t xml:space="preserve">CC Docket No. 96-98, First Report and Order, 11 FCC Rcd 15499, 15506, </w:t>
      </w:r>
      <w:r>
        <w:rPr>
          <w:color w:val="000000" w:themeColor="text1"/>
          <w:shd w:val="clear" w:color="auto" w:fill="FFFFFF"/>
        </w:rPr>
        <w:t xml:space="preserve">16103, </w:t>
      </w:r>
      <w:r w:rsidRPr="00822C4C">
        <w:rPr>
          <w:color w:val="000000" w:themeColor="text1"/>
          <w:shd w:val="clear" w:color="auto" w:fill="FFFFFF"/>
        </w:rPr>
        <w:t>para.</w:t>
      </w:r>
      <w:r>
        <w:rPr>
          <w:color w:val="000000" w:themeColor="text1"/>
          <w:shd w:val="clear" w:color="auto" w:fill="FFFFFF"/>
        </w:rPr>
        <w:t>1231</w:t>
      </w:r>
      <w:r w:rsidRPr="00822C4C">
        <w:rPr>
          <w:color w:val="000000" w:themeColor="text1"/>
          <w:shd w:val="clear" w:color="auto" w:fill="FFFFFF"/>
        </w:rPr>
        <w:t xml:space="preserve"> (1996)</w:t>
      </w:r>
      <w:r>
        <w:rPr>
          <w:color w:val="000000" w:themeColor="text1"/>
          <w:shd w:val="clear" w:color="auto" w:fill="FFFFFF"/>
        </w:rPr>
        <w:t xml:space="preserve"> (</w:t>
      </w:r>
      <w:r w:rsidRPr="00BA485F">
        <w:rPr>
          <w:color w:val="000000" w:themeColor="text1"/>
          <w:shd w:val="clear" w:color="auto" w:fill="FFFFFF"/>
        </w:rPr>
        <w:t>finding that</w:t>
      </w:r>
      <w:r w:rsidRPr="00BA485F">
        <w:rPr>
          <w:bCs/>
          <w:color w:val="000000"/>
        </w:rPr>
        <w:t xml:space="preserve"> that section 224 does not prescribe rates, terms, or conditions governing access by an </w:t>
      </w:r>
      <w:r w:rsidR="00BC073E">
        <w:rPr>
          <w:bCs/>
          <w:color w:val="000000"/>
        </w:rPr>
        <w:t xml:space="preserve">incumbent </w:t>
      </w:r>
      <w:r w:rsidRPr="00BA485F">
        <w:rPr>
          <w:bCs/>
          <w:color w:val="000000"/>
        </w:rPr>
        <w:t xml:space="preserve">LEC to the facilities of a </w:t>
      </w:r>
      <w:r w:rsidR="00BC073E">
        <w:rPr>
          <w:bCs/>
          <w:color w:val="000000"/>
        </w:rPr>
        <w:t xml:space="preserve">competitive </w:t>
      </w:r>
      <w:r w:rsidRPr="00BA485F">
        <w:rPr>
          <w:bCs/>
          <w:color w:val="000000"/>
        </w:rPr>
        <w:t>LEC, and giving “deference to the specific denial of access under section 224 to the more general access provisions of section 251(b)(4)”).</w:t>
      </w:r>
    </w:p>
  </w:footnote>
  <w:footnote w:id="74">
    <w:p w14:paraId="6AE0E3FD" w14:textId="5D05804A" w:rsidR="00095A4B" w:rsidRPr="005956FB" w:rsidRDefault="00095A4B" w:rsidP="00095A4B">
      <w:pPr>
        <w:pStyle w:val="FootnoteText"/>
      </w:pPr>
      <w:r>
        <w:rPr>
          <w:rStyle w:val="FootnoteReference"/>
        </w:rPr>
        <w:footnoteRef/>
      </w:r>
      <w:r>
        <w:t xml:space="preserve"> </w:t>
      </w:r>
      <w:bookmarkStart w:id="44" w:name="SR;2564"/>
      <w:bookmarkEnd w:id="44"/>
      <w:r w:rsidR="007B370F">
        <w:rPr>
          <w:rFonts w:ascii="Verdana" w:hAnsi="Verdana"/>
          <w:color w:val="000000"/>
          <w:shd w:val="clear" w:color="auto" w:fill="FFFFFF"/>
        </w:rPr>
        <w:t xml:space="preserve"> </w:t>
      </w:r>
      <w:r w:rsidRPr="005956FB">
        <w:rPr>
          <w:i/>
          <w:color w:val="000000"/>
          <w:shd w:val="clear" w:color="auto" w:fill="FFFFFF"/>
        </w:rPr>
        <w:t>See, e.g</w:t>
      </w:r>
      <w:r w:rsidRPr="005956FB">
        <w:rPr>
          <w:color w:val="000000"/>
          <w:shd w:val="clear" w:color="auto" w:fill="FFFFFF"/>
        </w:rPr>
        <w:t>.,</w:t>
      </w:r>
      <w:r w:rsidRPr="005956FB">
        <w:rPr>
          <w:i/>
          <w:color w:val="000000"/>
          <w:shd w:val="clear" w:color="auto" w:fill="FFFFFF"/>
        </w:rPr>
        <w:t xml:space="preserve"> </w:t>
      </w:r>
      <w:r w:rsidR="00C37F68">
        <w:rPr>
          <w:i/>
          <w:color w:val="000000"/>
          <w:shd w:val="clear" w:color="auto" w:fill="FFFFFF"/>
        </w:rPr>
        <w:t xml:space="preserve">Qwest/CenturyLink </w:t>
      </w:r>
      <w:r w:rsidR="00C37F68" w:rsidRPr="00C37F68">
        <w:rPr>
          <w:i/>
          <w:color w:val="000000"/>
          <w:shd w:val="clear" w:color="auto" w:fill="FFFFFF"/>
        </w:rPr>
        <w:t>Order</w:t>
      </w:r>
      <w:r w:rsidR="00C37F68">
        <w:rPr>
          <w:color w:val="000000"/>
          <w:shd w:val="clear" w:color="auto" w:fill="FFFFFF"/>
        </w:rPr>
        <w:t>,</w:t>
      </w:r>
      <w:r w:rsidRPr="005956FB">
        <w:rPr>
          <w:color w:val="000000" w:themeColor="text1"/>
          <w:shd w:val="clear" w:color="auto" w:fill="FFFFFF"/>
        </w:rPr>
        <w:t xml:space="preserve"> 26 FCC Rcd </w:t>
      </w:r>
      <w:r w:rsidR="00C37F68">
        <w:rPr>
          <w:color w:val="000000" w:themeColor="text1"/>
          <w:shd w:val="clear" w:color="auto" w:fill="FFFFFF"/>
        </w:rPr>
        <w:t>at</w:t>
      </w:r>
      <w:r w:rsidRPr="005956FB">
        <w:rPr>
          <w:color w:val="000000" w:themeColor="text1"/>
          <w:shd w:val="clear" w:color="auto" w:fill="FFFFFF"/>
        </w:rPr>
        <w:t xml:space="preserve"> 4201, para. 18 and n.62 (find</w:t>
      </w:r>
      <w:r w:rsidRPr="005956FB">
        <w:rPr>
          <w:color w:val="000000"/>
          <w:shd w:val="clear" w:color="auto" w:fill="FFFFFF"/>
        </w:rPr>
        <w:t>ing that rate issues related to special access, intercarrier compensation, and pole attachments are better addressed in rulemakings of general applicability or are not specific to the transaction)</w:t>
      </w:r>
      <w:r>
        <w:rPr>
          <w:color w:val="000000"/>
          <w:shd w:val="clear" w:color="auto" w:fill="FFFFFF"/>
        </w:rPr>
        <w:t xml:space="preserve">; </w:t>
      </w:r>
      <w:r w:rsidRPr="005956FB">
        <w:rPr>
          <w:i/>
        </w:rPr>
        <w:t xml:space="preserve">Applications of Nextel </w:t>
      </w:r>
      <w:r>
        <w:rPr>
          <w:i/>
        </w:rPr>
        <w:t>P</w:t>
      </w:r>
      <w:r w:rsidRPr="005956FB">
        <w:rPr>
          <w:i/>
        </w:rPr>
        <w:t>artners and Nextel WIP Corp and Sprint Nex</w:t>
      </w:r>
      <w:r>
        <w:rPr>
          <w:i/>
        </w:rPr>
        <w:t>tel Corporation for Consent to T</w:t>
      </w:r>
      <w:r w:rsidRPr="005956FB">
        <w:rPr>
          <w:i/>
        </w:rPr>
        <w:t>ransfer Control of Licenses and Authorizations</w:t>
      </w:r>
      <w:r w:rsidRPr="005956FB">
        <w:t xml:space="preserve">, </w:t>
      </w:r>
      <w:r w:rsidRPr="005956FB">
        <w:rPr>
          <w:color w:val="000000"/>
          <w:shd w:val="clear" w:color="auto" w:fill="FFFFFF"/>
        </w:rPr>
        <w:t>File Nos. 0002444650 0002444656 0002456809, 21 FCC Rcd 7358, 7364, para. 15 (2006)</w:t>
      </w:r>
      <w:r>
        <w:rPr>
          <w:color w:val="000000"/>
          <w:shd w:val="clear" w:color="auto" w:fill="FFFFFF"/>
        </w:rPr>
        <w:t>.</w:t>
      </w:r>
    </w:p>
  </w:footnote>
  <w:footnote w:id="75">
    <w:p w14:paraId="509745FD" w14:textId="77777777" w:rsidR="00095A4B" w:rsidRDefault="00095A4B" w:rsidP="00095A4B">
      <w:pPr>
        <w:pStyle w:val="FootnoteText"/>
      </w:pPr>
      <w:r>
        <w:rPr>
          <w:rStyle w:val="FootnoteReference"/>
        </w:rPr>
        <w:footnoteRef/>
      </w:r>
      <w:r>
        <w:t xml:space="preserve"> </w:t>
      </w:r>
      <w:r w:rsidRPr="00B26685">
        <w:rPr>
          <w:i/>
        </w:rPr>
        <w:t xml:space="preserve">Pleading Cycle Established for Comments on CenturyLink Petitions for Forbearance </w:t>
      </w:r>
      <w:r>
        <w:rPr>
          <w:i/>
        </w:rPr>
        <w:t>F</w:t>
      </w:r>
      <w:r w:rsidRPr="00B26685">
        <w:rPr>
          <w:i/>
        </w:rPr>
        <w:t>rom or Interim Waiver of Dominant Carrier and Computer Inquiry Tariffing Requirements on Enterprise Broadband Services</w:t>
      </w:r>
      <w:r>
        <w:t xml:space="preserve">, WC Docket No. 14-9, Public Notice 29 FCC Rcd 254 (Wireline Comp. Bur. 2014); </w:t>
      </w:r>
      <w:r w:rsidRPr="00B26685">
        <w:rPr>
          <w:i/>
        </w:rPr>
        <w:t>Wireline Competition Bureau Seeks Comment on Appropriate Market Analysis for Cen</w:t>
      </w:r>
      <w:r>
        <w:rPr>
          <w:i/>
        </w:rPr>
        <w:t>tury</w:t>
      </w:r>
      <w:r w:rsidRPr="00B26685">
        <w:rPr>
          <w:i/>
        </w:rPr>
        <w:t>Link Forbearance Petition</w:t>
      </w:r>
      <w:r>
        <w:t xml:space="preserve">, WC Docket No. 14-9, Public Notice, DA 14-845 (rel. June 20, 2014). </w:t>
      </w:r>
    </w:p>
  </w:footnote>
  <w:footnote w:id="76">
    <w:p w14:paraId="079AB474" w14:textId="77777777" w:rsidR="0008712D" w:rsidRDefault="0008712D" w:rsidP="0008712D">
      <w:pPr>
        <w:pStyle w:val="FootnoteText"/>
      </w:pPr>
      <w:r>
        <w:rPr>
          <w:rStyle w:val="FootnoteReference"/>
        </w:rPr>
        <w:footnoteRef/>
      </w:r>
      <w:r>
        <w:t xml:space="preserve"> 47 C.F.R § 63.13.</w:t>
      </w:r>
    </w:p>
  </w:footnote>
  <w:footnote w:id="77">
    <w:p w14:paraId="55098A8D" w14:textId="77777777" w:rsidR="0008712D" w:rsidRDefault="0008712D" w:rsidP="0008712D">
      <w:pPr>
        <w:pStyle w:val="FootnoteText"/>
      </w:pPr>
      <w:r>
        <w:rPr>
          <w:rStyle w:val="FootnoteReference"/>
        </w:rPr>
        <w:footnoteRef/>
      </w:r>
      <w:r>
        <w:t xml:space="preserve"> </w:t>
      </w:r>
      <w:r w:rsidRPr="004F1C69">
        <w:t xml:space="preserve">See </w:t>
      </w:r>
      <w:r w:rsidRPr="002F4E11">
        <w:rPr>
          <w:i/>
          <w:color w:val="000000"/>
          <w:szCs w:val="22"/>
        </w:rPr>
        <w:t>Level 3 Communications, LLC, Level 3 International, Inc., Global Crossing Americas Solutions, Inc., and Global Crossing North America, Inc</w:t>
      </w:r>
      <w:r w:rsidRPr="004F1C69">
        <w:rPr>
          <w:color w:val="000000"/>
          <w:szCs w:val="22"/>
        </w:rPr>
        <w:t xml:space="preserve">., </w:t>
      </w:r>
      <w:r w:rsidRPr="002F4E11">
        <w:t>Joint Petition for Declaratory Ruling to be Reclassified as Non-Dominant on the U.S.-Singapore Route,</w:t>
      </w:r>
      <w:r>
        <w:rPr>
          <w:i/>
        </w:rPr>
        <w:t xml:space="preserve"> </w:t>
      </w:r>
      <w:r w:rsidRPr="00311D27">
        <w:t>ISP-PDR-20140707-00005 (Level 3 Communications, LLC), ISP-PDR-20140707-00006 (Global Crossing Americas Solutions, Inc.), ISP-PDR-20140707-00007 (Level 3 International, Inc.), and ISP-PDR-20140707-00008 (Global Crossing North America, Inc.)</w:t>
      </w:r>
      <w:r>
        <w:t xml:space="preserve"> (filed July 7, 2014) (collectively, </w:t>
      </w:r>
      <w:r w:rsidRPr="00862D32">
        <w:t>Joint Petition</w:t>
      </w:r>
      <w:r>
        <w:t>)</w:t>
      </w:r>
      <w:r w:rsidRPr="00311D27">
        <w:t xml:space="preserve">.  </w:t>
      </w:r>
    </w:p>
  </w:footnote>
  <w:footnote w:id="78">
    <w:p w14:paraId="6A1516D7" w14:textId="77777777" w:rsidR="0008712D" w:rsidRDefault="0008712D" w:rsidP="0008712D">
      <w:pPr>
        <w:pStyle w:val="FootnoteText"/>
      </w:pPr>
      <w:r>
        <w:rPr>
          <w:rStyle w:val="FootnoteReference"/>
        </w:rPr>
        <w:footnoteRef/>
      </w:r>
      <w:r>
        <w:t xml:space="preserve"> 47 C.F.R § 63.10.  Any carrier that is classified as dominant on a U.S.-international route must comply with the requirements set out in section 63.10, including maintaining separate books of account from its affiliated foreign carrier, and filing quarterly reports summarizing the provisioning and maintenance of all basic network services procured from its foreign affiliate.  </w:t>
      </w:r>
      <w:r>
        <w:rPr>
          <w:i/>
        </w:rPr>
        <w:t>See</w:t>
      </w:r>
      <w:r>
        <w:t xml:space="preserve"> 47 C.F.R. 63.10 (c), (d), (e).</w:t>
      </w:r>
    </w:p>
  </w:footnote>
  <w:footnote w:id="79">
    <w:p w14:paraId="461A2B38" w14:textId="77777777" w:rsidR="0008712D" w:rsidRDefault="0008712D" w:rsidP="0008712D">
      <w:pPr>
        <w:pStyle w:val="FootnoteText"/>
      </w:pPr>
      <w:r>
        <w:rPr>
          <w:rStyle w:val="FootnoteReference"/>
        </w:rPr>
        <w:footnoteRef/>
      </w:r>
      <w:r>
        <w:t xml:space="preserve"> </w:t>
      </w:r>
      <w:r>
        <w:rPr>
          <w:i/>
        </w:rPr>
        <w:t>See International Bureau Revises and Reissues the Commission’s List of Foreign Telecommunications Carriers That Are Presumed to Possess Market Power in Foreign Telecommunications Markets,</w:t>
      </w:r>
      <w:r>
        <w:t xml:space="preserve"> Public Notice, 22 FCC Rcd 945, 947 (Int’l Bur. 2007).</w:t>
      </w:r>
    </w:p>
  </w:footnote>
  <w:footnote w:id="80">
    <w:p w14:paraId="74F8D982" w14:textId="77777777" w:rsidR="0008712D" w:rsidRPr="00862D32" w:rsidRDefault="0008712D" w:rsidP="0008712D">
      <w:pPr>
        <w:pStyle w:val="FootnoteText"/>
      </w:pPr>
      <w:r>
        <w:rPr>
          <w:rStyle w:val="FootnoteReference"/>
        </w:rPr>
        <w:footnoteRef/>
      </w:r>
      <w:r>
        <w:t xml:space="preserve"> </w:t>
      </w:r>
      <w:r w:rsidRPr="00862D32">
        <w:t>Joint Petition</w:t>
      </w:r>
      <w:r>
        <w:rPr>
          <w:i/>
        </w:rPr>
        <w:t xml:space="preserve"> </w:t>
      </w:r>
      <w:r>
        <w:t xml:space="preserve">at 1-2.  </w:t>
      </w:r>
      <w:r>
        <w:rPr>
          <w:i/>
        </w:rPr>
        <w:t xml:space="preserve">See </w:t>
      </w:r>
      <w:r>
        <w:t>FCN-NEW-20120615-00006 (</w:t>
      </w:r>
      <w:r w:rsidRPr="005D7D50">
        <w:rPr>
          <w:color w:val="000000"/>
          <w:szCs w:val="22"/>
        </w:rPr>
        <w:t>Level 3 Communications, LLC</w:t>
      </w:r>
      <w:r>
        <w:rPr>
          <w:color w:val="000000"/>
          <w:szCs w:val="22"/>
        </w:rPr>
        <w:t>);</w:t>
      </w:r>
      <w:r w:rsidRPr="005D7D50">
        <w:rPr>
          <w:color w:val="000000"/>
          <w:szCs w:val="22"/>
        </w:rPr>
        <w:t xml:space="preserve"> </w:t>
      </w:r>
      <w:r>
        <w:t>FCN-NEW-20120615-00007 (</w:t>
      </w:r>
      <w:r w:rsidRPr="005D7D50">
        <w:rPr>
          <w:color w:val="000000"/>
          <w:szCs w:val="22"/>
        </w:rPr>
        <w:t>Global Crossing North America, Inc.</w:t>
      </w:r>
      <w:r>
        <w:rPr>
          <w:color w:val="000000"/>
          <w:szCs w:val="22"/>
        </w:rPr>
        <w:t>);</w:t>
      </w:r>
      <w:r w:rsidRPr="00726712">
        <w:rPr>
          <w:color w:val="000000"/>
          <w:szCs w:val="22"/>
        </w:rPr>
        <w:t xml:space="preserve"> </w:t>
      </w:r>
      <w:r>
        <w:t>FCN-NEW-20120615-00008 (</w:t>
      </w:r>
      <w:r w:rsidRPr="005D7D50">
        <w:rPr>
          <w:color w:val="000000"/>
          <w:szCs w:val="22"/>
        </w:rPr>
        <w:t>Global Crossing Americas Solutions, Inc.</w:t>
      </w:r>
      <w:r>
        <w:rPr>
          <w:color w:val="000000"/>
          <w:szCs w:val="22"/>
        </w:rPr>
        <w:t>);</w:t>
      </w:r>
      <w:r w:rsidRPr="005D7D50">
        <w:rPr>
          <w:color w:val="000000"/>
          <w:szCs w:val="22"/>
        </w:rPr>
        <w:t xml:space="preserve"> </w:t>
      </w:r>
      <w:r>
        <w:rPr>
          <w:color w:val="000000"/>
          <w:szCs w:val="22"/>
        </w:rPr>
        <w:t xml:space="preserve">and, </w:t>
      </w:r>
      <w:r>
        <w:t>FCN-NEW-20120615-00010 (</w:t>
      </w:r>
      <w:r w:rsidRPr="005D7D50">
        <w:rPr>
          <w:color w:val="000000"/>
          <w:szCs w:val="22"/>
        </w:rPr>
        <w:t>Level 3 International, Inc.</w:t>
      </w:r>
      <w:r>
        <w:rPr>
          <w:color w:val="000000"/>
          <w:szCs w:val="22"/>
        </w:rPr>
        <w:t>)</w:t>
      </w:r>
      <w:r w:rsidRPr="005D7D50">
        <w:rPr>
          <w:color w:val="000000"/>
          <w:szCs w:val="22"/>
        </w:rPr>
        <w:t>,</w:t>
      </w:r>
      <w:r>
        <w:rPr>
          <w:color w:val="000000"/>
          <w:szCs w:val="22"/>
        </w:rPr>
        <w:t xml:space="preserve"> </w:t>
      </w:r>
      <w:r>
        <w:rPr>
          <w:i/>
        </w:rPr>
        <w:t>Foreign Carrier Affiliation Notification</w:t>
      </w:r>
      <w:r>
        <w:t>, Public Notice, Rep. No. FCN-00111, 27 FCC Rcd 15196 (Int’l Bur. 2012).</w:t>
      </w:r>
    </w:p>
  </w:footnote>
  <w:footnote w:id="81">
    <w:p w14:paraId="09BD4C16" w14:textId="013726EC" w:rsidR="0008712D" w:rsidRDefault="0008712D" w:rsidP="0008712D">
      <w:pPr>
        <w:pStyle w:val="FootnoteText"/>
      </w:pPr>
      <w:r>
        <w:rPr>
          <w:rStyle w:val="FootnoteReference"/>
        </w:rPr>
        <w:footnoteRef/>
      </w:r>
      <w:r>
        <w:t xml:space="preserve"> </w:t>
      </w:r>
      <w:r w:rsidR="006D2FDA">
        <w:t xml:space="preserve">International 214 </w:t>
      </w:r>
      <w:r w:rsidRPr="003C6098">
        <w:t>Application</w:t>
      </w:r>
      <w:r w:rsidR="006D2FDA">
        <w:t>s</w:t>
      </w:r>
      <w:r w:rsidRPr="003C6098">
        <w:t xml:space="preserve"> at</w:t>
      </w:r>
      <w:r>
        <w:t xml:space="preserve"> 18-19; Joint Petition at 2-3.</w:t>
      </w:r>
    </w:p>
  </w:footnote>
  <w:footnote w:id="82">
    <w:p w14:paraId="3E1CA536" w14:textId="77777777" w:rsidR="0008712D" w:rsidRDefault="0008712D" w:rsidP="0008712D">
      <w:pPr>
        <w:pStyle w:val="FootnoteText"/>
      </w:pPr>
      <w:r>
        <w:rPr>
          <w:rStyle w:val="FootnoteReference"/>
        </w:rPr>
        <w:footnoteRef/>
      </w:r>
      <w:r>
        <w:t xml:space="preserve"> Joint Petition at 2-3.</w:t>
      </w:r>
    </w:p>
  </w:footnote>
  <w:footnote w:id="83">
    <w:p w14:paraId="6BFACB73" w14:textId="77777777" w:rsidR="0008712D" w:rsidRPr="004F1C69" w:rsidRDefault="0008712D" w:rsidP="0008712D">
      <w:pPr>
        <w:pStyle w:val="FootnoteText"/>
        <w:ind w:left="720" w:hanging="720"/>
      </w:pPr>
      <w:r>
        <w:rPr>
          <w:rStyle w:val="FootnoteReference"/>
        </w:rPr>
        <w:footnoteRef/>
      </w:r>
      <w:r>
        <w:t xml:space="preserve"> </w:t>
      </w:r>
      <w:r>
        <w:rPr>
          <w:i/>
        </w:rPr>
        <w:t>Id.</w:t>
      </w:r>
      <w:r>
        <w:t xml:space="preserve"> at 3.</w:t>
      </w:r>
    </w:p>
  </w:footnote>
  <w:footnote w:id="84">
    <w:p w14:paraId="0F5BFBE2" w14:textId="01F51F0F" w:rsidR="0008712D" w:rsidRDefault="0008712D" w:rsidP="0008712D">
      <w:pPr>
        <w:pStyle w:val="FootnoteText"/>
      </w:pPr>
      <w:r>
        <w:rPr>
          <w:rStyle w:val="FootnoteReference"/>
        </w:rPr>
        <w:footnoteRef/>
      </w:r>
      <w:r>
        <w:t xml:space="preserve"> </w:t>
      </w:r>
      <w:r>
        <w:rPr>
          <w:i/>
        </w:rPr>
        <w:t xml:space="preserve">See </w:t>
      </w:r>
      <w:r>
        <w:t xml:space="preserve">47 C.F.R. § 63.09(e) (“Two entities are </w:t>
      </w:r>
      <w:r>
        <w:rPr>
          <w:i/>
          <w:iCs/>
        </w:rPr>
        <w:t>affiliated</w:t>
      </w:r>
      <w:r>
        <w:t xml:space="preserve"> with each other if one of them, or an entity that controls one of them, directly or indirectly owns more than 25</w:t>
      </w:r>
      <w:r w:rsidR="00736D1F">
        <w:t xml:space="preserve"> percent</w:t>
      </w:r>
      <w:r>
        <w:t xml:space="preserve"> of the capital stock of, or controls, the other one.  Also, a U.S. carrier is </w:t>
      </w:r>
      <w:r>
        <w:rPr>
          <w:i/>
          <w:iCs/>
        </w:rPr>
        <w:t>affiliated</w:t>
      </w:r>
      <w:r>
        <w:t xml:space="preserve"> with two or more foreign carriers if the foreign carriers, or entities that control them, together directly or indirectly own more than 25</w:t>
      </w:r>
      <w:r w:rsidR="00736D1F">
        <w:t xml:space="preserve"> percent</w:t>
      </w:r>
      <w:r>
        <w:t xml:space="preserve"> of the capital stock of, or control, the U.S. carrier and those foreign carriers are parties to, or the beneficiaries of, a contractual relation (e.g., a joint venture or market alliance) affecting the provision or marketing of international basic telecommunications services in the United States.”)</w:t>
      </w:r>
      <w:r w:rsidR="006D2FDA">
        <w:t>)</w:t>
      </w:r>
      <w:r>
        <w:t>.</w:t>
      </w:r>
    </w:p>
  </w:footnote>
  <w:footnote w:id="85">
    <w:p w14:paraId="56DABF61" w14:textId="25C1D164" w:rsidR="0008712D" w:rsidRPr="00922A7B" w:rsidRDefault="0008712D" w:rsidP="0008712D">
      <w:pPr>
        <w:pStyle w:val="FootnoteText"/>
      </w:pPr>
      <w:r>
        <w:rPr>
          <w:rStyle w:val="FootnoteReference"/>
        </w:rPr>
        <w:footnoteRef/>
      </w:r>
      <w:r>
        <w:t xml:space="preserve"> </w:t>
      </w:r>
      <w:r w:rsidR="006D2FDA">
        <w:t xml:space="preserve">Domestic 214 </w:t>
      </w:r>
      <w:r>
        <w:t xml:space="preserve">Application at 7-8.  </w:t>
      </w:r>
      <w:r>
        <w:rPr>
          <w:i/>
        </w:rPr>
        <w:t xml:space="preserve">See also </w:t>
      </w:r>
      <w:r>
        <w:t>Joint Petition at 2-3.</w:t>
      </w:r>
    </w:p>
  </w:footnote>
  <w:footnote w:id="86">
    <w:p w14:paraId="20ECC182" w14:textId="77777777" w:rsidR="0008712D" w:rsidRPr="00D4472F" w:rsidRDefault="0008712D" w:rsidP="0008712D">
      <w:pPr>
        <w:pStyle w:val="FootnoteText"/>
      </w:pPr>
      <w:r>
        <w:rPr>
          <w:rStyle w:val="FootnoteReference"/>
        </w:rPr>
        <w:footnoteRef/>
      </w:r>
      <w:r>
        <w:t xml:space="preserve"> </w:t>
      </w:r>
      <w:r>
        <w:rPr>
          <w:i/>
        </w:rPr>
        <w:t>See</w:t>
      </w:r>
      <w:r>
        <w:t xml:space="preserve"> 47 C.F.R. § 63.11.</w:t>
      </w:r>
    </w:p>
  </w:footnote>
  <w:footnote w:id="87">
    <w:p w14:paraId="35C866D4" w14:textId="378576E2" w:rsidR="0008712D" w:rsidRDefault="0008712D" w:rsidP="0008712D">
      <w:pPr>
        <w:pStyle w:val="FootnoteText"/>
      </w:pPr>
      <w:r>
        <w:rPr>
          <w:rStyle w:val="FootnoteReference"/>
        </w:rPr>
        <w:footnoteRef/>
      </w:r>
      <w:r>
        <w:t xml:space="preserve"> </w:t>
      </w:r>
      <w:r>
        <w:rPr>
          <w:i/>
        </w:rPr>
        <w:t>Rules and Policies on Foreign Participation in the U.S. Telecommunications Market: Market Entry and Regulation of Foreign-Affiliated Entities</w:t>
      </w:r>
      <w:r>
        <w:t>, IB Docket Nos.  97-142 and 95-22, Report and Order and Order on Reconsideration, FCC 97-398, 12 FCC Rcd 23891, 23918</w:t>
      </w:r>
      <w:r w:rsidR="008A6740">
        <w:t>-21</w:t>
      </w:r>
      <w:r>
        <w:t>, para</w:t>
      </w:r>
      <w:r w:rsidR="008A6740">
        <w:t>s</w:t>
      </w:r>
      <w:r>
        <w:t>. 5</w:t>
      </w:r>
      <w:r w:rsidR="008A6740">
        <w:t>9-66</w:t>
      </w:r>
      <w:r>
        <w:t xml:space="preserve"> (1997) (</w:t>
      </w:r>
      <w:r>
        <w:rPr>
          <w:i/>
        </w:rPr>
        <w:t>Foreign Participation Order</w:t>
      </w:r>
      <w:r>
        <w:t>).</w:t>
      </w:r>
    </w:p>
  </w:footnote>
  <w:footnote w:id="88">
    <w:p w14:paraId="11A85125" w14:textId="27D2988F" w:rsidR="00CF5AE9" w:rsidRDefault="00CF5AE9">
      <w:pPr>
        <w:pStyle w:val="FootnoteText"/>
      </w:pPr>
      <w:r>
        <w:rPr>
          <w:rStyle w:val="FootnoteReference"/>
        </w:rPr>
        <w:footnoteRef/>
      </w:r>
      <w:r>
        <w:t xml:space="preserve"> </w:t>
      </w:r>
      <w:r w:rsidR="00184A7D">
        <w:t xml:space="preserve">International Application at 2-3 (citing </w:t>
      </w:r>
      <w:r w:rsidR="00184A7D">
        <w:rPr>
          <w:i/>
        </w:rPr>
        <w:t>Level 3/Global Crossing Order,</w:t>
      </w:r>
      <w:r w:rsidR="00184A7D">
        <w:t xml:space="preserve"> 26 FCC Rcd at 14081, para. 68).</w:t>
      </w:r>
    </w:p>
  </w:footnote>
  <w:footnote w:id="89">
    <w:p w14:paraId="1F15CEF9" w14:textId="2BA202EF" w:rsidR="00184A7D" w:rsidRDefault="00184A7D">
      <w:pPr>
        <w:pStyle w:val="FootnoteText"/>
      </w:pPr>
      <w:r>
        <w:rPr>
          <w:rStyle w:val="FootnoteReference"/>
        </w:rPr>
        <w:footnoteRef/>
      </w:r>
      <w:r>
        <w:t xml:space="preserve"> International Application at 3, 28-29.</w:t>
      </w:r>
    </w:p>
  </w:footnote>
  <w:footnote w:id="90">
    <w:p w14:paraId="5ED99D9F" w14:textId="519DC3FD" w:rsidR="0008712D" w:rsidRDefault="0008712D" w:rsidP="0008712D">
      <w:pPr>
        <w:pStyle w:val="FootnoteText"/>
      </w:pPr>
      <w:r>
        <w:rPr>
          <w:rStyle w:val="FootnoteReference"/>
        </w:rPr>
        <w:footnoteRef/>
      </w:r>
      <w:r w:rsidR="007B370F">
        <w:t xml:space="preserve"> </w:t>
      </w:r>
      <w:r w:rsidR="00E4512B">
        <w:t>DOJ</w:t>
      </w:r>
      <w:r w:rsidR="00E4512B" w:rsidRPr="00E4512B">
        <w:t xml:space="preserve"> </w:t>
      </w:r>
      <w:r w:rsidR="00E4512B">
        <w:t>Oct</w:t>
      </w:r>
      <w:r w:rsidR="00E4512B" w:rsidRPr="00E4512B">
        <w:t xml:space="preserve">. </w:t>
      </w:r>
      <w:r w:rsidR="00E4512B">
        <w:t>2</w:t>
      </w:r>
      <w:r w:rsidR="00E4512B" w:rsidRPr="00E4512B">
        <w:t xml:space="preserve">2, 2014 </w:t>
      </w:r>
      <w:r w:rsidR="00E4512B" w:rsidRPr="00E4512B">
        <w:rPr>
          <w:i/>
        </w:rPr>
        <w:t>Ex Parte</w:t>
      </w:r>
      <w:r w:rsidR="00E4512B" w:rsidRPr="00E4512B">
        <w:t xml:space="preserve"> </w:t>
      </w:r>
      <w:r w:rsidR="00E4512B">
        <w:t>Letter</w:t>
      </w:r>
      <w:r w:rsidR="004A444F">
        <w:t>.</w:t>
      </w:r>
    </w:p>
  </w:footnote>
  <w:footnote w:id="91">
    <w:p w14:paraId="2F40143B" w14:textId="77777777" w:rsidR="0008712D" w:rsidRDefault="0008712D" w:rsidP="0008712D">
      <w:pPr>
        <w:pStyle w:val="FootnoteText"/>
      </w:pPr>
      <w:r>
        <w:rPr>
          <w:rStyle w:val="FootnoteReference"/>
        </w:rPr>
        <w:footnoteRef/>
      </w:r>
      <w:r>
        <w:t xml:space="preserve"> </w:t>
      </w:r>
      <w:r>
        <w:rPr>
          <w:i/>
          <w:iCs/>
        </w:rPr>
        <w:t>See Foreign Participation Order</w:t>
      </w:r>
      <w:r>
        <w:t>, 12 FCC Rcd at 23918–21, paras. 59–66.</w:t>
      </w:r>
    </w:p>
  </w:footnote>
  <w:footnote w:id="92">
    <w:p w14:paraId="4854D6C7" w14:textId="77777777" w:rsidR="0008712D" w:rsidRDefault="0008712D" w:rsidP="0008712D">
      <w:pPr>
        <w:pStyle w:val="FootnoteText"/>
      </w:pPr>
      <w:r>
        <w:rPr>
          <w:rStyle w:val="FootnoteReference"/>
        </w:rPr>
        <w:footnoteRef/>
      </w:r>
      <w:r>
        <w:t xml:space="preserve"> </w:t>
      </w:r>
      <w:r>
        <w:rPr>
          <w:i/>
        </w:rPr>
        <w:t xml:space="preserve">Id. </w:t>
      </w:r>
      <w:r>
        <w:t>at 23919, para. 62.</w:t>
      </w:r>
    </w:p>
  </w:footnote>
  <w:footnote w:id="93">
    <w:p w14:paraId="79881646" w14:textId="2D4CD6E2" w:rsidR="00BB7558" w:rsidRDefault="00BB7558">
      <w:pPr>
        <w:pStyle w:val="FootnoteText"/>
      </w:pPr>
      <w:r>
        <w:rPr>
          <w:rStyle w:val="FootnoteReference"/>
        </w:rPr>
        <w:footnoteRef/>
      </w:r>
      <w:r>
        <w:t xml:space="preserve"> </w:t>
      </w:r>
      <w:r w:rsidRPr="00BB7558">
        <w:t xml:space="preserve">A failure to comply and/or remain in compliance with any of these commitments and undertakings shall constitute a failure to meet a condition of the underlying authorizations and licenses and thus grounds for declaring the authorizations and licenses terminated without further action on the part of the Commission.  Failure to meet a condition of the license may also result in monetary sanctions or other enforcement action by the Commission.  </w:t>
      </w:r>
    </w:p>
  </w:footnote>
  <w:footnote w:id="94">
    <w:p w14:paraId="79C064BC" w14:textId="3A22FF0F" w:rsidR="0008712D" w:rsidRPr="009C7AF4" w:rsidRDefault="0008712D" w:rsidP="0008712D">
      <w:pPr>
        <w:pStyle w:val="FootnoteText"/>
      </w:pPr>
      <w:r>
        <w:rPr>
          <w:rStyle w:val="FootnoteReference"/>
        </w:rPr>
        <w:footnoteRef/>
      </w:r>
      <w:r>
        <w:t xml:space="preserve"> </w:t>
      </w:r>
      <w:r w:rsidR="009C7AF4" w:rsidRPr="009C7AF4">
        <w:rPr>
          <w:i/>
        </w:rPr>
        <w:t>See</w:t>
      </w:r>
      <w:r w:rsidR="00912F8E">
        <w:t xml:space="preserve"> DOJ</w:t>
      </w:r>
      <w:r w:rsidR="00912F8E" w:rsidRPr="00E4512B">
        <w:t xml:space="preserve"> </w:t>
      </w:r>
      <w:r w:rsidR="00912F8E">
        <w:t>Oct</w:t>
      </w:r>
      <w:r w:rsidR="00912F8E" w:rsidRPr="00E4512B">
        <w:t xml:space="preserve">. </w:t>
      </w:r>
      <w:r w:rsidR="00912F8E">
        <w:t>2</w:t>
      </w:r>
      <w:r w:rsidR="00912F8E" w:rsidRPr="00E4512B">
        <w:t xml:space="preserve">2, 2014 </w:t>
      </w:r>
      <w:r w:rsidR="00912F8E" w:rsidRPr="00E4512B">
        <w:rPr>
          <w:i/>
        </w:rPr>
        <w:t>Ex Parte</w:t>
      </w:r>
      <w:r w:rsidR="00912F8E" w:rsidRPr="00E4512B">
        <w:t xml:space="preserve"> </w:t>
      </w:r>
      <w:r w:rsidR="00912F8E">
        <w:t>Letter; September 26, 2011 Security Agreement, WC Docket No. 14-104 (filed Oct. 24, 2014) (Sept. 26, 2011 Security Agreement).</w:t>
      </w:r>
    </w:p>
  </w:footnote>
  <w:footnote w:id="95">
    <w:p w14:paraId="0D538220" w14:textId="76C56A31" w:rsidR="0008712D" w:rsidRDefault="0008712D" w:rsidP="0008712D">
      <w:pPr>
        <w:pStyle w:val="FootnoteText"/>
      </w:pPr>
      <w:r>
        <w:rPr>
          <w:rStyle w:val="FootnoteReference"/>
        </w:rPr>
        <w:footnoteRef/>
      </w:r>
      <w:r>
        <w:t xml:space="preserve"> </w:t>
      </w:r>
      <w:r>
        <w:rPr>
          <w:i/>
        </w:rPr>
        <w:t>See</w:t>
      </w:r>
      <w:r w:rsidR="009C7AF4">
        <w:t xml:space="preserve"> </w:t>
      </w:r>
      <w:r w:rsidR="00912F8E">
        <w:t>Sept. 26, 2011 Security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003C8" w14:textId="77777777" w:rsidR="00D44869" w:rsidRDefault="00D44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4F6AE" w14:textId="4D3B1E77" w:rsidR="005A2A58" w:rsidRDefault="005A2A58" w:rsidP="00810B6F">
    <w:pPr>
      <w:pStyle w:val="Header"/>
      <w:rPr>
        <w:b w:val="0"/>
      </w:rPr>
    </w:pPr>
    <w:r>
      <w:tab/>
      <w:t>Federal Communications Commission</w:t>
    </w:r>
    <w:r>
      <w:tab/>
      <w:t xml:space="preserve">DA </w:t>
    </w:r>
    <w:r w:rsidR="006766E0">
      <w:t>14-1543</w:t>
    </w:r>
  </w:p>
  <w:p w14:paraId="748846C7" w14:textId="77777777" w:rsidR="005A2A58" w:rsidRDefault="005A2A5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6192" behindDoc="1" locked="0" layoutInCell="0" allowOverlap="1" wp14:anchorId="0221AEE2" wp14:editId="613EB48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038A51" id="Rectangle 1" o:spid="_x0000_s1026"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B102AC5" w14:textId="77777777" w:rsidR="005A2A58" w:rsidRDefault="005A2A58">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8D7D9" w14:textId="24D4641C" w:rsidR="005A2A58" w:rsidRDefault="005A2A58" w:rsidP="00810B6F">
    <w:pPr>
      <w:pStyle w:val="Header"/>
      <w:rPr>
        <w:b w:val="0"/>
      </w:rPr>
    </w:pPr>
    <w:r>
      <w:rPr>
        <w:noProof/>
        <w:snapToGrid/>
      </w:rPr>
      <mc:AlternateContent>
        <mc:Choice Requires="wps">
          <w:drawing>
            <wp:anchor distT="0" distB="0" distL="114300" distR="114300" simplePos="0" relativeHeight="251659264" behindDoc="1" locked="0" layoutInCell="0" allowOverlap="1" wp14:anchorId="3DA12B4A" wp14:editId="6B068AD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F84994"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 xml:space="preserve">DA </w:t>
    </w:r>
    <w:r w:rsidR="006766E0">
      <w:rPr>
        <w:spacing w:val="-2"/>
      </w:rPr>
      <w:t>14-1543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236"/>
    <w:multiLevelType w:val="singleLevel"/>
    <w:tmpl w:val="0AE40B98"/>
    <w:lvl w:ilvl="0">
      <w:start w:val="1"/>
      <w:numFmt w:val="decimal"/>
      <w:pStyle w:val="ParaNumCharChar1"/>
      <w:lvlText w:val="%1."/>
      <w:lvlJc w:val="left"/>
      <w:pPr>
        <w:tabs>
          <w:tab w:val="num" w:pos="990"/>
        </w:tabs>
        <w:ind w:left="-9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5210F26"/>
    <w:multiLevelType w:val="hybridMultilevel"/>
    <w:tmpl w:val="B93EF5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5B80A55A">
      <w:start w:val="1"/>
      <w:numFmt w:val="bullet"/>
      <w:lvlText w:val=""/>
      <w:lvlJc w:val="left"/>
      <w:pPr>
        <w:tabs>
          <w:tab w:val="num" w:pos="1800"/>
        </w:tabs>
        <w:ind w:left="1800" w:hanging="360"/>
      </w:pPr>
      <w:rPr>
        <w:rFonts w:ascii="Symbol" w:hAnsi="Symbol" w:hint="default"/>
      </w:rPr>
    </w:lvl>
    <w:lvl w:ilvl="3" w:tplc="2DA45820">
      <w:start w:val="1"/>
      <w:numFmt w:val="bullet"/>
      <w:lvlText w:val="o"/>
      <w:lvlJc w:val="left"/>
      <w:pPr>
        <w:tabs>
          <w:tab w:val="num" w:pos="1440"/>
        </w:tabs>
        <w:ind w:left="2160" w:firstLine="0"/>
      </w:pPr>
      <w:rPr>
        <w:rFonts w:ascii="Courier New" w:hAnsi="Courier New"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6A75C5D"/>
    <w:multiLevelType w:val="hybridMultilevel"/>
    <w:tmpl w:val="31722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5"/>
  </w:num>
  <w:num w:numId="4">
    <w:abstractNumId w:val="7"/>
  </w:num>
  <w:num w:numId="5">
    <w:abstractNumId w:val="3"/>
  </w:num>
  <w:num w:numId="6">
    <w:abstractNumId w:val="1"/>
  </w:num>
  <w:num w:numId="7">
    <w:abstractNumId w:val="0"/>
  </w:num>
  <w:num w:numId="8">
    <w:abstractNumId w:val="8"/>
  </w:num>
  <w:num w:numId="9">
    <w:abstractNumId w:val="8"/>
  </w:num>
  <w:num w:numId="10">
    <w:abstractNumId w:val="8"/>
  </w:num>
  <w:num w:numId="11">
    <w:abstractNumId w:val="8"/>
  </w:num>
  <w:num w:numId="12">
    <w:abstractNumId w:val="8"/>
  </w:num>
  <w:num w:numId="13">
    <w:abstractNumId w:val="8"/>
  </w:num>
  <w:num w:numId="14">
    <w:abstractNumId w:val="6"/>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B55"/>
    <w:rsid w:val="00001744"/>
    <w:rsid w:val="00001A62"/>
    <w:rsid w:val="0000325F"/>
    <w:rsid w:val="00003E9B"/>
    <w:rsid w:val="00004176"/>
    <w:rsid w:val="00004363"/>
    <w:rsid w:val="000052F0"/>
    <w:rsid w:val="00005C7E"/>
    <w:rsid w:val="000068E0"/>
    <w:rsid w:val="000138BF"/>
    <w:rsid w:val="00015CC2"/>
    <w:rsid w:val="0001639C"/>
    <w:rsid w:val="00017B75"/>
    <w:rsid w:val="00020D0F"/>
    <w:rsid w:val="00020FEF"/>
    <w:rsid w:val="00021912"/>
    <w:rsid w:val="00021D77"/>
    <w:rsid w:val="00030F52"/>
    <w:rsid w:val="00031864"/>
    <w:rsid w:val="00036039"/>
    <w:rsid w:val="00037F90"/>
    <w:rsid w:val="000427A7"/>
    <w:rsid w:val="000436D4"/>
    <w:rsid w:val="00047159"/>
    <w:rsid w:val="000479F2"/>
    <w:rsid w:val="00050C89"/>
    <w:rsid w:val="00054A9E"/>
    <w:rsid w:val="0005521E"/>
    <w:rsid w:val="00055B70"/>
    <w:rsid w:val="00056962"/>
    <w:rsid w:val="00060511"/>
    <w:rsid w:val="00060FEF"/>
    <w:rsid w:val="0006209D"/>
    <w:rsid w:val="00063113"/>
    <w:rsid w:val="0006375B"/>
    <w:rsid w:val="00063A2E"/>
    <w:rsid w:val="00064E0C"/>
    <w:rsid w:val="000657D0"/>
    <w:rsid w:val="00065DA4"/>
    <w:rsid w:val="00067B44"/>
    <w:rsid w:val="00067E90"/>
    <w:rsid w:val="00070734"/>
    <w:rsid w:val="000722F2"/>
    <w:rsid w:val="00072416"/>
    <w:rsid w:val="00075253"/>
    <w:rsid w:val="00077784"/>
    <w:rsid w:val="00080172"/>
    <w:rsid w:val="00083651"/>
    <w:rsid w:val="0008432C"/>
    <w:rsid w:val="00086B53"/>
    <w:rsid w:val="00086F1E"/>
    <w:rsid w:val="0008712D"/>
    <w:rsid w:val="000875BF"/>
    <w:rsid w:val="000875F2"/>
    <w:rsid w:val="00087C10"/>
    <w:rsid w:val="00090511"/>
    <w:rsid w:val="000921D2"/>
    <w:rsid w:val="000945D8"/>
    <w:rsid w:val="00095A4B"/>
    <w:rsid w:val="00095BAD"/>
    <w:rsid w:val="00096D8C"/>
    <w:rsid w:val="000A2039"/>
    <w:rsid w:val="000A25CD"/>
    <w:rsid w:val="000A25EB"/>
    <w:rsid w:val="000A301F"/>
    <w:rsid w:val="000A7413"/>
    <w:rsid w:val="000A764F"/>
    <w:rsid w:val="000B0A67"/>
    <w:rsid w:val="000B1ABF"/>
    <w:rsid w:val="000B45C3"/>
    <w:rsid w:val="000B5E2E"/>
    <w:rsid w:val="000B6233"/>
    <w:rsid w:val="000B6818"/>
    <w:rsid w:val="000B6AFD"/>
    <w:rsid w:val="000C0B65"/>
    <w:rsid w:val="000D0801"/>
    <w:rsid w:val="000D17FC"/>
    <w:rsid w:val="000D49E8"/>
    <w:rsid w:val="000D5546"/>
    <w:rsid w:val="000D5AFE"/>
    <w:rsid w:val="000D6FBD"/>
    <w:rsid w:val="000D7374"/>
    <w:rsid w:val="000E05FE"/>
    <w:rsid w:val="000E269B"/>
    <w:rsid w:val="000E3D42"/>
    <w:rsid w:val="000E4CA1"/>
    <w:rsid w:val="000E7C0F"/>
    <w:rsid w:val="000F4C6F"/>
    <w:rsid w:val="000F644C"/>
    <w:rsid w:val="00100039"/>
    <w:rsid w:val="00101344"/>
    <w:rsid w:val="00102B4E"/>
    <w:rsid w:val="001032AA"/>
    <w:rsid w:val="0010507E"/>
    <w:rsid w:val="001063C5"/>
    <w:rsid w:val="001101A3"/>
    <w:rsid w:val="00111831"/>
    <w:rsid w:val="00121127"/>
    <w:rsid w:val="00122BD5"/>
    <w:rsid w:val="0012317D"/>
    <w:rsid w:val="0012785E"/>
    <w:rsid w:val="00130AE7"/>
    <w:rsid w:val="00133F79"/>
    <w:rsid w:val="001363C0"/>
    <w:rsid w:val="0014055D"/>
    <w:rsid w:val="00140648"/>
    <w:rsid w:val="00144E8C"/>
    <w:rsid w:val="00147E3B"/>
    <w:rsid w:val="0015321C"/>
    <w:rsid w:val="0015470E"/>
    <w:rsid w:val="001549DB"/>
    <w:rsid w:val="001565F3"/>
    <w:rsid w:val="00157587"/>
    <w:rsid w:val="00157DEB"/>
    <w:rsid w:val="00162C20"/>
    <w:rsid w:val="0016771D"/>
    <w:rsid w:val="00167A93"/>
    <w:rsid w:val="00167D21"/>
    <w:rsid w:val="00170612"/>
    <w:rsid w:val="00170C7E"/>
    <w:rsid w:val="001724F8"/>
    <w:rsid w:val="00172DBB"/>
    <w:rsid w:val="00173704"/>
    <w:rsid w:val="00173859"/>
    <w:rsid w:val="00173919"/>
    <w:rsid w:val="001757ED"/>
    <w:rsid w:val="00177933"/>
    <w:rsid w:val="00177EE7"/>
    <w:rsid w:val="001813BD"/>
    <w:rsid w:val="001816D0"/>
    <w:rsid w:val="0018258D"/>
    <w:rsid w:val="00183135"/>
    <w:rsid w:val="001835C1"/>
    <w:rsid w:val="00183C0B"/>
    <w:rsid w:val="00184A7D"/>
    <w:rsid w:val="00187CAF"/>
    <w:rsid w:val="00192F44"/>
    <w:rsid w:val="0019355F"/>
    <w:rsid w:val="0019449A"/>
    <w:rsid w:val="00194A66"/>
    <w:rsid w:val="001957B0"/>
    <w:rsid w:val="001958FD"/>
    <w:rsid w:val="00195D77"/>
    <w:rsid w:val="00196691"/>
    <w:rsid w:val="00197F1C"/>
    <w:rsid w:val="001A0ED7"/>
    <w:rsid w:val="001A16A8"/>
    <w:rsid w:val="001A1DC2"/>
    <w:rsid w:val="001A334C"/>
    <w:rsid w:val="001A3C96"/>
    <w:rsid w:val="001A3D53"/>
    <w:rsid w:val="001A3FE6"/>
    <w:rsid w:val="001A58A9"/>
    <w:rsid w:val="001A6964"/>
    <w:rsid w:val="001A6CC7"/>
    <w:rsid w:val="001A782B"/>
    <w:rsid w:val="001B189E"/>
    <w:rsid w:val="001B2A2E"/>
    <w:rsid w:val="001B398D"/>
    <w:rsid w:val="001B4320"/>
    <w:rsid w:val="001B6D46"/>
    <w:rsid w:val="001B7DF5"/>
    <w:rsid w:val="001C0873"/>
    <w:rsid w:val="001C60C4"/>
    <w:rsid w:val="001C6634"/>
    <w:rsid w:val="001C683D"/>
    <w:rsid w:val="001C7F7F"/>
    <w:rsid w:val="001D3E2D"/>
    <w:rsid w:val="001D47E8"/>
    <w:rsid w:val="001D6659"/>
    <w:rsid w:val="001D6BCF"/>
    <w:rsid w:val="001D74AC"/>
    <w:rsid w:val="001E01CA"/>
    <w:rsid w:val="001E5611"/>
    <w:rsid w:val="001E64B1"/>
    <w:rsid w:val="001E79EA"/>
    <w:rsid w:val="001E7D55"/>
    <w:rsid w:val="001F30A1"/>
    <w:rsid w:val="00203E2E"/>
    <w:rsid w:val="00205BE3"/>
    <w:rsid w:val="002106DE"/>
    <w:rsid w:val="00210D84"/>
    <w:rsid w:val="00214693"/>
    <w:rsid w:val="00220150"/>
    <w:rsid w:val="002247DC"/>
    <w:rsid w:val="002252E7"/>
    <w:rsid w:val="00225564"/>
    <w:rsid w:val="00226840"/>
    <w:rsid w:val="002309E0"/>
    <w:rsid w:val="00230A3C"/>
    <w:rsid w:val="00230AA3"/>
    <w:rsid w:val="002310DB"/>
    <w:rsid w:val="00237491"/>
    <w:rsid w:val="00240045"/>
    <w:rsid w:val="00241DBC"/>
    <w:rsid w:val="002426D8"/>
    <w:rsid w:val="00244E93"/>
    <w:rsid w:val="002456CE"/>
    <w:rsid w:val="00247B66"/>
    <w:rsid w:val="0025043E"/>
    <w:rsid w:val="002517A4"/>
    <w:rsid w:val="00252224"/>
    <w:rsid w:val="002557D7"/>
    <w:rsid w:val="00260E16"/>
    <w:rsid w:val="002643F1"/>
    <w:rsid w:val="00265754"/>
    <w:rsid w:val="00267937"/>
    <w:rsid w:val="002700A1"/>
    <w:rsid w:val="00273BB2"/>
    <w:rsid w:val="00275CF5"/>
    <w:rsid w:val="002769A4"/>
    <w:rsid w:val="0028301F"/>
    <w:rsid w:val="00285017"/>
    <w:rsid w:val="00286E8D"/>
    <w:rsid w:val="002956FE"/>
    <w:rsid w:val="00295ED5"/>
    <w:rsid w:val="0029715D"/>
    <w:rsid w:val="002A0969"/>
    <w:rsid w:val="002A11FF"/>
    <w:rsid w:val="002A15A2"/>
    <w:rsid w:val="002A2BB3"/>
    <w:rsid w:val="002A2D2E"/>
    <w:rsid w:val="002A388B"/>
    <w:rsid w:val="002A3FEC"/>
    <w:rsid w:val="002A6DFD"/>
    <w:rsid w:val="002B07CC"/>
    <w:rsid w:val="002B2440"/>
    <w:rsid w:val="002B2846"/>
    <w:rsid w:val="002B3BC0"/>
    <w:rsid w:val="002B4930"/>
    <w:rsid w:val="002B67F0"/>
    <w:rsid w:val="002B6BBC"/>
    <w:rsid w:val="002B6CA9"/>
    <w:rsid w:val="002C00E8"/>
    <w:rsid w:val="002C13A7"/>
    <w:rsid w:val="002C168C"/>
    <w:rsid w:val="002C1C88"/>
    <w:rsid w:val="002C7078"/>
    <w:rsid w:val="002C7E22"/>
    <w:rsid w:val="002D325D"/>
    <w:rsid w:val="002D328E"/>
    <w:rsid w:val="002D4956"/>
    <w:rsid w:val="002E3BDB"/>
    <w:rsid w:val="002E409A"/>
    <w:rsid w:val="002E47EC"/>
    <w:rsid w:val="002E4CD3"/>
    <w:rsid w:val="002E7ED7"/>
    <w:rsid w:val="002F04D2"/>
    <w:rsid w:val="002F0936"/>
    <w:rsid w:val="002F1472"/>
    <w:rsid w:val="002F1E8B"/>
    <w:rsid w:val="002F4017"/>
    <w:rsid w:val="002F42DC"/>
    <w:rsid w:val="002F4E11"/>
    <w:rsid w:val="002F4F2F"/>
    <w:rsid w:val="00300E86"/>
    <w:rsid w:val="00303E4B"/>
    <w:rsid w:val="0030514B"/>
    <w:rsid w:val="00306EB3"/>
    <w:rsid w:val="00310D33"/>
    <w:rsid w:val="00315721"/>
    <w:rsid w:val="00316215"/>
    <w:rsid w:val="003173F7"/>
    <w:rsid w:val="00317CB6"/>
    <w:rsid w:val="00320D88"/>
    <w:rsid w:val="00321417"/>
    <w:rsid w:val="00321722"/>
    <w:rsid w:val="00322B5B"/>
    <w:rsid w:val="00323B4D"/>
    <w:rsid w:val="00324DC3"/>
    <w:rsid w:val="003262C8"/>
    <w:rsid w:val="003270F6"/>
    <w:rsid w:val="003274CD"/>
    <w:rsid w:val="003304F9"/>
    <w:rsid w:val="00335EC7"/>
    <w:rsid w:val="0033646C"/>
    <w:rsid w:val="00340A6C"/>
    <w:rsid w:val="00341B6F"/>
    <w:rsid w:val="003426AF"/>
    <w:rsid w:val="00342B03"/>
    <w:rsid w:val="00343749"/>
    <w:rsid w:val="00345E1F"/>
    <w:rsid w:val="00350ED3"/>
    <w:rsid w:val="0035115D"/>
    <w:rsid w:val="00353ED1"/>
    <w:rsid w:val="00354628"/>
    <w:rsid w:val="00355F9C"/>
    <w:rsid w:val="0035686A"/>
    <w:rsid w:val="003660ED"/>
    <w:rsid w:val="00367098"/>
    <w:rsid w:val="00367D8B"/>
    <w:rsid w:val="00374056"/>
    <w:rsid w:val="003754E7"/>
    <w:rsid w:val="00377EA7"/>
    <w:rsid w:val="003817A1"/>
    <w:rsid w:val="00381D55"/>
    <w:rsid w:val="0038266E"/>
    <w:rsid w:val="003845B0"/>
    <w:rsid w:val="00385078"/>
    <w:rsid w:val="003866D3"/>
    <w:rsid w:val="0038671F"/>
    <w:rsid w:val="0039090C"/>
    <w:rsid w:val="003934ED"/>
    <w:rsid w:val="003959FB"/>
    <w:rsid w:val="0039774A"/>
    <w:rsid w:val="003A263A"/>
    <w:rsid w:val="003A2BD6"/>
    <w:rsid w:val="003A550C"/>
    <w:rsid w:val="003A73ED"/>
    <w:rsid w:val="003A7B20"/>
    <w:rsid w:val="003B0550"/>
    <w:rsid w:val="003B1883"/>
    <w:rsid w:val="003B284E"/>
    <w:rsid w:val="003B3335"/>
    <w:rsid w:val="003B5385"/>
    <w:rsid w:val="003B5E12"/>
    <w:rsid w:val="003B694F"/>
    <w:rsid w:val="003C0BD0"/>
    <w:rsid w:val="003C2C19"/>
    <w:rsid w:val="003C2DBA"/>
    <w:rsid w:val="003C5474"/>
    <w:rsid w:val="003C6098"/>
    <w:rsid w:val="003C6B94"/>
    <w:rsid w:val="003D1ECD"/>
    <w:rsid w:val="003D325F"/>
    <w:rsid w:val="003D6C1F"/>
    <w:rsid w:val="003E2269"/>
    <w:rsid w:val="003E4FAD"/>
    <w:rsid w:val="003F171C"/>
    <w:rsid w:val="003F2DC5"/>
    <w:rsid w:val="003F390F"/>
    <w:rsid w:val="003F3DD6"/>
    <w:rsid w:val="003F5576"/>
    <w:rsid w:val="003F75FF"/>
    <w:rsid w:val="003F7AD6"/>
    <w:rsid w:val="00400A0A"/>
    <w:rsid w:val="0040369B"/>
    <w:rsid w:val="00407507"/>
    <w:rsid w:val="00412FC5"/>
    <w:rsid w:val="004152E1"/>
    <w:rsid w:val="00416836"/>
    <w:rsid w:val="00420CEA"/>
    <w:rsid w:val="00420D2B"/>
    <w:rsid w:val="00422276"/>
    <w:rsid w:val="00422AE9"/>
    <w:rsid w:val="004242F1"/>
    <w:rsid w:val="00424843"/>
    <w:rsid w:val="0042652E"/>
    <w:rsid w:val="004279BE"/>
    <w:rsid w:val="00430807"/>
    <w:rsid w:val="004324B9"/>
    <w:rsid w:val="00440066"/>
    <w:rsid w:val="00440560"/>
    <w:rsid w:val="00442A2E"/>
    <w:rsid w:val="004432B3"/>
    <w:rsid w:val="00443973"/>
    <w:rsid w:val="00445A00"/>
    <w:rsid w:val="00445DA1"/>
    <w:rsid w:val="00447D5A"/>
    <w:rsid w:val="004508ED"/>
    <w:rsid w:val="0045129B"/>
    <w:rsid w:val="00451B0F"/>
    <w:rsid w:val="0045225F"/>
    <w:rsid w:val="004546B6"/>
    <w:rsid w:val="00454985"/>
    <w:rsid w:val="00454F09"/>
    <w:rsid w:val="004561B6"/>
    <w:rsid w:val="00461F7E"/>
    <w:rsid w:val="0046437F"/>
    <w:rsid w:val="00464F27"/>
    <w:rsid w:val="00465CDE"/>
    <w:rsid w:val="00466BDB"/>
    <w:rsid w:val="00476172"/>
    <w:rsid w:val="00480C4F"/>
    <w:rsid w:val="00482854"/>
    <w:rsid w:val="0048762F"/>
    <w:rsid w:val="00490F82"/>
    <w:rsid w:val="004913FB"/>
    <w:rsid w:val="00492DD1"/>
    <w:rsid w:val="004935E2"/>
    <w:rsid w:val="004945FD"/>
    <w:rsid w:val="0049522A"/>
    <w:rsid w:val="00495DEC"/>
    <w:rsid w:val="00496B60"/>
    <w:rsid w:val="0049763A"/>
    <w:rsid w:val="004976A0"/>
    <w:rsid w:val="004A444F"/>
    <w:rsid w:val="004A7C0B"/>
    <w:rsid w:val="004A7C65"/>
    <w:rsid w:val="004B1DF6"/>
    <w:rsid w:val="004B39F5"/>
    <w:rsid w:val="004B5C26"/>
    <w:rsid w:val="004B6DD3"/>
    <w:rsid w:val="004C16B0"/>
    <w:rsid w:val="004C2EE3"/>
    <w:rsid w:val="004C3E5A"/>
    <w:rsid w:val="004C4752"/>
    <w:rsid w:val="004C5A92"/>
    <w:rsid w:val="004C7484"/>
    <w:rsid w:val="004D152B"/>
    <w:rsid w:val="004D43A8"/>
    <w:rsid w:val="004D5EAE"/>
    <w:rsid w:val="004E20CA"/>
    <w:rsid w:val="004E4A22"/>
    <w:rsid w:val="004E50D3"/>
    <w:rsid w:val="004E7526"/>
    <w:rsid w:val="004E7788"/>
    <w:rsid w:val="004F1C6E"/>
    <w:rsid w:val="004F64C1"/>
    <w:rsid w:val="005060F7"/>
    <w:rsid w:val="005062AF"/>
    <w:rsid w:val="00506885"/>
    <w:rsid w:val="005068ED"/>
    <w:rsid w:val="005078A9"/>
    <w:rsid w:val="00511220"/>
    <w:rsid w:val="00511968"/>
    <w:rsid w:val="00511D13"/>
    <w:rsid w:val="00512723"/>
    <w:rsid w:val="00515522"/>
    <w:rsid w:val="0052201C"/>
    <w:rsid w:val="0052433C"/>
    <w:rsid w:val="00524A97"/>
    <w:rsid w:val="00527C4A"/>
    <w:rsid w:val="0053209E"/>
    <w:rsid w:val="00534A6B"/>
    <w:rsid w:val="00535400"/>
    <w:rsid w:val="00535872"/>
    <w:rsid w:val="00536FAE"/>
    <w:rsid w:val="00540E90"/>
    <w:rsid w:val="005411AB"/>
    <w:rsid w:val="00541C3A"/>
    <w:rsid w:val="00542B46"/>
    <w:rsid w:val="00543726"/>
    <w:rsid w:val="00543BA9"/>
    <w:rsid w:val="00543C7D"/>
    <w:rsid w:val="005440B8"/>
    <w:rsid w:val="0054535C"/>
    <w:rsid w:val="00545493"/>
    <w:rsid w:val="00546DA1"/>
    <w:rsid w:val="005473C0"/>
    <w:rsid w:val="0055614C"/>
    <w:rsid w:val="00556AA5"/>
    <w:rsid w:val="0056079E"/>
    <w:rsid w:val="00573034"/>
    <w:rsid w:val="005730C9"/>
    <w:rsid w:val="0057521F"/>
    <w:rsid w:val="00576E7A"/>
    <w:rsid w:val="00576F4A"/>
    <w:rsid w:val="005813F6"/>
    <w:rsid w:val="0058155B"/>
    <w:rsid w:val="0058478D"/>
    <w:rsid w:val="00586EC2"/>
    <w:rsid w:val="005873AF"/>
    <w:rsid w:val="0059075F"/>
    <w:rsid w:val="00591BE8"/>
    <w:rsid w:val="00591E04"/>
    <w:rsid w:val="00596F6E"/>
    <w:rsid w:val="005A076E"/>
    <w:rsid w:val="005A2A58"/>
    <w:rsid w:val="005A69F2"/>
    <w:rsid w:val="005B0D2E"/>
    <w:rsid w:val="005B5684"/>
    <w:rsid w:val="005B61F2"/>
    <w:rsid w:val="005B7CFB"/>
    <w:rsid w:val="005C467B"/>
    <w:rsid w:val="005C5CDC"/>
    <w:rsid w:val="005D3276"/>
    <w:rsid w:val="005D37C5"/>
    <w:rsid w:val="005D3CAC"/>
    <w:rsid w:val="005E14C2"/>
    <w:rsid w:val="005E41F2"/>
    <w:rsid w:val="005E7464"/>
    <w:rsid w:val="005F268C"/>
    <w:rsid w:val="005F2819"/>
    <w:rsid w:val="005F2BD3"/>
    <w:rsid w:val="005F2FF8"/>
    <w:rsid w:val="005F4878"/>
    <w:rsid w:val="005F4BC5"/>
    <w:rsid w:val="00604299"/>
    <w:rsid w:val="0060494B"/>
    <w:rsid w:val="006078F4"/>
    <w:rsid w:val="00607BA5"/>
    <w:rsid w:val="0061180A"/>
    <w:rsid w:val="00612133"/>
    <w:rsid w:val="00613240"/>
    <w:rsid w:val="00613E6F"/>
    <w:rsid w:val="00613F0D"/>
    <w:rsid w:val="006153A0"/>
    <w:rsid w:val="0062463E"/>
    <w:rsid w:val="00626EB6"/>
    <w:rsid w:val="00635136"/>
    <w:rsid w:val="006358CB"/>
    <w:rsid w:val="006367E7"/>
    <w:rsid w:val="0064393E"/>
    <w:rsid w:val="00643BE1"/>
    <w:rsid w:val="00643E38"/>
    <w:rsid w:val="00651773"/>
    <w:rsid w:val="00651CA6"/>
    <w:rsid w:val="00653024"/>
    <w:rsid w:val="006537C1"/>
    <w:rsid w:val="00653A24"/>
    <w:rsid w:val="00655D03"/>
    <w:rsid w:val="0065611B"/>
    <w:rsid w:val="00657262"/>
    <w:rsid w:val="006600A1"/>
    <w:rsid w:val="00662B14"/>
    <w:rsid w:val="00665FD8"/>
    <w:rsid w:val="006679C0"/>
    <w:rsid w:val="00672702"/>
    <w:rsid w:val="006734CF"/>
    <w:rsid w:val="00674B83"/>
    <w:rsid w:val="00675F27"/>
    <w:rsid w:val="006766E0"/>
    <w:rsid w:val="006767D5"/>
    <w:rsid w:val="00680AFA"/>
    <w:rsid w:val="00681828"/>
    <w:rsid w:val="006828C1"/>
    <w:rsid w:val="00683388"/>
    <w:rsid w:val="00683F84"/>
    <w:rsid w:val="00685C7D"/>
    <w:rsid w:val="00686158"/>
    <w:rsid w:val="0068683F"/>
    <w:rsid w:val="0069168E"/>
    <w:rsid w:val="00693A47"/>
    <w:rsid w:val="0069692A"/>
    <w:rsid w:val="00696B3F"/>
    <w:rsid w:val="006A1675"/>
    <w:rsid w:val="006A2F7A"/>
    <w:rsid w:val="006A4176"/>
    <w:rsid w:val="006A4466"/>
    <w:rsid w:val="006A508A"/>
    <w:rsid w:val="006A6A81"/>
    <w:rsid w:val="006B15DF"/>
    <w:rsid w:val="006B2169"/>
    <w:rsid w:val="006B2810"/>
    <w:rsid w:val="006B6E06"/>
    <w:rsid w:val="006C21B7"/>
    <w:rsid w:val="006C7DA2"/>
    <w:rsid w:val="006D2FDA"/>
    <w:rsid w:val="006D3098"/>
    <w:rsid w:val="006D33D1"/>
    <w:rsid w:val="006D5026"/>
    <w:rsid w:val="006E5234"/>
    <w:rsid w:val="006E751C"/>
    <w:rsid w:val="006F13FC"/>
    <w:rsid w:val="006F20F7"/>
    <w:rsid w:val="006F2A9F"/>
    <w:rsid w:val="006F5CEC"/>
    <w:rsid w:val="006F7393"/>
    <w:rsid w:val="006F750A"/>
    <w:rsid w:val="0070224F"/>
    <w:rsid w:val="007026F5"/>
    <w:rsid w:val="00706164"/>
    <w:rsid w:val="007115F7"/>
    <w:rsid w:val="00711856"/>
    <w:rsid w:val="00713775"/>
    <w:rsid w:val="00720E93"/>
    <w:rsid w:val="00721889"/>
    <w:rsid w:val="00721AAF"/>
    <w:rsid w:val="00723426"/>
    <w:rsid w:val="00724575"/>
    <w:rsid w:val="0072505D"/>
    <w:rsid w:val="00725A67"/>
    <w:rsid w:val="0072747E"/>
    <w:rsid w:val="00730C01"/>
    <w:rsid w:val="007322C2"/>
    <w:rsid w:val="00734FA5"/>
    <w:rsid w:val="00735C9C"/>
    <w:rsid w:val="00736979"/>
    <w:rsid w:val="00736D1F"/>
    <w:rsid w:val="00737954"/>
    <w:rsid w:val="007446D7"/>
    <w:rsid w:val="0074595D"/>
    <w:rsid w:val="0074645A"/>
    <w:rsid w:val="00747D3B"/>
    <w:rsid w:val="00747FFC"/>
    <w:rsid w:val="0075082F"/>
    <w:rsid w:val="00757682"/>
    <w:rsid w:val="00757933"/>
    <w:rsid w:val="007601A4"/>
    <w:rsid w:val="00771150"/>
    <w:rsid w:val="007714EB"/>
    <w:rsid w:val="007762D3"/>
    <w:rsid w:val="00776913"/>
    <w:rsid w:val="00777A99"/>
    <w:rsid w:val="00784190"/>
    <w:rsid w:val="00785689"/>
    <w:rsid w:val="00786177"/>
    <w:rsid w:val="00786464"/>
    <w:rsid w:val="00790E2D"/>
    <w:rsid w:val="00791707"/>
    <w:rsid w:val="00791B63"/>
    <w:rsid w:val="00791E8F"/>
    <w:rsid w:val="00795031"/>
    <w:rsid w:val="007950B8"/>
    <w:rsid w:val="00796B1D"/>
    <w:rsid w:val="00796B67"/>
    <w:rsid w:val="0079754B"/>
    <w:rsid w:val="007A1536"/>
    <w:rsid w:val="007A1E6D"/>
    <w:rsid w:val="007A5D3E"/>
    <w:rsid w:val="007B0B35"/>
    <w:rsid w:val="007B0EB2"/>
    <w:rsid w:val="007B1ECC"/>
    <w:rsid w:val="007B2133"/>
    <w:rsid w:val="007B370F"/>
    <w:rsid w:val="007B667C"/>
    <w:rsid w:val="007C76AF"/>
    <w:rsid w:val="007D7336"/>
    <w:rsid w:val="007D75E9"/>
    <w:rsid w:val="007D7FA6"/>
    <w:rsid w:val="007E07E7"/>
    <w:rsid w:val="007E3853"/>
    <w:rsid w:val="007E750B"/>
    <w:rsid w:val="007E7867"/>
    <w:rsid w:val="007F11E0"/>
    <w:rsid w:val="007F35E6"/>
    <w:rsid w:val="007F3EE4"/>
    <w:rsid w:val="007F5F22"/>
    <w:rsid w:val="007F61A0"/>
    <w:rsid w:val="0080012F"/>
    <w:rsid w:val="00800E99"/>
    <w:rsid w:val="00805AD6"/>
    <w:rsid w:val="00806513"/>
    <w:rsid w:val="0080660D"/>
    <w:rsid w:val="00810B6F"/>
    <w:rsid w:val="00812439"/>
    <w:rsid w:val="00813C18"/>
    <w:rsid w:val="0081520D"/>
    <w:rsid w:val="00815E0A"/>
    <w:rsid w:val="008214F0"/>
    <w:rsid w:val="008215D5"/>
    <w:rsid w:val="00822CE0"/>
    <w:rsid w:val="00827513"/>
    <w:rsid w:val="0083060B"/>
    <w:rsid w:val="008313E9"/>
    <w:rsid w:val="00831B93"/>
    <w:rsid w:val="008345EB"/>
    <w:rsid w:val="00834830"/>
    <w:rsid w:val="0083578F"/>
    <w:rsid w:val="0084032C"/>
    <w:rsid w:val="0084055C"/>
    <w:rsid w:val="0084129D"/>
    <w:rsid w:val="00841AB1"/>
    <w:rsid w:val="008455DF"/>
    <w:rsid w:val="008549ED"/>
    <w:rsid w:val="00864A93"/>
    <w:rsid w:val="0086650A"/>
    <w:rsid w:val="00867C71"/>
    <w:rsid w:val="00871D9E"/>
    <w:rsid w:val="00873482"/>
    <w:rsid w:val="008746D8"/>
    <w:rsid w:val="00877CF5"/>
    <w:rsid w:val="00887C92"/>
    <w:rsid w:val="00891FEE"/>
    <w:rsid w:val="0089219B"/>
    <w:rsid w:val="008928E7"/>
    <w:rsid w:val="00892A80"/>
    <w:rsid w:val="0089479E"/>
    <w:rsid w:val="00895D61"/>
    <w:rsid w:val="008A03BA"/>
    <w:rsid w:val="008A160F"/>
    <w:rsid w:val="008A2D7E"/>
    <w:rsid w:val="008A338F"/>
    <w:rsid w:val="008A3DC4"/>
    <w:rsid w:val="008A43C6"/>
    <w:rsid w:val="008A6740"/>
    <w:rsid w:val="008B0F92"/>
    <w:rsid w:val="008B21F0"/>
    <w:rsid w:val="008B4A0D"/>
    <w:rsid w:val="008B5139"/>
    <w:rsid w:val="008B6901"/>
    <w:rsid w:val="008B73D5"/>
    <w:rsid w:val="008C18C4"/>
    <w:rsid w:val="008C68F1"/>
    <w:rsid w:val="008C791D"/>
    <w:rsid w:val="008D0FE0"/>
    <w:rsid w:val="008D3384"/>
    <w:rsid w:val="008D47DE"/>
    <w:rsid w:val="008D674B"/>
    <w:rsid w:val="008E2893"/>
    <w:rsid w:val="008E33AF"/>
    <w:rsid w:val="008E44B2"/>
    <w:rsid w:val="008E44BC"/>
    <w:rsid w:val="008E6C65"/>
    <w:rsid w:val="008E7D81"/>
    <w:rsid w:val="008F11EA"/>
    <w:rsid w:val="008F257A"/>
    <w:rsid w:val="008F48D0"/>
    <w:rsid w:val="008F6F89"/>
    <w:rsid w:val="008F737F"/>
    <w:rsid w:val="009044DF"/>
    <w:rsid w:val="009050A9"/>
    <w:rsid w:val="00905554"/>
    <w:rsid w:val="00906AC6"/>
    <w:rsid w:val="00910008"/>
    <w:rsid w:val="00911366"/>
    <w:rsid w:val="00912F8E"/>
    <w:rsid w:val="00914051"/>
    <w:rsid w:val="0091549F"/>
    <w:rsid w:val="00920725"/>
    <w:rsid w:val="00920ADF"/>
    <w:rsid w:val="00921803"/>
    <w:rsid w:val="0092418B"/>
    <w:rsid w:val="009241D8"/>
    <w:rsid w:val="00926503"/>
    <w:rsid w:val="009276E8"/>
    <w:rsid w:val="00927B6E"/>
    <w:rsid w:val="009311C3"/>
    <w:rsid w:val="00931D47"/>
    <w:rsid w:val="00935025"/>
    <w:rsid w:val="0094091B"/>
    <w:rsid w:val="00943B1E"/>
    <w:rsid w:val="0094545C"/>
    <w:rsid w:val="00945799"/>
    <w:rsid w:val="00945805"/>
    <w:rsid w:val="00946BD5"/>
    <w:rsid w:val="00946D47"/>
    <w:rsid w:val="00947AD2"/>
    <w:rsid w:val="0095099E"/>
    <w:rsid w:val="00950B77"/>
    <w:rsid w:val="0095204C"/>
    <w:rsid w:val="00952D2F"/>
    <w:rsid w:val="009546FA"/>
    <w:rsid w:val="00956BCB"/>
    <w:rsid w:val="0096518F"/>
    <w:rsid w:val="00965840"/>
    <w:rsid w:val="009661A0"/>
    <w:rsid w:val="00966D92"/>
    <w:rsid w:val="00967F0D"/>
    <w:rsid w:val="0097009C"/>
    <w:rsid w:val="00970C40"/>
    <w:rsid w:val="009726D8"/>
    <w:rsid w:val="009766BD"/>
    <w:rsid w:val="0098053C"/>
    <w:rsid w:val="0098225B"/>
    <w:rsid w:val="00982CF3"/>
    <w:rsid w:val="00982EA9"/>
    <w:rsid w:val="0098346E"/>
    <w:rsid w:val="00983CCB"/>
    <w:rsid w:val="00986668"/>
    <w:rsid w:val="009904E8"/>
    <w:rsid w:val="00990C09"/>
    <w:rsid w:val="00993075"/>
    <w:rsid w:val="009976FC"/>
    <w:rsid w:val="009A0379"/>
    <w:rsid w:val="009A1D97"/>
    <w:rsid w:val="009A2284"/>
    <w:rsid w:val="009A35B8"/>
    <w:rsid w:val="009A6B5C"/>
    <w:rsid w:val="009B15E1"/>
    <w:rsid w:val="009B17AE"/>
    <w:rsid w:val="009B3788"/>
    <w:rsid w:val="009B6F8E"/>
    <w:rsid w:val="009B7684"/>
    <w:rsid w:val="009C04AE"/>
    <w:rsid w:val="009C0B74"/>
    <w:rsid w:val="009C195F"/>
    <w:rsid w:val="009C5479"/>
    <w:rsid w:val="009C5A02"/>
    <w:rsid w:val="009C7AF4"/>
    <w:rsid w:val="009D053E"/>
    <w:rsid w:val="009D35B4"/>
    <w:rsid w:val="009D4E04"/>
    <w:rsid w:val="009E0CEE"/>
    <w:rsid w:val="009E2F95"/>
    <w:rsid w:val="009E3439"/>
    <w:rsid w:val="009E3874"/>
    <w:rsid w:val="009E5EED"/>
    <w:rsid w:val="009E6B1B"/>
    <w:rsid w:val="009F4281"/>
    <w:rsid w:val="009F646B"/>
    <w:rsid w:val="009F76DB"/>
    <w:rsid w:val="00A02C88"/>
    <w:rsid w:val="00A03588"/>
    <w:rsid w:val="00A0495D"/>
    <w:rsid w:val="00A04B37"/>
    <w:rsid w:val="00A06165"/>
    <w:rsid w:val="00A12F7D"/>
    <w:rsid w:val="00A210B8"/>
    <w:rsid w:val="00A2225E"/>
    <w:rsid w:val="00A23684"/>
    <w:rsid w:val="00A24654"/>
    <w:rsid w:val="00A26ECF"/>
    <w:rsid w:val="00A3231C"/>
    <w:rsid w:val="00A32C3B"/>
    <w:rsid w:val="00A33002"/>
    <w:rsid w:val="00A33294"/>
    <w:rsid w:val="00A33BA9"/>
    <w:rsid w:val="00A34D06"/>
    <w:rsid w:val="00A3716B"/>
    <w:rsid w:val="00A4162E"/>
    <w:rsid w:val="00A428E6"/>
    <w:rsid w:val="00A45F4F"/>
    <w:rsid w:val="00A47DA9"/>
    <w:rsid w:val="00A565BA"/>
    <w:rsid w:val="00A5701C"/>
    <w:rsid w:val="00A600A9"/>
    <w:rsid w:val="00A62563"/>
    <w:rsid w:val="00A629C1"/>
    <w:rsid w:val="00A673AB"/>
    <w:rsid w:val="00A727D5"/>
    <w:rsid w:val="00A740DF"/>
    <w:rsid w:val="00A742DB"/>
    <w:rsid w:val="00A75479"/>
    <w:rsid w:val="00A75F06"/>
    <w:rsid w:val="00A837ED"/>
    <w:rsid w:val="00A84BEF"/>
    <w:rsid w:val="00A862E8"/>
    <w:rsid w:val="00A86960"/>
    <w:rsid w:val="00A90002"/>
    <w:rsid w:val="00A908F2"/>
    <w:rsid w:val="00A91430"/>
    <w:rsid w:val="00A93B31"/>
    <w:rsid w:val="00A96EFF"/>
    <w:rsid w:val="00A97042"/>
    <w:rsid w:val="00AA0D09"/>
    <w:rsid w:val="00AA0EB9"/>
    <w:rsid w:val="00AA55B7"/>
    <w:rsid w:val="00AA5B9E"/>
    <w:rsid w:val="00AB0617"/>
    <w:rsid w:val="00AB0766"/>
    <w:rsid w:val="00AB2407"/>
    <w:rsid w:val="00AB3792"/>
    <w:rsid w:val="00AB49CC"/>
    <w:rsid w:val="00AB53DF"/>
    <w:rsid w:val="00AB583A"/>
    <w:rsid w:val="00AB6C1E"/>
    <w:rsid w:val="00AC062D"/>
    <w:rsid w:val="00AC0DA9"/>
    <w:rsid w:val="00AC2DBD"/>
    <w:rsid w:val="00AC4FD1"/>
    <w:rsid w:val="00AC58E4"/>
    <w:rsid w:val="00AC5FAC"/>
    <w:rsid w:val="00AC6B3E"/>
    <w:rsid w:val="00AC76E8"/>
    <w:rsid w:val="00AD0B93"/>
    <w:rsid w:val="00AD143D"/>
    <w:rsid w:val="00AD2D25"/>
    <w:rsid w:val="00AD6472"/>
    <w:rsid w:val="00AE09BE"/>
    <w:rsid w:val="00AE368B"/>
    <w:rsid w:val="00AE3D38"/>
    <w:rsid w:val="00AE41AD"/>
    <w:rsid w:val="00AE48B5"/>
    <w:rsid w:val="00AE69FD"/>
    <w:rsid w:val="00AF459E"/>
    <w:rsid w:val="00AF678A"/>
    <w:rsid w:val="00B008C8"/>
    <w:rsid w:val="00B01934"/>
    <w:rsid w:val="00B059C8"/>
    <w:rsid w:val="00B07E5C"/>
    <w:rsid w:val="00B11426"/>
    <w:rsid w:val="00B130F1"/>
    <w:rsid w:val="00B15827"/>
    <w:rsid w:val="00B15B78"/>
    <w:rsid w:val="00B17C79"/>
    <w:rsid w:val="00B206E5"/>
    <w:rsid w:val="00B2104A"/>
    <w:rsid w:val="00B2121B"/>
    <w:rsid w:val="00B21583"/>
    <w:rsid w:val="00B219E1"/>
    <w:rsid w:val="00B21E0D"/>
    <w:rsid w:val="00B268B1"/>
    <w:rsid w:val="00B31609"/>
    <w:rsid w:val="00B36A72"/>
    <w:rsid w:val="00B46EBD"/>
    <w:rsid w:val="00B51092"/>
    <w:rsid w:val="00B52E5F"/>
    <w:rsid w:val="00B54446"/>
    <w:rsid w:val="00B556B0"/>
    <w:rsid w:val="00B57A1B"/>
    <w:rsid w:val="00B57E7B"/>
    <w:rsid w:val="00B6039F"/>
    <w:rsid w:val="00B604CD"/>
    <w:rsid w:val="00B60F51"/>
    <w:rsid w:val="00B61670"/>
    <w:rsid w:val="00B6180A"/>
    <w:rsid w:val="00B642A2"/>
    <w:rsid w:val="00B657A2"/>
    <w:rsid w:val="00B70C67"/>
    <w:rsid w:val="00B7114C"/>
    <w:rsid w:val="00B722C8"/>
    <w:rsid w:val="00B723BF"/>
    <w:rsid w:val="00B7306D"/>
    <w:rsid w:val="00B73691"/>
    <w:rsid w:val="00B754E2"/>
    <w:rsid w:val="00B77DEC"/>
    <w:rsid w:val="00B811F7"/>
    <w:rsid w:val="00B82861"/>
    <w:rsid w:val="00B8307D"/>
    <w:rsid w:val="00B840DA"/>
    <w:rsid w:val="00B844C0"/>
    <w:rsid w:val="00B84BD0"/>
    <w:rsid w:val="00B87775"/>
    <w:rsid w:val="00B92D70"/>
    <w:rsid w:val="00BA0ECF"/>
    <w:rsid w:val="00BA1847"/>
    <w:rsid w:val="00BA371A"/>
    <w:rsid w:val="00BA4002"/>
    <w:rsid w:val="00BA400B"/>
    <w:rsid w:val="00BA4425"/>
    <w:rsid w:val="00BA464B"/>
    <w:rsid w:val="00BA56FC"/>
    <w:rsid w:val="00BA56FE"/>
    <w:rsid w:val="00BA57BE"/>
    <w:rsid w:val="00BA5DC6"/>
    <w:rsid w:val="00BA6196"/>
    <w:rsid w:val="00BA65D8"/>
    <w:rsid w:val="00BB6B27"/>
    <w:rsid w:val="00BB6C6F"/>
    <w:rsid w:val="00BB7558"/>
    <w:rsid w:val="00BB7C8D"/>
    <w:rsid w:val="00BC0017"/>
    <w:rsid w:val="00BC073E"/>
    <w:rsid w:val="00BC0856"/>
    <w:rsid w:val="00BC0D8B"/>
    <w:rsid w:val="00BC153E"/>
    <w:rsid w:val="00BC2A41"/>
    <w:rsid w:val="00BC3550"/>
    <w:rsid w:val="00BC6D8C"/>
    <w:rsid w:val="00BD0906"/>
    <w:rsid w:val="00BD7E63"/>
    <w:rsid w:val="00BE7423"/>
    <w:rsid w:val="00BE7DAF"/>
    <w:rsid w:val="00BF0A16"/>
    <w:rsid w:val="00BF0F72"/>
    <w:rsid w:val="00BF7A33"/>
    <w:rsid w:val="00C01C61"/>
    <w:rsid w:val="00C03682"/>
    <w:rsid w:val="00C04943"/>
    <w:rsid w:val="00C05961"/>
    <w:rsid w:val="00C12D58"/>
    <w:rsid w:val="00C12E63"/>
    <w:rsid w:val="00C15EB8"/>
    <w:rsid w:val="00C16297"/>
    <w:rsid w:val="00C23067"/>
    <w:rsid w:val="00C2398F"/>
    <w:rsid w:val="00C24414"/>
    <w:rsid w:val="00C34006"/>
    <w:rsid w:val="00C36E23"/>
    <w:rsid w:val="00C377F0"/>
    <w:rsid w:val="00C37F68"/>
    <w:rsid w:val="00C40252"/>
    <w:rsid w:val="00C40D89"/>
    <w:rsid w:val="00C424F6"/>
    <w:rsid w:val="00C426B1"/>
    <w:rsid w:val="00C43792"/>
    <w:rsid w:val="00C448F2"/>
    <w:rsid w:val="00C519FF"/>
    <w:rsid w:val="00C52C8C"/>
    <w:rsid w:val="00C55919"/>
    <w:rsid w:val="00C57880"/>
    <w:rsid w:val="00C57ABA"/>
    <w:rsid w:val="00C60E3A"/>
    <w:rsid w:val="00C627DD"/>
    <w:rsid w:val="00C636F0"/>
    <w:rsid w:val="00C65021"/>
    <w:rsid w:val="00C6595C"/>
    <w:rsid w:val="00C66160"/>
    <w:rsid w:val="00C676FD"/>
    <w:rsid w:val="00C71F4C"/>
    <w:rsid w:val="00C721AC"/>
    <w:rsid w:val="00C7270F"/>
    <w:rsid w:val="00C74768"/>
    <w:rsid w:val="00C765FE"/>
    <w:rsid w:val="00C8120F"/>
    <w:rsid w:val="00C81DDA"/>
    <w:rsid w:val="00C84E5A"/>
    <w:rsid w:val="00C90D6A"/>
    <w:rsid w:val="00C91DB7"/>
    <w:rsid w:val="00C94E1C"/>
    <w:rsid w:val="00CA247E"/>
    <w:rsid w:val="00CA5661"/>
    <w:rsid w:val="00CB0C19"/>
    <w:rsid w:val="00CB10D9"/>
    <w:rsid w:val="00CB6AD9"/>
    <w:rsid w:val="00CB7771"/>
    <w:rsid w:val="00CB7DC9"/>
    <w:rsid w:val="00CC1121"/>
    <w:rsid w:val="00CC1B41"/>
    <w:rsid w:val="00CC72B6"/>
    <w:rsid w:val="00CD06E7"/>
    <w:rsid w:val="00CD22AF"/>
    <w:rsid w:val="00CD53E0"/>
    <w:rsid w:val="00CD5C84"/>
    <w:rsid w:val="00CD67B7"/>
    <w:rsid w:val="00CD730C"/>
    <w:rsid w:val="00CD7BE7"/>
    <w:rsid w:val="00CE15C9"/>
    <w:rsid w:val="00CE47F1"/>
    <w:rsid w:val="00CE4AC3"/>
    <w:rsid w:val="00CE4FD9"/>
    <w:rsid w:val="00CE5CCA"/>
    <w:rsid w:val="00CE5FF6"/>
    <w:rsid w:val="00CF158B"/>
    <w:rsid w:val="00CF2ABB"/>
    <w:rsid w:val="00CF3C21"/>
    <w:rsid w:val="00CF5267"/>
    <w:rsid w:val="00CF57DE"/>
    <w:rsid w:val="00CF5AE9"/>
    <w:rsid w:val="00CF5E90"/>
    <w:rsid w:val="00CF60AC"/>
    <w:rsid w:val="00D0168C"/>
    <w:rsid w:val="00D0218D"/>
    <w:rsid w:val="00D041D4"/>
    <w:rsid w:val="00D05798"/>
    <w:rsid w:val="00D05B35"/>
    <w:rsid w:val="00D11092"/>
    <w:rsid w:val="00D1151C"/>
    <w:rsid w:val="00D15444"/>
    <w:rsid w:val="00D16FA4"/>
    <w:rsid w:val="00D21C06"/>
    <w:rsid w:val="00D2326E"/>
    <w:rsid w:val="00D25FB5"/>
    <w:rsid w:val="00D2609F"/>
    <w:rsid w:val="00D300EA"/>
    <w:rsid w:val="00D30538"/>
    <w:rsid w:val="00D3127A"/>
    <w:rsid w:val="00D32C81"/>
    <w:rsid w:val="00D34A6B"/>
    <w:rsid w:val="00D37710"/>
    <w:rsid w:val="00D416E0"/>
    <w:rsid w:val="00D42966"/>
    <w:rsid w:val="00D42BE2"/>
    <w:rsid w:val="00D44223"/>
    <w:rsid w:val="00D44869"/>
    <w:rsid w:val="00D44B33"/>
    <w:rsid w:val="00D4721D"/>
    <w:rsid w:val="00D54299"/>
    <w:rsid w:val="00D54AC4"/>
    <w:rsid w:val="00D6291F"/>
    <w:rsid w:val="00D6427E"/>
    <w:rsid w:val="00D64377"/>
    <w:rsid w:val="00D643E6"/>
    <w:rsid w:val="00D66C90"/>
    <w:rsid w:val="00D671CD"/>
    <w:rsid w:val="00D718F6"/>
    <w:rsid w:val="00D7268A"/>
    <w:rsid w:val="00D72824"/>
    <w:rsid w:val="00D72C84"/>
    <w:rsid w:val="00D74E2E"/>
    <w:rsid w:val="00D80C15"/>
    <w:rsid w:val="00D81491"/>
    <w:rsid w:val="00D84681"/>
    <w:rsid w:val="00D8765B"/>
    <w:rsid w:val="00D90225"/>
    <w:rsid w:val="00DA2529"/>
    <w:rsid w:val="00DA25E3"/>
    <w:rsid w:val="00DA27D6"/>
    <w:rsid w:val="00DA2AF5"/>
    <w:rsid w:val="00DB130A"/>
    <w:rsid w:val="00DB2EBB"/>
    <w:rsid w:val="00DB47D0"/>
    <w:rsid w:val="00DB4B3C"/>
    <w:rsid w:val="00DB6766"/>
    <w:rsid w:val="00DC10A1"/>
    <w:rsid w:val="00DC655F"/>
    <w:rsid w:val="00DC6E32"/>
    <w:rsid w:val="00DC7B4C"/>
    <w:rsid w:val="00DD0B59"/>
    <w:rsid w:val="00DD374D"/>
    <w:rsid w:val="00DD4A56"/>
    <w:rsid w:val="00DD7EBD"/>
    <w:rsid w:val="00DE137A"/>
    <w:rsid w:val="00DE2A14"/>
    <w:rsid w:val="00DE4C41"/>
    <w:rsid w:val="00DE7267"/>
    <w:rsid w:val="00DF28AB"/>
    <w:rsid w:val="00DF33A8"/>
    <w:rsid w:val="00DF4023"/>
    <w:rsid w:val="00DF4750"/>
    <w:rsid w:val="00DF62B6"/>
    <w:rsid w:val="00E00884"/>
    <w:rsid w:val="00E0127C"/>
    <w:rsid w:val="00E01E70"/>
    <w:rsid w:val="00E02D96"/>
    <w:rsid w:val="00E046D1"/>
    <w:rsid w:val="00E053F4"/>
    <w:rsid w:val="00E06263"/>
    <w:rsid w:val="00E07225"/>
    <w:rsid w:val="00E14CF9"/>
    <w:rsid w:val="00E15C6E"/>
    <w:rsid w:val="00E160BD"/>
    <w:rsid w:val="00E207D3"/>
    <w:rsid w:val="00E22202"/>
    <w:rsid w:val="00E22CC6"/>
    <w:rsid w:val="00E248D2"/>
    <w:rsid w:val="00E25FA7"/>
    <w:rsid w:val="00E347BD"/>
    <w:rsid w:val="00E35CFD"/>
    <w:rsid w:val="00E361DF"/>
    <w:rsid w:val="00E3659C"/>
    <w:rsid w:val="00E37DB9"/>
    <w:rsid w:val="00E4334D"/>
    <w:rsid w:val="00E436C3"/>
    <w:rsid w:val="00E43889"/>
    <w:rsid w:val="00E4512B"/>
    <w:rsid w:val="00E46A56"/>
    <w:rsid w:val="00E46E28"/>
    <w:rsid w:val="00E5373F"/>
    <w:rsid w:val="00E5409F"/>
    <w:rsid w:val="00E56936"/>
    <w:rsid w:val="00E65543"/>
    <w:rsid w:val="00E673AF"/>
    <w:rsid w:val="00E675A5"/>
    <w:rsid w:val="00E7019F"/>
    <w:rsid w:val="00E725C7"/>
    <w:rsid w:val="00E73046"/>
    <w:rsid w:val="00E7350B"/>
    <w:rsid w:val="00E754DC"/>
    <w:rsid w:val="00E867C4"/>
    <w:rsid w:val="00E877F0"/>
    <w:rsid w:val="00E92D76"/>
    <w:rsid w:val="00E97A62"/>
    <w:rsid w:val="00EA3F59"/>
    <w:rsid w:val="00EB0A67"/>
    <w:rsid w:val="00EB2213"/>
    <w:rsid w:val="00EB395D"/>
    <w:rsid w:val="00EB3BC6"/>
    <w:rsid w:val="00EB45D3"/>
    <w:rsid w:val="00EB54F4"/>
    <w:rsid w:val="00EC08EA"/>
    <w:rsid w:val="00EC5D9B"/>
    <w:rsid w:val="00EC60D2"/>
    <w:rsid w:val="00EC6424"/>
    <w:rsid w:val="00ED0384"/>
    <w:rsid w:val="00ED1558"/>
    <w:rsid w:val="00ED531C"/>
    <w:rsid w:val="00ED593C"/>
    <w:rsid w:val="00EE0260"/>
    <w:rsid w:val="00EE174E"/>
    <w:rsid w:val="00EE1EAB"/>
    <w:rsid w:val="00EE5E1B"/>
    <w:rsid w:val="00EE6488"/>
    <w:rsid w:val="00EE6A44"/>
    <w:rsid w:val="00EE6DE8"/>
    <w:rsid w:val="00EF0828"/>
    <w:rsid w:val="00EF0C9A"/>
    <w:rsid w:val="00EF162A"/>
    <w:rsid w:val="00EF1A01"/>
    <w:rsid w:val="00EF620E"/>
    <w:rsid w:val="00EF683D"/>
    <w:rsid w:val="00F021FA"/>
    <w:rsid w:val="00F03860"/>
    <w:rsid w:val="00F0782E"/>
    <w:rsid w:val="00F116BA"/>
    <w:rsid w:val="00F116CB"/>
    <w:rsid w:val="00F13E3D"/>
    <w:rsid w:val="00F14851"/>
    <w:rsid w:val="00F14AB0"/>
    <w:rsid w:val="00F1571A"/>
    <w:rsid w:val="00F1638A"/>
    <w:rsid w:val="00F17507"/>
    <w:rsid w:val="00F179A0"/>
    <w:rsid w:val="00F23C2C"/>
    <w:rsid w:val="00F24065"/>
    <w:rsid w:val="00F25740"/>
    <w:rsid w:val="00F32798"/>
    <w:rsid w:val="00F3344D"/>
    <w:rsid w:val="00F334B6"/>
    <w:rsid w:val="00F41CEA"/>
    <w:rsid w:val="00F44F4C"/>
    <w:rsid w:val="00F52217"/>
    <w:rsid w:val="00F52CE2"/>
    <w:rsid w:val="00F57ADB"/>
    <w:rsid w:val="00F62E97"/>
    <w:rsid w:val="00F64209"/>
    <w:rsid w:val="00F70C9D"/>
    <w:rsid w:val="00F74DEA"/>
    <w:rsid w:val="00F80E11"/>
    <w:rsid w:val="00F847DF"/>
    <w:rsid w:val="00F93528"/>
    <w:rsid w:val="00F93BF5"/>
    <w:rsid w:val="00F95127"/>
    <w:rsid w:val="00FA039A"/>
    <w:rsid w:val="00FA2C35"/>
    <w:rsid w:val="00FA335C"/>
    <w:rsid w:val="00FA355F"/>
    <w:rsid w:val="00FA55AE"/>
    <w:rsid w:val="00FA78CF"/>
    <w:rsid w:val="00FB1932"/>
    <w:rsid w:val="00FB55CE"/>
    <w:rsid w:val="00FB7A0A"/>
    <w:rsid w:val="00FC00BB"/>
    <w:rsid w:val="00FC1347"/>
    <w:rsid w:val="00FC1B54"/>
    <w:rsid w:val="00FC67FF"/>
    <w:rsid w:val="00FC7752"/>
    <w:rsid w:val="00FD0400"/>
    <w:rsid w:val="00FD0FFB"/>
    <w:rsid w:val="00FD1D32"/>
    <w:rsid w:val="00FD5EA2"/>
    <w:rsid w:val="00FD61DE"/>
    <w:rsid w:val="00FD65B2"/>
    <w:rsid w:val="00FD65F2"/>
    <w:rsid w:val="00FE0902"/>
    <w:rsid w:val="00FE1E01"/>
    <w:rsid w:val="00FE1E64"/>
    <w:rsid w:val="00FE22C9"/>
    <w:rsid w:val="00FE2715"/>
    <w:rsid w:val="00FE3527"/>
    <w:rsid w:val="00FE64B8"/>
    <w:rsid w:val="00FE722A"/>
    <w:rsid w:val="00FE77E9"/>
    <w:rsid w:val="00FF13E9"/>
    <w:rsid w:val="00FF4FD4"/>
    <w:rsid w:val="00FF515C"/>
    <w:rsid w:val="00FF6878"/>
    <w:rsid w:val="00FF6C71"/>
    <w:rsid w:val="00FF7BEB"/>
    <w:rsid w:val="00FF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B8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9C"/>
    <w:pPr>
      <w:widowControl w:val="0"/>
    </w:pPr>
    <w:rPr>
      <w:snapToGrid w:val="0"/>
      <w:kern w:val="28"/>
      <w:sz w:val="22"/>
    </w:rPr>
  </w:style>
  <w:style w:type="paragraph" w:styleId="Heading1">
    <w:name w:val="heading 1"/>
    <w:basedOn w:val="Normal"/>
    <w:next w:val="ParaNum"/>
    <w:link w:val="Heading1Char"/>
    <w:qFormat/>
    <w:rsid w:val="0001639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1639C"/>
    <w:pPr>
      <w:keepNext/>
      <w:numPr>
        <w:ilvl w:val="1"/>
        <w:numId w:val="3"/>
      </w:numPr>
      <w:spacing w:after="120"/>
      <w:outlineLvl w:val="1"/>
    </w:pPr>
    <w:rPr>
      <w:b/>
    </w:rPr>
  </w:style>
  <w:style w:type="paragraph" w:styleId="Heading3">
    <w:name w:val="heading 3"/>
    <w:basedOn w:val="Normal"/>
    <w:next w:val="ParaNum"/>
    <w:qFormat/>
    <w:rsid w:val="0001639C"/>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01639C"/>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01639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1639C"/>
    <w:pPr>
      <w:numPr>
        <w:ilvl w:val="5"/>
        <w:numId w:val="3"/>
      </w:numPr>
      <w:tabs>
        <w:tab w:val="left" w:pos="4320"/>
      </w:tabs>
      <w:spacing w:after="120"/>
      <w:outlineLvl w:val="5"/>
    </w:pPr>
    <w:rPr>
      <w:b/>
    </w:rPr>
  </w:style>
  <w:style w:type="paragraph" w:styleId="Heading7">
    <w:name w:val="heading 7"/>
    <w:basedOn w:val="Normal"/>
    <w:next w:val="ParaNum"/>
    <w:qFormat/>
    <w:rsid w:val="0001639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1639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1639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163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639C"/>
  </w:style>
  <w:style w:type="paragraph" w:customStyle="1" w:styleId="ParaNum">
    <w:name w:val="ParaNum"/>
    <w:basedOn w:val="Normal"/>
    <w:link w:val="ParaNumChar"/>
    <w:rsid w:val="0001639C"/>
    <w:pPr>
      <w:numPr>
        <w:numId w:val="2"/>
      </w:numPr>
      <w:tabs>
        <w:tab w:val="clear" w:pos="1080"/>
        <w:tab w:val="num" w:pos="1440"/>
      </w:tabs>
      <w:spacing w:after="120"/>
    </w:pPr>
  </w:style>
  <w:style w:type="paragraph" w:styleId="EndnoteText">
    <w:name w:val="endnote text"/>
    <w:basedOn w:val="Normal"/>
    <w:semiHidden/>
    <w:rsid w:val="0001639C"/>
    <w:rPr>
      <w:sz w:val="20"/>
    </w:rPr>
  </w:style>
  <w:style w:type="character" w:styleId="EndnoteReference">
    <w:name w:val="endnote reference"/>
    <w:semiHidden/>
    <w:rsid w:val="0001639C"/>
    <w:rPr>
      <w:vertAlign w:val="superscript"/>
    </w:rPr>
  </w:style>
  <w:style w:type="paragraph" w:styleId="FootnoteText">
    <w:name w:val="footnote text"/>
    <w:aliases w:val="Footnote Text Char2 Char2,Footnote Text Char Char1 Char,Footnote Text Char2 Char2 Char Char,Footnote Text Char Char1 Char Char Char,Footnote Text Char1 Char1 Char Char Char Char,Footnote Text Char2 Char Char,fn,fn Char1,Footnote Text Char1"/>
    <w:link w:val="FootnoteTextChar"/>
    <w:rsid w:val="0001639C"/>
    <w:pPr>
      <w:spacing w:after="120"/>
    </w:pPr>
  </w:style>
  <w:style w:type="character" w:styleId="FootnoteReference">
    <w:name w:val="footnote reference"/>
    <w:aliases w:val="Style 12,(NECG) Footnote Reference,Style 13,Appel note de bas de p,Style 124,fr,o,Style 3,FR,Style 17,Style 6,Footnote Reference/,Style 7"/>
    <w:rsid w:val="0001639C"/>
    <w:rPr>
      <w:rFonts w:ascii="Times New Roman" w:hAnsi="Times New Roman"/>
      <w:dstrike w:val="0"/>
      <w:color w:val="auto"/>
      <w:sz w:val="20"/>
      <w:vertAlign w:val="superscript"/>
    </w:rPr>
  </w:style>
  <w:style w:type="paragraph" w:styleId="TOC1">
    <w:name w:val="toc 1"/>
    <w:basedOn w:val="Normal"/>
    <w:next w:val="Normal"/>
    <w:semiHidden/>
    <w:rsid w:val="0001639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1639C"/>
    <w:pPr>
      <w:tabs>
        <w:tab w:val="left" w:pos="720"/>
        <w:tab w:val="right" w:leader="dot" w:pos="9360"/>
      </w:tabs>
      <w:suppressAutoHyphens/>
      <w:ind w:left="720" w:right="720" w:hanging="360"/>
    </w:pPr>
    <w:rPr>
      <w:noProof/>
    </w:rPr>
  </w:style>
  <w:style w:type="paragraph" w:styleId="TOC3">
    <w:name w:val="toc 3"/>
    <w:basedOn w:val="Normal"/>
    <w:next w:val="Normal"/>
    <w:semiHidden/>
    <w:rsid w:val="0001639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1639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1639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1639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1639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1639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1639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1639C"/>
    <w:pPr>
      <w:tabs>
        <w:tab w:val="right" w:pos="9360"/>
      </w:tabs>
      <w:suppressAutoHyphens/>
    </w:pPr>
  </w:style>
  <w:style w:type="character" w:customStyle="1" w:styleId="EquationCaption">
    <w:name w:val="_Equation Caption"/>
    <w:rsid w:val="0001639C"/>
  </w:style>
  <w:style w:type="paragraph" w:styleId="Header">
    <w:name w:val="header"/>
    <w:basedOn w:val="Normal"/>
    <w:autoRedefine/>
    <w:rsid w:val="0001639C"/>
    <w:pPr>
      <w:tabs>
        <w:tab w:val="center" w:pos="4680"/>
        <w:tab w:val="right" w:pos="9360"/>
      </w:tabs>
    </w:pPr>
    <w:rPr>
      <w:b/>
    </w:rPr>
  </w:style>
  <w:style w:type="paragraph" w:styleId="Footer">
    <w:name w:val="footer"/>
    <w:basedOn w:val="Normal"/>
    <w:link w:val="FooterChar"/>
    <w:rsid w:val="0001639C"/>
    <w:pPr>
      <w:tabs>
        <w:tab w:val="center" w:pos="4320"/>
        <w:tab w:val="right" w:pos="8640"/>
      </w:tabs>
    </w:pPr>
  </w:style>
  <w:style w:type="character" w:styleId="PageNumber">
    <w:name w:val="page number"/>
    <w:basedOn w:val="DefaultParagraphFont"/>
    <w:rsid w:val="0001639C"/>
  </w:style>
  <w:style w:type="paragraph" w:styleId="BlockText">
    <w:name w:val="Block Text"/>
    <w:basedOn w:val="Normal"/>
    <w:rsid w:val="0001639C"/>
    <w:pPr>
      <w:spacing w:after="240"/>
      <w:ind w:left="1440" w:right="1440"/>
    </w:pPr>
  </w:style>
  <w:style w:type="paragraph" w:customStyle="1" w:styleId="Paratitle">
    <w:name w:val="Para title"/>
    <w:basedOn w:val="Normal"/>
    <w:rsid w:val="0001639C"/>
    <w:pPr>
      <w:tabs>
        <w:tab w:val="center" w:pos="9270"/>
      </w:tabs>
      <w:spacing w:after="240"/>
    </w:pPr>
    <w:rPr>
      <w:spacing w:val="-2"/>
    </w:rPr>
  </w:style>
  <w:style w:type="paragraph" w:customStyle="1" w:styleId="Bullet">
    <w:name w:val="Bullet"/>
    <w:basedOn w:val="Normal"/>
    <w:rsid w:val="0001639C"/>
    <w:pPr>
      <w:tabs>
        <w:tab w:val="left" w:pos="2160"/>
      </w:tabs>
      <w:spacing w:after="220"/>
      <w:ind w:left="2160" w:hanging="720"/>
    </w:pPr>
  </w:style>
  <w:style w:type="paragraph" w:customStyle="1" w:styleId="TableFormat">
    <w:name w:val="TableFormat"/>
    <w:basedOn w:val="Bullet"/>
    <w:rsid w:val="0001639C"/>
    <w:pPr>
      <w:tabs>
        <w:tab w:val="clear" w:pos="2160"/>
        <w:tab w:val="left" w:pos="5040"/>
      </w:tabs>
      <w:ind w:left="5040" w:hanging="3600"/>
    </w:pPr>
  </w:style>
  <w:style w:type="paragraph" w:customStyle="1" w:styleId="TOCTitle">
    <w:name w:val="TOC Title"/>
    <w:basedOn w:val="Normal"/>
    <w:rsid w:val="0001639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1639C"/>
    <w:pPr>
      <w:jc w:val="center"/>
    </w:pPr>
    <w:rPr>
      <w:rFonts w:ascii="Times New Roman Bold" w:hAnsi="Times New Roman Bold"/>
      <w:b/>
      <w:bCs/>
      <w:caps/>
      <w:szCs w:val="22"/>
    </w:rPr>
  </w:style>
  <w:style w:type="character" w:styleId="Hyperlink">
    <w:name w:val="Hyperlink"/>
    <w:rsid w:val="0001639C"/>
    <w:rPr>
      <w:color w:val="0000FF"/>
      <w:u w:val="single"/>
    </w:rPr>
  </w:style>
  <w:style w:type="character" w:customStyle="1" w:styleId="FootnoteCharacters">
    <w:name w:val="Footnote Characters"/>
    <w:rsid w:val="00004176"/>
    <w:rPr>
      <w:vertAlign w:val="superscript"/>
    </w:rPr>
  </w:style>
  <w:style w:type="character" w:customStyle="1" w:styleId="FootnoteTextChar">
    <w:name w:val="Footnote Text Char"/>
    <w:aliases w:val="Footnote Text Char2 Char2 Char,Footnote Text Char Char1 Char Char,Footnote Text Char2 Char2 Char Char Char,Footnote Text Char Char1 Char Char Char Char,Footnote Text Char1 Char1 Char Char Char Char Char,fn Char,fn Char1 Char"/>
    <w:link w:val="FootnoteText"/>
    <w:rsid w:val="00004176"/>
  </w:style>
  <w:style w:type="character" w:customStyle="1" w:styleId="Heading1Char">
    <w:name w:val="Heading 1 Char"/>
    <w:basedOn w:val="DefaultParagraphFont"/>
    <w:link w:val="Heading1"/>
    <w:rsid w:val="00101344"/>
    <w:rPr>
      <w:rFonts w:ascii="Times New Roman Bold" w:hAnsi="Times New Roman Bold"/>
      <w:b/>
      <w:caps/>
      <w:snapToGrid w:val="0"/>
      <w:kern w:val="28"/>
      <w:sz w:val="22"/>
    </w:rPr>
  </w:style>
  <w:style w:type="paragraph" w:customStyle="1" w:styleId="ParaNumCharChar1">
    <w:name w:val="ParaNum Char Char1"/>
    <w:basedOn w:val="Normal"/>
    <w:autoRedefine/>
    <w:rsid w:val="00CE5FF6"/>
    <w:pPr>
      <w:widowControl/>
      <w:numPr>
        <w:numId w:val="7"/>
      </w:numPr>
      <w:tabs>
        <w:tab w:val="left" w:pos="1080"/>
      </w:tabs>
      <w:spacing w:after="240"/>
    </w:pPr>
    <w:rPr>
      <w:szCs w:val="22"/>
    </w:rPr>
  </w:style>
  <w:style w:type="character" w:customStyle="1" w:styleId="ParaNumChar">
    <w:name w:val="ParaNum Char"/>
    <w:link w:val="ParaNum"/>
    <w:locked/>
    <w:rsid w:val="00B6039F"/>
    <w:rPr>
      <w:snapToGrid w:val="0"/>
      <w:kern w:val="28"/>
      <w:sz w:val="22"/>
    </w:rPr>
  </w:style>
  <w:style w:type="character" w:customStyle="1" w:styleId="Heading2Char">
    <w:name w:val="Heading 2 Char"/>
    <w:basedOn w:val="DefaultParagraphFont"/>
    <w:link w:val="Heading2"/>
    <w:rsid w:val="00B6039F"/>
    <w:rPr>
      <w:b/>
      <w:snapToGrid w:val="0"/>
      <w:kern w:val="28"/>
      <w:sz w:val="22"/>
    </w:rPr>
  </w:style>
  <w:style w:type="paragraph" w:styleId="BalloonText">
    <w:name w:val="Balloon Text"/>
    <w:basedOn w:val="Normal"/>
    <w:link w:val="BalloonTextChar"/>
    <w:rsid w:val="007446D7"/>
    <w:rPr>
      <w:rFonts w:ascii="Tahoma" w:hAnsi="Tahoma" w:cs="Tahoma"/>
      <w:sz w:val="16"/>
      <w:szCs w:val="16"/>
    </w:rPr>
  </w:style>
  <w:style w:type="character" w:customStyle="1" w:styleId="BalloonTextChar">
    <w:name w:val="Balloon Text Char"/>
    <w:basedOn w:val="DefaultParagraphFont"/>
    <w:link w:val="BalloonText"/>
    <w:rsid w:val="007446D7"/>
    <w:rPr>
      <w:rFonts w:ascii="Tahoma" w:hAnsi="Tahoma" w:cs="Tahoma"/>
      <w:snapToGrid w:val="0"/>
      <w:kern w:val="28"/>
      <w:sz w:val="16"/>
      <w:szCs w:val="16"/>
    </w:rPr>
  </w:style>
  <w:style w:type="character" w:styleId="CommentReference">
    <w:name w:val="annotation reference"/>
    <w:basedOn w:val="DefaultParagraphFont"/>
    <w:uiPriority w:val="99"/>
    <w:semiHidden/>
    <w:unhideWhenUsed/>
    <w:rsid w:val="000B6AFD"/>
    <w:rPr>
      <w:sz w:val="16"/>
      <w:szCs w:val="16"/>
    </w:rPr>
  </w:style>
  <w:style w:type="paragraph" w:styleId="CommentText">
    <w:name w:val="annotation text"/>
    <w:basedOn w:val="Normal"/>
    <w:link w:val="CommentTextChar"/>
    <w:semiHidden/>
    <w:unhideWhenUsed/>
    <w:rsid w:val="000B6AFD"/>
    <w:rPr>
      <w:sz w:val="20"/>
    </w:rPr>
  </w:style>
  <w:style w:type="character" w:customStyle="1" w:styleId="CommentTextChar">
    <w:name w:val="Comment Text Char"/>
    <w:basedOn w:val="DefaultParagraphFont"/>
    <w:link w:val="CommentText"/>
    <w:semiHidden/>
    <w:rsid w:val="000B6AFD"/>
    <w:rPr>
      <w:snapToGrid w:val="0"/>
      <w:kern w:val="28"/>
    </w:rPr>
  </w:style>
  <w:style w:type="paragraph" w:styleId="CommentSubject">
    <w:name w:val="annotation subject"/>
    <w:basedOn w:val="CommentText"/>
    <w:next w:val="CommentText"/>
    <w:link w:val="CommentSubjectChar"/>
    <w:semiHidden/>
    <w:unhideWhenUsed/>
    <w:rsid w:val="000B6AFD"/>
    <w:rPr>
      <w:b/>
      <w:bCs/>
    </w:rPr>
  </w:style>
  <w:style w:type="character" w:customStyle="1" w:styleId="CommentSubjectChar">
    <w:name w:val="Comment Subject Char"/>
    <w:basedOn w:val="CommentTextChar"/>
    <w:link w:val="CommentSubject"/>
    <w:semiHidden/>
    <w:rsid w:val="000B6AFD"/>
    <w:rPr>
      <w:b/>
      <w:bCs/>
      <w:snapToGrid w:val="0"/>
      <w:kern w:val="28"/>
    </w:rPr>
  </w:style>
  <w:style w:type="paragraph" w:styleId="Revision">
    <w:name w:val="Revision"/>
    <w:hidden/>
    <w:uiPriority w:val="99"/>
    <w:semiHidden/>
    <w:rsid w:val="00400A0A"/>
    <w:rPr>
      <w:snapToGrid w:val="0"/>
      <w:kern w:val="28"/>
      <w:sz w:val="22"/>
    </w:rPr>
  </w:style>
  <w:style w:type="character" w:customStyle="1" w:styleId="FootnoteTextChar2">
    <w:name w:val="Footnote Text Char2"/>
    <w:aliases w:val="Footnote Text Char1 Char1,Footnote Text Char Char Char,Footnote Text Char1 Char Char Char,Footnote Text Char Char Char Char Char,Footnote Text Char3 Char Char Char Char Char,Footnote Text Char2 Char Char Char Char Char Char"/>
    <w:semiHidden/>
    <w:rsid w:val="00FD65B2"/>
  </w:style>
  <w:style w:type="character" w:customStyle="1" w:styleId="documentbody1">
    <w:name w:val="documentbody1"/>
    <w:rsid w:val="00FD65B2"/>
    <w:rPr>
      <w:rFonts w:ascii="Verdana" w:hAnsi="Verdana" w:hint="default"/>
      <w:sz w:val="19"/>
      <w:szCs w:val="19"/>
    </w:rPr>
  </w:style>
  <w:style w:type="character" w:styleId="FollowedHyperlink">
    <w:name w:val="FollowedHyperlink"/>
    <w:basedOn w:val="DefaultParagraphFont"/>
    <w:semiHidden/>
    <w:unhideWhenUsed/>
    <w:rsid w:val="006734CF"/>
    <w:rPr>
      <w:color w:val="800080" w:themeColor="followedHyperlink"/>
      <w:u w:val="single"/>
    </w:rPr>
  </w:style>
  <w:style w:type="character" w:customStyle="1" w:styleId="apple-converted-space">
    <w:name w:val="apple-converted-space"/>
    <w:basedOn w:val="DefaultParagraphFont"/>
    <w:rsid w:val="000B0A67"/>
  </w:style>
  <w:style w:type="character" w:customStyle="1" w:styleId="starpage">
    <w:name w:val="starpage"/>
    <w:basedOn w:val="DefaultParagraphFont"/>
    <w:rsid w:val="000B0A67"/>
  </w:style>
  <w:style w:type="character" w:customStyle="1" w:styleId="searchterm">
    <w:name w:val="searchterm"/>
    <w:basedOn w:val="DefaultParagraphFont"/>
    <w:rsid w:val="000B0A67"/>
  </w:style>
  <w:style w:type="character" w:customStyle="1" w:styleId="FooterChar">
    <w:name w:val="Footer Char"/>
    <w:basedOn w:val="DefaultParagraphFont"/>
    <w:link w:val="Footer"/>
    <w:rsid w:val="0098666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9C"/>
    <w:pPr>
      <w:widowControl w:val="0"/>
    </w:pPr>
    <w:rPr>
      <w:snapToGrid w:val="0"/>
      <w:kern w:val="28"/>
      <w:sz w:val="22"/>
    </w:rPr>
  </w:style>
  <w:style w:type="paragraph" w:styleId="Heading1">
    <w:name w:val="heading 1"/>
    <w:basedOn w:val="Normal"/>
    <w:next w:val="ParaNum"/>
    <w:link w:val="Heading1Char"/>
    <w:qFormat/>
    <w:rsid w:val="0001639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1639C"/>
    <w:pPr>
      <w:keepNext/>
      <w:numPr>
        <w:ilvl w:val="1"/>
        <w:numId w:val="3"/>
      </w:numPr>
      <w:spacing w:after="120"/>
      <w:outlineLvl w:val="1"/>
    </w:pPr>
    <w:rPr>
      <w:b/>
    </w:rPr>
  </w:style>
  <w:style w:type="paragraph" w:styleId="Heading3">
    <w:name w:val="heading 3"/>
    <w:basedOn w:val="Normal"/>
    <w:next w:val="ParaNum"/>
    <w:qFormat/>
    <w:rsid w:val="0001639C"/>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01639C"/>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01639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1639C"/>
    <w:pPr>
      <w:numPr>
        <w:ilvl w:val="5"/>
        <w:numId w:val="3"/>
      </w:numPr>
      <w:tabs>
        <w:tab w:val="left" w:pos="4320"/>
      </w:tabs>
      <w:spacing w:after="120"/>
      <w:outlineLvl w:val="5"/>
    </w:pPr>
    <w:rPr>
      <w:b/>
    </w:rPr>
  </w:style>
  <w:style w:type="paragraph" w:styleId="Heading7">
    <w:name w:val="heading 7"/>
    <w:basedOn w:val="Normal"/>
    <w:next w:val="ParaNum"/>
    <w:qFormat/>
    <w:rsid w:val="0001639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1639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1639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163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639C"/>
  </w:style>
  <w:style w:type="paragraph" w:customStyle="1" w:styleId="ParaNum">
    <w:name w:val="ParaNum"/>
    <w:basedOn w:val="Normal"/>
    <w:link w:val="ParaNumChar"/>
    <w:rsid w:val="0001639C"/>
    <w:pPr>
      <w:numPr>
        <w:numId w:val="2"/>
      </w:numPr>
      <w:tabs>
        <w:tab w:val="clear" w:pos="1080"/>
        <w:tab w:val="num" w:pos="1440"/>
      </w:tabs>
      <w:spacing w:after="120"/>
    </w:pPr>
  </w:style>
  <w:style w:type="paragraph" w:styleId="EndnoteText">
    <w:name w:val="endnote text"/>
    <w:basedOn w:val="Normal"/>
    <w:semiHidden/>
    <w:rsid w:val="0001639C"/>
    <w:rPr>
      <w:sz w:val="20"/>
    </w:rPr>
  </w:style>
  <w:style w:type="character" w:styleId="EndnoteReference">
    <w:name w:val="endnote reference"/>
    <w:semiHidden/>
    <w:rsid w:val="0001639C"/>
    <w:rPr>
      <w:vertAlign w:val="superscript"/>
    </w:rPr>
  </w:style>
  <w:style w:type="paragraph" w:styleId="FootnoteText">
    <w:name w:val="footnote text"/>
    <w:aliases w:val="Footnote Text Char2 Char2,Footnote Text Char Char1 Char,Footnote Text Char2 Char2 Char Char,Footnote Text Char Char1 Char Char Char,Footnote Text Char1 Char1 Char Char Char Char,Footnote Text Char2 Char Char,fn,fn Char1,Footnote Text Char1"/>
    <w:link w:val="FootnoteTextChar"/>
    <w:rsid w:val="0001639C"/>
    <w:pPr>
      <w:spacing w:after="120"/>
    </w:pPr>
  </w:style>
  <w:style w:type="character" w:styleId="FootnoteReference">
    <w:name w:val="footnote reference"/>
    <w:aliases w:val="Style 12,(NECG) Footnote Reference,Style 13,Appel note de bas de p,Style 124,fr,o,Style 3,FR,Style 17,Style 6,Footnote Reference/,Style 7"/>
    <w:rsid w:val="0001639C"/>
    <w:rPr>
      <w:rFonts w:ascii="Times New Roman" w:hAnsi="Times New Roman"/>
      <w:dstrike w:val="0"/>
      <w:color w:val="auto"/>
      <w:sz w:val="20"/>
      <w:vertAlign w:val="superscript"/>
    </w:rPr>
  </w:style>
  <w:style w:type="paragraph" w:styleId="TOC1">
    <w:name w:val="toc 1"/>
    <w:basedOn w:val="Normal"/>
    <w:next w:val="Normal"/>
    <w:semiHidden/>
    <w:rsid w:val="0001639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1639C"/>
    <w:pPr>
      <w:tabs>
        <w:tab w:val="left" w:pos="720"/>
        <w:tab w:val="right" w:leader="dot" w:pos="9360"/>
      </w:tabs>
      <w:suppressAutoHyphens/>
      <w:ind w:left="720" w:right="720" w:hanging="360"/>
    </w:pPr>
    <w:rPr>
      <w:noProof/>
    </w:rPr>
  </w:style>
  <w:style w:type="paragraph" w:styleId="TOC3">
    <w:name w:val="toc 3"/>
    <w:basedOn w:val="Normal"/>
    <w:next w:val="Normal"/>
    <w:semiHidden/>
    <w:rsid w:val="0001639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1639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1639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1639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1639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1639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1639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1639C"/>
    <w:pPr>
      <w:tabs>
        <w:tab w:val="right" w:pos="9360"/>
      </w:tabs>
      <w:suppressAutoHyphens/>
    </w:pPr>
  </w:style>
  <w:style w:type="character" w:customStyle="1" w:styleId="EquationCaption">
    <w:name w:val="_Equation Caption"/>
    <w:rsid w:val="0001639C"/>
  </w:style>
  <w:style w:type="paragraph" w:styleId="Header">
    <w:name w:val="header"/>
    <w:basedOn w:val="Normal"/>
    <w:autoRedefine/>
    <w:rsid w:val="0001639C"/>
    <w:pPr>
      <w:tabs>
        <w:tab w:val="center" w:pos="4680"/>
        <w:tab w:val="right" w:pos="9360"/>
      </w:tabs>
    </w:pPr>
    <w:rPr>
      <w:b/>
    </w:rPr>
  </w:style>
  <w:style w:type="paragraph" w:styleId="Footer">
    <w:name w:val="footer"/>
    <w:basedOn w:val="Normal"/>
    <w:link w:val="FooterChar"/>
    <w:rsid w:val="0001639C"/>
    <w:pPr>
      <w:tabs>
        <w:tab w:val="center" w:pos="4320"/>
        <w:tab w:val="right" w:pos="8640"/>
      </w:tabs>
    </w:pPr>
  </w:style>
  <w:style w:type="character" w:styleId="PageNumber">
    <w:name w:val="page number"/>
    <w:basedOn w:val="DefaultParagraphFont"/>
    <w:rsid w:val="0001639C"/>
  </w:style>
  <w:style w:type="paragraph" w:styleId="BlockText">
    <w:name w:val="Block Text"/>
    <w:basedOn w:val="Normal"/>
    <w:rsid w:val="0001639C"/>
    <w:pPr>
      <w:spacing w:after="240"/>
      <w:ind w:left="1440" w:right="1440"/>
    </w:pPr>
  </w:style>
  <w:style w:type="paragraph" w:customStyle="1" w:styleId="Paratitle">
    <w:name w:val="Para title"/>
    <w:basedOn w:val="Normal"/>
    <w:rsid w:val="0001639C"/>
    <w:pPr>
      <w:tabs>
        <w:tab w:val="center" w:pos="9270"/>
      </w:tabs>
      <w:spacing w:after="240"/>
    </w:pPr>
    <w:rPr>
      <w:spacing w:val="-2"/>
    </w:rPr>
  </w:style>
  <w:style w:type="paragraph" w:customStyle="1" w:styleId="Bullet">
    <w:name w:val="Bullet"/>
    <w:basedOn w:val="Normal"/>
    <w:rsid w:val="0001639C"/>
    <w:pPr>
      <w:tabs>
        <w:tab w:val="left" w:pos="2160"/>
      </w:tabs>
      <w:spacing w:after="220"/>
      <w:ind w:left="2160" w:hanging="720"/>
    </w:pPr>
  </w:style>
  <w:style w:type="paragraph" w:customStyle="1" w:styleId="TableFormat">
    <w:name w:val="TableFormat"/>
    <w:basedOn w:val="Bullet"/>
    <w:rsid w:val="0001639C"/>
    <w:pPr>
      <w:tabs>
        <w:tab w:val="clear" w:pos="2160"/>
        <w:tab w:val="left" w:pos="5040"/>
      </w:tabs>
      <w:ind w:left="5040" w:hanging="3600"/>
    </w:pPr>
  </w:style>
  <w:style w:type="paragraph" w:customStyle="1" w:styleId="TOCTitle">
    <w:name w:val="TOC Title"/>
    <w:basedOn w:val="Normal"/>
    <w:rsid w:val="0001639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1639C"/>
    <w:pPr>
      <w:jc w:val="center"/>
    </w:pPr>
    <w:rPr>
      <w:rFonts w:ascii="Times New Roman Bold" w:hAnsi="Times New Roman Bold"/>
      <w:b/>
      <w:bCs/>
      <w:caps/>
      <w:szCs w:val="22"/>
    </w:rPr>
  </w:style>
  <w:style w:type="character" w:styleId="Hyperlink">
    <w:name w:val="Hyperlink"/>
    <w:rsid w:val="0001639C"/>
    <w:rPr>
      <w:color w:val="0000FF"/>
      <w:u w:val="single"/>
    </w:rPr>
  </w:style>
  <w:style w:type="character" w:customStyle="1" w:styleId="FootnoteCharacters">
    <w:name w:val="Footnote Characters"/>
    <w:rsid w:val="00004176"/>
    <w:rPr>
      <w:vertAlign w:val="superscript"/>
    </w:rPr>
  </w:style>
  <w:style w:type="character" w:customStyle="1" w:styleId="FootnoteTextChar">
    <w:name w:val="Footnote Text Char"/>
    <w:aliases w:val="Footnote Text Char2 Char2 Char,Footnote Text Char Char1 Char Char,Footnote Text Char2 Char2 Char Char Char,Footnote Text Char Char1 Char Char Char Char,Footnote Text Char1 Char1 Char Char Char Char Char,fn Char,fn Char1 Char"/>
    <w:link w:val="FootnoteText"/>
    <w:rsid w:val="00004176"/>
  </w:style>
  <w:style w:type="character" w:customStyle="1" w:styleId="Heading1Char">
    <w:name w:val="Heading 1 Char"/>
    <w:basedOn w:val="DefaultParagraphFont"/>
    <w:link w:val="Heading1"/>
    <w:rsid w:val="00101344"/>
    <w:rPr>
      <w:rFonts w:ascii="Times New Roman Bold" w:hAnsi="Times New Roman Bold"/>
      <w:b/>
      <w:caps/>
      <w:snapToGrid w:val="0"/>
      <w:kern w:val="28"/>
      <w:sz w:val="22"/>
    </w:rPr>
  </w:style>
  <w:style w:type="paragraph" w:customStyle="1" w:styleId="ParaNumCharChar1">
    <w:name w:val="ParaNum Char Char1"/>
    <w:basedOn w:val="Normal"/>
    <w:autoRedefine/>
    <w:rsid w:val="00CE5FF6"/>
    <w:pPr>
      <w:widowControl/>
      <w:numPr>
        <w:numId w:val="7"/>
      </w:numPr>
      <w:tabs>
        <w:tab w:val="left" w:pos="1080"/>
      </w:tabs>
      <w:spacing w:after="240"/>
    </w:pPr>
    <w:rPr>
      <w:szCs w:val="22"/>
    </w:rPr>
  </w:style>
  <w:style w:type="character" w:customStyle="1" w:styleId="ParaNumChar">
    <w:name w:val="ParaNum Char"/>
    <w:link w:val="ParaNum"/>
    <w:locked/>
    <w:rsid w:val="00B6039F"/>
    <w:rPr>
      <w:snapToGrid w:val="0"/>
      <w:kern w:val="28"/>
      <w:sz w:val="22"/>
    </w:rPr>
  </w:style>
  <w:style w:type="character" w:customStyle="1" w:styleId="Heading2Char">
    <w:name w:val="Heading 2 Char"/>
    <w:basedOn w:val="DefaultParagraphFont"/>
    <w:link w:val="Heading2"/>
    <w:rsid w:val="00B6039F"/>
    <w:rPr>
      <w:b/>
      <w:snapToGrid w:val="0"/>
      <w:kern w:val="28"/>
      <w:sz w:val="22"/>
    </w:rPr>
  </w:style>
  <w:style w:type="paragraph" w:styleId="BalloonText">
    <w:name w:val="Balloon Text"/>
    <w:basedOn w:val="Normal"/>
    <w:link w:val="BalloonTextChar"/>
    <w:rsid w:val="007446D7"/>
    <w:rPr>
      <w:rFonts w:ascii="Tahoma" w:hAnsi="Tahoma" w:cs="Tahoma"/>
      <w:sz w:val="16"/>
      <w:szCs w:val="16"/>
    </w:rPr>
  </w:style>
  <w:style w:type="character" w:customStyle="1" w:styleId="BalloonTextChar">
    <w:name w:val="Balloon Text Char"/>
    <w:basedOn w:val="DefaultParagraphFont"/>
    <w:link w:val="BalloonText"/>
    <w:rsid w:val="007446D7"/>
    <w:rPr>
      <w:rFonts w:ascii="Tahoma" w:hAnsi="Tahoma" w:cs="Tahoma"/>
      <w:snapToGrid w:val="0"/>
      <w:kern w:val="28"/>
      <w:sz w:val="16"/>
      <w:szCs w:val="16"/>
    </w:rPr>
  </w:style>
  <w:style w:type="character" w:styleId="CommentReference">
    <w:name w:val="annotation reference"/>
    <w:basedOn w:val="DefaultParagraphFont"/>
    <w:uiPriority w:val="99"/>
    <w:semiHidden/>
    <w:unhideWhenUsed/>
    <w:rsid w:val="000B6AFD"/>
    <w:rPr>
      <w:sz w:val="16"/>
      <w:szCs w:val="16"/>
    </w:rPr>
  </w:style>
  <w:style w:type="paragraph" w:styleId="CommentText">
    <w:name w:val="annotation text"/>
    <w:basedOn w:val="Normal"/>
    <w:link w:val="CommentTextChar"/>
    <w:semiHidden/>
    <w:unhideWhenUsed/>
    <w:rsid w:val="000B6AFD"/>
    <w:rPr>
      <w:sz w:val="20"/>
    </w:rPr>
  </w:style>
  <w:style w:type="character" w:customStyle="1" w:styleId="CommentTextChar">
    <w:name w:val="Comment Text Char"/>
    <w:basedOn w:val="DefaultParagraphFont"/>
    <w:link w:val="CommentText"/>
    <w:semiHidden/>
    <w:rsid w:val="000B6AFD"/>
    <w:rPr>
      <w:snapToGrid w:val="0"/>
      <w:kern w:val="28"/>
    </w:rPr>
  </w:style>
  <w:style w:type="paragraph" w:styleId="CommentSubject">
    <w:name w:val="annotation subject"/>
    <w:basedOn w:val="CommentText"/>
    <w:next w:val="CommentText"/>
    <w:link w:val="CommentSubjectChar"/>
    <w:semiHidden/>
    <w:unhideWhenUsed/>
    <w:rsid w:val="000B6AFD"/>
    <w:rPr>
      <w:b/>
      <w:bCs/>
    </w:rPr>
  </w:style>
  <w:style w:type="character" w:customStyle="1" w:styleId="CommentSubjectChar">
    <w:name w:val="Comment Subject Char"/>
    <w:basedOn w:val="CommentTextChar"/>
    <w:link w:val="CommentSubject"/>
    <w:semiHidden/>
    <w:rsid w:val="000B6AFD"/>
    <w:rPr>
      <w:b/>
      <w:bCs/>
      <w:snapToGrid w:val="0"/>
      <w:kern w:val="28"/>
    </w:rPr>
  </w:style>
  <w:style w:type="paragraph" w:styleId="Revision">
    <w:name w:val="Revision"/>
    <w:hidden/>
    <w:uiPriority w:val="99"/>
    <w:semiHidden/>
    <w:rsid w:val="00400A0A"/>
    <w:rPr>
      <w:snapToGrid w:val="0"/>
      <w:kern w:val="28"/>
      <w:sz w:val="22"/>
    </w:rPr>
  </w:style>
  <w:style w:type="character" w:customStyle="1" w:styleId="FootnoteTextChar2">
    <w:name w:val="Footnote Text Char2"/>
    <w:aliases w:val="Footnote Text Char1 Char1,Footnote Text Char Char Char,Footnote Text Char1 Char Char Char,Footnote Text Char Char Char Char Char,Footnote Text Char3 Char Char Char Char Char,Footnote Text Char2 Char Char Char Char Char Char"/>
    <w:semiHidden/>
    <w:rsid w:val="00FD65B2"/>
  </w:style>
  <w:style w:type="character" w:customStyle="1" w:styleId="documentbody1">
    <w:name w:val="documentbody1"/>
    <w:rsid w:val="00FD65B2"/>
    <w:rPr>
      <w:rFonts w:ascii="Verdana" w:hAnsi="Verdana" w:hint="default"/>
      <w:sz w:val="19"/>
      <w:szCs w:val="19"/>
    </w:rPr>
  </w:style>
  <w:style w:type="character" w:styleId="FollowedHyperlink">
    <w:name w:val="FollowedHyperlink"/>
    <w:basedOn w:val="DefaultParagraphFont"/>
    <w:semiHidden/>
    <w:unhideWhenUsed/>
    <w:rsid w:val="006734CF"/>
    <w:rPr>
      <w:color w:val="800080" w:themeColor="followedHyperlink"/>
      <w:u w:val="single"/>
    </w:rPr>
  </w:style>
  <w:style w:type="character" w:customStyle="1" w:styleId="apple-converted-space">
    <w:name w:val="apple-converted-space"/>
    <w:basedOn w:val="DefaultParagraphFont"/>
    <w:rsid w:val="000B0A67"/>
  </w:style>
  <w:style w:type="character" w:customStyle="1" w:styleId="starpage">
    <w:name w:val="starpage"/>
    <w:basedOn w:val="DefaultParagraphFont"/>
    <w:rsid w:val="000B0A67"/>
  </w:style>
  <w:style w:type="character" w:customStyle="1" w:styleId="searchterm">
    <w:name w:val="searchterm"/>
    <w:basedOn w:val="DefaultParagraphFont"/>
    <w:rsid w:val="000B0A67"/>
  </w:style>
  <w:style w:type="character" w:customStyle="1" w:styleId="FooterChar">
    <w:name w:val="Footer Char"/>
    <w:basedOn w:val="DefaultParagraphFont"/>
    <w:link w:val="Footer"/>
    <w:rsid w:val="0098666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30416">
      <w:bodyDiv w:val="1"/>
      <w:marLeft w:val="0"/>
      <w:marRight w:val="0"/>
      <w:marTop w:val="0"/>
      <w:marBottom w:val="0"/>
      <w:divBdr>
        <w:top w:val="none" w:sz="0" w:space="0" w:color="auto"/>
        <w:left w:val="none" w:sz="0" w:space="0" w:color="auto"/>
        <w:bottom w:val="none" w:sz="0" w:space="0" w:color="auto"/>
        <w:right w:val="none" w:sz="0" w:space="0" w:color="auto"/>
      </w:divBdr>
    </w:div>
    <w:div w:id="589697153">
      <w:bodyDiv w:val="1"/>
      <w:marLeft w:val="0"/>
      <w:marRight w:val="0"/>
      <w:marTop w:val="0"/>
      <w:marBottom w:val="0"/>
      <w:divBdr>
        <w:top w:val="none" w:sz="0" w:space="0" w:color="auto"/>
        <w:left w:val="none" w:sz="0" w:space="0" w:color="auto"/>
        <w:bottom w:val="none" w:sz="0" w:space="0" w:color="auto"/>
        <w:right w:val="none" w:sz="0" w:space="0" w:color="auto"/>
      </w:divBdr>
    </w:div>
    <w:div w:id="948581433">
      <w:bodyDiv w:val="1"/>
      <w:marLeft w:val="0"/>
      <w:marRight w:val="0"/>
      <w:marTop w:val="0"/>
      <w:marBottom w:val="0"/>
      <w:divBdr>
        <w:top w:val="none" w:sz="0" w:space="0" w:color="auto"/>
        <w:left w:val="none" w:sz="0" w:space="0" w:color="auto"/>
        <w:bottom w:val="none" w:sz="0" w:space="0" w:color="auto"/>
        <w:right w:val="none" w:sz="0" w:space="0" w:color="auto"/>
      </w:divBdr>
    </w:div>
    <w:div w:id="1151215959">
      <w:bodyDiv w:val="1"/>
      <w:marLeft w:val="0"/>
      <w:marRight w:val="0"/>
      <w:marTop w:val="0"/>
      <w:marBottom w:val="0"/>
      <w:divBdr>
        <w:top w:val="none" w:sz="0" w:space="0" w:color="auto"/>
        <w:left w:val="none" w:sz="0" w:space="0" w:color="auto"/>
        <w:bottom w:val="none" w:sz="0" w:space="0" w:color="auto"/>
        <w:right w:val="none" w:sz="0" w:space="0" w:color="auto"/>
      </w:divBdr>
    </w:div>
    <w:div w:id="1655797361">
      <w:bodyDiv w:val="1"/>
      <w:marLeft w:val="0"/>
      <w:marRight w:val="0"/>
      <w:marTop w:val="0"/>
      <w:marBottom w:val="0"/>
      <w:divBdr>
        <w:top w:val="none" w:sz="0" w:space="0" w:color="auto"/>
        <w:left w:val="none" w:sz="0" w:space="0" w:color="auto"/>
        <w:bottom w:val="none" w:sz="0" w:space="0" w:color="auto"/>
        <w:right w:val="none" w:sz="0" w:space="0" w:color="auto"/>
      </w:divBdr>
    </w:div>
    <w:div w:id="1790203643">
      <w:bodyDiv w:val="1"/>
      <w:marLeft w:val="0"/>
      <w:marRight w:val="0"/>
      <w:marTop w:val="0"/>
      <w:marBottom w:val="0"/>
      <w:divBdr>
        <w:top w:val="none" w:sz="0" w:space="0" w:color="auto"/>
        <w:left w:val="none" w:sz="0" w:space="0" w:color="auto"/>
        <w:bottom w:val="none" w:sz="0" w:space="0" w:color="auto"/>
        <w:right w:val="none" w:sz="0" w:space="0" w:color="auto"/>
      </w:divBdr>
    </w:div>
    <w:div w:id="1858233622">
      <w:bodyDiv w:val="1"/>
      <w:marLeft w:val="0"/>
      <w:marRight w:val="0"/>
      <w:marTop w:val="0"/>
      <w:marBottom w:val="0"/>
      <w:divBdr>
        <w:top w:val="none" w:sz="0" w:space="0" w:color="auto"/>
        <w:left w:val="none" w:sz="0" w:space="0" w:color="auto"/>
        <w:bottom w:val="none" w:sz="0" w:space="0" w:color="auto"/>
        <w:right w:val="none" w:sz="0" w:space="0" w:color="auto"/>
      </w:divBdr>
    </w:div>
    <w:div w:id="1900244531">
      <w:bodyDiv w:val="1"/>
      <w:marLeft w:val="0"/>
      <w:marRight w:val="0"/>
      <w:marTop w:val="0"/>
      <w:marBottom w:val="0"/>
      <w:divBdr>
        <w:top w:val="none" w:sz="0" w:space="0" w:color="auto"/>
        <w:left w:val="none" w:sz="0" w:space="0" w:color="auto"/>
        <w:bottom w:val="none" w:sz="0" w:space="0" w:color="auto"/>
        <w:right w:val="none" w:sz="0" w:space="0" w:color="auto"/>
      </w:divBdr>
    </w:div>
    <w:div w:id="19779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mt=12&amp;db=1000546&amp;docname=47USCAS39&amp;rp=%2ffind%2fdefault.wl&amp;findtype=L&amp;ordoc=2024825935&amp;tc=-1&amp;vr=2.0&amp;fn=_top&amp;sv=Split&amp;tf=-1&amp;pbc=D588CDDC&amp;rs=WLW14.07" TargetMode="External"/><Relationship Id="rId7" Type="http://schemas.openxmlformats.org/officeDocument/2006/relationships/hyperlink" Target="http://web2.westlaw.com/find/default.wl?mt=12&amp;db=4493&amp;tc=-1&amp;rp=%2ffind%2fdefault.wl&amp;findtype=Y&amp;ordoc=2009614061&amp;serialnum=1991224073&amp;vr=2.0&amp;fn=_top&amp;sv=Split&amp;tf=-1&amp;pbc=F6C4A7F5&amp;rs=WLW14.07" TargetMode="External"/><Relationship Id="rId2" Type="http://schemas.openxmlformats.org/officeDocument/2006/relationships/hyperlink" Target="http://web2.westlaw.com/find/default.wl?mt=12&amp;db=1000546&amp;docname=47USCAS34&amp;rp=%2ffind%2fdefault.wl&amp;findtype=L&amp;ordoc=2024825935&amp;tc=-1&amp;vr=2.0&amp;fn=_top&amp;sv=Split&amp;tf=-1&amp;pbc=D588CDDC&amp;rs=WLW14.07" TargetMode="External"/><Relationship Id="rId1" Type="http://schemas.openxmlformats.org/officeDocument/2006/relationships/hyperlink" Target="http://www.ftc.gov/enforcement/premerger-notification-program/early-termination-notices/20141222" TargetMode="External"/><Relationship Id="rId6" Type="http://schemas.openxmlformats.org/officeDocument/2006/relationships/hyperlink" Target="http://web2.westlaw.com/find/default.wl?mt=12&amp;db=4493&amp;tc=-1&amp;rp=%2ffind%2fdefault.wl&amp;findtype=Y&amp;ordoc=2024825935&amp;serialnum=2007715157&amp;vr=2.0&amp;fn=_top&amp;sv=Split&amp;tf=-1&amp;referencepositiontype=S&amp;pbc=D588CDDC&amp;referenceposition=18435&amp;rs=WLW14.07" TargetMode="External"/><Relationship Id="rId5" Type="http://schemas.openxmlformats.org/officeDocument/2006/relationships/hyperlink" Target="http://web2.westlaw.com/find/default.wl?mt=12&amp;db=0004493&amp;tc=-1&amp;rp=%2ffind%2fdefault.wl&amp;findtype=Y&amp;ordoc=2024825935&amp;serialnum=2007715158&amp;vr=2.0&amp;fn=_top&amp;sv=Split&amp;tf=-1&amp;referencepositiontype=S&amp;pbc=D588CDDC&amp;referenceposition=18292&amp;rs=WLW14.07" TargetMode="External"/><Relationship Id="rId4" Type="http://schemas.openxmlformats.org/officeDocument/2006/relationships/hyperlink" Target="http://web2.westlaw.com/find/default.wl?mt=12&amp;db=1000546&amp;docname=47USCAS35&amp;rp=%2ffind%2fdefault.wl&amp;findtype=L&amp;ordoc=2024825935&amp;tc=-1&amp;vr=2.0&amp;fn=_top&amp;sv=Split&amp;tf=-1&amp;pbc=D588CDDC&amp;rs=WLW14.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4204</Words>
  <Characters>24102</Characters>
  <Application>Microsoft Office Word</Application>
  <DocSecurity>0</DocSecurity>
  <Lines>388</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2014-10-24T20:58:00Z</dcterms:created>
  <dcterms:modified xsi:type="dcterms:W3CDTF">2014-10-24T20:58:00Z</dcterms:modified>
  <cp:category> </cp:category>
  <cp:contentStatus> </cp:contentStatus>
</cp:coreProperties>
</file>