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CA" w:rsidRDefault="00CB07CA">
      <w:pPr>
        <w:jc w:val="center"/>
        <w:rPr>
          <w:b/>
        </w:rPr>
      </w:pPr>
      <w:bookmarkStart w:id="0" w:name="_GoBack"/>
      <w:bookmarkEnd w:id="0"/>
      <w:r>
        <w:rPr>
          <w:b/>
        </w:rPr>
        <w:t>Before the</w:t>
      </w:r>
    </w:p>
    <w:p w:rsidR="00CB07CA" w:rsidRDefault="00CB07CA">
      <w:pPr>
        <w:jc w:val="center"/>
        <w:rPr>
          <w:b/>
        </w:rPr>
      </w:pPr>
      <w:r>
        <w:rPr>
          <w:b/>
        </w:rPr>
        <w:t>Federal Communications Commission</w:t>
      </w:r>
    </w:p>
    <w:p w:rsidR="00CB07CA" w:rsidRDefault="00CB07CA">
      <w:pPr>
        <w:jc w:val="center"/>
        <w:rPr>
          <w:b/>
        </w:rPr>
      </w:pPr>
      <w:r>
        <w:rPr>
          <w:b/>
        </w:rPr>
        <w:t xml:space="preserve">Washington, </w:t>
      </w:r>
      <w:smartTag w:uri="urn:schemas-microsoft-com:office:smarttags" w:element="State">
        <w:r>
          <w:rPr>
            <w:b/>
          </w:rPr>
          <w:t>D.C.</w:t>
        </w:r>
      </w:smartTag>
      <w:r>
        <w:rPr>
          <w:b/>
        </w:rPr>
        <w:t xml:space="preserve"> </w:t>
      </w:r>
      <w:smartTag w:uri="urn:schemas-microsoft-com:office:smarttags" w:element="PostalCode">
        <w:r>
          <w:rPr>
            <w:b/>
          </w:rPr>
          <w:t>20554</w:t>
        </w:r>
      </w:smartTag>
    </w:p>
    <w:p w:rsidR="00CB07CA" w:rsidRDefault="00CB07CA"/>
    <w:p w:rsidR="00CB07CA" w:rsidRDefault="00CB07CA"/>
    <w:tbl>
      <w:tblPr>
        <w:tblW w:w="9738" w:type="dxa"/>
        <w:tblLayout w:type="fixed"/>
        <w:tblLook w:val="0000" w:firstRow="0" w:lastRow="0" w:firstColumn="0" w:lastColumn="0" w:noHBand="0" w:noVBand="0"/>
      </w:tblPr>
      <w:tblGrid>
        <w:gridCol w:w="4788"/>
        <w:gridCol w:w="720"/>
        <w:gridCol w:w="4230"/>
      </w:tblGrid>
      <w:tr w:rsidR="00CB07CA" w:rsidTr="00356720">
        <w:tc>
          <w:tcPr>
            <w:tcW w:w="4788" w:type="dxa"/>
          </w:tcPr>
          <w:p w:rsidR="00CB07CA" w:rsidRDefault="00CB07CA">
            <w:pPr>
              <w:ind w:right="-18"/>
            </w:pPr>
            <w:r>
              <w:t xml:space="preserve">In the </w:t>
            </w:r>
            <w:r w:rsidR="00CA4A0B">
              <w:t>M</w:t>
            </w:r>
            <w:r>
              <w:t>atter of</w:t>
            </w:r>
          </w:p>
          <w:p w:rsidR="00CB07CA" w:rsidRDefault="00CB07CA">
            <w:pPr>
              <w:ind w:right="-18"/>
            </w:pPr>
          </w:p>
          <w:p w:rsidR="00CA4A0B" w:rsidRDefault="00CA4A0B" w:rsidP="00CA4A0B">
            <w:pPr>
              <w:autoSpaceDE w:val="0"/>
              <w:autoSpaceDN w:val="0"/>
              <w:adjustRightInd w:val="0"/>
              <w:rPr>
                <w:b/>
                <w:szCs w:val="22"/>
              </w:rPr>
            </w:pPr>
            <w:r>
              <w:rPr>
                <w:szCs w:val="22"/>
              </w:rPr>
              <w:t>Application</w:t>
            </w:r>
            <w:r w:rsidR="00356720">
              <w:rPr>
                <w:szCs w:val="22"/>
              </w:rPr>
              <w:t>s</w:t>
            </w:r>
            <w:r>
              <w:rPr>
                <w:szCs w:val="22"/>
              </w:rPr>
              <w:t xml:space="preserve"> of </w:t>
            </w:r>
            <w:r w:rsidR="00356720">
              <w:rPr>
                <w:szCs w:val="22"/>
              </w:rPr>
              <w:t>Cellco Partnership</w:t>
            </w:r>
            <w:r w:rsidR="00CA1052">
              <w:rPr>
                <w:szCs w:val="22"/>
              </w:rPr>
              <w:t xml:space="preserve"> d/b/a Verizon Wireless</w:t>
            </w:r>
            <w:r w:rsidR="00356720">
              <w:rPr>
                <w:szCs w:val="22"/>
              </w:rPr>
              <w:t>, Coral Wireless, LLC</w:t>
            </w:r>
            <w:r>
              <w:rPr>
                <w:szCs w:val="22"/>
              </w:rPr>
              <w:t xml:space="preserve"> and </w:t>
            </w:r>
            <w:r w:rsidR="00356720">
              <w:rPr>
                <w:szCs w:val="22"/>
              </w:rPr>
              <w:t>Coral Wireless Licenses, LLC</w:t>
            </w:r>
          </w:p>
          <w:p w:rsidR="00CA4A0B" w:rsidRDefault="00CA4A0B" w:rsidP="00CA4A0B">
            <w:pPr>
              <w:autoSpaceDE w:val="0"/>
              <w:autoSpaceDN w:val="0"/>
              <w:adjustRightInd w:val="0"/>
              <w:rPr>
                <w:szCs w:val="22"/>
              </w:rPr>
            </w:pPr>
          </w:p>
          <w:p w:rsidR="00CB07CA" w:rsidRDefault="00CA4A0B" w:rsidP="00E55566">
            <w:pPr>
              <w:ind w:right="-18"/>
            </w:pPr>
            <w:r>
              <w:rPr>
                <w:szCs w:val="22"/>
              </w:rPr>
              <w:t xml:space="preserve">For Consent To Assign </w:t>
            </w:r>
            <w:r w:rsidR="00E55566">
              <w:rPr>
                <w:szCs w:val="22"/>
              </w:rPr>
              <w:t>Seven Personal Communications Service Licenses Covering Hawaii</w:t>
            </w:r>
          </w:p>
        </w:tc>
        <w:tc>
          <w:tcPr>
            <w:tcW w:w="720" w:type="dxa"/>
          </w:tcPr>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FA122A" w:rsidRDefault="00FA122A">
            <w:pPr>
              <w:rPr>
                <w:b/>
              </w:rPr>
            </w:pPr>
            <w:r>
              <w:rPr>
                <w:b/>
              </w:rPr>
              <w:t>)</w:t>
            </w:r>
          </w:p>
          <w:p w:rsidR="00E55566" w:rsidRDefault="00E55566">
            <w:pPr>
              <w:rPr>
                <w:b/>
              </w:rPr>
            </w:pPr>
            <w:r>
              <w:rPr>
                <w:b/>
              </w:rPr>
              <w:t>)</w:t>
            </w:r>
          </w:p>
          <w:p w:rsidR="00CA1052" w:rsidRDefault="00CA1052">
            <w:pPr>
              <w:rPr>
                <w:b/>
              </w:rPr>
            </w:pPr>
            <w:r>
              <w:rPr>
                <w:b/>
              </w:rPr>
              <w:t>)</w:t>
            </w:r>
          </w:p>
        </w:tc>
        <w:tc>
          <w:tcPr>
            <w:tcW w:w="4230" w:type="dxa"/>
          </w:tcPr>
          <w:p w:rsidR="00CB07CA" w:rsidRPr="00732291" w:rsidRDefault="00CB07CA"/>
          <w:p w:rsidR="00CB07CA" w:rsidRPr="00732291" w:rsidRDefault="00CB07CA"/>
          <w:p w:rsidR="00CB07CA" w:rsidRPr="00732291" w:rsidRDefault="00CA4A0B">
            <w:r>
              <w:t>ULS File No</w:t>
            </w:r>
            <w:r w:rsidR="00356720">
              <w:t>s</w:t>
            </w:r>
            <w:r>
              <w:t xml:space="preserve">. </w:t>
            </w:r>
            <w:r w:rsidR="00356720" w:rsidRPr="00356720">
              <w:rPr>
                <w:szCs w:val="22"/>
              </w:rPr>
              <w:t>0006225924 and 0006225931</w:t>
            </w:r>
          </w:p>
        </w:tc>
      </w:tr>
    </w:tbl>
    <w:p w:rsidR="00FA122A" w:rsidRDefault="00FA122A" w:rsidP="00FA122A">
      <w:pPr>
        <w:tabs>
          <w:tab w:val="left" w:pos="-720"/>
        </w:tabs>
        <w:suppressAutoHyphens/>
        <w:spacing w:line="227" w:lineRule="auto"/>
        <w:rPr>
          <w:spacing w:val="-2"/>
        </w:rPr>
      </w:pPr>
    </w:p>
    <w:p w:rsidR="00FA122A" w:rsidRDefault="00CA4A0B" w:rsidP="00FA122A">
      <w:pPr>
        <w:jc w:val="center"/>
        <w:outlineLvl w:val="0"/>
        <w:rPr>
          <w:b/>
        </w:rPr>
      </w:pPr>
      <w:r w:rsidRPr="00296281">
        <w:rPr>
          <w:b/>
        </w:rPr>
        <w:t>ORDER</w:t>
      </w:r>
    </w:p>
    <w:p w:rsidR="00FA122A" w:rsidRDefault="00FA122A" w:rsidP="00FA122A">
      <w:pPr>
        <w:tabs>
          <w:tab w:val="left" w:pos="-720"/>
        </w:tabs>
        <w:suppressAutoHyphens/>
        <w:spacing w:line="227" w:lineRule="auto"/>
        <w:rPr>
          <w:spacing w:val="-2"/>
        </w:rPr>
      </w:pPr>
    </w:p>
    <w:p w:rsidR="00FA122A" w:rsidRDefault="00FA122A" w:rsidP="0007517D">
      <w:pPr>
        <w:tabs>
          <w:tab w:val="right" w:pos="9360"/>
        </w:tabs>
        <w:suppressAutoHyphens/>
        <w:spacing w:line="227" w:lineRule="auto"/>
        <w:rPr>
          <w:spacing w:val="-2"/>
        </w:rPr>
      </w:pPr>
      <w:r>
        <w:rPr>
          <w:b/>
          <w:spacing w:val="-2"/>
        </w:rPr>
        <w:t xml:space="preserve">Adopted:  </w:t>
      </w:r>
      <w:r w:rsidR="005C369E">
        <w:rPr>
          <w:b/>
          <w:spacing w:val="-2"/>
        </w:rPr>
        <w:t>October 27</w:t>
      </w:r>
      <w:r w:rsidR="0007517D">
        <w:rPr>
          <w:b/>
          <w:spacing w:val="-2"/>
        </w:rPr>
        <w:t>, 2014</w:t>
      </w:r>
      <w:r>
        <w:rPr>
          <w:b/>
          <w:spacing w:val="-2"/>
        </w:rPr>
        <w:tab/>
        <w:t xml:space="preserve">Released:  </w:t>
      </w:r>
      <w:r w:rsidR="005C369E">
        <w:rPr>
          <w:b/>
          <w:spacing w:val="-2"/>
        </w:rPr>
        <w:t>October 27, 2014</w:t>
      </w:r>
    </w:p>
    <w:p w:rsidR="00FA122A" w:rsidRDefault="00FA122A" w:rsidP="00FA122A"/>
    <w:p w:rsidR="00FA122A" w:rsidRDefault="00FA122A" w:rsidP="00FA122A">
      <w:pPr>
        <w:rPr>
          <w:spacing w:val="-2"/>
        </w:rPr>
      </w:pPr>
      <w:r w:rsidRPr="00611335">
        <w:t>By</w:t>
      </w:r>
      <w:r w:rsidR="00611335">
        <w:t xml:space="preserve"> the Deputy Chief, Mobility Division, Wireless Telecommunications Bureau</w:t>
      </w:r>
      <w:r w:rsidRPr="00611335">
        <w:rPr>
          <w:spacing w:val="-2"/>
        </w:rPr>
        <w:t>:</w:t>
      </w:r>
    </w:p>
    <w:p w:rsidR="00FA122A" w:rsidRDefault="00FA122A" w:rsidP="00FA122A">
      <w:pPr>
        <w:rPr>
          <w:spacing w:val="-2"/>
        </w:rPr>
      </w:pPr>
    </w:p>
    <w:p w:rsidR="006C615E" w:rsidRDefault="00CA4A0B" w:rsidP="00CA7E3E">
      <w:pPr>
        <w:pStyle w:val="ParaNum"/>
        <w:jc w:val="left"/>
      </w:pPr>
      <w:r>
        <w:t xml:space="preserve">In this Order, we dismiss </w:t>
      </w:r>
      <w:r w:rsidR="00CA1052">
        <w:t>a petition to deny (“Petition”)</w:t>
      </w:r>
      <w:r w:rsidR="00F06D3F">
        <w:rPr>
          <w:rStyle w:val="FootnoteReference"/>
        </w:rPr>
        <w:footnoteReference w:id="2"/>
      </w:r>
      <w:r>
        <w:t xml:space="preserve"> </w:t>
      </w:r>
      <w:r w:rsidR="0055007D">
        <w:t xml:space="preserve">filed </w:t>
      </w:r>
      <w:r>
        <w:t xml:space="preserve">by </w:t>
      </w:r>
      <w:r w:rsidR="00CA1052">
        <w:t>Waimana Enterprises, Inc. (“Waimana”)</w:t>
      </w:r>
      <w:r>
        <w:t xml:space="preserve"> against the application</w:t>
      </w:r>
      <w:r w:rsidR="00CA1052">
        <w:t>s</w:t>
      </w:r>
      <w:r w:rsidR="009B0D16">
        <w:rPr>
          <w:rStyle w:val="FootnoteReference"/>
        </w:rPr>
        <w:footnoteReference w:id="3"/>
      </w:r>
      <w:r>
        <w:t xml:space="preserve"> of </w:t>
      </w:r>
      <w:r w:rsidR="00CA1052">
        <w:rPr>
          <w:szCs w:val="22"/>
        </w:rPr>
        <w:t>Cellco Partnership d/b/a</w:t>
      </w:r>
      <w:r w:rsidRPr="00E302C0">
        <w:rPr>
          <w:szCs w:val="22"/>
        </w:rPr>
        <w:t xml:space="preserve"> </w:t>
      </w:r>
      <w:r w:rsidR="00CA1052">
        <w:rPr>
          <w:szCs w:val="22"/>
        </w:rPr>
        <w:t xml:space="preserve">Verizon Wireless </w:t>
      </w:r>
      <w:r w:rsidRPr="00E302C0">
        <w:rPr>
          <w:szCs w:val="22"/>
        </w:rPr>
        <w:t>(“</w:t>
      </w:r>
      <w:r w:rsidR="00CA1052">
        <w:rPr>
          <w:szCs w:val="22"/>
        </w:rPr>
        <w:t>Verizon Wireless</w:t>
      </w:r>
      <w:r w:rsidRPr="00E302C0">
        <w:rPr>
          <w:szCs w:val="22"/>
        </w:rPr>
        <w:t xml:space="preserve">”), </w:t>
      </w:r>
      <w:r w:rsidR="00CA1052">
        <w:rPr>
          <w:szCs w:val="22"/>
        </w:rPr>
        <w:t>Coral Wireless, LLC, and Coral Wireless Licenses, LLC (Coral Wireless, LLC and Coral Wireless Licenses, LLC together are “Coral,” and together with Verizon Wireless, the “Applicants”)</w:t>
      </w:r>
      <w:r>
        <w:t xml:space="preserve"> to assign </w:t>
      </w:r>
      <w:r w:rsidR="00CA1052">
        <w:rPr>
          <w:szCs w:val="22"/>
        </w:rPr>
        <w:t xml:space="preserve">seven Personal Communications Service (“PCS”) </w:t>
      </w:r>
      <w:r>
        <w:rPr>
          <w:szCs w:val="22"/>
        </w:rPr>
        <w:t xml:space="preserve">spectrum </w:t>
      </w:r>
      <w:r w:rsidRPr="00E302C0">
        <w:rPr>
          <w:szCs w:val="22"/>
        </w:rPr>
        <w:t xml:space="preserve">licenses from </w:t>
      </w:r>
      <w:r w:rsidR="00CA1052">
        <w:rPr>
          <w:szCs w:val="22"/>
        </w:rPr>
        <w:t>Coral</w:t>
      </w:r>
      <w:r w:rsidRPr="00E302C0">
        <w:rPr>
          <w:szCs w:val="22"/>
        </w:rPr>
        <w:t xml:space="preserve"> to </w:t>
      </w:r>
      <w:r w:rsidR="00CA1052">
        <w:rPr>
          <w:szCs w:val="22"/>
        </w:rPr>
        <w:t>Verizon Wireless</w:t>
      </w:r>
      <w:r>
        <w:t>.</w:t>
      </w:r>
    </w:p>
    <w:p w:rsidR="006B57F5" w:rsidRDefault="006B57F5" w:rsidP="006B57F5">
      <w:pPr>
        <w:pStyle w:val="Heading1"/>
      </w:pPr>
      <w:r>
        <w:t>Background</w:t>
      </w:r>
    </w:p>
    <w:p w:rsidR="00AF63BD" w:rsidRDefault="00CA4A0B" w:rsidP="00F34AD7">
      <w:pPr>
        <w:pStyle w:val="ParaNum"/>
        <w:widowControl/>
        <w:tabs>
          <w:tab w:val="left" w:pos="4320"/>
        </w:tabs>
        <w:jc w:val="left"/>
      </w:pPr>
      <w:r>
        <w:t xml:space="preserve">On </w:t>
      </w:r>
      <w:r w:rsidR="00863855">
        <w:t>April 16, 2014</w:t>
      </w:r>
      <w:r>
        <w:t xml:space="preserve">, </w:t>
      </w:r>
      <w:r w:rsidR="00863855">
        <w:t>Verizon Wireless</w:t>
      </w:r>
      <w:r>
        <w:t xml:space="preserve"> and </w:t>
      </w:r>
      <w:r w:rsidR="00863855">
        <w:t xml:space="preserve">Coral </w:t>
      </w:r>
      <w:r w:rsidR="00C04E06">
        <w:t>filed the Application</w:t>
      </w:r>
      <w:r w:rsidR="00C61764">
        <w:t>s</w:t>
      </w:r>
      <w:r w:rsidR="00B07F0B">
        <w:rPr>
          <w:rStyle w:val="FootnoteReference"/>
        </w:rPr>
        <w:footnoteReference w:id="4"/>
      </w:r>
      <w:r w:rsidR="00C61764">
        <w:t xml:space="preserve"> pursuant to section</w:t>
      </w:r>
      <w:r w:rsidR="00AF63BD">
        <w:t xml:space="preserve"> </w:t>
      </w:r>
      <w:r>
        <w:t>310(d) of the Communications Act of 1934, as amended (the “Communications Act”),</w:t>
      </w:r>
      <w:r>
        <w:rPr>
          <w:rStyle w:val="FootnoteReference"/>
          <w:szCs w:val="22"/>
        </w:rPr>
        <w:footnoteReference w:id="5"/>
      </w:r>
      <w:r>
        <w:t xml:space="preserve"> seeking approval to assign </w:t>
      </w:r>
      <w:r w:rsidR="00C61764">
        <w:rPr>
          <w:szCs w:val="22"/>
        </w:rPr>
        <w:t>seven</w:t>
      </w:r>
      <w:r w:rsidR="00C04E06" w:rsidRPr="00C97AE1">
        <w:rPr>
          <w:szCs w:val="22"/>
        </w:rPr>
        <w:t xml:space="preserve"> </w:t>
      </w:r>
      <w:r w:rsidR="00C61764">
        <w:rPr>
          <w:szCs w:val="22"/>
        </w:rPr>
        <w:t>PCS</w:t>
      </w:r>
      <w:r w:rsidR="00C04E06" w:rsidRPr="00C97AE1">
        <w:rPr>
          <w:szCs w:val="22"/>
        </w:rPr>
        <w:t xml:space="preserve"> </w:t>
      </w:r>
      <w:r>
        <w:t>spectrum licenses.</w:t>
      </w:r>
      <w:r w:rsidR="00C04E06">
        <w:t xml:space="preserve">  </w:t>
      </w:r>
      <w:r w:rsidR="00C97AE1">
        <w:t>T</w:t>
      </w:r>
      <w:r w:rsidR="009B0D16">
        <w:t xml:space="preserve">he Commission released a Public Notice </w:t>
      </w:r>
      <w:r w:rsidR="00C97AE1">
        <w:t xml:space="preserve">on </w:t>
      </w:r>
      <w:r w:rsidR="00C61764">
        <w:t>May 2</w:t>
      </w:r>
      <w:r w:rsidR="00C97AE1">
        <w:t>1,</w:t>
      </w:r>
      <w:r w:rsidR="00C61764">
        <w:t xml:space="preserve"> 2014</w:t>
      </w:r>
      <w:r w:rsidR="00C97AE1">
        <w:t xml:space="preserve">, </w:t>
      </w:r>
      <w:r w:rsidR="009B0D16">
        <w:t>seeking comment on the Application</w:t>
      </w:r>
      <w:r w:rsidR="00C61764">
        <w:t>s</w:t>
      </w:r>
      <w:r w:rsidR="009B0D16">
        <w:t>.</w:t>
      </w:r>
      <w:r w:rsidR="009B0D16">
        <w:rPr>
          <w:rStyle w:val="FootnoteReference"/>
        </w:rPr>
        <w:footnoteReference w:id="6"/>
      </w:r>
      <w:r w:rsidR="00B843AA">
        <w:t xml:space="preserve">  In response to the </w:t>
      </w:r>
      <w:r w:rsidR="00B843AA" w:rsidRPr="00C97AE1">
        <w:rPr>
          <w:i/>
        </w:rPr>
        <w:t>Comment Public Notice</w:t>
      </w:r>
      <w:r w:rsidR="00B843AA">
        <w:t xml:space="preserve">, </w:t>
      </w:r>
      <w:r w:rsidR="00F06D3F">
        <w:t>Waimana</w:t>
      </w:r>
      <w:r w:rsidR="00B843AA">
        <w:t xml:space="preserve"> </w:t>
      </w:r>
      <w:r w:rsidR="009E04A8">
        <w:t xml:space="preserve">submitted </w:t>
      </w:r>
      <w:r w:rsidR="00F06D3F">
        <w:t xml:space="preserve">its Petition, </w:t>
      </w:r>
      <w:r w:rsidR="00AF63BD">
        <w:t xml:space="preserve">requesting </w:t>
      </w:r>
      <w:r w:rsidR="00F06D3F">
        <w:t xml:space="preserve">the Commission to deny the Applications or hold them in abeyance due to its allegations that Coral has not deployed wireless infrastructure or </w:t>
      </w:r>
      <w:r w:rsidR="00826F4D">
        <w:t>significant wireless services in Tribal lands (</w:t>
      </w:r>
      <w:r w:rsidR="00826F4D">
        <w:rPr>
          <w:i/>
        </w:rPr>
        <w:t>i.e.</w:t>
      </w:r>
      <w:r w:rsidR="00826F4D">
        <w:t>, Hawaiian Home Lands</w:t>
      </w:r>
      <w:r w:rsidR="00A15250">
        <w:t xml:space="preserve"> (“</w:t>
      </w:r>
      <w:r w:rsidR="00794ACD">
        <w:t>Home Lands</w:t>
      </w:r>
      <w:r w:rsidR="00A15250">
        <w:t>”)</w:t>
      </w:r>
      <w:r w:rsidR="00826F4D">
        <w:t xml:space="preserve">) despite </w:t>
      </w:r>
      <w:r w:rsidR="00AF63BD">
        <w:t xml:space="preserve">having received </w:t>
      </w:r>
      <w:r w:rsidR="008D413D">
        <w:t xml:space="preserve">substantial </w:t>
      </w:r>
      <w:r w:rsidR="00826F4D">
        <w:t>fe</w:t>
      </w:r>
      <w:r w:rsidR="008D413D">
        <w:t xml:space="preserve">deral </w:t>
      </w:r>
      <w:r w:rsidR="008D413D">
        <w:lastRenderedPageBreak/>
        <w:t>universal service fund (“USF”) support</w:t>
      </w:r>
      <w:r w:rsidR="00826F4D">
        <w:t>.</w:t>
      </w:r>
      <w:r w:rsidR="00826F4D">
        <w:rPr>
          <w:rStyle w:val="FootnoteReference"/>
        </w:rPr>
        <w:footnoteReference w:id="7"/>
      </w:r>
      <w:r w:rsidR="00826F4D">
        <w:t xml:space="preserve">  </w:t>
      </w:r>
      <w:r w:rsidR="00252871">
        <w:t>Waimana asks, alternatively, that grant of the Applications be conditioned on requiring Verizon Wireless to use the subject licenses to serve the Home Lands.</w:t>
      </w:r>
      <w:r w:rsidR="00252871">
        <w:rPr>
          <w:rStyle w:val="FootnoteReference"/>
        </w:rPr>
        <w:footnoteReference w:id="8"/>
      </w:r>
    </w:p>
    <w:p w:rsidR="00BE09BC" w:rsidRDefault="00826F4D">
      <w:pPr>
        <w:pStyle w:val="ParaNum"/>
        <w:widowControl/>
        <w:tabs>
          <w:tab w:val="left" w:pos="4320"/>
        </w:tabs>
        <w:jc w:val="left"/>
      </w:pPr>
      <w:r>
        <w:t xml:space="preserve">Waimana is a </w:t>
      </w:r>
      <w:r w:rsidR="00794ACD">
        <w:t>N</w:t>
      </w:r>
      <w:r>
        <w:t xml:space="preserve">ative Hawaiian corporation that holds an exclusive license to construct and operate a broadband telecommunications network to serve </w:t>
      </w:r>
      <w:r w:rsidR="0055007D">
        <w:t xml:space="preserve">the </w:t>
      </w:r>
      <w:r w:rsidR="00794ACD">
        <w:t>Home Lands</w:t>
      </w:r>
      <w:r>
        <w:t>,</w:t>
      </w:r>
      <w:r w:rsidR="00F34AD7">
        <w:rPr>
          <w:rStyle w:val="FootnoteReference"/>
        </w:rPr>
        <w:footnoteReference w:id="9"/>
      </w:r>
      <w:r>
        <w:t xml:space="preserve"> a group of areas held in trust for </w:t>
      </w:r>
      <w:r w:rsidR="005D5AB3">
        <w:t>N</w:t>
      </w:r>
      <w:r>
        <w:t>ative Hawaiians by the state of Hawaii.</w:t>
      </w:r>
      <w:r w:rsidR="00A15250">
        <w:rPr>
          <w:rStyle w:val="FootnoteReference"/>
        </w:rPr>
        <w:footnoteReference w:id="10"/>
      </w:r>
      <w:r w:rsidR="001754F3">
        <w:t xml:space="preserve">  </w:t>
      </w:r>
      <w:r w:rsidR="00BE09BC">
        <w:t xml:space="preserve">Waimana </w:t>
      </w:r>
      <w:r w:rsidR="00AF63BD">
        <w:t xml:space="preserve">asserts </w:t>
      </w:r>
      <w:r w:rsidR="00BE09BC">
        <w:t xml:space="preserve">in its Petition that Coral’s apparent failure to deploy wireless infrastructure or significant wireless services in </w:t>
      </w:r>
      <w:r w:rsidR="0055007D">
        <w:t xml:space="preserve">the </w:t>
      </w:r>
      <w:r w:rsidR="00794ACD">
        <w:t xml:space="preserve">Home Lands </w:t>
      </w:r>
      <w:r w:rsidR="00BE09BC">
        <w:t xml:space="preserve">despite having received $131.2 million of federal high-cost support possibly constitutes a </w:t>
      </w:r>
      <w:r w:rsidR="008171F2">
        <w:t xml:space="preserve">violation of </w:t>
      </w:r>
      <w:r w:rsidR="00BE09BC">
        <w:t xml:space="preserve">section 254(e) </w:t>
      </w:r>
      <w:r w:rsidR="008171F2">
        <w:t>of the Communications Act</w:t>
      </w:r>
      <w:r w:rsidR="00BE09BC">
        <w:t xml:space="preserve">, which </w:t>
      </w:r>
      <w:r w:rsidR="008171F2">
        <w:t xml:space="preserve">states </w:t>
      </w:r>
      <w:r w:rsidR="00BE09BC">
        <w:t xml:space="preserve">that </w:t>
      </w:r>
      <w:r w:rsidR="00AF63BD">
        <w:t xml:space="preserve">providers </w:t>
      </w:r>
      <w:r w:rsidR="00BE09BC">
        <w:t>receiving such support shall use it “only for the provision, maintenance, and upgrading of facilities and services for which the support is intended.”</w:t>
      </w:r>
      <w:r w:rsidR="00BE09BC">
        <w:rPr>
          <w:rStyle w:val="FootnoteReference"/>
        </w:rPr>
        <w:footnoteReference w:id="11"/>
      </w:r>
      <w:r w:rsidR="00BE09BC">
        <w:t xml:space="preserve">  </w:t>
      </w:r>
      <w:r w:rsidR="006E284A">
        <w:t xml:space="preserve">Waimana </w:t>
      </w:r>
      <w:r w:rsidR="00AF63BD">
        <w:t xml:space="preserve">contends </w:t>
      </w:r>
      <w:r w:rsidR="006E284A">
        <w:t xml:space="preserve">that </w:t>
      </w:r>
      <w:r w:rsidR="00F23040">
        <w:t xml:space="preserve">the failure to construct and operate a wireless network to serve the Home Lands </w:t>
      </w:r>
      <w:r w:rsidR="006E284A">
        <w:t xml:space="preserve">amounts to a windfall for Coral and that </w:t>
      </w:r>
      <w:r w:rsidR="00F5015D">
        <w:t>before the Commission acts on the Applications it</w:t>
      </w:r>
      <w:r w:rsidR="006E284A">
        <w:t xml:space="preserve"> should conduct an investigation to account for </w:t>
      </w:r>
      <w:r w:rsidR="00F5015D">
        <w:t>Coral’s</w:t>
      </w:r>
      <w:r w:rsidR="006E284A">
        <w:t xml:space="preserve"> USF support.</w:t>
      </w:r>
      <w:r w:rsidR="006E284A">
        <w:rPr>
          <w:rStyle w:val="FootnoteReference"/>
        </w:rPr>
        <w:footnoteReference w:id="12"/>
      </w:r>
      <w:r w:rsidR="006E284A">
        <w:t xml:space="preserve">  </w:t>
      </w:r>
      <w:r w:rsidR="00A16E49">
        <w:t xml:space="preserve">Waimana </w:t>
      </w:r>
      <w:r w:rsidR="001E645D">
        <w:t xml:space="preserve">asserts </w:t>
      </w:r>
      <w:r w:rsidR="00A16E49">
        <w:t xml:space="preserve">that </w:t>
      </w:r>
      <w:r w:rsidR="008A18C3">
        <w:t>it serves as a “</w:t>
      </w:r>
      <w:r w:rsidR="008A18C3" w:rsidRPr="00B07F0B">
        <w:rPr>
          <w:i/>
        </w:rPr>
        <w:t>de facto</w:t>
      </w:r>
      <w:r w:rsidR="008A18C3">
        <w:t xml:space="preserve"> agent” of the State of Hawaii’s Department of Hawaiian Home Lands and that grant of the Applications without </w:t>
      </w:r>
      <w:r w:rsidR="0055007D">
        <w:t xml:space="preserve">the </w:t>
      </w:r>
      <w:r w:rsidR="00794ACD">
        <w:t xml:space="preserve">Home Lands </w:t>
      </w:r>
      <w:r w:rsidR="008A18C3">
        <w:t>receiving any “tangible benefit” from the $131.2 million in USF support would “directly and substantially impair Waimana’s telecommunications planning efforts.”</w:t>
      </w:r>
      <w:r w:rsidR="008A18C3">
        <w:rPr>
          <w:rStyle w:val="FootnoteReference"/>
        </w:rPr>
        <w:footnoteReference w:id="13"/>
      </w:r>
      <w:r w:rsidR="008A18C3">
        <w:t xml:space="preserve">  </w:t>
      </w:r>
      <w:r w:rsidR="0067257F">
        <w:t>Waimana states that its Sandwich Isles Wireless subsidiary consequently would “come under major pressure … to extend and increase its wireless resale operations within [</w:t>
      </w:r>
      <w:r w:rsidR="00794ACD">
        <w:t>Home Lands</w:t>
      </w:r>
      <w:r w:rsidR="0067257F">
        <w:t>] at whatever the cost.”</w:t>
      </w:r>
      <w:r w:rsidR="0067257F">
        <w:rPr>
          <w:rStyle w:val="FootnoteReference"/>
        </w:rPr>
        <w:footnoteReference w:id="14"/>
      </w:r>
      <w:r w:rsidR="0067257F">
        <w:t xml:space="preserve">  </w:t>
      </w:r>
    </w:p>
    <w:p w:rsidR="007A700F" w:rsidRDefault="006E284A" w:rsidP="003D0F35">
      <w:pPr>
        <w:pStyle w:val="ParaNum"/>
        <w:widowControl/>
        <w:tabs>
          <w:tab w:val="left" w:pos="4320"/>
        </w:tabs>
        <w:jc w:val="left"/>
      </w:pPr>
      <w:r>
        <w:t>On June 16, 2014, t</w:t>
      </w:r>
      <w:r w:rsidR="00B843AA">
        <w:t xml:space="preserve">he Applicants filed </w:t>
      </w:r>
      <w:r w:rsidR="007A700F">
        <w:t xml:space="preserve">separate oppositions to the Petition.  Verizon Wireless </w:t>
      </w:r>
      <w:r w:rsidR="00AF63BD">
        <w:t xml:space="preserve">argues </w:t>
      </w:r>
      <w:r w:rsidR="007A700F">
        <w:t>that Waimana’s complaint about Coral’s alleged misuse of USF support does not relate to the proposed transaction and therefore must be disregarded under Commission precedent.</w:t>
      </w:r>
      <w:r w:rsidR="007A700F">
        <w:rPr>
          <w:rStyle w:val="FootnoteReference"/>
        </w:rPr>
        <w:footnoteReference w:id="15"/>
      </w:r>
      <w:r w:rsidR="007A700F">
        <w:t xml:space="preserve">  Verizon Wireless further </w:t>
      </w:r>
      <w:r w:rsidR="001E645D">
        <w:t xml:space="preserve">contends </w:t>
      </w:r>
      <w:r w:rsidR="007A700F">
        <w:t>that Waimana’s proposed condition that Verizon Wireless become an ETC with obligations to construct certain wireless facilitie</w:t>
      </w:r>
      <w:r w:rsidR="006B0E04">
        <w:t>s is unprecedented and would amount to an attempt to remedy “pre-existing harms or harms that are unrelated to the transaction.”</w:t>
      </w:r>
      <w:r w:rsidR="006B0E04">
        <w:rPr>
          <w:rStyle w:val="FootnoteReference"/>
        </w:rPr>
        <w:footnoteReference w:id="16"/>
      </w:r>
      <w:r w:rsidR="009E5449">
        <w:t xml:space="preserve">  </w:t>
      </w:r>
    </w:p>
    <w:p w:rsidR="006B0E04" w:rsidRDefault="006B0E04" w:rsidP="003D0F35">
      <w:pPr>
        <w:pStyle w:val="ParaNum"/>
        <w:widowControl/>
        <w:tabs>
          <w:tab w:val="left" w:pos="4320"/>
        </w:tabs>
        <w:jc w:val="left"/>
      </w:pPr>
      <w:r>
        <w:t xml:space="preserve">In its opposition, Coral </w:t>
      </w:r>
      <w:r w:rsidR="0016168F">
        <w:t xml:space="preserve">argues </w:t>
      </w:r>
      <w:r>
        <w:t>that the Commission should dismiss Waimana’s Petition for lack of party-in-interest standing, maintaining that Waimana alleged no specific facts showing that</w:t>
      </w:r>
      <w:r w:rsidR="00753581">
        <w:t xml:space="preserve"> grant would cause it to suffer </w:t>
      </w:r>
      <w:r>
        <w:t>any injury, much less a direct one.</w:t>
      </w:r>
      <w:r>
        <w:rPr>
          <w:rStyle w:val="FootnoteReference"/>
        </w:rPr>
        <w:footnoteReference w:id="17"/>
      </w:r>
      <w:r w:rsidR="00036DCD">
        <w:t xml:space="preserve">  Coral notes that any </w:t>
      </w:r>
      <w:r w:rsidR="00F5015D">
        <w:t xml:space="preserve">funding </w:t>
      </w:r>
      <w:r w:rsidR="00036DCD">
        <w:t xml:space="preserve">difficulties </w:t>
      </w:r>
      <w:r w:rsidR="00F5015D">
        <w:t xml:space="preserve">that </w:t>
      </w:r>
      <w:r w:rsidR="00036DCD">
        <w:t xml:space="preserve">Waimana </w:t>
      </w:r>
      <w:r w:rsidR="00F5015D">
        <w:t>experiences for</w:t>
      </w:r>
      <w:r w:rsidR="00036DCD">
        <w:t xml:space="preserve"> deploy</w:t>
      </w:r>
      <w:r w:rsidR="00F5015D">
        <w:t>ing</w:t>
      </w:r>
      <w:r w:rsidR="00036DCD">
        <w:t xml:space="preserve"> wireless infrastructure in </w:t>
      </w:r>
      <w:r w:rsidR="0055007D">
        <w:t xml:space="preserve">the </w:t>
      </w:r>
      <w:r w:rsidR="00794ACD">
        <w:t xml:space="preserve">Home Lands </w:t>
      </w:r>
      <w:r w:rsidR="00036DCD">
        <w:t>would not be alleviated by Commission denial of the Applications.</w:t>
      </w:r>
      <w:r w:rsidR="00036DCD">
        <w:rPr>
          <w:rStyle w:val="FootnoteReference"/>
        </w:rPr>
        <w:footnoteReference w:id="18"/>
      </w:r>
      <w:r w:rsidR="009E5449" w:rsidRPr="009E5449">
        <w:t xml:space="preserve"> </w:t>
      </w:r>
      <w:r w:rsidR="009E5449">
        <w:t xml:space="preserve"> Coral additionally argues that Waimana’s assertions about Coral’s use of high-cost support </w:t>
      </w:r>
      <w:r w:rsidR="001E645D">
        <w:t xml:space="preserve">are </w:t>
      </w:r>
      <w:r w:rsidR="009E5449">
        <w:t xml:space="preserve">meritless, </w:t>
      </w:r>
      <w:r w:rsidR="001E645D">
        <w:t>as</w:t>
      </w:r>
      <w:r w:rsidR="009E5449">
        <w:t xml:space="preserve"> it is not obliged to construct facilities in any particular area and it has provided service to consumers in </w:t>
      </w:r>
      <w:r w:rsidR="0055007D">
        <w:t xml:space="preserve">the </w:t>
      </w:r>
      <w:r w:rsidR="00794ACD">
        <w:t>Home Lands</w:t>
      </w:r>
      <w:r w:rsidR="009E5449">
        <w:t>.</w:t>
      </w:r>
      <w:r w:rsidR="009E5449">
        <w:rPr>
          <w:rStyle w:val="FootnoteReference"/>
        </w:rPr>
        <w:footnoteReference w:id="19"/>
      </w:r>
      <w:r w:rsidR="009E5449">
        <w:t xml:space="preserve">  Coral lastly </w:t>
      </w:r>
      <w:r w:rsidR="0016168F">
        <w:t>contends t</w:t>
      </w:r>
      <w:r w:rsidR="009E5449">
        <w:t>hat Waimana’s claim</w:t>
      </w:r>
      <w:r w:rsidR="0055007D">
        <w:t>s</w:t>
      </w:r>
      <w:r w:rsidR="009E5449">
        <w:t xml:space="preserve"> and the relief it seeks are not specific to the proposed transaction, </w:t>
      </w:r>
      <w:r w:rsidR="0016168F">
        <w:t xml:space="preserve">and </w:t>
      </w:r>
      <w:r w:rsidR="009E5449">
        <w:t>that the Commission can and does enforce its USF rules through separate proceedings.</w:t>
      </w:r>
      <w:r w:rsidR="009E5449">
        <w:rPr>
          <w:rStyle w:val="FootnoteReference"/>
        </w:rPr>
        <w:footnoteReference w:id="20"/>
      </w:r>
    </w:p>
    <w:p w:rsidR="00F9668A" w:rsidRDefault="00F9668A" w:rsidP="003D0F35">
      <w:pPr>
        <w:pStyle w:val="ParaNum"/>
        <w:widowControl/>
        <w:tabs>
          <w:tab w:val="left" w:pos="4320"/>
        </w:tabs>
        <w:jc w:val="left"/>
      </w:pPr>
      <w:r>
        <w:t xml:space="preserve">On June 23, 2014, Waimana submitted </w:t>
      </w:r>
      <w:r w:rsidR="00950674">
        <w:t>its</w:t>
      </w:r>
      <w:r>
        <w:t xml:space="preserve"> reply</w:t>
      </w:r>
      <w:r w:rsidR="00664E93">
        <w:t xml:space="preserve">, </w:t>
      </w:r>
      <w:r w:rsidR="001E645D">
        <w:t xml:space="preserve">arguing </w:t>
      </w:r>
      <w:r w:rsidR="00664E93">
        <w:t xml:space="preserve">that grant of the Applications would terminate the Commission’s jurisdiction over Coral as a </w:t>
      </w:r>
      <w:r w:rsidR="00016AF6">
        <w:t>PCS licensee and would allow the USF support that Coral received to have been “wasted or otherwise abused.”</w:t>
      </w:r>
      <w:r w:rsidR="00016AF6">
        <w:rPr>
          <w:rStyle w:val="FootnoteReference"/>
        </w:rPr>
        <w:footnoteReference w:id="21"/>
      </w:r>
      <w:r w:rsidR="00016AF6">
        <w:t xml:space="preserve">  Waimana </w:t>
      </w:r>
      <w:r w:rsidR="001E645D">
        <w:t xml:space="preserve">further </w:t>
      </w:r>
      <w:r w:rsidR="0016168F">
        <w:t xml:space="preserve">argues </w:t>
      </w:r>
      <w:r w:rsidR="00016AF6">
        <w:t>that the Applicants in their oppositions disregard the alleged section 254(e) violation raised in the Petition.</w:t>
      </w:r>
      <w:r w:rsidR="00660516">
        <w:t xml:space="preserve">  Waimana also claims it has a party-in-interest standing pursuant to Section 1.939(d) of the Commission’s </w:t>
      </w:r>
      <w:r w:rsidR="00F060A0">
        <w:t>r</w:t>
      </w:r>
      <w:r w:rsidR="00660516">
        <w:t>ules because Waimana and its principal Mr. Hee have a “direct and substantial interest in the deployment of wireless infrastructure to serve the Hawaiian Home Lands and in the use of scarce, previously distributed high-cost support for that purpose.”</w:t>
      </w:r>
      <w:r w:rsidR="00660516">
        <w:rPr>
          <w:rStyle w:val="FootnoteReference"/>
        </w:rPr>
        <w:footnoteReference w:id="22"/>
      </w:r>
    </w:p>
    <w:p w:rsidR="00642AF1" w:rsidRDefault="00642AF1" w:rsidP="00642AF1">
      <w:pPr>
        <w:pStyle w:val="Heading1"/>
      </w:pPr>
      <w:r>
        <w:t>DISCUSSION</w:t>
      </w:r>
    </w:p>
    <w:p w:rsidR="00DA5BCD" w:rsidRPr="00CE752D" w:rsidRDefault="00636BCA" w:rsidP="0026062C">
      <w:pPr>
        <w:pStyle w:val="ParaNum"/>
        <w:widowControl/>
        <w:tabs>
          <w:tab w:val="clear" w:pos="1440"/>
        </w:tabs>
        <w:jc w:val="left"/>
        <w:rPr>
          <w:szCs w:val="22"/>
        </w:rPr>
      </w:pPr>
      <w:r>
        <w:t xml:space="preserve">The </w:t>
      </w:r>
      <w:r w:rsidR="00590790">
        <w:t xml:space="preserve">Communications Act and the </w:t>
      </w:r>
      <w:r>
        <w:t>Commission’s rules require that a petition to deny must contain specific allegations of fact sufficient to show that the petitioner is a party in interest.</w:t>
      </w:r>
      <w:r>
        <w:rPr>
          <w:rStyle w:val="FootnoteReference"/>
        </w:rPr>
        <w:footnoteReference w:id="23"/>
      </w:r>
      <w:r>
        <w:t xml:space="preserve">  </w:t>
      </w:r>
      <w:r>
        <w:rPr>
          <w:szCs w:val="22"/>
        </w:rPr>
        <w:t>To establish party-in-interest standing, a petitioner must allege facts sufficient to demonstrate that grant of the subject application would cause it to suffer a direct injury.</w:t>
      </w:r>
      <w:r>
        <w:rPr>
          <w:rStyle w:val="FootnoteReference"/>
          <w:szCs w:val="22"/>
        </w:rPr>
        <w:footnoteReference w:id="24"/>
      </w:r>
      <w:r>
        <w:rPr>
          <w:szCs w:val="22"/>
        </w:rPr>
        <w:t xml:space="preserve">  In addition, </w:t>
      </w:r>
      <w:r w:rsidR="00AE54B8">
        <w:rPr>
          <w:szCs w:val="22"/>
        </w:rPr>
        <w:t xml:space="preserve">a </w:t>
      </w:r>
      <w:r>
        <w:rPr>
          <w:szCs w:val="22"/>
        </w:rPr>
        <w:t>petitioner must demonstrate a causal link between the claimed injury and the challenged action</w:t>
      </w:r>
      <w:r w:rsidR="00AE54B8">
        <w:rPr>
          <w:szCs w:val="22"/>
        </w:rPr>
        <w:t xml:space="preserve">:  it must </w:t>
      </w:r>
      <w:r>
        <w:rPr>
          <w:szCs w:val="22"/>
        </w:rPr>
        <w:t>demonstrate that the injury can be traced to the challenged action</w:t>
      </w:r>
      <w:r w:rsidR="0016168F">
        <w:rPr>
          <w:szCs w:val="22"/>
        </w:rPr>
        <w:t xml:space="preserve"> </w:t>
      </w:r>
      <w:r>
        <w:rPr>
          <w:szCs w:val="22"/>
        </w:rPr>
        <w:t>and that the injury would be prevented or redressed by the relief requested.</w:t>
      </w:r>
      <w:r>
        <w:rPr>
          <w:rStyle w:val="FootnoteReference"/>
          <w:szCs w:val="22"/>
        </w:rPr>
        <w:footnoteReference w:id="25"/>
      </w:r>
    </w:p>
    <w:p w:rsidR="00CC78CD" w:rsidRPr="009954AE" w:rsidRDefault="003D3C3A" w:rsidP="0026062C">
      <w:pPr>
        <w:pStyle w:val="ParaNum"/>
        <w:widowControl/>
        <w:tabs>
          <w:tab w:val="clear" w:pos="1440"/>
        </w:tabs>
        <w:jc w:val="left"/>
        <w:rPr>
          <w:szCs w:val="22"/>
        </w:rPr>
      </w:pPr>
      <w:r>
        <w:t xml:space="preserve">We find that </w:t>
      </w:r>
      <w:r w:rsidR="002643B4">
        <w:t>Waimana’s</w:t>
      </w:r>
      <w:r w:rsidR="00873756">
        <w:t xml:space="preserve"> </w:t>
      </w:r>
      <w:r w:rsidR="00AE54B8">
        <w:t xml:space="preserve">Petition </w:t>
      </w:r>
      <w:r w:rsidR="002643B4">
        <w:t>fails to assert</w:t>
      </w:r>
      <w:r w:rsidR="00AE54B8">
        <w:t xml:space="preserve"> </w:t>
      </w:r>
      <w:r w:rsidR="00716BCD">
        <w:t xml:space="preserve">specific allegations of fact </w:t>
      </w:r>
      <w:r>
        <w:t xml:space="preserve">sufficient to show that </w:t>
      </w:r>
      <w:r w:rsidR="002643B4">
        <w:t>Waimana is a party-in-</w:t>
      </w:r>
      <w:r>
        <w:t>interest</w:t>
      </w:r>
      <w:r w:rsidR="00AE54B8">
        <w:t xml:space="preserve"> with respect to this </w:t>
      </w:r>
      <w:r w:rsidR="002643B4">
        <w:t xml:space="preserve">particular </w:t>
      </w:r>
      <w:r w:rsidR="00AE54B8">
        <w:t>transaction</w:t>
      </w:r>
      <w:r w:rsidR="00716BCD">
        <w:t xml:space="preserve">.  </w:t>
      </w:r>
      <w:r w:rsidR="00CC78CD">
        <w:t>The P</w:t>
      </w:r>
      <w:r w:rsidR="002643B4">
        <w:t>etition</w:t>
      </w:r>
      <w:r w:rsidR="0067257F">
        <w:t>’s explanation as to</w:t>
      </w:r>
      <w:r w:rsidR="00CC78CD">
        <w:t xml:space="preserve"> how </w:t>
      </w:r>
      <w:r w:rsidR="002643B4">
        <w:t>Waimana</w:t>
      </w:r>
      <w:r w:rsidR="00CC78CD">
        <w:t xml:space="preserve"> might be </w:t>
      </w:r>
      <w:r w:rsidR="0067257F">
        <w:t xml:space="preserve">directly </w:t>
      </w:r>
      <w:r w:rsidR="00CC78CD">
        <w:t xml:space="preserve">injured by an assignment of spectrum to </w:t>
      </w:r>
      <w:r w:rsidR="002643B4">
        <w:t>Verizon Wireless</w:t>
      </w:r>
      <w:r w:rsidR="0067257F">
        <w:t xml:space="preserve"> is speculative and vague</w:t>
      </w:r>
      <w:r w:rsidR="006B7CF2">
        <w:t xml:space="preserve">, and </w:t>
      </w:r>
      <w:r w:rsidR="00F6739D">
        <w:t xml:space="preserve">fails to show how </w:t>
      </w:r>
      <w:r w:rsidR="006B7CF2">
        <w:t xml:space="preserve">grant of the Applications </w:t>
      </w:r>
      <w:r w:rsidR="00F6739D">
        <w:t>might</w:t>
      </w:r>
      <w:r w:rsidR="006B7CF2">
        <w:t xml:space="preserve"> impact Waimana’s ability to access USF support.</w:t>
      </w:r>
      <w:r w:rsidR="00897691">
        <w:t xml:space="preserve">  We note that Waimana’s assertion of standing can be distinguished</w:t>
      </w:r>
      <w:r w:rsidR="003028E4">
        <w:t xml:space="preserve"> from that </w:t>
      </w:r>
      <w:r w:rsidR="00897691">
        <w:t>in</w:t>
      </w:r>
      <w:r w:rsidR="001E645D">
        <w:t xml:space="preserve"> the</w:t>
      </w:r>
      <w:r w:rsidR="00897691">
        <w:t xml:space="preserve"> </w:t>
      </w:r>
      <w:r w:rsidR="0016168F">
        <w:rPr>
          <w:i/>
        </w:rPr>
        <w:t xml:space="preserve">Verizon </w:t>
      </w:r>
      <w:r w:rsidR="00EC65A3">
        <w:rPr>
          <w:i/>
        </w:rPr>
        <w:t>Wireless</w:t>
      </w:r>
      <w:r w:rsidR="0016168F">
        <w:rPr>
          <w:i/>
        </w:rPr>
        <w:t>–ENMR Order</w:t>
      </w:r>
      <w:r w:rsidR="003028E4">
        <w:t xml:space="preserve">, </w:t>
      </w:r>
      <w:r w:rsidR="0055007D">
        <w:t xml:space="preserve">for example, </w:t>
      </w:r>
      <w:r w:rsidR="003028E4">
        <w:t xml:space="preserve">where </w:t>
      </w:r>
      <w:r w:rsidR="001E645D">
        <w:t>the</w:t>
      </w:r>
      <w:r w:rsidR="003028E4">
        <w:t xml:space="preserve"> petitioner, </w:t>
      </w:r>
      <w:r w:rsidR="00F6739D">
        <w:t xml:space="preserve">a </w:t>
      </w:r>
      <w:r w:rsidR="0016168F">
        <w:t xml:space="preserve">provider </w:t>
      </w:r>
      <w:r w:rsidR="00897691">
        <w:t xml:space="preserve">with </w:t>
      </w:r>
      <w:r w:rsidR="005D5AB3">
        <w:t>T</w:t>
      </w:r>
      <w:r w:rsidR="00897691">
        <w:t>ribal interests</w:t>
      </w:r>
      <w:r w:rsidR="003028E4">
        <w:t>,</w:t>
      </w:r>
      <w:r w:rsidR="00897691">
        <w:t xml:space="preserve"> could establish standing by raising competitive issues specific to the transaction at issue and where the proposed assignor leased facility space from </w:t>
      </w:r>
      <w:r w:rsidR="001E645D">
        <w:t xml:space="preserve">the </w:t>
      </w:r>
      <w:r w:rsidR="00897691">
        <w:t>petitioner.</w:t>
      </w:r>
      <w:r w:rsidR="00897691">
        <w:rPr>
          <w:rStyle w:val="FootnoteReference"/>
        </w:rPr>
        <w:footnoteReference w:id="26"/>
      </w:r>
      <w:r w:rsidR="0058660D">
        <w:t xml:space="preserve">  </w:t>
      </w:r>
      <w:r w:rsidR="003028E4">
        <w:t>For these reasons</w:t>
      </w:r>
      <w:r w:rsidR="000416FD">
        <w:t>, w</w:t>
      </w:r>
      <w:r w:rsidR="000939DD">
        <w:t xml:space="preserve">e dismiss the </w:t>
      </w:r>
      <w:r w:rsidR="009954AE">
        <w:t>Petition</w:t>
      </w:r>
      <w:r w:rsidR="000939DD">
        <w:t xml:space="preserve"> for lack of party-in-interest standing.</w:t>
      </w:r>
      <w:r w:rsidR="00BE577D">
        <w:rPr>
          <w:rStyle w:val="FootnoteReference"/>
        </w:rPr>
        <w:footnoteReference w:id="27"/>
      </w:r>
    </w:p>
    <w:p w:rsidR="009954AE" w:rsidRPr="00B01E96" w:rsidRDefault="009954AE" w:rsidP="0026062C">
      <w:pPr>
        <w:pStyle w:val="ParaNum"/>
        <w:widowControl/>
        <w:tabs>
          <w:tab w:val="clear" w:pos="1440"/>
        </w:tabs>
        <w:jc w:val="left"/>
        <w:rPr>
          <w:szCs w:val="22"/>
        </w:rPr>
      </w:pPr>
      <w:r>
        <w:t>Even if</w:t>
      </w:r>
      <w:r w:rsidR="008C56FB">
        <w:t xml:space="preserve"> </w:t>
      </w:r>
      <w:r>
        <w:t xml:space="preserve">Waimana could establish party-in-interest standing, </w:t>
      </w:r>
      <w:r w:rsidR="008C56FB">
        <w:t xml:space="preserve">however, </w:t>
      </w:r>
      <w:r>
        <w:t xml:space="preserve">we </w:t>
      </w:r>
      <w:r w:rsidR="005935FB">
        <w:t xml:space="preserve">still </w:t>
      </w:r>
      <w:r>
        <w:t xml:space="preserve">would </w:t>
      </w:r>
      <w:r w:rsidR="00E65013">
        <w:t>dismiss</w:t>
      </w:r>
      <w:r>
        <w:t xml:space="preserve"> the Petition because the </w:t>
      </w:r>
      <w:r w:rsidR="00B76FBC">
        <w:t>alleged section 254(e) violation</w:t>
      </w:r>
      <w:r>
        <w:t xml:space="preserve"> </w:t>
      </w:r>
      <w:r w:rsidR="005935FB">
        <w:t xml:space="preserve">upon which Waimana relies </w:t>
      </w:r>
      <w:r w:rsidR="00E65013">
        <w:t>would be better addressed in a different proceeding</w:t>
      </w:r>
      <w:r w:rsidR="000416FD">
        <w:t xml:space="preserve">.  </w:t>
      </w:r>
      <w:r w:rsidR="0014574E">
        <w:t xml:space="preserve">Although </w:t>
      </w:r>
      <w:r w:rsidR="0014574E" w:rsidRPr="00B01E96">
        <w:rPr>
          <w:szCs w:val="22"/>
        </w:rPr>
        <w:t>the Commission possesses broad discretion to review a variety of factors in making a public interest determination with res</w:t>
      </w:r>
      <w:r w:rsidR="00581EE4" w:rsidRPr="00B01E96">
        <w:rPr>
          <w:szCs w:val="22"/>
        </w:rPr>
        <w:t xml:space="preserve">pect to an assignment </w:t>
      </w:r>
      <w:r w:rsidR="0014574E" w:rsidRPr="00B01E96">
        <w:rPr>
          <w:szCs w:val="22"/>
        </w:rPr>
        <w:t>application,</w:t>
      </w:r>
      <w:r w:rsidR="00BB4AC8">
        <w:rPr>
          <w:rStyle w:val="FootnoteReference"/>
          <w:szCs w:val="22"/>
        </w:rPr>
        <w:footnoteReference w:id="28"/>
      </w:r>
      <w:r w:rsidR="0014574E" w:rsidRPr="00B01E96">
        <w:rPr>
          <w:szCs w:val="22"/>
        </w:rPr>
        <w:t xml:space="preserve"> </w:t>
      </w:r>
      <w:r w:rsidR="00BC4148">
        <w:rPr>
          <w:szCs w:val="22"/>
        </w:rPr>
        <w:t>the</w:t>
      </w:r>
      <w:r w:rsidR="003028E4" w:rsidRPr="00B01E96">
        <w:rPr>
          <w:szCs w:val="22"/>
        </w:rPr>
        <w:t xml:space="preserve"> type of allegation </w:t>
      </w:r>
      <w:r w:rsidR="00BC4148">
        <w:rPr>
          <w:szCs w:val="22"/>
        </w:rPr>
        <w:t xml:space="preserve">that Waimana raises </w:t>
      </w:r>
      <w:r w:rsidR="003028E4" w:rsidRPr="00B01E96">
        <w:rPr>
          <w:szCs w:val="22"/>
        </w:rPr>
        <w:t>is bet</w:t>
      </w:r>
      <w:r w:rsidR="00CA228F">
        <w:rPr>
          <w:szCs w:val="22"/>
        </w:rPr>
        <w:t>ter</w:t>
      </w:r>
      <w:r w:rsidR="003028E4" w:rsidRPr="00B01E96">
        <w:rPr>
          <w:szCs w:val="22"/>
        </w:rPr>
        <w:t xml:space="preserve"> left to be considered in an appropriate enforcement forum.</w:t>
      </w:r>
      <w:r w:rsidR="003028E4">
        <w:rPr>
          <w:rStyle w:val="FootnoteReference"/>
          <w:szCs w:val="22"/>
        </w:rPr>
        <w:footnoteReference w:id="29"/>
      </w:r>
      <w:r w:rsidR="003028E4" w:rsidRPr="00B01E96">
        <w:rPr>
          <w:szCs w:val="22"/>
        </w:rPr>
        <w:t xml:space="preserve">  </w:t>
      </w:r>
      <w:r w:rsidR="00E6287D">
        <w:rPr>
          <w:szCs w:val="22"/>
        </w:rPr>
        <w:t xml:space="preserve">Our decision here to dismiss the Petition in no way would prevent the </w:t>
      </w:r>
      <w:r w:rsidR="00431AED">
        <w:rPr>
          <w:szCs w:val="22"/>
        </w:rPr>
        <w:t xml:space="preserve">submission </w:t>
      </w:r>
      <w:r w:rsidR="00E41ABE">
        <w:rPr>
          <w:szCs w:val="22"/>
        </w:rPr>
        <w:t xml:space="preserve">of a complaint by the public or the </w:t>
      </w:r>
      <w:r w:rsidR="00431AED">
        <w:rPr>
          <w:szCs w:val="22"/>
        </w:rPr>
        <w:t xml:space="preserve">initiation </w:t>
      </w:r>
      <w:r w:rsidR="00E41ABE">
        <w:rPr>
          <w:szCs w:val="22"/>
        </w:rPr>
        <w:t xml:space="preserve">of </w:t>
      </w:r>
      <w:r w:rsidR="00E6287D">
        <w:rPr>
          <w:szCs w:val="22"/>
        </w:rPr>
        <w:t>an enforcement action against even former licensees.</w:t>
      </w:r>
      <w:r w:rsidR="00E6287D">
        <w:rPr>
          <w:rStyle w:val="FootnoteReference"/>
          <w:szCs w:val="22"/>
        </w:rPr>
        <w:footnoteReference w:id="30"/>
      </w:r>
      <w:r w:rsidR="00E6287D">
        <w:rPr>
          <w:szCs w:val="22"/>
        </w:rPr>
        <w:t xml:space="preserve">  Moreover, t</w:t>
      </w:r>
      <w:r w:rsidR="00B01E96" w:rsidRPr="00B01E96">
        <w:rPr>
          <w:szCs w:val="22"/>
        </w:rPr>
        <w:t xml:space="preserve">he </w:t>
      </w:r>
      <w:r w:rsidR="00E6287D">
        <w:rPr>
          <w:szCs w:val="22"/>
        </w:rPr>
        <w:t>mis</w:t>
      </w:r>
      <w:r w:rsidR="00B01E96" w:rsidRPr="00B01E96">
        <w:rPr>
          <w:szCs w:val="22"/>
        </w:rPr>
        <w:t xml:space="preserve">conduct </w:t>
      </w:r>
      <w:r w:rsidR="00E6287D">
        <w:rPr>
          <w:szCs w:val="22"/>
        </w:rPr>
        <w:t xml:space="preserve">alleged by Waimana </w:t>
      </w:r>
      <w:r w:rsidR="00B01E96" w:rsidRPr="00B01E96">
        <w:rPr>
          <w:szCs w:val="22"/>
        </w:rPr>
        <w:t xml:space="preserve">is not of the type created or exacerbated by the proposed transaction.  Waimana does not allege </w:t>
      </w:r>
      <w:r w:rsidR="003028E4" w:rsidRPr="00B01E96">
        <w:rPr>
          <w:szCs w:val="22"/>
        </w:rPr>
        <w:t xml:space="preserve">that the proposed transaction itself would result in a </w:t>
      </w:r>
      <w:r w:rsidR="003028E4" w:rsidRPr="00B01E96">
        <w:rPr>
          <w:i/>
          <w:szCs w:val="22"/>
        </w:rPr>
        <w:t>per se</w:t>
      </w:r>
      <w:r w:rsidR="003028E4" w:rsidRPr="00B01E96">
        <w:rPr>
          <w:szCs w:val="22"/>
        </w:rPr>
        <w:t xml:space="preserve"> violation of any Commission rule, nor has it demonstrated how the alleged violation is related to the proposed transaction before us.</w:t>
      </w:r>
      <w:r w:rsidR="003028E4">
        <w:rPr>
          <w:rStyle w:val="FootnoteReference"/>
          <w:szCs w:val="22"/>
        </w:rPr>
        <w:footnoteReference w:id="31"/>
      </w:r>
      <w:r w:rsidR="003028E4" w:rsidRPr="00B01E96">
        <w:rPr>
          <w:szCs w:val="22"/>
        </w:rPr>
        <w:t xml:space="preserve">  </w:t>
      </w:r>
      <w:r w:rsidR="00E6287D">
        <w:rPr>
          <w:szCs w:val="22"/>
        </w:rPr>
        <w:t>Furthermore</w:t>
      </w:r>
      <w:r w:rsidR="008C56FB" w:rsidRPr="00B01E96">
        <w:rPr>
          <w:szCs w:val="22"/>
        </w:rPr>
        <w:t>,</w:t>
      </w:r>
      <w:r w:rsidR="00DD2B59" w:rsidRPr="00B01E96">
        <w:rPr>
          <w:szCs w:val="22"/>
        </w:rPr>
        <w:t xml:space="preserve"> we </w:t>
      </w:r>
      <w:r w:rsidR="008C56FB" w:rsidRPr="00B01E96">
        <w:rPr>
          <w:szCs w:val="22"/>
        </w:rPr>
        <w:t xml:space="preserve">would not </w:t>
      </w:r>
      <w:r w:rsidR="00DD2B59" w:rsidRPr="00B01E96">
        <w:rPr>
          <w:szCs w:val="22"/>
        </w:rPr>
        <w:t xml:space="preserve">impose the conditions that Waimana alternatively has requested, as </w:t>
      </w:r>
      <w:r w:rsidR="00C5044F" w:rsidRPr="00B01E96">
        <w:rPr>
          <w:szCs w:val="22"/>
        </w:rPr>
        <w:t xml:space="preserve">the Commission </w:t>
      </w:r>
      <w:r w:rsidR="008C56FB" w:rsidRPr="00B01E96">
        <w:rPr>
          <w:szCs w:val="22"/>
        </w:rPr>
        <w:t>impose</w:t>
      </w:r>
      <w:r w:rsidR="00B01E96">
        <w:rPr>
          <w:szCs w:val="22"/>
        </w:rPr>
        <w:t>s</w:t>
      </w:r>
      <w:r w:rsidR="008C56FB" w:rsidRPr="00B01E96">
        <w:rPr>
          <w:szCs w:val="22"/>
        </w:rPr>
        <w:t xml:space="preserve"> such conditions</w:t>
      </w:r>
      <w:r w:rsidR="00C5044F" w:rsidRPr="00B01E96">
        <w:rPr>
          <w:szCs w:val="22"/>
        </w:rPr>
        <w:t xml:space="preserve"> only to remedy harms that arise from a transaction (</w:t>
      </w:r>
      <w:r w:rsidR="00C5044F" w:rsidRPr="00B01E96">
        <w:rPr>
          <w:i/>
          <w:szCs w:val="22"/>
        </w:rPr>
        <w:t>i.e.</w:t>
      </w:r>
      <w:r w:rsidR="00C5044F" w:rsidRPr="00B01E96">
        <w:rPr>
          <w:szCs w:val="22"/>
        </w:rPr>
        <w:t>, transaction-specific harms)</w:t>
      </w:r>
      <w:r w:rsidR="00DD2B59" w:rsidRPr="00B01E96">
        <w:rPr>
          <w:szCs w:val="22"/>
        </w:rPr>
        <w:t>,</w:t>
      </w:r>
      <w:r w:rsidR="00C5044F">
        <w:rPr>
          <w:rStyle w:val="FootnoteReference"/>
          <w:szCs w:val="22"/>
        </w:rPr>
        <w:footnoteReference w:id="32"/>
      </w:r>
      <w:r w:rsidR="00C46199" w:rsidRPr="00B01E96">
        <w:rPr>
          <w:szCs w:val="22"/>
        </w:rPr>
        <w:t xml:space="preserve"> </w:t>
      </w:r>
      <w:r w:rsidR="00DD2B59" w:rsidRPr="00B01E96">
        <w:rPr>
          <w:szCs w:val="22"/>
        </w:rPr>
        <w:t xml:space="preserve">and </w:t>
      </w:r>
      <w:r w:rsidR="00B01E96">
        <w:rPr>
          <w:szCs w:val="22"/>
        </w:rPr>
        <w:t>Waimana</w:t>
      </w:r>
      <w:r w:rsidR="00DD2B59" w:rsidRPr="00B01E96">
        <w:rPr>
          <w:szCs w:val="22"/>
        </w:rPr>
        <w:t xml:space="preserve"> has made no such demonstration here. </w:t>
      </w:r>
      <w:r w:rsidR="00C46199" w:rsidRPr="00B01E96">
        <w:rPr>
          <w:szCs w:val="22"/>
        </w:rPr>
        <w:t xml:space="preserve"> Accordingly, we </w:t>
      </w:r>
      <w:r w:rsidR="001E645D">
        <w:rPr>
          <w:szCs w:val="22"/>
        </w:rPr>
        <w:t xml:space="preserve">still </w:t>
      </w:r>
      <w:r w:rsidR="003958EA">
        <w:rPr>
          <w:szCs w:val="22"/>
        </w:rPr>
        <w:t xml:space="preserve">would </w:t>
      </w:r>
      <w:r w:rsidR="00C46199" w:rsidRPr="00B01E96">
        <w:rPr>
          <w:szCs w:val="22"/>
        </w:rPr>
        <w:t xml:space="preserve">dismiss the Petition because Waimana’s allegations </w:t>
      </w:r>
      <w:r w:rsidR="00B01E96">
        <w:rPr>
          <w:szCs w:val="22"/>
        </w:rPr>
        <w:t>are</w:t>
      </w:r>
      <w:r w:rsidR="00C46199" w:rsidRPr="00B01E96">
        <w:rPr>
          <w:szCs w:val="22"/>
        </w:rPr>
        <w:t xml:space="preserve"> better addressed elsewhere.</w:t>
      </w:r>
      <w:r w:rsidR="00315FF4">
        <w:rPr>
          <w:rStyle w:val="FootnoteReference"/>
          <w:szCs w:val="22"/>
        </w:rPr>
        <w:footnoteReference w:id="33"/>
      </w:r>
    </w:p>
    <w:p w:rsidR="00790FE3" w:rsidRDefault="00790FE3" w:rsidP="00790FE3">
      <w:pPr>
        <w:pStyle w:val="Heading1"/>
      </w:pPr>
      <w:r>
        <w:t>ordering clauses</w:t>
      </w:r>
    </w:p>
    <w:p w:rsidR="00FD451E" w:rsidRPr="000939DD" w:rsidRDefault="00FD451E" w:rsidP="00CA7E3E">
      <w:pPr>
        <w:pStyle w:val="ParaNum"/>
        <w:jc w:val="left"/>
      </w:pPr>
      <w:r w:rsidRPr="000939DD">
        <w:t>Accordingly, having reviewed the Application</w:t>
      </w:r>
      <w:r w:rsidR="0055007D">
        <w:t>s</w:t>
      </w:r>
      <w:r w:rsidRPr="000939DD">
        <w:t xml:space="preserve"> and the record in this matter, IT IS ORDERED that, pursuant to sections 4(i) and (j), 309, and 310(d) of the Communications Act of 1934, as amended, 47 U.S.C. §§ 154(i), (j), 309, 310(d), the Petition </w:t>
      </w:r>
      <w:r w:rsidR="001B7E5C">
        <w:t>to Deny</w:t>
      </w:r>
      <w:r w:rsidRPr="000939DD">
        <w:t xml:space="preserve"> filed by </w:t>
      </w:r>
      <w:r w:rsidR="001B7E5C">
        <w:t>Waimana Enterprises, Inc. is</w:t>
      </w:r>
      <w:r w:rsidRPr="000939DD">
        <w:t xml:space="preserve"> hereby DISMISSED for the reasons stated herein.</w:t>
      </w:r>
    </w:p>
    <w:p w:rsidR="000939DD" w:rsidRPr="000939DD" w:rsidRDefault="000939DD" w:rsidP="0028617A">
      <w:pPr>
        <w:pStyle w:val="ParaNum"/>
        <w:widowControl/>
        <w:jc w:val="left"/>
      </w:pPr>
      <w:r w:rsidRPr="000939DD">
        <w:t xml:space="preserve">IT IS FURTHER ORDERED, pursuant to sections 4(i) and 309 of the Communications Act of 1934, as amended, 47 U.S.C. §§ 154(i), 309, that the </w:t>
      </w:r>
      <w:r w:rsidR="0028617A">
        <w:t xml:space="preserve">staff of the </w:t>
      </w:r>
      <w:r w:rsidRPr="0028617A">
        <w:t>Mobility</w:t>
      </w:r>
      <w:r w:rsidRPr="000939DD">
        <w:t xml:space="preserve"> Division of the Wireless Telecommunications Bureau SHALL PROCESS the following application</w:t>
      </w:r>
      <w:r w:rsidR="001B7E5C">
        <w:t>s</w:t>
      </w:r>
      <w:r w:rsidRPr="000939DD">
        <w:t xml:space="preserve"> consistent with this </w:t>
      </w:r>
      <w:r w:rsidRPr="0028617A">
        <w:rPr>
          <w:i/>
        </w:rPr>
        <w:t>Order</w:t>
      </w:r>
      <w:r w:rsidR="0028617A">
        <w:t xml:space="preserve"> and the Commission’s r</w:t>
      </w:r>
      <w:r w:rsidRPr="000939DD">
        <w:t xml:space="preserve">ules: </w:t>
      </w:r>
      <w:r w:rsidR="0028617A">
        <w:t xml:space="preserve"> </w:t>
      </w:r>
      <w:r w:rsidRPr="000939DD">
        <w:t>ULS File No</w:t>
      </w:r>
      <w:r w:rsidR="001B7E5C">
        <w:t>s</w:t>
      </w:r>
      <w:r w:rsidRPr="000939DD">
        <w:t xml:space="preserve">. </w:t>
      </w:r>
      <w:r w:rsidR="001B7E5C" w:rsidRPr="00356720">
        <w:rPr>
          <w:szCs w:val="22"/>
        </w:rPr>
        <w:t>0006225924 and 0006225931</w:t>
      </w:r>
      <w:r w:rsidRPr="000939DD">
        <w:t>.</w:t>
      </w:r>
    </w:p>
    <w:p w:rsidR="00FA29A2" w:rsidRPr="00EA12E6" w:rsidRDefault="00FA29A2" w:rsidP="00611335">
      <w:pPr>
        <w:pStyle w:val="ParaNum"/>
        <w:keepNext/>
        <w:widowControl/>
        <w:jc w:val="left"/>
      </w:pPr>
      <w:r w:rsidRPr="00EA12E6">
        <w:rPr>
          <w:szCs w:val="22"/>
        </w:rPr>
        <w:t xml:space="preserve">This action is taken under delegated authority pursuant to sections 0.131 and 0.331 of the Commission’s </w:t>
      </w:r>
      <w:r w:rsidR="0028617A">
        <w:rPr>
          <w:szCs w:val="22"/>
        </w:rPr>
        <w:t>r</w:t>
      </w:r>
      <w:r w:rsidRPr="00EA12E6">
        <w:rPr>
          <w:szCs w:val="22"/>
        </w:rPr>
        <w:t>ules, 47 C.F.R. §§ 0.131, 0.331.</w:t>
      </w:r>
    </w:p>
    <w:p w:rsidR="00FA29A2" w:rsidRDefault="00FA29A2" w:rsidP="00FA29A2">
      <w:pPr>
        <w:pStyle w:val="ParaNum"/>
        <w:widowControl/>
        <w:numPr>
          <w:ilvl w:val="0"/>
          <w:numId w:val="0"/>
        </w:numPr>
        <w:ind w:left="3600" w:firstLine="720"/>
        <w:outlineLvl w:val="0"/>
      </w:pPr>
      <w:r>
        <w:t>FEDERAL COMMUNICATIONS COMMISSION</w:t>
      </w:r>
    </w:p>
    <w:p w:rsidR="00FA29A2" w:rsidRDefault="00FA29A2" w:rsidP="00FA29A2">
      <w:pPr>
        <w:pStyle w:val="ParaNum"/>
        <w:widowControl/>
        <w:numPr>
          <w:ilvl w:val="0"/>
          <w:numId w:val="0"/>
        </w:numPr>
      </w:pPr>
    </w:p>
    <w:p w:rsidR="00FA29A2" w:rsidRDefault="00611335" w:rsidP="000939DD">
      <w:pPr>
        <w:ind w:left="4320"/>
      </w:pPr>
      <w:r>
        <w:t>Katherine M. Harris</w:t>
      </w:r>
    </w:p>
    <w:p w:rsidR="00611335" w:rsidRDefault="00611335" w:rsidP="000939DD">
      <w:pPr>
        <w:ind w:left="4320"/>
      </w:pPr>
      <w:r>
        <w:t>Deputy Chief, Mobility Division</w:t>
      </w:r>
    </w:p>
    <w:p w:rsidR="00FA29A2" w:rsidRPr="006B57F5" w:rsidRDefault="00611335" w:rsidP="0007517D">
      <w:pPr>
        <w:ind w:left="4320"/>
      </w:pPr>
      <w:r>
        <w:t>Wireless Telecommunications Bureau</w:t>
      </w:r>
    </w:p>
    <w:sectPr w:rsidR="00FA29A2" w:rsidRPr="006B57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63" w:rsidRDefault="002C0963">
      <w:r>
        <w:separator/>
      </w:r>
    </w:p>
  </w:endnote>
  <w:endnote w:type="continuationSeparator" w:id="0">
    <w:p w:rsidR="002C0963" w:rsidRDefault="002C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85" w:rsidRDefault="00F42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E4" w:rsidRDefault="00BC4148">
    <w:pPr>
      <w:pStyle w:val="Footer"/>
      <w:jc w:val="center"/>
    </w:pPr>
    <w:r>
      <w:fldChar w:fldCharType="begin"/>
    </w:r>
    <w:r>
      <w:instrText xml:space="preserve"> PAGE   \* MERGEFORMAT </w:instrText>
    </w:r>
    <w:r>
      <w:fldChar w:fldCharType="separate"/>
    </w:r>
    <w:r w:rsidR="00BF5D35">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85" w:rsidRDefault="00F42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63" w:rsidRDefault="002C0963">
      <w:pPr>
        <w:rPr>
          <w:sz w:val="20"/>
        </w:rPr>
      </w:pPr>
      <w:r>
        <w:rPr>
          <w:sz w:val="20"/>
        </w:rPr>
        <w:separator/>
      </w:r>
    </w:p>
  </w:footnote>
  <w:footnote w:type="continuationSeparator" w:id="0">
    <w:p w:rsidR="002C0963" w:rsidRDefault="002C0963">
      <w:pPr>
        <w:rPr>
          <w:sz w:val="20"/>
        </w:rPr>
      </w:pPr>
      <w:r>
        <w:rPr>
          <w:sz w:val="20"/>
        </w:rPr>
        <w:separator/>
      </w:r>
    </w:p>
    <w:p w:rsidR="002C0963" w:rsidRDefault="002C0963">
      <w:pPr>
        <w:rPr>
          <w:sz w:val="20"/>
        </w:rPr>
      </w:pPr>
      <w:r>
        <w:rPr>
          <w:sz w:val="20"/>
        </w:rPr>
        <w:t>(...continued from previous page)</w:t>
      </w:r>
    </w:p>
  </w:footnote>
  <w:footnote w:type="continuationNotice" w:id="1">
    <w:p w:rsidR="002C0963" w:rsidRDefault="002C0963">
      <w:pPr>
        <w:jc w:val="right"/>
        <w:rPr>
          <w:sz w:val="20"/>
        </w:rPr>
      </w:pPr>
      <w:r>
        <w:rPr>
          <w:sz w:val="20"/>
        </w:rPr>
        <w:t>(continued....)</w:t>
      </w:r>
    </w:p>
  </w:footnote>
  <w:footnote w:id="2">
    <w:p w:rsidR="003028E4" w:rsidRDefault="003028E4">
      <w:pPr>
        <w:pStyle w:val="FootnoteText"/>
      </w:pPr>
      <w:r>
        <w:rPr>
          <w:rStyle w:val="FootnoteReference"/>
        </w:rPr>
        <w:footnoteRef/>
      </w:r>
      <w:r>
        <w:t xml:space="preserve"> Petition to Deny of Waimana Enterprises, Inc., filed June 4, 2014.</w:t>
      </w:r>
    </w:p>
  </w:footnote>
  <w:footnote w:id="3">
    <w:p w:rsidR="003028E4" w:rsidRDefault="003028E4">
      <w:pPr>
        <w:pStyle w:val="FootnoteText"/>
      </w:pPr>
      <w:r>
        <w:rPr>
          <w:rStyle w:val="FootnoteReference"/>
        </w:rPr>
        <w:footnoteRef/>
      </w:r>
      <w:r>
        <w:t xml:space="preserve"> ULS File Nos. </w:t>
      </w:r>
      <w:r w:rsidRPr="00356720">
        <w:rPr>
          <w:szCs w:val="22"/>
        </w:rPr>
        <w:t>0006225924</w:t>
      </w:r>
      <w:r>
        <w:rPr>
          <w:szCs w:val="22"/>
        </w:rPr>
        <w:t xml:space="preserve"> and</w:t>
      </w:r>
      <w:r w:rsidRPr="00356720">
        <w:rPr>
          <w:szCs w:val="22"/>
        </w:rPr>
        <w:t xml:space="preserve"> 0006225931</w:t>
      </w:r>
      <w:r>
        <w:t xml:space="preserve"> (the “Applications”).</w:t>
      </w:r>
    </w:p>
  </w:footnote>
  <w:footnote w:id="4">
    <w:p w:rsidR="00B07F0B" w:rsidRDefault="00B07F0B">
      <w:pPr>
        <w:pStyle w:val="FootnoteText"/>
      </w:pPr>
      <w:r>
        <w:rPr>
          <w:rStyle w:val="FootnoteReference"/>
        </w:rPr>
        <w:footnoteRef/>
      </w:r>
      <w:r>
        <w:t xml:space="preserve"> The Applications were amended on Sept. 5, 2014.</w:t>
      </w:r>
    </w:p>
  </w:footnote>
  <w:footnote w:id="5">
    <w:p w:rsidR="003028E4" w:rsidRDefault="003028E4" w:rsidP="00CA4A0B">
      <w:pPr>
        <w:pStyle w:val="FootnoteText"/>
      </w:pPr>
      <w:r>
        <w:rPr>
          <w:rStyle w:val="FootnoteReference"/>
        </w:rPr>
        <w:footnoteRef/>
      </w:r>
      <w:r>
        <w:t xml:space="preserve"> 47 U.S.C. § 310(d).  </w:t>
      </w:r>
    </w:p>
  </w:footnote>
  <w:footnote w:id="6">
    <w:p w:rsidR="003028E4" w:rsidRPr="00B843AA" w:rsidRDefault="003028E4">
      <w:pPr>
        <w:pStyle w:val="FootnoteText"/>
      </w:pPr>
      <w:r>
        <w:rPr>
          <w:rStyle w:val="FootnoteReference"/>
        </w:rPr>
        <w:footnoteRef/>
      </w:r>
      <w:r>
        <w:t xml:space="preserve"> Cellco Partnership d/b/a Verizon Wireless, Coral Wireless, LLC and Coral Wireless Licenses, LLC Seek FCC Consent to the Assignment of Seven Personal Communications Service Licenses Covering Hawaii, ULS File Nos. </w:t>
      </w:r>
      <w:r w:rsidRPr="00356720">
        <w:rPr>
          <w:szCs w:val="22"/>
        </w:rPr>
        <w:t>0006225924</w:t>
      </w:r>
      <w:r>
        <w:rPr>
          <w:szCs w:val="22"/>
        </w:rPr>
        <w:t xml:space="preserve"> and</w:t>
      </w:r>
      <w:r w:rsidRPr="00356720">
        <w:rPr>
          <w:szCs w:val="22"/>
        </w:rPr>
        <w:t xml:space="preserve"> 0006225931</w:t>
      </w:r>
      <w:r>
        <w:t xml:space="preserve">, </w:t>
      </w:r>
      <w:r>
        <w:rPr>
          <w:i/>
        </w:rPr>
        <w:t>Public Notice</w:t>
      </w:r>
      <w:r>
        <w:t>, DA 14-690 (rel. May 21, 2014) (“</w:t>
      </w:r>
      <w:r>
        <w:rPr>
          <w:i/>
        </w:rPr>
        <w:t>Comment Public Notice</w:t>
      </w:r>
      <w:r>
        <w:t>”).</w:t>
      </w:r>
    </w:p>
  </w:footnote>
  <w:footnote w:id="7">
    <w:p w:rsidR="003028E4" w:rsidRDefault="003028E4">
      <w:pPr>
        <w:pStyle w:val="FootnoteText"/>
      </w:pPr>
      <w:r>
        <w:rPr>
          <w:rStyle w:val="FootnoteReference"/>
        </w:rPr>
        <w:footnoteRef/>
      </w:r>
      <w:r>
        <w:t xml:space="preserve"> Petition at 10-12</w:t>
      </w:r>
      <w:r w:rsidR="00B11C07">
        <w:t>; Supplement to Petition to Deny of Waimana Enterprises, Inc., filed Sept. 15, 2014 at 2 (“Waimana Supplement”).</w:t>
      </w:r>
    </w:p>
  </w:footnote>
  <w:footnote w:id="8">
    <w:p w:rsidR="00252871" w:rsidRDefault="00252871" w:rsidP="00252871">
      <w:pPr>
        <w:pStyle w:val="FootnoteText"/>
      </w:pPr>
      <w:r>
        <w:rPr>
          <w:rStyle w:val="FootnoteReference"/>
        </w:rPr>
        <w:footnoteRef/>
      </w:r>
      <w:r>
        <w:t xml:space="preserve"> Petition at 13</w:t>
      </w:r>
      <w:r w:rsidR="00B11C07">
        <w:t>; Waimana Supplement at 3.</w:t>
      </w:r>
    </w:p>
  </w:footnote>
  <w:footnote w:id="9">
    <w:p w:rsidR="003028E4" w:rsidRDefault="003028E4">
      <w:pPr>
        <w:pStyle w:val="FootnoteText"/>
      </w:pPr>
      <w:r>
        <w:rPr>
          <w:rStyle w:val="FootnoteReference"/>
        </w:rPr>
        <w:footnoteRef/>
      </w:r>
      <w:r>
        <w:t xml:space="preserve"> Petition at 2.</w:t>
      </w:r>
    </w:p>
  </w:footnote>
  <w:footnote w:id="10">
    <w:p w:rsidR="003028E4" w:rsidRPr="00A15250" w:rsidRDefault="003028E4">
      <w:pPr>
        <w:pStyle w:val="FootnoteText"/>
      </w:pPr>
      <w:r w:rsidRPr="00A15250">
        <w:rPr>
          <w:rStyle w:val="FootnoteReference"/>
        </w:rPr>
        <w:footnoteRef/>
      </w:r>
      <w:r w:rsidRPr="00A15250">
        <w:t xml:space="preserve"> For the benefit of </w:t>
      </w:r>
      <w:r w:rsidR="00794ACD">
        <w:t>N</w:t>
      </w:r>
      <w:r w:rsidRPr="00A15250">
        <w:t>ative Hawaiians, Congress in 1921</w:t>
      </w:r>
      <w:r w:rsidR="0055007D">
        <w:t xml:space="preserve"> created the </w:t>
      </w:r>
      <w:r w:rsidR="00794ACD">
        <w:t>Home Lands</w:t>
      </w:r>
      <w:r w:rsidR="0055007D">
        <w:t>, which consist</w:t>
      </w:r>
      <w:r w:rsidRPr="00A15250">
        <w:t xml:space="preserve"> of 203,000 acres </w:t>
      </w:r>
      <w:r>
        <w:t xml:space="preserve">spread </w:t>
      </w:r>
      <w:r w:rsidRPr="00A15250">
        <w:t xml:space="preserve">across seventy non-contiguous </w:t>
      </w:r>
      <w:r>
        <w:t xml:space="preserve">and almost completely rural </w:t>
      </w:r>
      <w:r w:rsidRPr="00A15250">
        <w:t xml:space="preserve">areas.  </w:t>
      </w:r>
      <w:r w:rsidRPr="00A15250">
        <w:rPr>
          <w:i/>
        </w:rPr>
        <w:t>See</w:t>
      </w:r>
      <w:r w:rsidRPr="00A15250">
        <w:t xml:space="preserve"> </w:t>
      </w:r>
      <w:r w:rsidRPr="00A15250">
        <w:rPr>
          <w:rStyle w:val="emphi"/>
          <w:iCs/>
          <w:color w:val="000000"/>
        </w:rPr>
        <w:t>Sandwich Isles Communications, Inc. Petition for Declaratory Ruling</w:t>
      </w:r>
      <w:r w:rsidRPr="00A15250">
        <w:rPr>
          <w:rStyle w:val="emphi"/>
          <w:i/>
          <w:iCs/>
          <w:color w:val="000000"/>
        </w:rPr>
        <w:t>,</w:t>
      </w:r>
      <w:r w:rsidRPr="00A15250">
        <w:rPr>
          <w:rStyle w:val="apple-converted-space"/>
          <w:color w:val="000000"/>
        </w:rPr>
        <w:t> </w:t>
      </w:r>
      <w:r w:rsidRPr="00A15250">
        <w:rPr>
          <w:color w:val="000000"/>
        </w:rPr>
        <w:t xml:space="preserve">WC Docket No. 09-133, </w:t>
      </w:r>
      <w:r>
        <w:rPr>
          <w:i/>
          <w:color w:val="000000"/>
        </w:rPr>
        <w:t>Order</w:t>
      </w:r>
      <w:r w:rsidRPr="00A15250">
        <w:rPr>
          <w:color w:val="000000"/>
        </w:rPr>
        <w:t>,</w:t>
      </w:r>
      <w:r>
        <w:rPr>
          <w:color w:val="000000"/>
        </w:rPr>
        <w:t xml:space="preserve"> </w:t>
      </w:r>
      <w:r>
        <w:t>27 FCC Rcd 470, 470 ¶ 1 n.4</w:t>
      </w:r>
      <w:r>
        <w:rPr>
          <w:rStyle w:val="apple-converted-space"/>
          <w:color w:val="000000"/>
        </w:rPr>
        <w:t xml:space="preserve"> </w:t>
      </w:r>
      <w:r w:rsidRPr="00A15250">
        <w:rPr>
          <w:color w:val="000000"/>
        </w:rPr>
        <w:t>(</w:t>
      </w:r>
      <w:r>
        <w:rPr>
          <w:color w:val="000000"/>
        </w:rPr>
        <w:t>WCB 2012</w:t>
      </w:r>
      <w:r w:rsidRPr="00A15250">
        <w:rPr>
          <w:color w:val="000000"/>
        </w:rPr>
        <w:t>)</w:t>
      </w:r>
      <w:r>
        <w:rPr>
          <w:color w:val="000000"/>
        </w:rPr>
        <w:t xml:space="preserve"> (“</w:t>
      </w:r>
      <w:r w:rsidRPr="001754F3">
        <w:rPr>
          <w:i/>
          <w:color w:val="000000"/>
        </w:rPr>
        <w:t>Sandwich Isles Communications</w:t>
      </w:r>
      <w:r>
        <w:rPr>
          <w:color w:val="000000"/>
        </w:rPr>
        <w:t>”).</w:t>
      </w:r>
      <w:r w:rsidR="00B07F0B">
        <w:rPr>
          <w:color w:val="000000"/>
        </w:rPr>
        <w:t xml:space="preserve">  </w:t>
      </w:r>
      <w:r w:rsidR="00B07F0B">
        <w:t xml:space="preserve">Waimana’s wholly-owned subsidiary Sandwich Isles Communications, Inc. is a rural incumbent local exchange carrier (“incumbent LEC”) that provides wireline telecommunications services within unserved and underserved portions of the </w:t>
      </w:r>
      <w:r w:rsidR="00794ACD">
        <w:t>Home Lands</w:t>
      </w:r>
      <w:r w:rsidR="00B07F0B">
        <w:t xml:space="preserve">.  </w:t>
      </w:r>
      <w:r w:rsidR="00B07F0B" w:rsidRPr="001754F3">
        <w:rPr>
          <w:i/>
          <w:color w:val="000000"/>
        </w:rPr>
        <w:t>Sandwich Isles Communications</w:t>
      </w:r>
      <w:r w:rsidR="00B07F0B">
        <w:rPr>
          <w:color w:val="000000"/>
        </w:rPr>
        <w:t>, 27 FCC Rcd at 470</w:t>
      </w:r>
      <w:r w:rsidR="00E6287D">
        <w:rPr>
          <w:color w:val="000000"/>
        </w:rPr>
        <w:t> </w:t>
      </w:r>
      <w:r w:rsidR="00B07F0B">
        <w:rPr>
          <w:color w:val="000000"/>
        </w:rPr>
        <w:t xml:space="preserve">¶ 2.  </w:t>
      </w:r>
      <w:r w:rsidR="00B07F0B">
        <w:t>Pa Makana LLC d/b/a Sandwich Isles Wireless, also a wholly-owned subsidiary of Waimana, was designated as an Eligible Telecommunications Carrier (“ETC”) by the Hawaii Public Utilities Commission.  Petition at 2-3.</w:t>
      </w:r>
    </w:p>
  </w:footnote>
  <w:footnote w:id="11">
    <w:p w:rsidR="003028E4" w:rsidRDefault="003028E4">
      <w:pPr>
        <w:pStyle w:val="FootnoteText"/>
      </w:pPr>
      <w:r>
        <w:rPr>
          <w:rStyle w:val="FootnoteReference"/>
        </w:rPr>
        <w:footnoteRef/>
      </w:r>
      <w:r>
        <w:t xml:space="preserve"> 47 U.S.C. § 254(e).</w:t>
      </w:r>
    </w:p>
  </w:footnote>
  <w:footnote w:id="12">
    <w:p w:rsidR="003028E4" w:rsidRDefault="003028E4">
      <w:pPr>
        <w:pStyle w:val="FootnoteText"/>
      </w:pPr>
      <w:r>
        <w:rPr>
          <w:rStyle w:val="FootnoteReference"/>
        </w:rPr>
        <w:footnoteRef/>
      </w:r>
      <w:r>
        <w:t xml:space="preserve"> Petition at 12.</w:t>
      </w:r>
    </w:p>
  </w:footnote>
  <w:footnote w:id="13">
    <w:p w:rsidR="003028E4" w:rsidRDefault="003028E4">
      <w:pPr>
        <w:pStyle w:val="FootnoteText"/>
      </w:pPr>
      <w:r>
        <w:rPr>
          <w:rStyle w:val="FootnoteReference"/>
        </w:rPr>
        <w:footnoteRef/>
      </w:r>
      <w:r>
        <w:t xml:space="preserve"> Petition at 7, 9.</w:t>
      </w:r>
    </w:p>
  </w:footnote>
  <w:footnote w:id="14">
    <w:p w:rsidR="003028E4" w:rsidRDefault="003028E4">
      <w:pPr>
        <w:pStyle w:val="FootnoteText"/>
      </w:pPr>
      <w:r>
        <w:rPr>
          <w:rStyle w:val="FootnoteReference"/>
        </w:rPr>
        <w:footnoteRef/>
      </w:r>
      <w:r>
        <w:t xml:space="preserve"> Petition at 9.</w:t>
      </w:r>
      <w:r w:rsidR="00252871">
        <w:t xml:space="preserve">  </w:t>
      </w:r>
      <w:r w:rsidR="00C1529E">
        <w:t>Waimana contends that</w:t>
      </w:r>
      <w:r w:rsidR="00F060A0">
        <w:t xml:space="preserve"> </w:t>
      </w:r>
      <w:r w:rsidR="00C1529E">
        <w:t xml:space="preserve">it would come under pressure </w:t>
      </w:r>
      <w:r w:rsidR="005D25BE">
        <w:t xml:space="preserve">either </w:t>
      </w:r>
      <w:r w:rsidR="00C1529E">
        <w:t>to</w:t>
      </w:r>
      <w:r w:rsidR="005D25BE">
        <w:t xml:space="preserve"> acquire spectrum and</w:t>
      </w:r>
      <w:r w:rsidR="00F060A0">
        <w:t xml:space="preserve"> construct a facilities network</w:t>
      </w:r>
      <w:r w:rsidR="00C1529E">
        <w:t xml:space="preserve"> </w:t>
      </w:r>
      <w:r w:rsidR="005D25BE">
        <w:t xml:space="preserve">without federal high-cost support </w:t>
      </w:r>
      <w:r w:rsidR="00252871">
        <w:t xml:space="preserve">or extend its resale operations </w:t>
      </w:r>
      <w:r w:rsidR="00F060A0">
        <w:t>under</w:t>
      </w:r>
      <w:r w:rsidR="00252871">
        <w:t xml:space="preserve"> less favorable terms and conditions.  Petition at 9.</w:t>
      </w:r>
    </w:p>
  </w:footnote>
  <w:footnote w:id="15">
    <w:p w:rsidR="003028E4" w:rsidRDefault="003028E4">
      <w:pPr>
        <w:pStyle w:val="FootnoteText"/>
      </w:pPr>
      <w:r>
        <w:rPr>
          <w:rStyle w:val="FootnoteReference"/>
        </w:rPr>
        <w:footnoteRef/>
      </w:r>
      <w:r>
        <w:t xml:space="preserve"> Opposition of Verizon Wireless to Petition to Deny, filed June 16, 2014, at 2 (“Verizon Wireless Opposition”).</w:t>
      </w:r>
    </w:p>
  </w:footnote>
  <w:footnote w:id="16">
    <w:p w:rsidR="003028E4" w:rsidRDefault="003028E4">
      <w:pPr>
        <w:pStyle w:val="FootnoteText"/>
      </w:pPr>
      <w:r>
        <w:rPr>
          <w:rStyle w:val="FootnoteReference"/>
        </w:rPr>
        <w:footnoteRef/>
      </w:r>
      <w:r>
        <w:t xml:space="preserve"> Verizon Wireless Opposition at 3.</w:t>
      </w:r>
    </w:p>
  </w:footnote>
  <w:footnote w:id="17">
    <w:p w:rsidR="003028E4" w:rsidRDefault="003028E4">
      <w:pPr>
        <w:pStyle w:val="FootnoteText"/>
      </w:pPr>
      <w:r>
        <w:rPr>
          <w:rStyle w:val="FootnoteReference"/>
        </w:rPr>
        <w:footnoteRef/>
      </w:r>
      <w:r>
        <w:t xml:space="preserve"> Opposition of Coral Wireless and Coral Wireless Licenses to Petition to Deny, filed June 16, 2014 at 3-4 (“Coral Opposition”).</w:t>
      </w:r>
    </w:p>
  </w:footnote>
  <w:footnote w:id="18">
    <w:p w:rsidR="003028E4" w:rsidRDefault="003028E4">
      <w:pPr>
        <w:pStyle w:val="FootnoteText"/>
      </w:pPr>
      <w:r>
        <w:rPr>
          <w:rStyle w:val="FootnoteReference"/>
        </w:rPr>
        <w:footnoteRef/>
      </w:r>
      <w:r>
        <w:t xml:space="preserve"> Coral Opposition at 5.</w:t>
      </w:r>
    </w:p>
  </w:footnote>
  <w:footnote w:id="19">
    <w:p w:rsidR="003028E4" w:rsidRDefault="003028E4" w:rsidP="009E5449">
      <w:pPr>
        <w:pStyle w:val="FootnoteText"/>
      </w:pPr>
      <w:r>
        <w:rPr>
          <w:rStyle w:val="FootnoteReference"/>
        </w:rPr>
        <w:footnoteRef/>
      </w:r>
      <w:r>
        <w:t xml:space="preserve"> Coral Opposition at 6-7.</w:t>
      </w:r>
    </w:p>
  </w:footnote>
  <w:footnote w:id="20">
    <w:p w:rsidR="003028E4" w:rsidRDefault="003028E4">
      <w:pPr>
        <w:pStyle w:val="FootnoteText"/>
      </w:pPr>
      <w:r>
        <w:rPr>
          <w:rStyle w:val="FootnoteReference"/>
        </w:rPr>
        <w:footnoteRef/>
      </w:r>
      <w:r>
        <w:t xml:space="preserve"> Coral Opposition at 9-10.</w:t>
      </w:r>
    </w:p>
  </w:footnote>
  <w:footnote w:id="21">
    <w:p w:rsidR="003028E4" w:rsidRDefault="003028E4" w:rsidP="00016AF6">
      <w:pPr>
        <w:pStyle w:val="FootnoteText"/>
      </w:pPr>
      <w:r>
        <w:rPr>
          <w:rStyle w:val="FootnoteReference"/>
        </w:rPr>
        <w:footnoteRef/>
      </w:r>
      <w:r>
        <w:t xml:space="preserve"> Reply to Oppositions of Waimana Enterprises, Inc., filed June 23, 2014, at 7 (“Waimana Reply”).</w:t>
      </w:r>
    </w:p>
  </w:footnote>
  <w:footnote w:id="22">
    <w:p w:rsidR="00660516" w:rsidRDefault="00660516">
      <w:pPr>
        <w:pStyle w:val="FootnoteText"/>
      </w:pPr>
      <w:r>
        <w:rPr>
          <w:rStyle w:val="FootnoteReference"/>
        </w:rPr>
        <w:footnoteRef/>
      </w:r>
      <w:r>
        <w:t xml:space="preserve"> Waimana Reply at 5.</w:t>
      </w:r>
    </w:p>
  </w:footnote>
  <w:footnote w:id="23">
    <w:p w:rsidR="003028E4" w:rsidRDefault="003028E4" w:rsidP="00636BCA">
      <w:pPr>
        <w:pStyle w:val="FootnoteText"/>
      </w:pPr>
      <w:r>
        <w:rPr>
          <w:rStyle w:val="FootnoteReference"/>
        </w:rPr>
        <w:footnoteRef/>
      </w:r>
      <w:r>
        <w:t xml:space="preserve"> 47 U.S.C. § 309(d)(1); 47 C.F.R. § 1.939(d).</w:t>
      </w:r>
    </w:p>
  </w:footnote>
  <w:footnote w:id="24">
    <w:p w:rsidR="003028E4" w:rsidRDefault="003028E4" w:rsidP="00636BCA">
      <w:pPr>
        <w:pStyle w:val="FootnoteText"/>
      </w:pPr>
      <w:r>
        <w:rPr>
          <w:rStyle w:val="FootnoteReference"/>
        </w:rPr>
        <w:footnoteRef/>
      </w:r>
      <w:r>
        <w:t xml:space="preserve"> Applications of T-Mobile License, LLC, AT&amp;T Mobility Spectrum LLC and New Cingular Wireless PCS, LLC For Consent to Assign AWS-1 Licenses, </w:t>
      </w:r>
      <w:r>
        <w:rPr>
          <w:i/>
        </w:rPr>
        <w:t>Order</w:t>
      </w:r>
      <w:r>
        <w:t>, 27 FCC Rcd 4124, 4126 ¶ 6 (WTB 2012) (“</w:t>
      </w:r>
      <w:r>
        <w:rPr>
          <w:i/>
        </w:rPr>
        <w:t>T-Mobile-AT&amp;T Order</w:t>
      </w:r>
      <w:r>
        <w:t>”);</w:t>
      </w:r>
      <w:r>
        <w:rPr>
          <w:i/>
        </w:rPr>
        <w:t xml:space="preserve"> </w:t>
      </w:r>
      <w:r>
        <w:t xml:space="preserve">Wireless Co., L.P., </w:t>
      </w:r>
      <w:r>
        <w:rPr>
          <w:i/>
        </w:rPr>
        <w:t>Order</w:t>
      </w:r>
      <w:r>
        <w:t xml:space="preserve">, 10 FCC </w:t>
      </w:r>
      <w:smartTag w:uri="urn:schemas-microsoft-com:office:smarttags" w:element="City">
        <w:r>
          <w:t>Rcd</w:t>
        </w:r>
      </w:smartTag>
      <w:r>
        <w:t xml:space="preserve"> </w:t>
      </w:r>
      <w:smartTag w:uri="urn:schemas-microsoft-com:office:smarttags" w:element="PostalCode">
        <w:r>
          <w:t>13233</w:t>
        </w:r>
      </w:smartTag>
      <w:r>
        <w:t xml:space="preserve">, </w:t>
      </w:r>
      <w:smartTag w:uri="urn:schemas-microsoft-com:office:smarttags" w:element="PostalCode">
        <w:r>
          <w:t>13235</w:t>
        </w:r>
      </w:smartTag>
      <w:r>
        <w:t xml:space="preserve"> ¶ 7 (WTB 1995) (“</w:t>
      </w:r>
      <w:r>
        <w:rPr>
          <w:i/>
        </w:rPr>
        <w:t>Wireless Co</w:t>
      </w:r>
      <w:r>
        <w:t xml:space="preserve">.”), citing </w:t>
      </w:r>
      <w:r>
        <w:rPr>
          <w:i/>
        </w:rPr>
        <w:t>Sierra Club v</w:t>
      </w:r>
      <w:r>
        <w:t xml:space="preserve">. </w:t>
      </w:r>
      <w:r>
        <w:rPr>
          <w:i/>
        </w:rPr>
        <w:t>Morton</w:t>
      </w:r>
      <w:r>
        <w:t xml:space="preserve">, 405 </w:t>
      </w:r>
      <w:smartTag w:uri="urn:schemas-microsoft-com:office:smarttags" w:element="place">
        <w:smartTag w:uri="urn:schemas-microsoft-com:office:smarttags" w:element="country-region">
          <w:r>
            <w:t>U.S.</w:t>
          </w:r>
        </w:smartTag>
      </w:smartTag>
      <w:r>
        <w:t xml:space="preserve"> 727, 733 (1972).</w:t>
      </w:r>
    </w:p>
  </w:footnote>
  <w:footnote w:id="25">
    <w:p w:rsidR="003028E4" w:rsidRDefault="003028E4" w:rsidP="00636BCA">
      <w:pPr>
        <w:pStyle w:val="FootnoteText"/>
      </w:pPr>
      <w:r>
        <w:rPr>
          <w:rStyle w:val="FootnoteReference"/>
        </w:rPr>
        <w:footnoteRef/>
      </w:r>
      <w:r>
        <w:t xml:space="preserve"> </w:t>
      </w:r>
      <w:r>
        <w:rPr>
          <w:i/>
        </w:rPr>
        <w:t>T-Mobile-AT&amp;T Order</w:t>
      </w:r>
      <w:r>
        <w:t>, 27 FCC Rcd at 4126 ¶ 6;</w:t>
      </w:r>
      <w:r>
        <w:rPr>
          <w:i/>
        </w:rPr>
        <w:t xml:space="preserve"> Wireless Co</w:t>
      </w:r>
      <w:r>
        <w:t>., 10 FCC Rcd at 13235 ¶ 7.</w:t>
      </w:r>
      <w:r w:rsidR="00D97447">
        <w:t xml:space="preserve">  </w:t>
      </w:r>
      <w:r w:rsidR="00D97447">
        <w:rPr>
          <w:szCs w:val="22"/>
        </w:rPr>
        <w:t xml:space="preserve">The Commission repeatedly has upheld these standards.  </w:t>
      </w:r>
      <w:r w:rsidR="00D97447">
        <w:rPr>
          <w:i/>
        </w:rPr>
        <w:t>See</w:t>
      </w:r>
      <w:r w:rsidR="00D97447">
        <w:t xml:space="preserve">, </w:t>
      </w:r>
      <w:r w:rsidR="00D97447">
        <w:rPr>
          <w:i/>
        </w:rPr>
        <w:t>e.g.</w:t>
      </w:r>
      <w:r w:rsidR="00D97447">
        <w:t xml:space="preserve">, T-Mobile License, LLC, </w:t>
      </w:r>
      <w:r w:rsidR="00D97447">
        <w:rPr>
          <w:i/>
        </w:rPr>
        <w:t>Memorandum Opinion and Order</w:t>
      </w:r>
      <w:r w:rsidR="00D97447">
        <w:t xml:space="preserve">, 29 FCC Rcd 6350, 6355 ¶ 12 (2014); Applications of GCI Communications Corp., ACS Wireless Sub, Inc., ACS of Anchorage License Sub, Inc. and Unicom, Inc. for Consent to Assign Licenses to The Alaska Wireless Network, LLC, </w:t>
      </w:r>
      <w:r w:rsidR="00D97447">
        <w:rPr>
          <w:i/>
        </w:rPr>
        <w:t>Memorandum Opinion and Order and Declaratory Ruling</w:t>
      </w:r>
      <w:r w:rsidR="00D97447">
        <w:t xml:space="preserve">, 28 FCC Rcd 10433, 10466-67 ¶ 83 (2013); Application of New Cingular Wireless PCS, LLC and D&amp;E Investments, Inc. For Consent to Assign Lower 700 MHz C Block Licenses, </w:t>
      </w:r>
      <w:r w:rsidR="00D97447">
        <w:rPr>
          <w:i/>
        </w:rPr>
        <w:t>Order</w:t>
      </w:r>
      <w:r w:rsidR="00D97447">
        <w:t>, 27 FCC Rcd 1669, 1670-71 ¶ 6 (WTB 2012).</w:t>
      </w:r>
    </w:p>
  </w:footnote>
  <w:footnote w:id="26">
    <w:p w:rsidR="003028E4" w:rsidRPr="0058660D" w:rsidRDefault="003028E4">
      <w:pPr>
        <w:pStyle w:val="FootnoteText"/>
      </w:pPr>
      <w:r>
        <w:rPr>
          <w:rStyle w:val="FootnoteReference"/>
        </w:rPr>
        <w:footnoteRef/>
      </w:r>
      <w:r>
        <w:t xml:space="preserve"> Applications of </w:t>
      </w:r>
      <w:r>
        <w:rPr>
          <w:szCs w:val="22"/>
        </w:rPr>
        <w:t>Cellco Partnership d/b/a Verizon Wireless and E.N.M.R. Telephone Cooperative</w:t>
      </w:r>
      <w:r>
        <w:t xml:space="preserve"> and Its Wholly-Owned Subsidiary </w:t>
      </w:r>
      <w:r>
        <w:rPr>
          <w:szCs w:val="22"/>
        </w:rPr>
        <w:t xml:space="preserve">Plateau Telecommunications, Incorporated </w:t>
      </w:r>
      <w:r>
        <w:t xml:space="preserve">For Consent To Assign Licenses and Authority, </w:t>
      </w:r>
      <w:r>
        <w:rPr>
          <w:i/>
        </w:rPr>
        <w:t>Memorandum Opinion and Order</w:t>
      </w:r>
      <w:r>
        <w:t>, 27</w:t>
      </w:r>
      <w:r w:rsidR="0055007D">
        <w:t xml:space="preserve"> FCC Rcd 12154, 12157, 12159-60</w:t>
      </w:r>
      <w:r>
        <w:t xml:space="preserve"> n.50 ¶¶ 11, 16 (WTB, IB 2012) (“</w:t>
      </w:r>
      <w:r w:rsidR="00EC65A3">
        <w:rPr>
          <w:i/>
        </w:rPr>
        <w:t>Verizon Wireless–ENMR Order</w:t>
      </w:r>
      <w:r>
        <w:t>”)</w:t>
      </w:r>
      <w:r w:rsidR="00473BA1">
        <w:t>.</w:t>
      </w:r>
    </w:p>
  </w:footnote>
  <w:footnote w:id="27">
    <w:p w:rsidR="00BE577D" w:rsidRDefault="00BE577D">
      <w:pPr>
        <w:pStyle w:val="FootnoteText"/>
      </w:pPr>
      <w:r>
        <w:rPr>
          <w:rStyle w:val="FootnoteReference"/>
        </w:rPr>
        <w:footnoteRef/>
      </w:r>
      <w:r>
        <w:t xml:space="preserve"> On September 15, 2014, Waimana submitted a supplement to its Petition, along with a motion </w:t>
      </w:r>
      <w:r w:rsidR="00C62A8B">
        <w:t xml:space="preserve">for leave to file the supplement out of time.  </w:t>
      </w:r>
      <w:r w:rsidR="002318F0" w:rsidRPr="00B825FB">
        <w:rPr>
          <w:i/>
        </w:rPr>
        <w:t>See</w:t>
      </w:r>
      <w:r w:rsidR="002318F0">
        <w:t xml:space="preserve"> Supplement to Petition to Deny of Waimana Enterprises, Inc., filed Sept. 15, 2014</w:t>
      </w:r>
      <w:r w:rsidR="00B825FB">
        <w:t xml:space="preserve"> (“Supplement”);</w:t>
      </w:r>
      <w:r w:rsidR="002318F0">
        <w:t xml:space="preserve"> and Motion for Leave to File Supplement </w:t>
      </w:r>
      <w:r w:rsidR="00B07F0B">
        <w:t>to</w:t>
      </w:r>
      <w:r w:rsidR="002318F0">
        <w:t xml:space="preserve"> Petition to Deny, filed Sept. 15, 2014.  Waimana argues </w:t>
      </w:r>
      <w:r w:rsidR="00431AED">
        <w:t xml:space="preserve">in the Supplement </w:t>
      </w:r>
      <w:r w:rsidR="002318F0">
        <w:t xml:space="preserve">that amendments filed by the Applicants </w:t>
      </w:r>
      <w:r w:rsidR="00431AED">
        <w:t>do not</w:t>
      </w:r>
      <w:r w:rsidR="002318F0">
        <w:t xml:space="preserve"> address the </w:t>
      </w:r>
      <w:r w:rsidR="00431AED">
        <w:t>misconduct alleged</w:t>
      </w:r>
      <w:r w:rsidR="002318F0">
        <w:t xml:space="preserve"> in the Petition.  Because we find that Waimana lacks party-in-interest standing, we need not address the Supplement.</w:t>
      </w:r>
    </w:p>
  </w:footnote>
  <w:footnote w:id="28">
    <w:p w:rsidR="003028E4" w:rsidRPr="00BD096E" w:rsidRDefault="003028E4">
      <w:pPr>
        <w:pStyle w:val="FootnoteText"/>
      </w:pPr>
      <w:r>
        <w:rPr>
          <w:rStyle w:val="FootnoteReference"/>
        </w:rPr>
        <w:footnoteRef/>
      </w:r>
      <w:r>
        <w:t xml:space="preserve"> </w:t>
      </w:r>
      <w:r>
        <w:rPr>
          <w:i/>
        </w:rPr>
        <w:t xml:space="preserve">See </w:t>
      </w:r>
      <w:r>
        <w:t xml:space="preserve">Qwest Communications International, Inc. and US WEST, Inc., Applications for Transfer of Control, </w:t>
      </w:r>
      <w:r>
        <w:rPr>
          <w:i/>
        </w:rPr>
        <w:t>Memorandum Opinion and Order</w:t>
      </w:r>
      <w:r>
        <w:t>, 15 FCC Rcd 5376, 5392-93 ¶ 28 (2000) (“</w:t>
      </w:r>
      <w:r>
        <w:rPr>
          <w:i/>
        </w:rPr>
        <w:t>Qwest-US WEST Order</w:t>
      </w:r>
      <w:r>
        <w:t>”).</w:t>
      </w:r>
    </w:p>
  </w:footnote>
  <w:footnote w:id="29">
    <w:p w:rsidR="003028E4" w:rsidRPr="00B7121D" w:rsidRDefault="003028E4" w:rsidP="003028E4">
      <w:pPr>
        <w:pStyle w:val="FootnoteText"/>
      </w:pPr>
      <w:r>
        <w:rPr>
          <w:rStyle w:val="FootnoteReference"/>
        </w:rPr>
        <w:footnoteRef/>
      </w:r>
      <w:r>
        <w:t xml:space="preserve"> </w:t>
      </w:r>
      <w:r>
        <w:rPr>
          <w:i/>
        </w:rPr>
        <w:t xml:space="preserve">See </w:t>
      </w:r>
      <w:r w:rsidRPr="00BD096E">
        <w:rPr>
          <w:i/>
        </w:rPr>
        <w:t>Qwest</w:t>
      </w:r>
      <w:r>
        <w:rPr>
          <w:i/>
        </w:rPr>
        <w:t>-US WEST Order</w:t>
      </w:r>
      <w:r>
        <w:t xml:space="preserve">, 15 FCC Rcd at 5392-93 ¶ 28.  </w:t>
      </w:r>
      <w:r>
        <w:rPr>
          <w:i/>
        </w:rPr>
        <w:t>See also</w:t>
      </w:r>
      <w:r>
        <w:t xml:space="preserve"> Applications of Craig O. McCaw, Transferor, and American Tel. &amp; Tel Co., Transferee, For Consent to the Transfer of Control of McCaw Cellular Communications, Inc. and its Subsidiaries, </w:t>
      </w:r>
      <w:r>
        <w:rPr>
          <w:i/>
        </w:rPr>
        <w:t>Memorandum Opinion and Order</w:t>
      </w:r>
      <w:r>
        <w:t xml:space="preserve">, 9 FCC Rcd 5836, 5904 ¶ 123 (1994), </w:t>
      </w:r>
      <w:r>
        <w:rPr>
          <w:i/>
        </w:rPr>
        <w:t>aff’d sub nom. SBC Communications Inc. v. FCC</w:t>
      </w:r>
      <w:r>
        <w:t>, 56 F.3d 1484 (D.C. Cir. 1995).</w:t>
      </w:r>
    </w:p>
  </w:footnote>
  <w:footnote w:id="30">
    <w:p w:rsidR="00E6287D" w:rsidRPr="003273A7" w:rsidRDefault="00E6287D" w:rsidP="00E6287D">
      <w:pPr>
        <w:pStyle w:val="FootnoteText"/>
      </w:pPr>
      <w:r>
        <w:rPr>
          <w:rStyle w:val="FootnoteReference"/>
        </w:rPr>
        <w:footnoteRef/>
      </w:r>
      <w:r>
        <w:t xml:space="preserve"> </w:t>
      </w:r>
      <w:r>
        <w:rPr>
          <w:i/>
        </w:rPr>
        <w:t>See</w:t>
      </w:r>
      <w:r>
        <w:t xml:space="preserve">, </w:t>
      </w:r>
      <w:r>
        <w:rPr>
          <w:i/>
        </w:rPr>
        <w:t>e.g.</w:t>
      </w:r>
      <w:r>
        <w:t xml:space="preserve">, Visiplex, Inc. Licensee of Stations WPJU326 and WQBF524 and Visiplex Technologies, Inc. Former Licensee of Stations WPJU326 and WQBF524, </w:t>
      </w:r>
      <w:r>
        <w:rPr>
          <w:i/>
        </w:rPr>
        <w:t>Order</w:t>
      </w:r>
      <w:r>
        <w:t>, 28 FCC Rcd 4058 (EB 2013).</w:t>
      </w:r>
    </w:p>
  </w:footnote>
  <w:footnote w:id="31">
    <w:p w:rsidR="003028E4" w:rsidRDefault="003028E4" w:rsidP="003028E4">
      <w:pPr>
        <w:pStyle w:val="FootnoteText"/>
      </w:pPr>
      <w:r>
        <w:rPr>
          <w:rStyle w:val="FootnoteReference"/>
        </w:rPr>
        <w:footnoteRef/>
      </w:r>
      <w:r>
        <w:t xml:space="preserve"> </w:t>
      </w:r>
      <w:r>
        <w:rPr>
          <w:i/>
        </w:rPr>
        <w:t xml:space="preserve">See </w:t>
      </w:r>
      <w:r>
        <w:t xml:space="preserve">Applications of AT&amp;T Inc. and Centennial Communications Corp. for Consent to Transfer Control, </w:t>
      </w:r>
      <w:r>
        <w:rPr>
          <w:i/>
        </w:rPr>
        <w:t xml:space="preserve">Memorandum Opinion and </w:t>
      </w:r>
      <w:r w:rsidRPr="00B7121D">
        <w:rPr>
          <w:i/>
        </w:rPr>
        <w:t>Order</w:t>
      </w:r>
      <w:r>
        <w:t>, 24 FCC Rcd 13915, 13974-75 ¶ 150 (2009) (“</w:t>
      </w:r>
      <w:r>
        <w:rPr>
          <w:i/>
        </w:rPr>
        <w:t>AT&amp;T-Centennial Order</w:t>
      </w:r>
      <w:r>
        <w:t>”).</w:t>
      </w:r>
    </w:p>
  </w:footnote>
  <w:footnote w:id="32">
    <w:p w:rsidR="003028E4" w:rsidRPr="00C5044F" w:rsidRDefault="003028E4">
      <w:pPr>
        <w:pStyle w:val="FootnoteText"/>
      </w:pPr>
      <w:r>
        <w:rPr>
          <w:rStyle w:val="FootnoteReference"/>
        </w:rPr>
        <w:footnoteRef/>
      </w:r>
      <w:r>
        <w:t xml:space="preserve"> </w:t>
      </w:r>
      <w:r w:rsidRPr="00CD5A18">
        <w:rPr>
          <w:i/>
        </w:rPr>
        <w:t>See</w:t>
      </w:r>
      <w:r>
        <w:t xml:space="preserve">, </w:t>
      </w:r>
      <w:r w:rsidRPr="00CD5A18">
        <w:rPr>
          <w:i/>
        </w:rPr>
        <w:t>e.g</w:t>
      </w:r>
      <w:r>
        <w:t>., Applications of AT&amp;T Inc</w:t>
      </w:r>
      <w:r w:rsidR="00473BA1">
        <w:t>.</w:t>
      </w:r>
      <w:r>
        <w:t xml:space="preserve"> and Atlantic Tele-Network, Inc. (For Consent to Transfer Control of and Assign Licenses and Authorizations), </w:t>
      </w:r>
      <w:r>
        <w:rPr>
          <w:i/>
        </w:rPr>
        <w:t xml:space="preserve">Memorandum Opinion and </w:t>
      </w:r>
      <w:r w:rsidRPr="00D93344">
        <w:rPr>
          <w:i/>
        </w:rPr>
        <w:t>Order</w:t>
      </w:r>
      <w:r>
        <w:t xml:space="preserve">, 28 FCC Rcd 13670, 13719 ¶ 90 (WTB, IB 2013); </w:t>
      </w:r>
      <w:r w:rsidRPr="00D93344">
        <w:rPr>
          <w:i/>
        </w:rPr>
        <w:t>AT</w:t>
      </w:r>
      <w:r>
        <w:rPr>
          <w:i/>
        </w:rPr>
        <w:t>&amp;T-Centennial Order</w:t>
      </w:r>
      <w:r>
        <w:t>, 24 FCC Rcd at 13969, 13972 ¶¶ 133, 141.</w:t>
      </w:r>
    </w:p>
  </w:footnote>
  <w:footnote w:id="33">
    <w:p w:rsidR="00315FF4" w:rsidRDefault="00315FF4">
      <w:pPr>
        <w:pStyle w:val="FootnoteText"/>
      </w:pPr>
      <w:r>
        <w:rPr>
          <w:rStyle w:val="FootnoteReference"/>
        </w:rPr>
        <w:footnoteRef/>
      </w:r>
      <w:r>
        <w:t xml:space="preserve"> Nothing in Waimana’s Supplement would alter this conclusion.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85" w:rsidRDefault="00F42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E4" w:rsidRPr="009C4E2C" w:rsidRDefault="003028E4" w:rsidP="009C4E2C">
    <w:pPr>
      <w:pStyle w:val="Header"/>
      <w:pBdr>
        <w:bottom w:val="single" w:sz="12" w:space="1" w:color="auto"/>
      </w:pBdr>
      <w:tabs>
        <w:tab w:val="clear" w:pos="4320"/>
        <w:tab w:val="clear" w:pos="8640"/>
        <w:tab w:val="center" w:pos="4680"/>
        <w:tab w:val="right" w:pos="9360"/>
      </w:tabs>
      <w:rPr>
        <w:b/>
      </w:rPr>
    </w:pPr>
    <w:r w:rsidRPr="007B568D">
      <w:rPr>
        <w:b/>
      </w:rPr>
      <w:tab/>
      <w:t>Federal</w:t>
    </w:r>
    <w:r>
      <w:rPr>
        <w:b/>
      </w:rPr>
      <w:t xml:space="preserve"> Communications Commission</w:t>
    </w:r>
    <w:r>
      <w:rPr>
        <w:b/>
      </w:rPr>
      <w:tab/>
      <w:t xml:space="preserve">DA </w:t>
    </w:r>
    <w:r w:rsidRPr="0007517D">
      <w:rPr>
        <w:b/>
      </w:rPr>
      <w:t>14-</w:t>
    </w:r>
    <w:r w:rsidR="00BF5D35">
      <w:rPr>
        <w:b/>
      </w:rPr>
      <w:t>1554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3D" w:rsidRPr="007B568D" w:rsidRDefault="003028E4" w:rsidP="007B568D">
    <w:pPr>
      <w:pStyle w:val="Header"/>
      <w:pBdr>
        <w:bottom w:val="single" w:sz="12" w:space="1" w:color="auto"/>
      </w:pBdr>
      <w:tabs>
        <w:tab w:val="clear" w:pos="4320"/>
        <w:tab w:val="clear" w:pos="8640"/>
        <w:tab w:val="center" w:pos="4680"/>
        <w:tab w:val="right" w:pos="9360"/>
      </w:tabs>
      <w:rPr>
        <w:b/>
      </w:rPr>
    </w:pPr>
    <w:r w:rsidRPr="007B568D">
      <w:rPr>
        <w:b/>
      </w:rPr>
      <w:tab/>
      <w:t xml:space="preserve">Federal Communications </w:t>
    </w:r>
    <w:r>
      <w:rPr>
        <w:b/>
      </w:rPr>
      <w:t>Commission</w:t>
    </w:r>
    <w:r>
      <w:rPr>
        <w:b/>
      </w:rPr>
      <w:tab/>
      <w:t>DA 14</w:t>
    </w:r>
    <w:r w:rsidRPr="007B568D">
      <w:rPr>
        <w:b/>
      </w:rPr>
      <w:t>-</w:t>
    </w:r>
    <w:r w:rsidR="00BF5D35">
      <w:rPr>
        <w:b/>
      </w:rPr>
      <w:t>1554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2"/>
  </w:num>
  <w:num w:numId="3">
    <w:abstractNumId w:val="5"/>
  </w:num>
  <w:num w:numId="4">
    <w:abstractNumId w:val="17"/>
  </w:num>
  <w:num w:numId="5">
    <w:abstractNumId w:val="6"/>
  </w:num>
  <w:num w:numId="6">
    <w:abstractNumId w:val="20"/>
  </w:num>
  <w:num w:numId="7">
    <w:abstractNumId w:val="14"/>
  </w:num>
  <w:num w:numId="8">
    <w:abstractNumId w:val="7"/>
  </w:num>
  <w:num w:numId="9">
    <w:abstractNumId w:val="19"/>
  </w:num>
  <w:num w:numId="10">
    <w:abstractNumId w:val="12"/>
  </w:num>
  <w:num w:numId="11">
    <w:abstractNumId w:val="11"/>
  </w:num>
  <w:num w:numId="12">
    <w:abstractNumId w:val="8"/>
  </w:num>
  <w:num w:numId="13">
    <w:abstractNumId w:val="13"/>
  </w:num>
  <w:num w:numId="14">
    <w:abstractNumId w:val="18"/>
  </w:num>
  <w:num w:numId="15">
    <w:abstractNumId w:val="3"/>
  </w:num>
  <w:num w:numId="16">
    <w:abstractNumId w:val="4"/>
  </w:num>
  <w:num w:numId="17">
    <w:abstractNumId w:val="9"/>
  </w:num>
  <w:num w:numId="18">
    <w:abstractNumId w:val="2"/>
  </w:num>
  <w:num w:numId="19">
    <w:abstractNumId w:val="10"/>
  </w:num>
  <w:num w:numId="20">
    <w:abstractNumId w:val="15"/>
  </w:num>
  <w:num w:numId="21">
    <w:abstractNumId w:val="16"/>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01"/>
    <w:rsid w:val="00005217"/>
    <w:rsid w:val="0001601F"/>
    <w:rsid w:val="00016AF6"/>
    <w:rsid w:val="00024577"/>
    <w:rsid w:val="00033F3B"/>
    <w:rsid w:val="00035864"/>
    <w:rsid w:val="0003658B"/>
    <w:rsid w:val="00036DCD"/>
    <w:rsid w:val="000416FD"/>
    <w:rsid w:val="00045A1C"/>
    <w:rsid w:val="000509D7"/>
    <w:rsid w:val="00052FD0"/>
    <w:rsid w:val="0006723F"/>
    <w:rsid w:val="0007517D"/>
    <w:rsid w:val="00075C30"/>
    <w:rsid w:val="00087382"/>
    <w:rsid w:val="000939DD"/>
    <w:rsid w:val="000A3ED3"/>
    <w:rsid w:val="000B15EF"/>
    <w:rsid w:val="000B3B03"/>
    <w:rsid w:val="000B4563"/>
    <w:rsid w:val="000F2CC0"/>
    <w:rsid w:val="000F43A0"/>
    <w:rsid w:val="000F7EE6"/>
    <w:rsid w:val="00107DFD"/>
    <w:rsid w:val="001220EF"/>
    <w:rsid w:val="00127F97"/>
    <w:rsid w:val="001330C3"/>
    <w:rsid w:val="001369D0"/>
    <w:rsid w:val="00140E78"/>
    <w:rsid w:val="0014574E"/>
    <w:rsid w:val="0016168F"/>
    <w:rsid w:val="001754F3"/>
    <w:rsid w:val="00176E3C"/>
    <w:rsid w:val="0019261E"/>
    <w:rsid w:val="001B7E5C"/>
    <w:rsid w:val="001C17E6"/>
    <w:rsid w:val="001E645D"/>
    <w:rsid w:val="001F701E"/>
    <w:rsid w:val="00214641"/>
    <w:rsid w:val="00215198"/>
    <w:rsid w:val="002318F0"/>
    <w:rsid w:val="0023508C"/>
    <w:rsid w:val="00235736"/>
    <w:rsid w:val="00246A09"/>
    <w:rsid w:val="002474BD"/>
    <w:rsid w:val="002520BF"/>
    <w:rsid w:val="00252871"/>
    <w:rsid w:val="0026062C"/>
    <w:rsid w:val="00261B38"/>
    <w:rsid w:val="002643B4"/>
    <w:rsid w:val="00266A17"/>
    <w:rsid w:val="0028617A"/>
    <w:rsid w:val="00296281"/>
    <w:rsid w:val="00297DD3"/>
    <w:rsid w:val="002A6083"/>
    <w:rsid w:val="002B5D77"/>
    <w:rsid w:val="002C0963"/>
    <w:rsid w:val="002C144B"/>
    <w:rsid w:val="002C50A3"/>
    <w:rsid w:val="002D481C"/>
    <w:rsid w:val="002F01DF"/>
    <w:rsid w:val="002F314A"/>
    <w:rsid w:val="002F6CE9"/>
    <w:rsid w:val="003028E4"/>
    <w:rsid w:val="00303BC5"/>
    <w:rsid w:val="003050AD"/>
    <w:rsid w:val="0030734D"/>
    <w:rsid w:val="00315FF4"/>
    <w:rsid w:val="003347CB"/>
    <w:rsid w:val="003351E4"/>
    <w:rsid w:val="00337FE6"/>
    <w:rsid w:val="00347DD6"/>
    <w:rsid w:val="00356720"/>
    <w:rsid w:val="00360F51"/>
    <w:rsid w:val="003656B6"/>
    <w:rsid w:val="003722D5"/>
    <w:rsid w:val="003749B5"/>
    <w:rsid w:val="00375BDC"/>
    <w:rsid w:val="00385DB0"/>
    <w:rsid w:val="003924E6"/>
    <w:rsid w:val="003958EA"/>
    <w:rsid w:val="003A493E"/>
    <w:rsid w:val="003D0F35"/>
    <w:rsid w:val="003D15E8"/>
    <w:rsid w:val="003D1C74"/>
    <w:rsid w:val="003D3C3A"/>
    <w:rsid w:val="003D3E54"/>
    <w:rsid w:val="003D463C"/>
    <w:rsid w:val="003E7264"/>
    <w:rsid w:val="003F457A"/>
    <w:rsid w:val="003F48C3"/>
    <w:rsid w:val="003F56D3"/>
    <w:rsid w:val="00401D81"/>
    <w:rsid w:val="00425A78"/>
    <w:rsid w:val="00431AED"/>
    <w:rsid w:val="00450DD5"/>
    <w:rsid w:val="00451180"/>
    <w:rsid w:val="00451209"/>
    <w:rsid w:val="00460586"/>
    <w:rsid w:val="00473BA1"/>
    <w:rsid w:val="00477F19"/>
    <w:rsid w:val="00485292"/>
    <w:rsid w:val="00487FBC"/>
    <w:rsid w:val="004930FA"/>
    <w:rsid w:val="00493F76"/>
    <w:rsid w:val="004A10B4"/>
    <w:rsid w:val="004D5888"/>
    <w:rsid w:val="004D7B29"/>
    <w:rsid w:val="004E5A59"/>
    <w:rsid w:val="004F56F2"/>
    <w:rsid w:val="004F698A"/>
    <w:rsid w:val="0052382D"/>
    <w:rsid w:val="005360D9"/>
    <w:rsid w:val="00541618"/>
    <w:rsid w:val="0055007D"/>
    <w:rsid w:val="00581EE4"/>
    <w:rsid w:val="00582901"/>
    <w:rsid w:val="0058660D"/>
    <w:rsid w:val="00590790"/>
    <w:rsid w:val="005935FB"/>
    <w:rsid w:val="0059647C"/>
    <w:rsid w:val="00596D13"/>
    <w:rsid w:val="005B063D"/>
    <w:rsid w:val="005C369E"/>
    <w:rsid w:val="005D10AD"/>
    <w:rsid w:val="005D1F52"/>
    <w:rsid w:val="005D25BE"/>
    <w:rsid w:val="005D40CB"/>
    <w:rsid w:val="005D5AB3"/>
    <w:rsid w:val="00610813"/>
    <w:rsid w:val="00611335"/>
    <w:rsid w:val="00631D63"/>
    <w:rsid w:val="00635F00"/>
    <w:rsid w:val="00636BCA"/>
    <w:rsid w:val="00642AF1"/>
    <w:rsid w:val="00655F77"/>
    <w:rsid w:val="00660516"/>
    <w:rsid w:val="006609AA"/>
    <w:rsid w:val="00664E93"/>
    <w:rsid w:val="0067257F"/>
    <w:rsid w:val="00693854"/>
    <w:rsid w:val="006B0E04"/>
    <w:rsid w:val="006B57F5"/>
    <w:rsid w:val="006B7CF2"/>
    <w:rsid w:val="006C615E"/>
    <w:rsid w:val="006D167B"/>
    <w:rsid w:val="006D2F57"/>
    <w:rsid w:val="006E284A"/>
    <w:rsid w:val="006E46BE"/>
    <w:rsid w:val="006F541F"/>
    <w:rsid w:val="006F6C9C"/>
    <w:rsid w:val="0071668C"/>
    <w:rsid w:val="00716BCD"/>
    <w:rsid w:val="00732291"/>
    <w:rsid w:val="00735CD9"/>
    <w:rsid w:val="00746067"/>
    <w:rsid w:val="00750548"/>
    <w:rsid w:val="00753581"/>
    <w:rsid w:val="0076526B"/>
    <w:rsid w:val="0076699D"/>
    <w:rsid w:val="0077172E"/>
    <w:rsid w:val="007721B7"/>
    <w:rsid w:val="00780559"/>
    <w:rsid w:val="00790FE3"/>
    <w:rsid w:val="00794A01"/>
    <w:rsid w:val="00794ACD"/>
    <w:rsid w:val="007A700F"/>
    <w:rsid w:val="007B0F77"/>
    <w:rsid w:val="007B568D"/>
    <w:rsid w:val="007B6252"/>
    <w:rsid w:val="007B787C"/>
    <w:rsid w:val="007C3AD7"/>
    <w:rsid w:val="007D231E"/>
    <w:rsid w:val="007F3771"/>
    <w:rsid w:val="00801D4C"/>
    <w:rsid w:val="008108FF"/>
    <w:rsid w:val="008169DB"/>
    <w:rsid w:val="008171F2"/>
    <w:rsid w:val="00826F4D"/>
    <w:rsid w:val="00833E21"/>
    <w:rsid w:val="008430E8"/>
    <w:rsid w:val="0084622D"/>
    <w:rsid w:val="00847CE6"/>
    <w:rsid w:val="00855807"/>
    <w:rsid w:val="00863855"/>
    <w:rsid w:val="0086594C"/>
    <w:rsid w:val="0087020C"/>
    <w:rsid w:val="00873756"/>
    <w:rsid w:val="00893ABD"/>
    <w:rsid w:val="008970C1"/>
    <w:rsid w:val="00897691"/>
    <w:rsid w:val="008A18C3"/>
    <w:rsid w:val="008B4C08"/>
    <w:rsid w:val="008C56FB"/>
    <w:rsid w:val="008C68D6"/>
    <w:rsid w:val="008D413D"/>
    <w:rsid w:val="008D4674"/>
    <w:rsid w:val="008D5B16"/>
    <w:rsid w:val="008E1091"/>
    <w:rsid w:val="008E4BA3"/>
    <w:rsid w:val="008F419C"/>
    <w:rsid w:val="008F7EA7"/>
    <w:rsid w:val="0090245F"/>
    <w:rsid w:val="009025CD"/>
    <w:rsid w:val="009061E5"/>
    <w:rsid w:val="00907203"/>
    <w:rsid w:val="00916C66"/>
    <w:rsid w:val="0093537B"/>
    <w:rsid w:val="009369C1"/>
    <w:rsid w:val="009416A2"/>
    <w:rsid w:val="00942494"/>
    <w:rsid w:val="00950674"/>
    <w:rsid w:val="00950F15"/>
    <w:rsid w:val="009520DE"/>
    <w:rsid w:val="00990A18"/>
    <w:rsid w:val="009954AE"/>
    <w:rsid w:val="00995533"/>
    <w:rsid w:val="009A5453"/>
    <w:rsid w:val="009B0D16"/>
    <w:rsid w:val="009B1487"/>
    <w:rsid w:val="009B7115"/>
    <w:rsid w:val="009B7BAD"/>
    <w:rsid w:val="009C132E"/>
    <w:rsid w:val="009C4E2C"/>
    <w:rsid w:val="009C521D"/>
    <w:rsid w:val="009D43AC"/>
    <w:rsid w:val="009E04A8"/>
    <w:rsid w:val="009E5449"/>
    <w:rsid w:val="009F0B3D"/>
    <w:rsid w:val="00A031EA"/>
    <w:rsid w:val="00A033CC"/>
    <w:rsid w:val="00A15250"/>
    <w:rsid w:val="00A16E49"/>
    <w:rsid w:val="00A257F1"/>
    <w:rsid w:val="00A34305"/>
    <w:rsid w:val="00A34430"/>
    <w:rsid w:val="00A7124D"/>
    <w:rsid w:val="00A723FB"/>
    <w:rsid w:val="00A74945"/>
    <w:rsid w:val="00A756C7"/>
    <w:rsid w:val="00A75EEB"/>
    <w:rsid w:val="00A80008"/>
    <w:rsid w:val="00A81589"/>
    <w:rsid w:val="00A832C1"/>
    <w:rsid w:val="00A855BD"/>
    <w:rsid w:val="00A93483"/>
    <w:rsid w:val="00A951EE"/>
    <w:rsid w:val="00AA7024"/>
    <w:rsid w:val="00AB55CB"/>
    <w:rsid w:val="00AC5446"/>
    <w:rsid w:val="00AE4B5B"/>
    <w:rsid w:val="00AE54B8"/>
    <w:rsid w:val="00AF2CC4"/>
    <w:rsid w:val="00AF63BD"/>
    <w:rsid w:val="00B01E96"/>
    <w:rsid w:val="00B07F0B"/>
    <w:rsid w:val="00B10165"/>
    <w:rsid w:val="00B11C07"/>
    <w:rsid w:val="00B308A9"/>
    <w:rsid w:val="00B332D5"/>
    <w:rsid w:val="00B33B87"/>
    <w:rsid w:val="00B47EDD"/>
    <w:rsid w:val="00B54559"/>
    <w:rsid w:val="00B63DCE"/>
    <w:rsid w:val="00B7121D"/>
    <w:rsid w:val="00B74847"/>
    <w:rsid w:val="00B76FBC"/>
    <w:rsid w:val="00B77B8C"/>
    <w:rsid w:val="00B825FB"/>
    <w:rsid w:val="00B843AA"/>
    <w:rsid w:val="00B92187"/>
    <w:rsid w:val="00B943B0"/>
    <w:rsid w:val="00B9700D"/>
    <w:rsid w:val="00BB00BA"/>
    <w:rsid w:val="00BB073D"/>
    <w:rsid w:val="00BB4AC8"/>
    <w:rsid w:val="00BC4148"/>
    <w:rsid w:val="00BC4E79"/>
    <w:rsid w:val="00BD096E"/>
    <w:rsid w:val="00BD2D51"/>
    <w:rsid w:val="00BD7273"/>
    <w:rsid w:val="00BE09BC"/>
    <w:rsid w:val="00BE577D"/>
    <w:rsid w:val="00BF1951"/>
    <w:rsid w:val="00BF5D35"/>
    <w:rsid w:val="00C04E06"/>
    <w:rsid w:val="00C1529E"/>
    <w:rsid w:val="00C16626"/>
    <w:rsid w:val="00C17A8C"/>
    <w:rsid w:val="00C41593"/>
    <w:rsid w:val="00C46199"/>
    <w:rsid w:val="00C46213"/>
    <w:rsid w:val="00C5044F"/>
    <w:rsid w:val="00C56627"/>
    <w:rsid w:val="00C61764"/>
    <w:rsid w:val="00C62A8B"/>
    <w:rsid w:val="00C669D9"/>
    <w:rsid w:val="00C70379"/>
    <w:rsid w:val="00C70508"/>
    <w:rsid w:val="00C97AE1"/>
    <w:rsid w:val="00CA0653"/>
    <w:rsid w:val="00CA1052"/>
    <w:rsid w:val="00CA228F"/>
    <w:rsid w:val="00CA4A0B"/>
    <w:rsid w:val="00CA7E3E"/>
    <w:rsid w:val="00CB07CA"/>
    <w:rsid w:val="00CB2536"/>
    <w:rsid w:val="00CB6C81"/>
    <w:rsid w:val="00CC78CD"/>
    <w:rsid w:val="00CD5A18"/>
    <w:rsid w:val="00CE2CDF"/>
    <w:rsid w:val="00CE675A"/>
    <w:rsid w:val="00CE752D"/>
    <w:rsid w:val="00D0657D"/>
    <w:rsid w:val="00D1762A"/>
    <w:rsid w:val="00D225FD"/>
    <w:rsid w:val="00D67C38"/>
    <w:rsid w:val="00D74D07"/>
    <w:rsid w:val="00D90935"/>
    <w:rsid w:val="00D93344"/>
    <w:rsid w:val="00D97447"/>
    <w:rsid w:val="00DA193F"/>
    <w:rsid w:val="00DA5BCD"/>
    <w:rsid w:val="00DC6BE7"/>
    <w:rsid w:val="00DD2B59"/>
    <w:rsid w:val="00DE307E"/>
    <w:rsid w:val="00DE4CAD"/>
    <w:rsid w:val="00E00365"/>
    <w:rsid w:val="00E41ABE"/>
    <w:rsid w:val="00E55566"/>
    <w:rsid w:val="00E6287D"/>
    <w:rsid w:val="00E65013"/>
    <w:rsid w:val="00E757B8"/>
    <w:rsid w:val="00E84033"/>
    <w:rsid w:val="00E8494F"/>
    <w:rsid w:val="00E86A07"/>
    <w:rsid w:val="00E93D2A"/>
    <w:rsid w:val="00EA12E6"/>
    <w:rsid w:val="00EA272A"/>
    <w:rsid w:val="00EA7E71"/>
    <w:rsid w:val="00EB791D"/>
    <w:rsid w:val="00EC2405"/>
    <w:rsid w:val="00EC3F66"/>
    <w:rsid w:val="00EC514D"/>
    <w:rsid w:val="00EC65A3"/>
    <w:rsid w:val="00EC6E0E"/>
    <w:rsid w:val="00ED7B9E"/>
    <w:rsid w:val="00EE0D56"/>
    <w:rsid w:val="00EE5C79"/>
    <w:rsid w:val="00EE70BB"/>
    <w:rsid w:val="00EF01C0"/>
    <w:rsid w:val="00F060A0"/>
    <w:rsid w:val="00F06D3F"/>
    <w:rsid w:val="00F21340"/>
    <w:rsid w:val="00F23040"/>
    <w:rsid w:val="00F34AD7"/>
    <w:rsid w:val="00F42685"/>
    <w:rsid w:val="00F5015D"/>
    <w:rsid w:val="00F657C5"/>
    <w:rsid w:val="00F6739D"/>
    <w:rsid w:val="00F70752"/>
    <w:rsid w:val="00F85F9B"/>
    <w:rsid w:val="00F94DFF"/>
    <w:rsid w:val="00F9668A"/>
    <w:rsid w:val="00FA122A"/>
    <w:rsid w:val="00FA29A2"/>
    <w:rsid w:val="00FB0225"/>
    <w:rsid w:val="00FC22C2"/>
    <w:rsid w:val="00FD451E"/>
    <w:rsid w:val="00FD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semiHidden/>
    <w:rsid w:val="002A6083"/>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semiHidden/>
    <w:rsid w:val="002A6083"/>
    <w:rPr>
      <w:lang w:val="en-US" w:eastAsia="en-US" w:bidi="ar-SA"/>
    </w:rPr>
  </w:style>
  <w:style w:type="paragraph" w:customStyle="1" w:styleId="StyleParaNum11pt">
    <w:name w:val="Style ParaNum + 11 pt"/>
    <w:basedOn w:val="ParaNum"/>
    <w:link w:val="StyleParaNum11ptChar"/>
    <w:autoRedefine/>
    <w:rsid w:val="006B57F5"/>
    <w:pPr>
      <w:widowControl/>
      <w:tabs>
        <w:tab w:val="num" w:pos="720"/>
      </w:tabs>
      <w:spacing w:after="120"/>
      <w:ind w:firstLine="630"/>
      <w:jc w:val="left"/>
    </w:pPr>
    <w:rPr>
      <w:szCs w:val="22"/>
    </w:rPr>
  </w:style>
  <w:style w:type="character" w:customStyle="1" w:styleId="StyleParaNum11ptChar">
    <w:name w:val="Style ParaNum + 11 pt Char"/>
    <w:link w:val="StyleParaNum11pt"/>
    <w:rsid w:val="006B57F5"/>
    <w:rPr>
      <w:sz w:val="22"/>
      <w:szCs w:val="22"/>
      <w:lang w:val="en-US" w:eastAsia="en-US" w:bidi="ar-SA"/>
    </w:rPr>
  </w:style>
  <w:style w:type="character" w:customStyle="1" w:styleId="text-blue1">
    <w:name w:val="text-blue1"/>
    <w:rsid w:val="006B57F5"/>
    <w:rPr>
      <w:rFonts w:ascii="Verdana" w:hAnsi="Verdana" w:hint="default"/>
      <w:color w:val="000099"/>
      <w:sz w:val="18"/>
      <w:szCs w:val="18"/>
    </w:rPr>
  </w:style>
  <w:style w:type="character" w:customStyle="1" w:styleId="ParaNumChar1">
    <w:name w:val="ParaNum Char1"/>
    <w:link w:val="ParaNum"/>
    <w:rsid w:val="00DA5BCD"/>
    <w:rPr>
      <w:sz w:val="22"/>
      <w:lang w:val="en-US" w:eastAsia="en-US" w:bidi="ar-SA"/>
    </w:rPr>
  </w:style>
  <w:style w:type="character" w:styleId="Hyperlink">
    <w:name w:val="Hyperlink"/>
    <w:rsid w:val="00EC6E0E"/>
    <w:rPr>
      <w:strike w:val="0"/>
      <w:dstrike w:val="0"/>
      <w:color w:val="145DA4"/>
      <w:u w:val="none"/>
      <w:effect w:val="none"/>
    </w:rPr>
  </w:style>
  <w:style w:type="character" w:styleId="Emphasis">
    <w:name w:val="Emphasis"/>
    <w:qFormat/>
    <w:rsid w:val="00EC6E0E"/>
    <w:rPr>
      <w:i/>
      <w:iCs/>
    </w:rPr>
  </w:style>
  <w:style w:type="character" w:customStyle="1" w:styleId="cosearchterm6">
    <w:name w:val="co_searchterm6"/>
    <w:rsid w:val="00EC6E0E"/>
    <w:rPr>
      <w:b/>
      <w:bCs/>
      <w:color w:val="252525"/>
    </w:rPr>
  </w:style>
  <w:style w:type="character" w:styleId="CommentReference">
    <w:name w:val="annotation reference"/>
    <w:semiHidden/>
    <w:rsid w:val="00FA29A2"/>
    <w:rPr>
      <w:sz w:val="16"/>
      <w:szCs w:val="16"/>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636BCA"/>
  </w:style>
  <w:style w:type="character" w:customStyle="1" w:styleId="StyleFootnoteReferenceofrAppelnotedebasdepStyle12NECG">
    <w:name w:val="Style Footnote ReferenceofrAppel note de bas de pStyle 12(NECG..."/>
    <w:rsid w:val="00CA4A0B"/>
    <w:rPr>
      <w:rFonts w:ascii="Times New Roman" w:hAnsi="Times New Roman"/>
      <w:dstrike w:val="0"/>
      <w:color w:val="000000"/>
      <w:sz w:val="22"/>
      <w:vertAlign w:val="superscript"/>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FD451E"/>
    <w:rPr>
      <w:lang w:val="en-US" w:eastAsia="en-US"/>
    </w:rPr>
  </w:style>
  <w:style w:type="paragraph" w:styleId="BalloonText">
    <w:name w:val="Balloon Text"/>
    <w:basedOn w:val="Normal"/>
    <w:link w:val="BalloonTextChar"/>
    <w:rsid w:val="00590790"/>
    <w:rPr>
      <w:rFonts w:ascii="Tahoma" w:hAnsi="Tahoma" w:cs="Tahoma"/>
      <w:sz w:val="16"/>
      <w:szCs w:val="16"/>
    </w:rPr>
  </w:style>
  <w:style w:type="character" w:customStyle="1" w:styleId="BalloonTextChar">
    <w:name w:val="Balloon Text Char"/>
    <w:link w:val="BalloonText"/>
    <w:rsid w:val="00590790"/>
    <w:rPr>
      <w:rFonts w:ascii="Tahoma" w:hAnsi="Tahoma" w:cs="Tahoma"/>
      <w:sz w:val="16"/>
      <w:szCs w:val="16"/>
    </w:rPr>
  </w:style>
  <w:style w:type="paragraph" w:styleId="CommentText">
    <w:name w:val="annotation text"/>
    <w:basedOn w:val="Normal"/>
    <w:link w:val="CommentTextChar"/>
    <w:rsid w:val="00033F3B"/>
    <w:rPr>
      <w:sz w:val="20"/>
    </w:rPr>
  </w:style>
  <w:style w:type="character" w:customStyle="1" w:styleId="CommentTextChar">
    <w:name w:val="Comment Text Char"/>
    <w:basedOn w:val="DefaultParagraphFont"/>
    <w:link w:val="CommentText"/>
    <w:rsid w:val="00033F3B"/>
  </w:style>
  <w:style w:type="paragraph" w:styleId="CommentSubject">
    <w:name w:val="annotation subject"/>
    <w:basedOn w:val="CommentText"/>
    <w:next w:val="CommentText"/>
    <w:link w:val="CommentSubjectChar"/>
    <w:rsid w:val="00033F3B"/>
    <w:rPr>
      <w:b/>
      <w:bCs/>
    </w:rPr>
  </w:style>
  <w:style w:type="character" w:customStyle="1" w:styleId="CommentSubjectChar">
    <w:name w:val="Comment Subject Char"/>
    <w:link w:val="CommentSubject"/>
    <w:rsid w:val="00033F3B"/>
    <w:rPr>
      <w:b/>
      <w:bCs/>
    </w:rPr>
  </w:style>
  <w:style w:type="character" w:customStyle="1" w:styleId="emphi">
    <w:name w:val="emphi"/>
    <w:basedOn w:val="DefaultParagraphFont"/>
    <w:rsid w:val="00A15250"/>
  </w:style>
  <w:style w:type="character" w:customStyle="1" w:styleId="apple-converted-space">
    <w:name w:val="apple-converted-space"/>
    <w:basedOn w:val="DefaultParagraphFont"/>
    <w:rsid w:val="00A15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semiHidden/>
    <w:rsid w:val="002A6083"/>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semiHidden/>
    <w:rsid w:val="002A6083"/>
    <w:rPr>
      <w:lang w:val="en-US" w:eastAsia="en-US" w:bidi="ar-SA"/>
    </w:rPr>
  </w:style>
  <w:style w:type="paragraph" w:customStyle="1" w:styleId="StyleParaNum11pt">
    <w:name w:val="Style ParaNum + 11 pt"/>
    <w:basedOn w:val="ParaNum"/>
    <w:link w:val="StyleParaNum11ptChar"/>
    <w:autoRedefine/>
    <w:rsid w:val="006B57F5"/>
    <w:pPr>
      <w:widowControl/>
      <w:tabs>
        <w:tab w:val="num" w:pos="720"/>
      </w:tabs>
      <w:spacing w:after="120"/>
      <w:ind w:firstLine="630"/>
      <w:jc w:val="left"/>
    </w:pPr>
    <w:rPr>
      <w:szCs w:val="22"/>
    </w:rPr>
  </w:style>
  <w:style w:type="character" w:customStyle="1" w:styleId="StyleParaNum11ptChar">
    <w:name w:val="Style ParaNum + 11 pt Char"/>
    <w:link w:val="StyleParaNum11pt"/>
    <w:rsid w:val="006B57F5"/>
    <w:rPr>
      <w:sz w:val="22"/>
      <w:szCs w:val="22"/>
      <w:lang w:val="en-US" w:eastAsia="en-US" w:bidi="ar-SA"/>
    </w:rPr>
  </w:style>
  <w:style w:type="character" w:customStyle="1" w:styleId="text-blue1">
    <w:name w:val="text-blue1"/>
    <w:rsid w:val="006B57F5"/>
    <w:rPr>
      <w:rFonts w:ascii="Verdana" w:hAnsi="Verdana" w:hint="default"/>
      <w:color w:val="000099"/>
      <w:sz w:val="18"/>
      <w:szCs w:val="18"/>
    </w:rPr>
  </w:style>
  <w:style w:type="character" w:customStyle="1" w:styleId="ParaNumChar1">
    <w:name w:val="ParaNum Char1"/>
    <w:link w:val="ParaNum"/>
    <w:rsid w:val="00DA5BCD"/>
    <w:rPr>
      <w:sz w:val="22"/>
      <w:lang w:val="en-US" w:eastAsia="en-US" w:bidi="ar-SA"/>
    </w:rPr>
  </w:style>
  <w:style w:type="character" w:styleId="Hyperlink">
    <w:name w:val="Hyperlink"/>
    <w:rsid w:val="00EC6E0E"/>
    <w:rPr>
      <w:strike w:val="0"/>
      <w:dstrike w:val="0"/>
      <w:color w:val="145DA4"/>
      <w:u w:val="none"/>
      <w:effect w:val="none"/>
    </w:rPr>
  </w:style>
  <w:style w:type="character" w:styleId="Emphasis">
    <w:name w:val="Emphasis"/>
    <w:qFormat/>
    <w:rsid w:val="00EC6E0E"/>
    <w:rPr>
      <w:i/>
      <w:iCs/>
    </w:rPr>
  </w:style>
  <w:style w:type="character" w:customStyle="1" w:styleId="cosearchterm6">
    <w:name w:val="co_searchterm6"/>
    <w:rsid w:val="00EC6E0E"/>
    <w:rPr>
      <w:b/>
      <w:bCs/>
      <w:color w:val="252525"/>
    </w:rPr>
  </w:style>
  <w:style w:type="character" w:styleId="CommentReference">
    <w:name w:val="annotation reference"/>
    <w:semiHidden/>
    <w:rsid w:val="00FA29A2"/>
    <w:rPr>
      <w:sz w:val="16"/>
      <w:szCs w:val="16"/>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636BCA"/>
  </w:style>
  <w:style w:type="character" w:customStyle="1" w:styleId="StyleFootnoteReferenceofrAppelnotedebasdepStyle12NECG">
    <w:name w:val="Style Footnote ReferenceofrAppel note de bas de pStyle 12(NECG..."/>
    <w:rsid w:val="00CA4A0B"/>
    <w:rPr>
      <w:rFonts w:ascii="Times New Roman" w:hAnsi="Times New Roman"/>
      <w:dstrike w:val="0"/>
      <w:color w:val="000000"/>
      <w:sz w:val="22"/>
      <w:vertAlign w:val="superscript"/>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FD451E"/>
    <w:rPr>
      <w:lang w:val="en-US" w:eastAsia="en-US"/>
    </w:rPr>
  </w:style>
  <w:style w:type="paragraph" w:styleId="BalloonText">
    <w:name w:val="Balloon Text"/>
    <w:basedOn w:val="Normal"/>
    <w:link w:val="BalloonTextChar"/>
    <w:rsid w:val="00590790"/>
    <w:rPr>
      <w:rFonts w:ascii="Tahoma" w:hAnsi="Tahoma" w:cs="Tahoma"/>
      <w:sz w:val="16"/>
      <w:szCs w:val="16"/>
    </w:rPr>
  </w:style>
  <w:style w:type="character" w:customStyle="1" w:styleId="BalloonTextChar">
    <w:name w:val="Balloon Text Char"/>
    <w:link w:val="BalloonText"/>
    <w:rsid w:val="00590790"/>
    <w:rPr>
      <w:rFonts w:ascii="Tahoma" w:hAnsi="Tahoma" w:cs="Tahoma"/>
      <w:sz w:val="16"/>
      <w:szCs w:val="16"/>
    </w:rPr>
  </w:style>
  <w:style w:type="paragraph" w:styleId="CommentText">
    <w:name w:val="annotation text"/>
    <w:basedOn w:val="Normal"/>
    <w:link w:val="CommentTextChar"/>
    <w:rsid w:val="00033F3B"/>
    <w:rPr>
      <w:sz w:val="20"/>
    </w:rPr>
  </w:style>
  <w:style w:type="character" w:customStyle="1" w:styleId="CommentTextChar">
    <w:name w:val="Comment Text Char"/>
    <w:basedOn w:val="DefaultParagraphFont"/>
    <w:link w:val="CommentText"/>
    <w:rsid w:val="00033F3B"/>
  </w:style>
  <w:style w:type="paragraph" w:styleId="CommentSubject">
    <w:name w:val="annotation subject"/>
    <w:basedOn w:val="CommentText"/>
    <w:next w:val="CommentText"/>
    <w:link w:val="CommentSubjectChar"/>
    <w:rsid w:val="00033F3B"/>
    <w:rPr>
      <w:b/>
      <w:bCs/>
    </w:rPr>
  </w:style>
  <w:style w:type="character" w:customStyle="1" w:styleId="CommentSubjectChar">
    <w:name w:val="Comment Subject Char"/>
    <w:link w:val="CommentSubject"/>
    <w:rsid w:val="00033F3B"/>
    <w:rPr>
      <w:b/>
      <w:bCs/>
    </w:rPr>
  </w:style>
  <w:style w:type="character" w:customStyle="1" w:styleId="emphi">
    <w:name w:val="emphi"/>
    <w:basedOn w:val="DefaultParagraphFont"/>
    <w:rsid w:val="00A15250"/>
  </w:style>
  <w:style w:type="character" w:customStyle="1" w:styleId="apple-converted-space">
    <w:name w:val="apple-converted-space"/>
    <w:basedOn w:val="DefaultParagraphFont"/>
    <w:rsid w:val="00A1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9496">
      <w:bodyDiv w:val="1"/>
      <w:marLeft w:val="0"/>
      <w:marRight w:val="0"/>
      <w:marTop w:val="0"/>
      <w:marBottom w:val="0"/>
      <w:divBdr>
        <w:top w:val="none" w:sz="0" w:space="0" w:color="auto"/>
        <w:left w:val="none" w:sz="0" w:space="0" w:color="auto"/>
        <w:bottom w:val="none" w:sz="0" w:space="0" w:color="auto"/>
        <w:right w:val="none" w:sz="0" w:space="0" w:color="auto"/>
      </w:divBdr>
      <w:divsChild>
        <w:div w:id="79185545">
          <w:marLeft w:val="0"/>
          <w:marRight w:val="0"/>
          <w:marTop w:val="0"/>
          <w:marBottom w:val="0"/>
          <w:divBdr>
            <w:top w:val="none" w:sz="0" w:space="0" w:color="auto"/>
            <w:left w:val="single" w:sz="4" w:space="0" w:color="BBBBBB"/>
            <w:bottom w:val="single" w:sz="4" w:space="0" w:color="BBBBBB"/>
            <w:right w:val="single" w:sz="4" w:space="0" w:color="BBBBBB"/>
          </w:divBdr>
          <w:divsChild>
            <w:div w:id="361636179">
              <w:marLeft w:val="0"/>
              <w:marRight w:val="0"/>
              <w:marTop w:val="0"/>
              <w:marBottom w:val="0"/>
              <w:divBdr>
                <w:top w:val="none" w:sz="0" w:space="0" w:color="auto"/>
                <w:left w:val="none" w:sz="0" w:space="0" w:color="auto"/>
                <w:bottom w:val="none" w:sz="0" w:space="0" w:color="auto"/>
                <w:right w:val="none" w:sz="0" w:space="0" w:color="auto"/>
              </w:divBdr>
              <w:divsChild>
                <w:div w:id="448090145">
                  <w:marLeft w:val="0"/>
                  <w:marRight w:val="0"/>
                  <w:marTop w:val="0"/>
                  <w:marBottom w:val="0"/>
                  <w:divBdr>
                    <w:top w:val="none" w:sz="0" w:space="0" w:color="auto"/>
                    <w:left w:val="none" w:sz="0" w:space="0" w:color="auto"/>
                    <w:bottom w:val="none" w:sz="0" w:space="0" w:color="auto"/>
                    <w:right w:val="none" w:sz="0" w:space="0" w:color="auto"/>
                  </w:divBdr>
                  <w:divsChild>
                    <w:div w:id="748431640">
                      <w:marLeft w:val="0"/>
                      <w:marRight w:val="0"/>
                      <w:marTop w:val="0"/>
                      <w:marBottom w:val="0"/>
                      <w:divBdr>
                        <w:top w:val="none" w:sz="0" w:space="0" w:color="auto"/>
                        <w:left w:val="none" w:sz="0" w:space="0" w:color="auto"/>
                        <w:bottom w:val="none" w:sz="0" w:space="0" w:color="auto"/>
                        <w:right w:val="none" w:sz="0" w:space="0" w:color="auto"/>
                      </w:divBdr>
                      <w:divsChild>
                        <w:div w:id="609894542">
                          <w:marLeft w:val="0"/>
                          <w:marRight w:val="0"/>
                          <w:marTop w:val="0"/>
                          <w:marBottom w:val="0"/>
                          <w:divBdr>
                            <w:top w:val="none" w:sz="0" w:space="0" w:color="auto"/>
                            <w:left w:val="none" w:sz="0" w:space="0" w:color="auto"/>
                            <w:bottom w:val="none" w:sz="0" w:space="0" w:color="auto"/>
                            <w:right w:val="none" w:sz="0" w:space="0" w:color="auto"/>
                          </w:divBdr>
                          <w:divsChild>
                            <w:div w:id="1349527239">
                              <w:marLeft w:val="0"/>
                              <w:marRight w:val="0"/>
                              <w:marTop w:val="0"/>
                              <w:marBottom w:val="0"/>
                              <w:divBdr>
                                <w:top w:val="none" w:sz="0" w:space="0" w:color="auto"/>
                                <w:left w:val="none" w:sz="0" w:space="0" w:color="auto"/>
                                <w:bottom w:val="none" w:sz="0" w:space="0" w:color="auto"/>
                                <w:right w:val="none" w:sz="0" w:space="0" w:color="auto"/>
                              </w:divBdr>
                              <w:divsChild>
                                <w:div w:id="1688673321">
                                  <w:marLeft w:val="0"/>
                                  <w:marRight w:val="0"/>
                                  <w:marTop w:val="0"/>
                                  <w:marBottom w:val="0"/>
                                  <w:divBdr>
                                    <w:top w:val="none" w:sz="0" w:space="0" w:color="auto"/>
                                    <w:left w:val="none" w:sz="0" w:space="0" w:color="auto"/>
                                    <w:bottom w:val="none" w:sz="0" w:space="0" w:color="auto"/>
                                    <w:right w:val="none" w:sz="0" w:space="0" w:color="auto"/>
                                  </w:divBdr>
                                  <w:divsChild>
                                    <w:div w:id="791244330">
                                      <w:marLeft w:val="0"/>
                                      <w:marRight w:val="0"/>
                                      <w:marTop w:val="0"/>
                                      <w:marBottom w:val="0"/>
                                      <w:divBdr>
                                        <w:top w:val="none" w:sz="0" w:space="0" w:color="auto"/>
                                        <w:left w:val="none" w:sz="0" w:space="0" w:color="auto"/>
                                        <w:bottom w:val="none" w:sz="0" w:space="0" w:color="auto"/>
                                        <w:right w:val="none" w:sz="0" w:space="0" w:color="auto"/>
                                      </w:divBdr>
                                      <w:divsChild>
                                        <w:div w:id="1329287351">
                                          <w:marLeft w:val="1038"/>
                                          <w:marRight w:val="1038"/>
                                          <w:marTop w:val="0"/>
                                          <w:marBottom w:val="0"/>
                                          <w:divBdr>
                                            <w:top w:val="none" w:sz="0" w:space="0" w:color="auto"/>
                                            <w:left w:val="none" w:sz="0" w:space="0" w:color="auto"/>
                                            <w:bottom w:val="none" w:sz="0" w:space="0" w:color="auto"/>
                                            <w:right w:val="none" w:sz="0" w:space="0" w:color="auto"/>
                                          </w:divBdr>
                                          <w:divsChild>
                                            <w:div w:id="900365109">
                                              <w:marLeft w:val="0"/>
                                              <w:marRight w:val="0"/>
                                              <w:marTop w:val="0"/>
                                              <w:marBottom w:val="0"/>
                                              <w:divBdr>
                                                <w:top w:val="none" w:sz="0" w:space="0" w:color="auto"/>
                                                <w:left w:val="none" w:sz="0" w:space="0" w:color="auto"/>
                                                <w:bottom w:val="none" w:sz="0" w:space="0" w:color="auto"/>
                                                <w:right w:val="none" w:sz="0" w:space="0" w:color="auto"/>
                                              </w:divBdr>
                                              <w:divsChild>
                                                <w:div w:id="1588265485">
                                                  <w:marLeft w:val="0"/>
                                                  <w:marRight w:val="0"/>
                                                  <w:marTop w:val="0"/>
                                                  <w:marBottom w:val="0"/>
                                                  <w:divBdr>
                                                    <w:top w:val="none" w:sz="0" w:space="0" w:color="auto"/>
                                                    <w:left w:val="none" w:sz="0" w:space="0" w:color="auto"/>
                                                    <w:bottom w:val="none" w:sz="0" w:space="0" w:color="auto"/>
                                                    <w:right w:val="none" w:sz="0" w:space="0" w:color="auto"/>
                                                  </w:divBdr>
                                                  <w:divsChild>
                                                    <w:div w:id="1147167917">
                                                      <w:marLeft w:val="0"/>
                                                      <w:marRight w:val="0"/>
                                                      <w:marTop w:val="0"/>
                                                      <w:marBottom w:val="0"/>
                                                      <w:divBdr>
                                                        <w:top w:val="none" w:sz="0" w:space="0" w:color="auto"/>
                                                        <w:left w:val="none" w:sz="0" w:space="0" w:color="auto"/>
                                                        <w:bottom w:val="none" w:sz="0" w:space="0" w:color="auto"/>
                                                        <w:right w:val="none" w:sz="0" w:space="0" w:color="auto"/>
                                                      </w:divBdr>
                                                      <w:divsChild>
                                                        <w:div w:id="492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1432</Words>
  <Characters>8073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9499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2012-12-18T17:32:00Z</cp:lastPrinted>
  <dcterms:created xsi:type="dcterms:W3CDTF">2014-10-27T18:24:00Z</dcterms:created>
  <dcterms:modified xsi:type="dcterms:W3CDTF">2014-10-27T18:24:00Z</dcterms:modified>
  <cp:category> </cp:category>
  <cp:contentStatus> </cp:contentStatus>
</cp:coreProperties>
</file>