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489" w:rsidRDefault="00293489">
      <w:pPr>
        <w:jc w:val="center"/>
        <w:rPr>
          <w:b/>
        </w:rPr>
      </w:pPr>
      <w:bookmarkStart w:id="0" w:name="_GoBack"/>
      <w:bookmarkEnd w:id="0"/>
      <w:r>
        <w:rPr>
          <w:b/>
        </w:rPr>
        <w:t>Before the</w:t>
      </w:r>
    </w:p>
    <w:p w:rsidR="00293489" w:rsidRDefault="00293489">
      <w:pPr>
        <w:jc w:val="center"/>
        <w:rPr>
          <w:b/>
        </w:rPr>
      </w:pPr>
      <w:r>
        <w:rPr>
          <w:b/>
        </w:rPr>
        <w:t>Federal Communications Commission</w:t>
      </w:r>
    </w:p>
    <w:p w:rsidR="00293489" w:rsidRDefault="00293489">
      <w:pPr>
        <w:jc w:val="center"/>
        <w:rPr>
          <w:b/>
        </w:rPr>
      </w:pPr>
      <w:r>
        <w:rPr>
          <w:b/>
        </w:rPr>
        <w:t>Washington, D.C. 20554</w:t>
      </w:r>
    </w:p>
    <w:p w:rsidR="00293489" w:rsidRDefault="00293489"/>
    <w:p w:rsidR="00293489" w:rsidRDefault="00293489"/>
    <w:tbl>
      <w:tblPr>
        <w:tblW w:w="0" w:type="auto"/>
        <w:tblLayout w:type="fixed"/>
        <w:tblLook w:val="0000" w:firstRow="0" w:lastRow="0" w:firstColumn="0" w:lastColumn="0" w:noHBand="0" w:noVBand="0"/>
      </w:tblPr>
      <w:tblGrid>
        <w:gridCol w:w="4698"/>
        <w:gridCol w:w="720"/>
        <w:gridCol w:w="4230"/>
      </w:tblGrid>
      <w:tr w:rsidR="00293489">
        <w:tc>
          <w:tcPr>
            <w:tcW w:w="4698" w:type="dxa"/>
          </w:tcPr>
          <w:p w:rsidR="00293489" w:rsidRDefault="00403329">
            <w:pPr>
              <w:ind w:right="-18"/>
            </w:pPr>
            <w:r>
              <w:t>In the M</w:t>
            </w:r>
            <w:r w:rsidR="00293489">
              <w:t>atter of</w:t>
            </w:r>
          </w:p>
          <w:p w:rsidR="008E114C" w:rsidRDefault="008E114C">
            <w:pPr>
              <w:ind w:right="-18"/>
            </w:pPr>
          </w:p>
          <w:p w:rsidR="0029462D" w:rsidRPr="008E3BEE" w:rsidRDefault="008C251D" w:rsidP="0029462D">
            <w:pPr>
              <w:suppressAutoHyphens/>
              <w:rPr>
                <w:szCs w:val="22"/>
              </w:rPr>
            </w:pPr>
            <w:r>
              <w:rPr>
                <w:szCs w:val="22"/>
              </w:rPr>
              <w:t>ASSOCIATION OF AMERICAN RAILROADS</w:t>
            </w:r>
          </w:p>
          <w:p w:rsidR="00921601" w:rsidRDefault="00921601" w:rsidP="00921601">
            <w:pPr>
              <w:ind w:right="-18"/>
            </w:pPr>
          </w:p>
          <w:p w:rsidR="00293489" w:rsidRDefault="008E114C" w:rsidP="00103174">
            <w:pPr>
              <w:suppressAutoHyphens/>
            </w:pPr>
            <w:r>
              <w:t xml:space="preserve">Request for </w:t>
            </w:r>
            <w:r w:rsidR="0029462D" w:rsidRPr="008E3BEE">
              <w:rPr>
                <w:szCs w:val="22"/>
              </w:rPr>
              <w:t xml:space="preserve">Waiver of Sections </w:t>
            </w:r>
            <w:r w:rsidR="00103174">
              <w:rPr>
                <w:szCs w:val="22"/>
              </w:rPr>
              <w:t>90</w:t>
            </w:r>
            <w:r w:rsidR="00103174" w:rsidRPr="008E3BEE">
              <w:rPr>
                <w:szCs w:val="22"/>
              </w:rPr>
              <w:t>.</w:t>
            </w:r>
            <w:r w:rsidR="00103174">
              <w:rPr>
                <w:szCs w:val="22"/>
              </w:rPr>
              <w:t xml:space="preserve">261(f) and </w:t>
            </w:r>
            <w:r w:rsidR="008C251D">
              <w:rPr>
                <w:szCs w:val="22"/>
              </w:rPr>
              <w:t>90</w:t>
            </w:r>
            <w:r w:rsidR="0029462D" w:rsidRPr="008E3BEE">
              <w:rPr>
                <w:szCs w:val="22"/>
              </w:rPr>
              <w:t>.2</w:t>
            </w:r>
            <w:r w:rsidR="008C251D">
              <w:rPr>
                <w:szCs w:val="22"/>
              </w:rPr>
              <w:t>19(</w:t>
            </w:r>
            <w:r w:rsidR="007F6A1C">
              <w:rPr>
                <w:szCs w:val="22"/>
              </w:rPr>
              <w:t>d</w:t>
            </w:r>
            <w:r w:rsidR="008C251D">
              <w:rPr>
                <w:szCs w:val="22"/>
              </w:rPr>
              <w:t>)</w:t>
            </w:r>
            <w:r w:rsidR="007F6A1C">
              <w:rPr>
                <w:szCs w:val="22"/>
              </w:rPr>
              <w:t>(3)</w:t>
            </w:r>
            <w:r w:rsidR="0029462D" w:rsidRPr="008E3BEE">
              <w:rPr>
                <w:szCs w:val="22"/>
              </w:rPr>
              <w:t xml:space="preserve"> </w:t>
            </w:r>
            <w:r w:rsidR="00103174">
              <w:rPr>
                <w:szCs w:val="22"/>
              </w:rPr>
              <w:t>of the Commission’s Rules</w:t>
            </w:r>
          </w:p>
        </w:tc>
        <w:tc>
          <w:tcPr>
            <w:tcW w:w="720" w:type="dxa"/>
          </w:tcPr>
          <w:p w:rsidR="00293489" w:rsidRDefault="00293489">
            <w:pPr>
              <w:rPr>
                <w:b/>
              </w:rPr>
            </w:pPr>
            <w:r>
              <w:rPr>
                <w:b/>
              </w:rPr>
              <w:t>)</w:t>
            </w:r>
          </w:p>
          <w:p w:rsidR="00293489" w:rsidRDefault="00293489">
            <w:pPr>
              <w:rPr>
                <w:b/>
              </w:rPr>
            </w:pPr>
            <w:r>
              <w:rPr>
                <w:b/>
              </w:rPr>
              <w:t>)</w:t>
            </w:r>
          </w:p>
          <w:p w:rsidR="00293489" w:rsidRDefault="00293489">
            <w:pPr>
              <w:rPr>
                <w:b/>
              </w:rPr>
            </w:pPr>
            <w:r>
              <w:rPr>
                <w:b/>
              </w:rPr>
              <w:t>)</w:t>
            </w:r>
          </w:p>
          <w:p w:rsidR="00293489" w:rsidRDefault="00293489">
            <w:pPr>
              <w:rPr>
                <w:b/>
              </w:rPr>
            </w:pPr>
            <w:r>
              <w:rPr>
                <w:b/>
              </w:rPr>
              <w:t>)</w:t>
            </w:r>
          </w:p>
          <w:p w:rsidR="00293489" w:rsidRDefault="00293489">
            <w:pPr>
              <w:rPr>
                <w:b/>
              </w:rPr>
            </w:pPr>
            <w:r>
              <w:rPr>
                <w:b/>
              </w:rPr>
              <w:t>)</w:t>
            </w:r>
          </w:p>
          <w:p w:rsidR="00921601" w:rsidRDefault="00293489" w:rsidP="00276980">
            <w:pPr>
              <w:rPr>
                <w:b/>
              </w:rPr>
            </w:pPr>
            <w:r>
              <w:rPr>
                <w:b/>
              </w:rPr>
              <w:t>)</w:t>
            </w:r>
          </w:p>
        </w:tc>
        <w:tc>
          <w:tcPr>
            <w:tcW w:w="4230" w:type="dxa"/>
          </w:tcPr>
          <w:p w:rsidR="00293489" w:rsidRDefault="00293489" w:rsidP="00BB2B5C"/>
          <w:p w:rsidR="00BB2B5C" w:rsidRDefault="00BB2B5C" w:rsidP="00BB2B5C"/>
          <w:p w:rsidR="00BB2B5C" w:rsidRDefault="00103174" w:rsidP="00BB2B5C">
            <w:r>
              <w:t>WT Docket No. 14-98</w:t>
            </w:r>
          </w:p>
        </w:tc>
      </w:tr>
    </w:tbl>
    <w:p w:rsidR="00293489" w:rsidRDefault="008E114C">
      <w:pPr>
        <w:spacing w:before="120"/>
        <w:jc w:val="center"/>
        <w:rPr>
          <w:b/>
          <w:spacing w:val="-2"/>
        </w:rPr>
      </w:pPr>
      <w:r>
        <w:rPr>
          <w:b/>
          <w:spacing w:val="-2"/>
        </w:rPr>
        <w:t>ORDER</w:t>
      </w:r>
    </w:p>
    <w:p w:rsidR="00E52A31" w:rsidRDefault="00E52A31">
      <w:pPr>
        <w:spacing w:before="120"/>
        <w:jc w:val="center"/>
        <w:rPr>
          <w:b/>
        </w:rPr>
      </w:pPr>
    </w:p>
    <w:p w:rsidR="00293489" w:rsidRDefault="00293489">
      <w:pPr>
        <w:tabs>
          <w:tab w:val="left" w:pos="5760"/>
        </w:tabs>
        <w:rPr>
          <w:b/>
        </w:rPr>
      </w:pPr>
      <w:r>
        <w:rPr>
          <w:b/>
        </w:rPr>
        <w:t xml:space="preserve">   Adopted:  </w:t>
      </w:r>
      <w:r w:rsidR="006E01A7">
        <w:rPr>
          <w:b/>
        </w:rPr>
        <w:t>October 28</w:t>
      </w:r>
      <w:r w:rsidR="004743C4">
        <w:rPr>
          <w:b/>
        </w:rPr>
        <w:t>, 2014</w:t>
      </w:r>
      <w:r>
        <w:rPr>
          <w:b/>
        </w:rPr>
        <w:tab/>
        <w:t xml:space="preserve">Released:  </w:t>
      </w:r>
      <w:r w:rsidR="006E01A7">
        <w:rPr>
          <w:b/>
        </w:rPr>
        <w:t>October 29</w:t>
      </w:r>
      <w:r w:rsidR="004743C4">
        <w:rPr>
          <w:b/>
        </w:rPr>
        <w:t>, 2014</w:t>
      </w:r>
    </w:p>
    <w:p w:rsidR="00293489" w:rsidRDefault="00293489">
      <w:pPr>
        <w:tabs>
          <w:tab w:val="left" w:pos="5760"/>
        </w:tabs>
        <w:rPr>
          <w:b/>
        </w:rPr>
      </w:pPr>
    </w:p>
    <w:p w:rsidR="008E114C" w:rsidRDefault="008E114C" w:rsidP="00850741">
      <w:pPr>
        <w:tabs>
          <w:tab w:val="left" w:pos="5760"/>
        </w:tabs>
      </w:pPr>
      <w:r w:rsidRPr="008E114C">
        <w:t>By the Deputy Chief, Mobility Division, Wireless Telecommunications Bureau</w:t>
      </w:r>
      <w:r>
        <w:t>:</w:t>
      </w:r>
    </w:p>
    <w:p w:rsidR="00850741" w:rsidRDefault="00850741" w:rsidP="00850741">
      <w:pPr>
        <w:tabs>
          <w:tab w:val="left" w:pos="5760"/>
        </w:tabs>
      </w:pPr>
    </w:p>
    <w:p w:rsidR="0029462D" w:rsidRDefault="00850741" w:rsidP="00CC2C47">
      <w:pPr>
        <w:pStyle w:val="ParaNum"/>
        <w:jc w:val="left"/>
      </w:pPr>
      <w:r>
        <w:rPr>
          <w:i/>
        </w:rPr>
        <w:t xml:space="preserve">Introduction.  </w:t>
      </w:r>
      <w:r w:rsidR="000B3F0D">
        <w:t xml:space="preserve">On </w:t>
      </w:r>
      <w:r w:rsidR="008C251D">
        <w:t>June 13, 2014</w:t>
      </w:r>
      <w:r w:rsidR="005F3134">
        <w:t>,</w:t>
      </w:r>
      <w:r w:rsidR="0029462D">
        <w:rPr>
          <w:szCs w:val="22"/>
        </w:rPr>
        <w:t xml:space="preserve"> </w:t>
      </w:r>
      <w:r w:rsidR="00103174">
        <w:rPr>
          <w:szCs w:val="22"/>
        </w:rPr>
        <w:t xml:space="preserve">the </w:t>
      </w:r>
      <w:r w:rsidR="008C251D">
        <w:rPr>
          <w:szCs w:val="22"/>
        </w:rPr>
        <w:t>Association of American Railroads (AAR)</w:t>
      </w:r>
      <w:r w:rsidR="0029462D" w:rsidRPr="0029462D">
        <w:rPr>
          <w:szCs w:val="22"/>
        </w:rPr>
        <w:t xml:space="preserve"> </w:t>
      </w:r>
      <w:r w:rsidR="005F3134">
        <w:rPr>
          <w:szCs w:val="22"/>
        </w:rPr>
        <w:t xml:space="preserve">filed </w:t>
      </w:r>
      <w:r w:rsidR="008C251D">
        <w:rPr>
          <w:szCs w:val="22"/>
        </w:rPr>
        <w:t xml:space="preserve">a request for waiver </w:t>
      </w:r>
      <w:r w:rsidR="00103174">
        <w:rPr>
          <w:szCs w:val="22"/>
        </w:rPr>
        <w:t xml:space="preserve">concerning use of signal boosters </w:t>
      </w:r>
      <w:r w:rsidR="008C251D">
        <w:rPr>
          <w:szCs w:val="22"/>
        </w:rPr>
        <w:t>to maintain communications between the front and rears of trains.</w:t>
      </w:r>
      <w:r w:rsidR="005F3134">
        <w:rPr>
          <w:rStyle w:val="FootnoteReference"/>
          <w:szCs w:val="22"/>
        </w:rPr>
        <w:footnoteReference w:id="2"/>
      </w:r>
      <w:r w:rsidR="000B3F0D">
        <w:rPr>
          <w:szCs w:val="22"/>
        </w:rPr>
        <w:t xml:space="preserve">  </w:t>
      </w:r>
      <w:r w:rsidR="00D13689" w:rsidRPr="00D13689">
        <w:t>Specifically, AAR seeks waiver of Sections 90.219(</w:t>
      </w:r>
      <w:r w:rsidR="007F6A1C">
        <w:t>d</w:t>
      </w:r>
      <w:r w:rsidR="00D13689" w:rsidRPr="00D13689">
        <w:t>)</w:t>
      </w:r>
      <w:r w:rsidR="007F6A1C">
        <w:t>(3)</w:t>
      </w:r>
      <w:r w:rsidR="00D13689" w:rsidRPr="00D13689">
        <w:t xml:space="preserve"> and 90.261(f</w:t>
      </w:r>
      <w:r w:rsidR="003859B6">
        <w:t>)</w:t>
      </w:r>
      <w:r w:rsidR="00D13689" w:rsidRPr="00D13689">
        <w:t xml:space="preserve"> to allow use of frequencies from 452/457.900 MHz to 452/457.96875 MHz</w:t>
      </w:r>
      <w:r w:rsidR="00D13689" w:rsidRPr="00D13689">
        <w:rPr>
          <w:vertAlign w:val="superscript"/>
        </w:rPr>
        <w:footnoteReference w:id="3"/>
      </w:r>
      <w:r w:rsidR="00D13689" w:rsidRPr="00D13689">
        <w:t xml:space="preserve"> for signal boosters with an </w:t>
      </w:r>
      <w:r w:rsidR="003859B6">
        <w:t xml:space="preserve">effective radiated power (ERP) </w:t>
      </w:r>
      <w:r w:rsidR="00D13689" w:rsidRPr="00D13689">
        <w:t>of thirty watts in areas where coverage is unsatisfactory due to distance or intervening terrain barriers.</w:t>
      </w:r>
      <w:r w:rsidR="00DC535C">
        <w:rPr>
          <w:rStyle w:val="FootnoteReference"/>
          <w:szCs w:val="22"/>
        </w:rPr>
        <w:footnoteReference w:id="4"/>
      </w:r>
      <w:r w:rsidR="00D654B8">
        <w:rPr>
          <w:szCs w:val="22"/>
        </w:rPr>
        <w:t xml:space="preserve">  </w:t>
      </w:r>
      <w:r w:rsidR="0029462D" w:rsidRPr="008E3BEE">
        <w:t xml:space="preserve">For </w:t>
      </w:r>
      <w:r w:rsidR="002C4C80">
        <w:t xml:space="preserve">the </w:t>
      </w:r>
      <w:r w:rsidR="0029462D" w:rsidRPr="008E3BEE">
        <w:t xml:space="preserve">reasons set forth below, we </w:t>
      </w:r>
      <w:r w:rsidR="00D13689">
        <w:t>grant AAR’s</w:t>
      </w:r>
      <w:r w:rsidR="0029462D" w:rsidRPr="008E3BEE">
        <w:t xml:space="preserve"> request for waiver</w:t>
      </w:r>
      <w:r w:rsidR="002C4C80">
        <w:t>, subject to certain conditions</w:t>
      </w:r>
      <w:r w:rsidR="0029462D" w:rsidRPr="008E3BEE">
        <w:t>.</w:t>
      </w:r>
      <w:r w:rsidR="00D95255">
        <w:t xml:space="preserve">  </w:t>
      </w:r>
    </w:p>
    <w:p w:rsidR="003859B6" w:rsidRDefault="00103174" w:rsidP="00CC2C47">
      <w:pPr>
        <w:pStyle w:val="ParaNum"/>
        <w:jc w:val="left"/>
      </w:pPr>
      <w:r>
        <w:rPr>
          <w:i/>
          <w:szCs w:val="22"/>
        </w:rPr>
        <w:t xml:space="preserve">Background.  </w:t>
      </w:r>
      <w:r w:rsidR="003859B6">
        <w:t>Section 90.219(d)(3) of the Commission’s Rules limits the ERP of Part 90 signal boosters to five watts.</w:t>
      </w:r>
      <w:r w:rsidR="003859B6">
        <w:rPr>
          <w:rStyle w:val="FootnoteReference"/>
        </w:rPr>
        <w:footnoteReference w:id="5"/>
      </w:r>
      <w:r w:rsidR="003859B6">
        <w:t xml:space="preserve">  Section 90.261 of the Commission’s Rules generally permits fixed use of 450-470 MHz frequencies on a secondary basis to land mobile operations, but Section 90.261(f) excludes specific frequencies, including </w:t>
      </w:r>
      <w:r w:rsidR="003859B6" w:rsidRPr="00D13689">
        <w:t>452/457.9</w:t>
      </w:r>
      <w:r w:rsidR="003859B6">
        <w:t>25</w:t>
      </w:r>
      <w:r w:rsidR="003859B6" w:rsidRPr="00D13689">
        <w:t xml:space="preserve"> MHz to 452/457.96875 MHz</w:t>
      </w:r>
      <w:r w:rsidR="003859B6">
        <w:t>.</w:t>
      </w:r>
      <w:r w:rsidR="003859B6">
        <w:rPr>
          <w:rStyle w:val="FootnoteReference"/>
        </w:rPr>
        <w:footnoteReference w:id="6"/>
      </w:r>
      <w:r w:rsidR="003859B6">
        <w:t xml:space="preserve"> </w:t>
      </w:r>
    </w:p>
    <w:p w:rsidR="003859B6" w:rsidRDefault="003859B6" w:rsidP="00CC2C47">
      <w:pPr>
        <w:pStyle w:val="ParaNum"/>
        <w:jc w:val="left"/>
      </w:pPr>
      <w:r>
        <w:t>AAR explains that safe, efficient movement of trains relies on communications links between the fronts and rears of trains to monitor speed and brake pressure; operate rear end brakes; and, on trains with distributed power, coordinate the front and rear engines.</w:t>
      </w:r>
      <w:r>
        <w:rPr>
          <w:rStyle w:val="FootnoteReference"/>
        </w:rPr>
        <w:footnoteReference w:id="7"/>
      </w:r>
      <w:r>
        <w:t xml:space="preserve">  It states that the options currently permitted by the Commission’s Rules do not provide sufficient coverage to maintain this communications link on long trains in areas of challenging terrain, and that trackside signal boosters are needed to maintain the communications link.</w:t>
      </w:r>
      <w:r>
        <w:rPr>
          <w:rStyle w:val="FootnoteReference"/>
        </w:rPr>
        <w:footnoteReference w:id="8"/>
      </w:r>
    </w:p>
    <w:p w:rsidR="003859B6" w:rsidRPr="00D654B8" w:rsidRDefault="0055297D" w:rsidP="00CC2C47">
      <w:pPr>
        <w:pStyle w:val="ParaNum"/>
        <w:jc w:val="left"/>
      </w:pPr>
      <w:r>
        <w:lastRenderedPageBreak/>
        <w:t>MRFAC, Inc. (MRFAC), the only commenter</w:t>
      </w:r>
      <w:r>
        <w:rPr>
          <w:szCs w:val="22"/>
        </w:rPr>
        <w:t xml:space="preserve"> in response to the</w:t>
      </w:r>
      <w:r w:rsidR="00A1476B" w:rsidRPr="003859B6">
        <w:rPr>
          <w:szCs w:val="22"/>
        </w:rPr>
        <w:t xml:space="preserve"> </w:t>
      </w:r>
      <w:r w:rsidR="00A1476B" w:rsidRPr="003859B6">
        <w:rPr>
          <w:i/>
          <w:szCs w:val="22"/>
        </w:rPr>
        <w:t>Public Notice</w:t>
      </w:r>
      <w:r w:rsidR="00AC3335">
        <w:rPr>
          <w:szCs w:val="22"/>
        </w:rPr>
        <w:t xml:space="preserve"> r</w:t>
      </w:r>
      <w:r w:rsidR="00A1476B" w:rsidRPr="003859B6">
        <w:rPr>
          <w:szCs w:val="22"/>
        </w:rPr>
        <w:t>e</w:t>
      </w:r>
      <w:r w:rsidR="00AC3335">
        <w:rPr>
          <w:szCs w:val="22"/>
        </w:rPr>
        <w:t>gard</w:t>
      </w:r>
      <w:r w:rsidR="00A1476B" w:rsidRPr="003859B6">
        <w:rPr>
          <w:szCs w:val="22"/>
        </w:rPr>
        <w:t>ing AAR’s waiver request</w:t>
      </w:r>
      <w:r>
        <w:rPr>
          <w:szCs w:val="22"/>
        </w:rPr>
        <w:t>,</w:t>
      </w:r>
      <w:r w:rsidR="00A1476B">
        <w:rPr>
          <w:rStyle w:val="FootnoteReference"/>
          <w:szCs w:val="22"/>
        </w:rPr>
        <w:footnoteReference w:id="9"/>
      </w:r>
      <w:r>
        <w:rPr>
          <w:szCs w:val="22"/>
        </w:rPr>
        <w:t xml:space="preserve"> </w:t>
      </w:r>
      <w:r w:rsidR="00CD44FD">
        <w:t>generally supported the request but</w:t>
      </w:r>
      <w:r w:rsidR="003859B6">
        <w:t xml:space="preserve"> expressed concern that </w:t>
      </w:r>
      <w:r>
        <w:t xml:space="preserve">the proposed </w:t>
      </w:r>
      <w:r w:rsidR="003859B6">
        <w:t>operations could cause interference to adjacent</w:t>
      </w:r>
      <w:r w:rsidR="00CD44FD">
        <w:t>-</w:t>
      </w:r>
      <w:r w:rsidR="003859B6">
        <w:t xml:space="preserve">channel operations above 452/457.96875 </w:t>
      </w:r>
      <w:r>
        <w:t xml:space="preserve">MHz </w:t>
      </w:r>
      <w:r w:rsidR="003859B6">
        <w:t>and below 452/457.9000 MHz.</w:t>
      </w:r>
      <w:r w:rsidR="003859B6">
        <w:rPr>
          <w:rStyle w:val="FootnoteReference"/>
        </w:rPr>
        <w:footnoteReference w:id="10"/>
      </w:r>
      <w:r w:rsidR="003859B6">
        <w:t xml:space="preserve">  </w:t>
      </w:r>
      <w:r w:rsidR="00CD44FD">
        <w:t xml:space="preserve">It requested that operation under the waiver be limited to remote </w:t>
      </w:r>
      <w:r w:rsidR="006A6C77">
        <w:t>locations</w:t>
      </w:r>
      <w:r w:rsidR="00CD44FD">
        <w:t>, and prohibited in railroad yard or terminal areas.</w:t>
      </w:r>
      <w:r w:rsidR="00CD44FD">
        <w:rPr>
          <w:rStyle w:val="FootnoteReference"/>
        </w:rPr>
        <w:footnoteReference w:id="11"/>
      </w:r>
      <w:r w:rsidR="00CD44FD">
        <w:t xml:space="preserve">  </w:t>
      </w:r>
      <w:r w:rsidR="003859B6">
        <w:t xml:space="preserve">AAR </w:t>
      </w:r>
      <w:r w:rsidR="00B63C37">
        <w:t>objected to the proposed condition, explaining that</w:t>
      </w:r>
      <w:r>
        <w:t xml:space="preserve"> while in most cases the signal boosters would be used in remote areas of rugged terrain,</w:t>
      </w:r>
      <w:r w:rsidR="00B63C37">
        <w:t xml:space="preserve"> rail yard and terminal areas can contain challenging terrain, such as hills, overpasses, and other obstacles, that obstruct communications between the front and rear of trains.</w:t>
      </w:r>
      <w:r w:rsidR="00B63C37">
        <w:rPr>
          <w:rStyle w:val="FootnoteReference"/>
        </w:rPr>
        <w:footnoteReference w:id="12"/>
      </w:r>
      <w:r w:rsidR="00B63C37">
        <w:t xml:space="preserve">  </w:t>
      </w:r>
      <w:r>
        <w:t xml:space="preserve">In addition, </w:t>
      </w:r>
      <w:r w:rsidR="00B63C37">
        <w:t xml:space="preserve">AAR </w:t>
      </w:r>
      <w:r w:rsidR="00CD44FD">
        <w:t>a</w:t>
      </w:r>
      <w:r w:rsidR="00B63C37">
        <w:t>rgu</w:t>
      </w:r>
      <w:r w:rsidR="00CD44FD">
        <w:t xml:space="preserve">ed </w:t>
      </w:r>
      <w:r w:rsidR="00B63C37">
        <w:t xml:space="preserve">that the proposed condition is not needed to avoid interference to other users because </w:t>
      </w:r>
      <w:r w:rsidR="003859B6">
        <w:t xml:space="preserve">the </w:t>
      </w:r>
      <w:r w:rsidR="00923088">
        <w:t>channels</w:t>
      </w:r>
      <w:r w:rsidR="003859B6">
        <w:t xml:space="preserve"> at the edge of the railroad frequencies</w:t>
      </w:r>
      <w:r w:rsidR="00923088">
        <w:t xml:space="preserve"> (452/457.900 MHz and 452/457.96875 MHz) </w:t>
      </w:r>
      <w:r w:rsidR="006A6C77">
        <w:t xml:space="preserve">are not used </w:t>
      </w:r>
      <w:r w:rsidR="00923088">
        <w:t>for communications between the fronts and rears of trains</w:t>
      </w:r>
      <w:r w:rsidR="003859B6">
        <w:t>.</w:t>
      </w:r>
      <w:r w:rsidR="003859B6">
        <w:rPr>
          <w:rStyle w:val="FootnoteReference"/>
        </w:rPr>
        <w:footnoteReference w:id="13"/>
      </w:r>
      <w:r w:rsidR="003859B6">
        <w:t xml:space="preserve">   </w:t>
      </w:r>
      <w:r w:rsidR="00923088">
        <w:t>It also stated that railroads w</w:t>
      </w:r>
      <w:r w:rsidR="006A6C77">
        <w:t>ould</w:t>
      </w:r>
      <w:r w:rsidR="00923088">
        <w:t xml:space="preserve"> use only single-channel Class A signal boosters, further </w:t>
      </w:r>
      <w:r w:rsidR="003859B6">
        <w:t>reduc</w:t>
      </w:r>
      <w:r w:rsidR="00923088">
        <w:t>ing</w:t>
      </w:r>
      <w:r w:rsidR="003859B6">
        <w:t xml:space="preserve"> out</w:t>
      </w:r>
      <w:r w:rsidR="00923088">
        <w:t>-</w:t>
      </w:r>
      <w:r w:rsidR="003859B6">
        <w:t>of</w:t>
      </w:r>
      <w:r w:rsidR="00923088">
        <w:t>-</w:t>
      </w:r>
      <w:r w:rsidR="003859B6">
        <w:t>band emissions to adjacent frequencies.</w:t>
      </w:r>
      <w:r w:rsidR="003859B6">
        <w:rPr>
          <w:rStyle w:val="FootnoteReference"/>
        </w:rPr>
        <w:footnoteReference w:id="14"/>
      </w:r>
    </w:p>
    <w:p w:rsidR="00CD6DE4" w:rsidRDefault="005548EE" w:rsidP="00CC2C47">
      <w:pPr>
        <w:pStyle w:val="ParaNum"/>
        <w:tabs>
          <w:tab w:val="clear" w:pos="1440"/>
          <w:tab w:val="left" w:pos="1080"/>
        </w:tabs>
        <w:jc w:val="left"/>
      </w:pPr>
      <w:r w:rsidRPr="0055297D">
        <w:rPr>
          <w:i/>
        </w:rPr>
        <w:t>Discussion.</w:t>
      </w:r>
      <w:r>
        <w:t xml:space="preserve">  </w:t>
      </w:r>
      <w:r w:rsidR="001E7976" w:rsidRPr="001E7976">
        <w:t>Section 1.925(b)(3) of the Commission's Rules provides that we may grant a waiver if it is shown that (a) the underlying purpose of the rule(s) would not be served or would be frustrated by application to the instant case, and grant of the requested waiver would be in the public interest; or (b) in light of unique or unusual circumstances, application of the rule(s) would be inequitable, unduly burdensome, or contrary to the public interest, or the applicant has no reasonable alternative.</w:t>
      </w:r>
      <w:r w:rsidR="001E7976" w:rsidRPr="001E7976">
        <w:rPr>
          <w:vertAlign w:val="superscript"/>
        </w:rPr>
        <w:footnoteReference w:id="15"/>
      </w:r>
      <w:r w:rsidR="0055297D">
        <w:t xml:space="preserve">  We conclude that grant of the waiver request is warranted, subject to certain conditions.</w:t>
      </w:r>
    </w:p>
    <w:p w:rsidR="002C4C80" w:rsidRPr="002C4C80" w:rsidRDefault="00977E01" w:rsidP="00CC2C47">
      <w:pPr>
        <w:numPr>
          <w:ilvl w:val="0"/>
          <w:numId w:val="13"/>
        </w:numPr>
        <w:tabs>
          <w:tab w:val="clear" w:pos="1080"/>
          <w:tab w:val="left" w:pos="1260"/>
        </w:tabs>
      </w:pPr>
      <w:r>
        <w:rPr>
          <w:color w:val="000000"/>
          <w:szCs w:val="22"/>
        </w:rPr>
        <w:t xml:space="preserve">The purpose of </w:t>
      </w:r>
      <w:r>
        <w:rPr>
          <w:szCs w:val="22"/>
        </w:rPr>
        <w:t>Section 90.261</w:t>
      </w:r>
      <w:r>
        <w:rPr>
          <w:color w:val="000000"/>
          <w:szCs w:val="22"/>
        </w:rPr>
        <w:t xml:space="preserve"> is to provide some needed spectrum for fixed operations while, at the same time, ensuring that the 450-470 MHz band is used primarily for mobile operations.</w:t>
      </w:r>
      <w:r>
        <w:rPr>
          <w:rStyle w:val="FootnoteReference"/>
          <w:color w:val="000000"/>
          <w:szCs w:val="22"/>
        </w:rPr>
        <w:footnoteReference w:id="16"/>
      </w:r>
      <w:r>
        <w:rPr>
          <w:color w:val="000000"/>
          <w:szCs w:val="22"/>
        </w:rPr>
        <w:t xml:space="preserve">  </w:t>
      </w:r>
      <w:r>
        <w:t xml:space="preserve">The purpose of the exclusion of certain frequencies in Section 90.261(f) from use for full-power fixed operations is </w:t>
      </w:r>
      <w:r>
        <w:rPr>
          <w:color w:val="000000"/>
          <w:szCs w:val="22"/>
        </w:rPr>
        <w:t xml:space="preserve">to </w:t>
      </w:r>
      <w:r>
        <w:t>reserve those frequencies for other specialized uses.</w:t>
      </w:r>
      <w:r>
        <w:rPr>
          <w:rStyle w:val="FootnoteReference"/>
        </w:rPr>
        <w:footnoteReference w:id="17"/>
      </w:r>
      <w:r>
        <w:t xml:space="preserve">  </w:t>
      </w:r>
      <w:r>
        <w:rPr>
          <w:szCs w:val="22"/>
        </w:rPr>
        <w:t xml:space="preserve">We agree with </w:t>
      </w:r>
      <w:r w:rsidR="00F869EB">
        <w:rPr>
          <w:szCs w:val="22"/>
        </w:rPr>
        <w:t>AAR that</w:t>
      </w:r>
      <w:r w:rsidR="00590AC4">
        <w:rPr>
          <w:szCs w:val="22"/>
        </w:rPr>
        <w:t xml:space="preserve"> allowing railroads</w:t>
      </w:r>
      <w:r w:rsidR="009C3C81">
        <w:rPr>
          <w:szCs w:val="22"/>
        </w:rPr>
        <w:t xml:space="preserve"> to</w:t>
      </w:r>
      <w:r w:rsidR="00590AC4">
        <w:rPr>
          <w:szCs w:val="22"/>
        </w:rPr>
        <w:t xml:space="preserve"> use the</w:t>
      </w:r>
      <w:r w:rsidR="009C3C81">
        <w:rPr>
          <w:szCs w:val="22"/>
        </w:rPr>
        <w:t>se</w:t>
      </w:r>
      <w:r w:rsidR="00590AC4">
        <w:rPr>
          <w:szCs w:val="22"/>
        </w:rPr>
        <w:t xml:space="preserve"> frequencies for signal boosters</w:t>
      </w:r>
      <w:r w:rsidR="009C3C81">
        <w:rPr>
          <w:szCs w:val="22"/>
        </w:rPr>
        <w:t xml:space="preserve"> </w:t>
      </w:r>
      <w:r w:rsidR="00590AC4">
        <w:rPr>
          <w:szCs w:val="22"/>
        </w:rPr>
        <w:t>supports the specialized railroad use for which the frequencies are designated.</w:t>
      </w:r>
      <w:r w:rsidR="00590AC4">
        <w:rPr>
          <w:rStyle w:val="FootnoteReference"/>
          <w:szCs w:val="22"/>
        </w:rPr>
        <w:footnoteReference w:id="18"/>
      </w:r>
      <w:r w:rsidR="00590AC4">
        <w:rPr>
          <w:szCs w:val="22"/>
        </w:rPr>
        <w:t xml:space="preserve">  We also agree with AAR that the purpose of limiting Part 90 signal boosters to five watts ERP – to reduce the potential for interference to other users</w:t>
      </w:r>
      <w:r w:rsidR="00590AC4">
        <w:rPr>
          <w:rStyle w:val="FootnoteReference"/>
          <w:szCs w:val="22"/>
        </w:rPr>
        <w:footnoteReference w:id="19"/>
      </w:r>
      <w:r w:rsidR="00590AC4">
        <w:rPr>
          <w:szCs w:val="22"/>
        </w:rPr>
        <w:t xml:space="preserve"> –</w:t>
      </w:r>
      <w:r w:rsidR="00CB2D8D">
        <w:rPr>
          <w:szCs w:val="22"/>
        </w:rPr>
        <w:t xml:space="preserve"> would not be served by </w:t>
      </w:r>
      <w:r w:rsidR="00CB2D8D">
        <w:rPr>
          <w:szCs w:val="22"/>
        </w:rPr>
        <w:lastRenderedPageBreak/>
        <w:t>application of the rule</w:t>
      </w:r>
      <w:r w:rsidR="00590AC4">
        <w:rPr>
          <w:szCs w:val="22"/>
        </w:rPr>
        <w:t xml:space="preserve"> because the potential victim frequencies are used for railroad </w:t>
      </w:r>
      <w:r w:rsidR="009C3C81">
        <w:rPr>
          <w:szCs w:val="22"/>
        </w:rPr>
        <w:t>communications</w:t>
      </w:r>
      <w:r w:rsidR="00590AC4">
        <w:rPr>
          <w:szCs w:val="22"/>
        </w:rPr>
        <w:t xml:space="preserve"> </w:t>
      </w:r>
      <w:r w:rsidR="009C3C81">
        <w:rPr>
          <w:szCs w:val="22"/>
        </w:rPr>
        <w:t>so</w:t>
      </w:r>
      <w:r w:rsidR="00590AC4">
        <w:rPr>
          <w:szCs w:val="22"/>
        </w:rPr>
        <w:t xml:space="preserve"> the railroads have an interest in minimizing interference on these frequencies.</w:t>
      </w:r>
      <w:r w:rsidR="00590AC4">
        <w:rPr>
          <w:rStyle w:val="FootnoteReference"/>
          <w:szCs w:val="22"/>
        </w:rPr>
        <w:footnoteReference w:id="20"/>
      </w:r>
      <w:r w:rsidR="00590AC4">
        <w:rPr>
          <w:szCs w:val="22"/>
        </w:rPr>
        <w:t xml:space="preserve">  </w:t>
      </w:r>
    </w:p>
    <w:p w:rsidR="002C4C80" w:rsidRPr="002C4C80" w:rsidRDefault="002C4C80" w:rsidP="002C4C80">
      <w:pPr>
        <w:tabs>
          <w:tab w:val="left" w:pos="1260"/>
        </w:tabs>
        <w:ind w:left="720"/>
      </w:pPr>
    </w:p>
    <w:p w:rsidR="004A71C7" w:rsidRDefault="00CB2D8D" w:rsidP="00CC2C47">
      <w:pPr>
        <w:numPr>
          <w:ilvl w:val="0"/>
          <w:numId w:val="13"/>
        </w:numPr>
        <w:tabs>
          <w:tab w:val="clear" w:pos="1080"/>
          <w:tab w:val="left" w:pos="1260"/>
        </w:tabs>
      </w:pPr>
      <w:r>
        <w:rPr>
          <w:szCs w:val="22"/>
        </w:rPr>
        <w:t xml:space="preserve">In order to address concerns about interference to non-railroad frequencies, and consistent with AAR’s representations, </w:t>
      </w:r>
      <w:r w:rsidR="009C3C81">
        <w:rPr>
          <w:szCs w:val="22"/>
        </w:rPr>
        <w:t xml:space="preserve">we exclude </w:t>
      </w:r>
      <w:r w:rsidR="009C3C81">
        <w:t>the channels at the edge of the railroad frequencies (452/457.900 MHz and 452/457.96875 MHz) from the scope of the waiver;</w:t>
      </w:r>
      <w:r w:rsidR="009C3C81">
        <w:rPr>
          <w:szCs w:val="22"/>
        </w:rPr>
        <w:t xml:space="preserve"> </w:t>
      </w:r>
      <w:r w:rsidR="002C4C80">
        <w:rPr>
          <w:szCs w:val="22"/>
        </w:rPr>
        <w:t xml:space="preserve">the waiver applies only to frequencies from </w:t>
      </w:r>
      <w:r w:rsidR="00AC3335">
        <w:rPr>
          <w:szCs w:val="22"/>
        </w:rPr>
        <w:t>452/</w:t>
      </w:r>
      <w:r w:rsidR="002C4C80">
        <w:t>457.90625</w:t>
      </w:r>
      <w:r w:rsidR="00AC3335">
        <w:t xml:space="preserve"> to </w:t>
      </w:r>
      <w:r w:rsidR="002C4C80">
        <w:t>452/457.9625</w:t>
      </w:r>
      <w:r w:rsidR="009C3C81">
        <w:t>.</w:t>
      </w:r>
      <w:r w:rsidR="002C4C80">
        <w:t xml:space="preserve">  In addition</w:t>
      </w:r>
      <w:r>
        <w:t xml:space="preserve">, operations pursuant to this waiver </w:t>
      </w:r>
      <w:r w:rsidR="002C4C80">
        <w:t xml:space="preserve">must </w:t>
      </w:r>
      <w:r>
        <w:t xml:space="preserve">utilize only single-channel Class A signal boosters.  </w:t>
      </w:r>
      <w:r>
        <w:rPr>
          <w:szCs w:val="22"/>
        </w:rPr>
        <w:t xml:space="preserve">Subject to these conditions, we grant the waiver request.  </w:t>
      </w:r>
    </w:p>
    <w:p w:rsidR="004A71C7" w:rsidRDefault="004A71C7" w:rsidP="00CC2C47">
      <w:pPr>
        <w:pStyle w:val="ListParagraph"/>
      </w:pPr>
    </w:p>
    <w:p w:rsidR="004A71C7" w:rsidRDefault="0053561A" w:rsidP="00CC2C47">
      <w:pPr>
        <w:numPr>
          <w:ilvl w:val="0"/>
          <w:numId w:val="13"/>
        </w:numPr>
        <w:tabs>
          <w:tab w:val="clear" w:pos="1080"/>
          <w:tab w:val="left" w:pos="1260"/>
        </w:tabs>
      </w:pPr>
      <w:r>
        <w:t xml:space="preserve">Accordingly, </w:t>
      </w:r>
      <w:r w:rsidR="00621A82">
        <w:t>IT IS ORDERED</w:t>
      </w:r>
      <w:r>
        <w:t>,</w:t>
      </w:r>
      <w:r w:rsidR="00621A82">
        <w:t xml:space="preserve"> </w:t>
      </w:r>
      <w:r w:rsidR="00373C82">
        <w:t xml:space="preserve">pursuant to Sections 4(i) and 303(i) of the Communications Act of 1934, as amended, 47 U.S.C. §§ 154(i), 303(i), and Section 1.925 of the Commission's Rules, 47 C.F.R. § 1.925, that the Request for Waiver filed by </w:t>
      </w:r>
      <w:r w:rsidR="009C3C81">
        <w:t xml:space="preserve">the </w:t>
      </w:r>
      <w:r w:rsidR="00A1476B">
        <w:t>Association of American Railroads</w:t>
      </w:r>
      <w:r w:rsidR="00AA3716" w:rsidRPr="004A71C7">
        <w:rPr>
          <w:szCs w:val="22"/>
        </w:rPr>
        <w:t xml:space="preserve"> on </w:t>
      </w:r>
      <w:r w:rsidR="00A1476B">
        <w:rPr>
          <w:szCs w:val="22"/>
        </w:rPr>
        <w:t>Ju</w:t>
      </w:r>
      <w:r w:rsidR="0099472D">
        <w:rPr>
          <w:szCs w:val="22"/>
        </w:rPr>
        <w:t>ne 13</w:t>
      </w:r>
      <w:r w:rsidR="00AA3716" w:rsidRPr="008E3BEE">
        <w:t>, 201</w:t>
      </w:r>
      <w:r w:rsidR="0099472D">
        <w:t>4</w:t>
      </w:r>
      <w:r w:rsidR="00373C82">
        <w:t>, IS GRANTED</w:t>
      </w:r>
      <w:r w:rsidR="0055297D">
        <w:t xml:space="preserve"> </w:t>
      </w:r>
      <w:r w:rsidR="00CB2D8D">
        <w:t>to the extent indicated herein</w:t>
      </w:r>
      <w:r w:rsidR="00A1476B">
        <w:t>.</w:t>
      </w:r>
    </w:p>
    <w:p w:rsidR="004A71C7" w:rsidRDefault="004A71C7" w:rsidP="00CC2C47">
      <w:pPr>
        <w:pStyle w:val="ListParagraph"/>
      </w:pPr>
    </w:p>
    <w:p w:rsidR="00373C82" w:rsidRDefault="00373C82" w:rsidP="00CC2C47">
      <w:pPr>
        <w:numPr>
          <w:ilvl w:val="0"/>
          <w:numId w:val="13"/>
        </w:numPr>
        <w:tabs>
          <w:tab w:val="clear" w:pos="1080"/>
          <w:tab w:val="left" w:pos="1260"/>
        </w:tabs>
      </w:pPr>
      <w:r>
        <w:t>This action is taken under delegated authority pursuant to Sections 0.131 and 0.331 of the Commission's Rules, 47 C.F.R. §§ 0.131, 0.331.</w:t>
      </w:r>
    </w:p>
    <w:p w:rsidR="00965994" w:rsidRDefault="00373C82" w:rsidP="00373C82">
      <w:pPr>
        <w:pStyle w:val="ParaNum"/>
        <w:numPr>
          <w:ilvl w:val="0"/>
          <w:numId w:val="0"/>
        </w:numPr>
        <w:tabs>
          <w:tab w:val="clear" w:pos="1440"/>
        </w:tabs>
        <w:jc w:val="left"/>
        <w:rPr>
          <w:spacing w:val="-2"/>
        </w:rPr>
      </w:pPr>
      <w:r>
        <w:rPr>
          <w:spacing w:val="-2"/>
        </w:rPr>
        <w:tab/>
      </w:r>
      <w:r>
        <w:rPr>
          <w:spacing w:val="-2"/>
        </w:rPr>
        <w:tab/>
      </w:r>
      <w:r>
        <w:rPr>
          <w:spacing w:val="-2"/>
        </w:rPr>
        <w:tab/>
      </w:r>
      <w:r>
        <w:rPr>
          <w:spacing w:val="-2"/>
        </w:rPr>
        <w:tab/>
      </w:r>
      <w:r>
        <w:rPr>
          <w:spacing w:val="-2"/>
        </w:rPr>
        <w:tab/>
      </w:r>
      <w:r>
        <w:rPr>
          <w:spacing w:val="-2"/>
        </w:rPr>
        <w:tab/>
      </w:r>
    </w:p>
    <w:p w:rsidR="00373C82" w:rsidRDefault="00373C82" w:rsidP="00965994">
      <w:pPr>
        <w:pStyle w:val="ParaNum"/>
        <w:numPr>
          <w:ilvl w:val="0"/>
          <w:numId w:val="0"/>
        </w:numPr>
        <w:tabs>
          <w:tab w:val="clear" w:pos="1440"/>
        </w:tabs>
        <w:ind w:left="3600" w:firstLine="720"/>
        <w:jc w:val="left"/>
      </w:pPr>
      <w:r>
        <w:rPr>
          <w:spacing w:val="-2"/>
        </w:rPr>
        <w:t>FEDERAL COMMUNICATIONS COMMISSION</w:t>
      </w:r>
    </w:p>
    <w:p w:rsidR="00373C82" w:rsidRDefault="00373C82" w:rsidP="00373C82">
      <w:pPr>
        <w:keepNext/>
        <w:keepLines/>
        <w:tabs>
          <w:tab w:val="left" w:pos="-1440"/>
          <w:tab w:val="left" w:pos="-720"/>
        </w:tabs>
        <w:suppressAutoHyphens/>
        <w:spacing w:line="227" w:lineRule="auto"/>
        <w:rPr>
          <w:spacing w:val="-2"/>
        </w:rPr>
      </w:pPr>
    </w:p>
    <w:p w:rsidR="00373C82" w:rsidRDefault="00373C82" w:rsidP="00373C82">
      <w:pPr>
        <w:keepNext/>
        <w:keepLines/>
        <w:tabs>
          <w:tab w:val="left" w:pos="-1440"/>
          <w:tab w:val="left" w:pos="-720"/>
        </w:tabs>
        <w:suppressAutoHyphens/>
        <w:spacing w:line="227" w:lineRule="auto"/>
        <w:rPr>
          <w:spacing w:val="-2"/>
        </w:rPr>
      </w:pPr>
    </w:p>
    <w:p w:rsidR="00373C82" w:rsidRDefault="00373C82" w:rsidP="00373C82">
      <w:r>
        <w:tab/>
      </w:r>
      <w:r>
        <w:tab/>
      </w:r>
      <w:r>
        <w:tab/>
      </w:r>
      <w:r>
        <w:tab/>
      </w:r>
      <w:r>
        <w:tab/>
      </w:r>
      <w:r>
        <w:tab/>
        <w:t>Scot Stone</w:t>
      </w:r>
      <w:r>
        <w:tab/>
      </w:r>
      <w:r>
        <w:tab/>
      </w:r>
      <w:r>
        <w:tab/>
      </w:r>
      <w:r>
        <w:tab/>
      </w:r>
      <w:r>
        <w:tab/>
      </w:r>
      <w:r>
        <w:tab/>
      </w:r>
      <w:r>
        <w:tab/>
      </w:r>
      <w:r>
        <w:tab/>
      </w:r>
      <w:r>
        <w:tab/>
      </w:r>
      <w:r>
        <w:tab/>
      </w:r>
      <w:r>
        <w:tab/>
      </w:r>
      <w:r>
        <w:tab/>
        <w:t>Deputy Chief, Mobility Division</w:t>
      </w:r>
      <w:r>
        <w:tab/>
      </w:r>
      <w:r>
        <w:tab/>
      </w:r>
      <w:r>
        <w:tab/>
      </w:r>
      <w:r>
        <w:tab/>
      </w:r>
      <w:r>
        <w:tab/>
      </w:r>
      <w:r>
        <w:tab/>
      </w:r>
      <w:r>
        <w:tab/>
      </w:r>
      <w:r>
        <w:tab/>
      </w:r>
      <w:r>
        <w:tab/>
        <w:t>Wireless Telecommunications Bureau</w:t>
      </w:r>
    </w:p>
    <w:p w:rsidR="0099090D" w:rsidRDefault="0099090D" w:rsidP="00373C82"/>
    <w:p w:rsidR="0099090D" w:rsidRDefault="0099090D" w:rsidP="00373C82"/>
    <w:p w:rsidR="0099090D" w:rsidRPr="000C1EB3" w:rsidRDefault="0099090D" w:rsidP="00373C82"/>
    <w:sectPr w:rsidR="0099090D" w:rsidRPr="000C1E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5E1" w:rsidRDefault="000255E1">
      <w:r>
        <w:separator/>
      </w:r>
    </w:p>
  </w:endnote>
  <w:endnote w:type="continuationSeparator" w:id="0">
    <w:p w:rsidR="000255E1" w:rsidRDefault="0002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E3" w:rsidRDefault="00F268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47" w:rsidRDefault="00CC2C47">
    <w:pPr>
      <w:pStyle w:val="Footer"/>
      <w:jc w:val="center"/>
    </w:pPr>
    <w:r>
      <w:rPr>
        <w:rStyle w:val="PageNumber"/>
      </w:rPr>
      <w:fldChar w:fldCharType="begin"/>
    </w:r>
    <w:r>
      <w:rPr>
        <w:rStyle w:val="PageNumber"/>
      </w:rPr>
      <w:instrText xml:space="preserve"> PAGE </w:instrText>
    </w:r>
    <w:r>
      <w:rPr>
        <w:rStyle w:val="PageNumber"/>
      </w:rPr>
      <w:fldChar w:fldCharType="separate"/>
    </w:r>
    <w:r w:rsidR="007946A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E3" w:rsidRDefault="00F26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5E1" w:rsidRDefault="000255E1">
      <w:pPr>
        <w:rPr>
          <w:sz w:val="20"/>
        </w:rPr>
      </w:pPr>
      <w:r>
        <w:rPr>
          <w:sz w:val="20"/>
        </w:rPr>
        <w:separator/>
      </w:r>
    </w:p>
  </w:footnote>
  <w:footnote w:type="continuationSeparator" w:id="0">
    <w:p w:rsidR="000255E1" w:rsidRDefault="000255E1">
      <w:pPr>
        <w:rPr>
          <w:sz w:val="20"/>
        </w:rPr>
      </w:pPr>
      <w:r>
        <w:rPr>
          <w:sz w:val="20"/>
        </w:rPr>
        <w:separator/>
      </w:r>
    </w:p>
    <w:p w:rsidR="000255E1" w:rsidRDefault="000255E1">
      <w:pPr>
        <w:rPr>
          <w:sz w:val="20"/>
        </w:rPr>
      </w:pPr>
      <w:r>
        <w:rPr>
          <w:sz w:val="20"/>
        </w:rPr>
        <w:t>(...continued from previous page)</w:t>
      </w:r>
    </w:p>
  </w:footnote>
  <w:footnote w:type="continuationNotice" w:id="1">
    <w:p w:rsidR="000255E1" w:rsidRDefault="000255E1">
      <w:pPr>
        <w:jc w:val="right"/>
        <w:rPr>
          <w:sz w:val="20"/>
        </w:rPr>
      </w:pPr>
      <w:r>
        <w:rPr>
          <w:sz w:val="20"/>
        </w:rPr>
        <w:t>(continued....)</w:t>
      </w:r>
    </w:p>
  </w:footnote>
  <w:footnote w:id="2">
    <w:p w:rsidR="00CC2C47" w:rsidRDefault="00CC2C47" w:rsidP="006A6C77">
      <w:pPr>
        <w:pStyle w:val="FootnoteText"/>
        <w:jc w:val="left"/>
      </w:pPr>
      <w:r>
        <w:rPr>
          <w:rStyle w:val="FootnoteReference"/>
        </w:rPr>
        <w:footnoteRef/>
      </w:r>
      <w:r>
        <w:t xml:space="preserve"> </w:t>
      </w:r>
      <w:r w:rsidR="008C251D">
        <w:t xml:space="preserve">Request for Waiver </w:t>
      </w:r>
      <w:r w:rsidR="00103174" w:rsidRPr="008E3BEE">
        <w:rPr>
          <w:szCs w:val="22"/>
        </w:rPr>
        <w:t xml:space="preserve">of Sections </w:t>
      </w:r>
      <w:r w:rsidR="00103174">
        <w:rPr>
          <w:szCs w:val="22"/>
        </w:rPr>
        <w:t>90</w:t>
      </w:r>
      <w:r w:rsidR="00103174" w:rsidRPr="008E3BEE">
        <w:rPr>
          <w:szCs w:val="22"/>
        </w:rPr>
        <w:t>.</w:t>
      </w:r>
      <w:r w:rsidR="00103174">
        <w:rPr>
          <w:szCs w:val="22"/>
        </w:rPr>
        <w:t>261(f) and 90</w:t>
      </w:r>
      <w:r w:rsidR="00103174" w:rsidRPr="008E3BEE">
        <w:rPr>
          <w:szCs w:val="22"/>
        </w:rPr>
        <w:t>.2</w:t>
      </w:r>
      <w:r w:rsidR="00103174">
        <w:rPr>
          <w:szCs w:val="22"/>
        </w:rPr>
        <w:t>19(d)(3)</w:t>
      </w:r>
      <w:r w:rsidR="00103174" w:rsidRPr="008E3BEE">
        <w:rPr>
          <w:szCs w:val="22"/>
        </w:rPr>
        <w:t xml:space="preserve"> </w:t>
      </w:r>
      <w:r w:rsidR="00103174">
        <w:rPr>
          <w:szCs w:val="22"/>
        </w:rPr>
        <w:t>of the Commission’s Rules</w:t>
      </w:r>
      <w:r w:rsidR="00103174">
        <w:t xml:space="preserve"> </w:t>
      </w:r>
      <w:r w:rsidR="008C251D">
        <w:t>(filed July 13, 2014) (Waiver Request)</w:t>
      </w:r>
      <w:r>
        <w:t>.</w:t>
      </w:r>
    </w:p>
  </w:footnote>
  <w:footnote w:id="3">
    <w:p w:rsidR="00D13689" w:rsidRDefault="00D13689" w:rsidP="006A6C77">
      <w:pPr>
        <w:pStyle w:val="FootnoteText"/>
        <w:jc w:val="left"/>
      </w:pPr>
      <w:r>
        <w:rPr>
          <w:rStyle w:val="FootnoteReference"/>
        </w:rPr>
        <w:footnoteRef/>
      </w:r>
      <w:r>
        <w:t xml:space="preserve"> Specifically, frequencies 452/457.900, 452/457.90625, 452/457.9125, 452/457.91875, 452/457.925, 452/457.93125, 452/457.9375, 452/457.94375, 452/457.950, 452/457.95625, 452/457.9625, and 452/457.96875 MHz.  AAR is the mandatory certified frequency coordinator for these frequencies.  </w:t>
      </w:r>
      <w:r>
        <w:rPr>
          <w:i/>
        </w:rPr>
        <w:t xml:space="preserve">See </w:t>
      </w:r>
      <w:r>
        <w:t>47 C.F.R. § 90.35(b)(2)(iv), (b)(3).</w:t>
      </w:r>
    </w:p>
  </w:footnote>
  <w:footnote w:id="4">
    <w:p w:rsidR="00CC2C47" w:rsidRDefault="00CC2C47" w:rsidP="006A6C77">
      <w:pPr>
        <w:pStyle w:val="FootnoteText"/>
        <w:jc w:val="left"/>
      </w:pPr>
      <w:r>
        <w:rPr>
          <w:rStyle w:val="FootnoteReference"/>
        </w:rPr>
        <w:footnoteRef/>
      </w:r>
      <w:r>
        <w:t xml:space="preserve"> </w:t>
      </w:r>
      <w:r w:rsidR="00D13689">
        <w:t>Waiver Request at 1-4</w:t>
      </w:r>
      <w:r>
        <w:t xml:space="preserve">. </w:t>
      </w:r>
    </w:p>
  </w:footnote>
  <w:footnote w:id="5">
    <w:p w:rsidR="003859B6" w:rsidRDefault="003859B6" w:rsidP="006A6C77">
      <w:pPr>
        <w:pStyle w:val="FootnoteText"/>
        <w:jc w:val="left"/>
      </w:pPr>
      <w:r>
        <w:rPr>
          <w:rStyle w:val="FootnoteReference"/>
        </w:rPr>
        <w:footnoteRef/>
      </w:r>
      <w:r>
        <w:t xml:space="preserve"> </w:t>
      </w:r>
      <w:r w:rsidRPr="003E7564">
        <w:rPr>
          <w:i/>
        </w:rPr>
        <w:t>See</w:t>
      </w:r>
      <w:r>
        <w:t xml:space="preserve"> 47 C.F.R. § 90.219(d)(3).</w:t>
      </w:r>
    </w:p>
  </w:footnote>
  <w:footnote w:id="6">
    <w:p w:rsidR="003859B6" w:rsidRDefault="003859B6" w:rsidP="006A6C77">
      <w:pPr>
        <w:pStyle w:val="FootnoteText"/>
        <w:jc w:val="left"/>
      </w:pPr>
      <w:r>
        <w:rPr>
          <w:rStyle w:val="FootnoteReference"/>
        </w:rPr>
        <w:footnoteRef/>
      </w:r>
      <w:r>
        <w:t xml:space="preserve"> </w:t>
      </w:r>
      <w:r w:rsidRPr="003E7564">
        <w:rPr>
          <w:i/>
        </w:rPr>
        <w:t>See</w:t>
      </w:r>
      <w:r>
        <w:t xml:space="preserve"> 47 C.F.R. § 90.261(f).</w:t>
      </w:r>
    </w:p>
  </w:footnote>
  <w:footnote w:id="7">
    <w:p w:rsidR="003859B6" w:rsidRDefault="003859B6" w:rsidP="006A6C77">
      <w:pPr>
        <w:pStyle w:val="FootnoteText"/>
        <w:jc w:val="left"/>
      </w:pPr>
      <w:r>
        <w:rPr>
          <w:rStyle w:val="FootnoteReference"/>
        </w:rPr>
        <w:footnoteRef/>
      </w:r>
      <w:r>
        <w:t xml:space="preserve"> </w:t>
      </w:r>
      <w:r w:rsidRPr="00F869EB">
        <w:rPr>
          <w:i/>
        </w:rPr>
        <w:t>See</w:t>
      </w:r>
      <w:r>
        <w:t xml:space="preserve"> Waiver Request at 2-3.</w:t>
      </w:r>
    </w:p>
  </w:footnote>
  <w:footnote w:id="8">
    <w:p w:rsidR="003859B6" w:rsidRDefault="003859B6" w:rsidP="006A6C77">
      <w:pPr>
        <w:pStyle w:val="FootnoteText"/>
        <w:jc w:val="left"/>
      </w:pPr>
      <w:r>
        <w:rPr>
          <w:rStyle w:val="FootnoteReference"/>
        </w:rPr>
        <w:footnoteRef/>
      </w:r>
      <w:r>
        <w:t xml:space="preserve"> </w:t>
      </w:r>
      <w:r>
        <w:rPr>
          <w:i/>
        </w:rPr>
        <w:t>Id</w:t>
      </w:r>
      <w:r>
        <w:t>. at 3-4.</w:t>
      </w:r>
    </w:p>
  </w:footnote>
  <w:footnote w:id="9">
    <w:p w:rsidR="00A1476B" w:rsidRDefault="00A1476B" w:rsidP="006A6C77">
      <w:pPr>
        <w:pStyle w:val="FootnoteText"/>
        <w:jc w:val="left"/>
      </w:pPr>
      <w:r>
        <w:rPr>
          <w:rStyle w:val="FootnoteReference"/>
        </w:rPr>
        <w:footnoteRef/>
      </w:r>
      <w:r>
        <w:t xml:space="preserve"> </w:t>
      </w:r>
      <w:r w:rsidRPr="00A1476B">
        <w:rPr>
          <w:i/>
        </w:rPr>
        <w:t>See</w:t>
      </w:r>
      <w:r>
        <w:t xml:space="preserve"> Wireless Telecommunication Bureau Seeks Comment on Association</w:t>
      </w:r>
      <w:r w:rsidR="00AC3335">
        <w:t xml:space="preserve"> of American Railroads Request f</w:t>
      </w:r>
      <w:r>
        <w:t>or Wa</w:t>
      </w:r>
      <w:r w:rsidR="00AC3335">
        <w:t>iver to Permit Signal Boosters w</w:t>
      </w:r>
      <w:r>
        <w:t xml:space="preserve">ith Increased Power on Certain 450 MHz Band Railroad Frequencies, </w:t>
      </w:r>
      <w:r w:rsidRPr="00A1476B">
        <w:rPr>
          <w:i/>
        </w:rPr>
        <w:t>Public Notice</w:t>
      </w:r>
      <w:r>
        <w:t xml:space="preserve">, WT Docket </w:t>
      </w:r>
      <w:r w:rsidR="003859B6">
        <w:t xml:space="preserve">No. </w:t>
      </w:r>
      <w:r>
        <w:t xml:space="preserve">14-98, </w:t>
      </w:r>
      <w:r w:rsidR="003859B6">
        <w:t>29 FCC Rcd 7817 (WTB MD</w:t>
      </w:r>
      <w:r>
        <w:t xml:space="preserve"> 2014</w:t>
      </w:r>
      <w:r w:rsidR="003859B6">
        <w:t>)</w:t>
      </w:r>
      <w:r>
        <w:t>.</w:t>
      </w:r>
    </w:p>
  </w:footnote>
  <w:footnote w:id="10">
    <w:p w:rsidR="003859B6" w:rsidRDefault="003859B6" w:rsidP="006A6C77">
      <w:pPr>
        <w:pStyle w:val="FootnoteText"/>
        <w:jc w:val="left"/>
      </w:pPr>
      <w:r>
        <w:rPr>
          <w:rStyle w:val="FootnoteReference"/>
        </w:rPr>
        <w:footnoteRef/>
      </w:r>
      <w:r>
        <w:t xml:space="preserve"> </w:t>
      </w:r>
      <w:r w:rsidRPr="0099472D">
        <w:rPr>
          <w:i/>
        </w:rPr>
        <w:t>See</w:t>
      </w:r>
      <w:r>
        <w:t xml:space="preserve"> MRFAC comments at 2-3.</w:t>
      </w:r>
    </w:p>
  </w:footnote>
  <w:footnote w:id="11">
    <w:p w:rsidR="00CD44FD" w:rsidRPr="00CD44FD" w:rsidRDefault="00CD44FD" w:rsidP="006A6C77">
      <w:pPr>
        <w:pStyle w:val="FootnoteText"/>
        <w:jc w:val="left"/>
        <w:rPr>
          <w:i/>
        </w:rPr>
      </w:pPr>
      <w:r>
        <w:rPr>
          <w:rStyle w:val="FootnoteReference"/>
        </w:rPr>
        <w:footnoteRef/>
      </w:r>
      <w:r>
        <w:t xml:space="preserve"> </w:t>
      </w:r>
      <w:r>
        <w:rPr>
          <w:i/>
        </w:rPr>
        <w:t>Id.</w:t>
      </w:r>
    </w:p>
  </w:footnote>
  <w:footnote w:id="12">
    <w:p w:rsidR="00B63C37" w:rsidRDefault="00B63C37" w:rsidP="006A6C77">
      <w:pPr>
        <w:pStyle w:val="FootnoteText"/>
        <w:jc w:val="left"/>
      </w:pPr>
      <w:r>
        <w:rPr>
          <w:rStyle w:val="FootnoteReference"/>
        </w:rPr>
        <w:footnoteRef/>
      </w:r>
      <w:r>
        <w:t xml:space="preserve"> </w:t>
      </w:r>
      <w:r w:rsidRPr="008471D8">
        <w:rPr>
          <w:i/>
        </w:rPr>
        <w:t>See</w:t>
      </w:r>
      <w:r>
        <w:t xml:space="preserve"> AAR reply comments at 3.  </w:t>
      </w:r>
    </w:p>
  </w:footnote>
  <w:footnote w:id="13">
    <w:p w:rsidR="003859B6" w:rsidRDefault="003859B6" w:rsidP="006A6C77">
      <w:pPr>
        <w:pStyle w:val="FootnoteText"/>
        <w:jc w:val="left"/>
      </w:pPr>
      <w:r>
        <w:rPr>
          <w:rStyle w:val="FootnoteReference"/>
        </w:rPr>
        <w:footnoteRef/>
      </w:r>
      <w:r>
        <w:t xml:space="preserve"> </w:t>
      </w:r>
      <w:r w:rsidR="00B63C37" w:rsidRPr="00B63C37">
        <w:rPr>
          <w:i/>
        </w:rPr>
        <w:t>Id.</w:t>
      </w:r>
      <w:r>
        <w:t xml:space="preserve"> at 2.</w:t>
      </w:r>
    </w:p>
  </w:footnote>
  <w:footnote w:id="14">
    <w:p w:rsidR="003859B6" w:rsidRPr="00923088" w:rsidRDefault="003859B6" w:rsidP="006A6C77">
      <w:pPr>
        <w:pStyle w:val="FootnoteText"/>
        <w:jc w:val="left"/>
      </w:pPr>
      <w:r>
        <w:rPr>
          <w:rStyle w:val="FootnoteReference"/>
        </w:rPr>
        <w:footnoteRef/>
      </w:r>
      <w:r>
        <w:t xml:space="preserve"> </w:t>
      </w:r>
      <w:r w:rsidR="00923088" w:rsidRPr="00B63C37">
        <w:rPr>
          <w:i/>
        </w:rPr>
        <w:t>Id.</w:t>
      </w:r>
      <w:r w:rsidR="00923088">
        <w:t xml:space="preserve"> at </w:t>
      </w:r>
      <w:r>
        <w:t>3.</w:t>
      </w:r>
      <w:r w:rsidR="00923088">
        <w:t xml:space="preserve">  Class A signal boosters amplify only those discrete frequencies intended to be retransmitted, while Class B signal boosters amplify all signals within the signal booster’s passband.  47 C.F.R. § 90.7.</w:t>
      </w:r>
    </w:p>
  </w:footnote>
  <w:footnote w:id="15">
    <w:p w:rsidR="00CC2C47" w:rsidRDefault="00CC2C47" w:rsidP="006A6C77">
      <w:pPr>
        <w:pStyle w:val="FootnoteText"/>
        <w:jc w:val="left"/>
        <w:rPr>
          <w:i/>
        </w:rPr>
      </w:pPr>
      <w:r>
        <w:rPr>
          <w:rStyle w:val="FootnoteReference"/>
        </w:rPr>
        <w:footnoteRef/>
      </w:r>
      <w:r>
        <w:t xml:space="preserve"> 47 C.F.R. § 1.925(b)(3); </w:t>
      </w:r>
      <w:r>
        <w:rPr>
          <w:i/>
        </w:rPr>
        <w:t>see also WAIT Radio v FCC</w:t>
      </w:r>
      <w:r>
        <w:t xml:space="preserve">, 418 F. 2d 1153, 1159 (D.C. Cir. 1969).  </w:t>
      </w:r>
    </w:p>
  </w:footnote>
  <w:footnote w:id="16">
    <w:p w:rsidR="00977E01" w:rsidRDefault="00977E01" w:rsidP="006A6C77">
      <w:pPr>
        <w:pStyle w:val="FootnoteText"/>
        <w:jc w:val="left"/>
      </w:pPr>
      <w:r>
        <w:rPr>
          <w:rStyle w:val="FootnoteReference"/>
        </w:rPr>
        <w:footnoteRef/>
      </w:r>
      <w:r>
        <w:t xml:space="preserve"> Amendment of Part 90 Concerning Secondary Fixed Operations in the 450-470 MHz Band, </w:t>
      </w:r>
      <w:r>
        <w:rPr>
          <w:i/>
        </w:rPr>
        <w:t>Report and Order</w:t>
      </w:r>
      <w:r>
        <w:t xml:space="preserve">, PR Docket No. 91-66, 7 FCC Rcd 3498, 3498 ¶ 2 (1992).  </w:t>
      </w:r>
    </w:p>
  </w:footnote>
  <w:footnote w:id="17">
    <w:p w:rsidR="00977E01" w:rsidRDefault="00977E01" w:rsidP="006A6C77">
      <w:pPr>
        <w:pStyle w:val="FootnoteText"/>
        <w:jc w:val="left"/>
      </w:pPr>
      <w:r>
        <w:rPr>
          <w:rStyle w:val="FootnoteReference"/>
        </w:rPr>
        <w:footnoteRef/>
      </w:r>
      <w:r>
        <w:t xml:space="preserve"> </w:t>
      </w:r>
      <w:r>
        <w:rPr>
          <w:i/>
        </w:rPr>
        <w:t xml:space="preserve">See </w:t>
      </w:r>
      <w:r>
        <w:t xml:space="preserve">Amendment of Part 90 Concerning Secondary Fixed Operations in the 450-470 MHz Band, </w:t>
      </w:r>
      <w:r>
        <w:rPr>
          <w:i/>
        </w:rPr>
        <w:t>Notice of Proposed Rule Making</w:t>
      </w:r>
      <w:r>
        <w:t xml:space="preserve">, PR Docket No. 91-66, 6 FCC Rcd 1800, 1802 n.22 (1991).  </w:t>
      </w:r>
    </w:p>
  </w:footnote>
  <w:footnote w:id="18">
    <w:p w:rsidR="00590AC4" w:rsidRPr="00590AC4" w:rsidRDefault="00590AC4" w:rsidP="006A6C77">
      <w:pPr>
        <w:pStyle w:val="FootnoteText"/>
        <w:jc w:val="left"/>
      </w:pPr>
      <w:r>
        <w:rPr>
          <w:rStyle w:val="FootnoteReference"/>
        </w:rPr>
        <w:footnoteRef/>
      </w:r>
      <w:r>
        <w:t xml:space="preserve"> </w:t>
      </w:r>
      <w:r>
        <w:rPr>
          <w:i/>
        </w:rPr>
        <w:t xml:space="preserve">See </w:t>
      </w:r>
      <w:r w:rsidR="00CB2D8D">
        <w:t>Waiver Request</w:t>
      </w:r>
      <w:r>
        <w:t xml:space="preserve"> at 5.</w:t>
      </w:r>
    </w:p>
  </w:footnote>
  <w:footnote w:id="19">
    <w:p w:rsidR="00590AC4" w:rsidRPr="00590AC4" w:rsidRDefault="00590AC4" w:rsidP="006A6C77">
      <w:pPr>
        <w:pStyle w:val="FootnoteText"/>
        <w:jc w:val="left"/>
      </w:pPr>
      <w:r>
        <w:rPr>
          <w:rStyle w:val="FootnoteReference"/>
        </w:rPr>
        <w:footnoteRef/>
      </w:r>
      <w:r>
        <w:t xml:space="preserve"> </w:t>
      </w:r>
      <w:r>
        <w:rPr>
          <w:i/>
        </w:rPr>
        <w:t xml:space="preserve">See </w:t>
      </w:r>
      <w:r>
        <w:t xml:space="preserve">Amendment of Parts 1, 2, 22, 24, 27, 90 and 95 of the Commission’s Rules to Improve Wireless Coverage Through the Use of Signal Boosters, </w:t>
      </w:r>
      <w:r>
        <w:rPr>
          <w:i/>
        </w:rPr>
        <w:t>Report and Order</w:t>
      </w:r>
      <w:r>
        <w:t>, WT Docket No. 10-4, 28 FCC Rcd 1663, 1718 ¶ 153 (2013).</w:t>
      </w:r>
    </w:p>
  </w:footnote>
  <w:footnote w:id="20">
    <w:p w:rsidR="00590AC4" w:rsidRDefault="00590AC4" w:rsidP="006A6C77">
      <w:pPr>
        <w:pStyle w:val="FootnoteText"/>
        <w:jc w:val="left"/>
      </w:pPr>
      <w:r>
        <w:rPr>
          <w:rStyle w:val="FootnoteReference"/>
        </w:rPr>
        <w:footnoteRef/>
      </w:r>
      <w:r>
        <w:t xml:space="preserve"> </w:t>
      </w:r>
      <w:r w:rsidR="00CB2D8D">
        <w:rPr>
          <w:i/>
        </w:rPr>
        <w:t xml:space="preserve">See </w:t>
      </w:r>
      <w:r w:rsidR="00CB2D8D">
        <w:t>Waiver Request at 5-6</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E3" w:rsidRDefault="00F268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47" w:rsidRDefault="00CC2C47">
    <w:pPr>
      <w:pStyle w:val="Header"/>
      <w:tabs>
        <w:tab w:val="clear" w:pos="4320"/>
        <w:tab w:val="clear" w:pos="8640"/>
        <w:tab w:val="center" w:pos="4680"/>
        <w:tab w:val="right" w:pos="9360"/>
      </w:tabs>
      <w:rPr>
        <w:b/>
      </w:rPr>
    </w:pPr>
    <w:r>
      <w:rPr>
        <w:b/>
      </w:rPr>
      <w:tab/>
      <w:t>Federal Communications Commission</w:t>
    </w:r>
    <w:r>
      <w:rPr>
        <w:b/>
      </w:rPr>
      <w:tab/>
      <w:t xml:space="preserve"> DA 14-</w:t>
    </w:r>
    <w:r w:rsidR="001F6D97">
      <w:rPr>
        <w:b/>
      </w:rPr>
      <w:t>1559</w:t>
    </w:r>
    <w:r>
      <w:rPr>
        <w:b/>
      </w:rPr>
      <w:t xml:space="preserve"> </w:t>
    </w:r>
  </w:p>
  <w:p w:rsidR="00CC2C47" w:rsidRDefault="00CC2C47">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5A7EBE34" wp14:editId="4B53C2C8">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CC2C47" w:rsidRDefault="00CC2C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47" w:rsidRDefault="00CC2C47">
    <w:pPr>
      <w:pStyle w:val="Header"/>
      <w:tabs>
        <w:tab w:val="clear" w:pos="4320"/>
        <w:tab w:val="clear" w:pos="8640"/>
        <w:tab w:val="center" w:pos="4680"/>
        <w:tab w:val="right" w:pos="9360"/>
      </w:tabs>
      <w:rPr>
        <w:b/>
      </w:rPr>
    </w:pPr>
    <w:r>
      <w:rPr>
        <w:b/>
      </w:rPr>
      <w:tab/>
      <w:t>Federal Communications Commission</w:t>
    </w:r>
    <w:r>
      <w:rPr>
        <w:b/>
      </w:rPr>
      <w:tab/>
      <w:t xml:space="preserve"> DA 14-</w:t>
    </w:r>
    <w:r w:rsidR="001F6D97">
      <w:rPr>
        <w:b/>
      </w:rPr>
      <w:t>1559</w:t>
    </w:r>
    <w:r>
      <w:rPr>
        <w:b/>
      </w:rPr>
      <w:t xml:space="preserve"> </w:t>
    </w:r>
  </w:p>
  <w:p w:rsidR="00CC2C47" w:rsidRDefault="00CC2C47">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799606A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19"/>
  </w:num>
  <w:num w:numId="2">
    <w:abstractNumId w:val="20"/>
  </w:num>
  <w:num w:numId="3">
    <w:abstractNumId w:val="3"/>
  </w:num>
  <w:num w:numId="4">
    <w:abstractNumId w:val="15"/>
  </w:num>
  <w:num w:numId="5">
    <w:abstractNumId w:val="4"/>
  </w:num>
  <w:num w:numId="6">
    <w:abstractNumId w:val="18"/>
  </w:num>
  <w:num w:numId="7">
    <w:abstractNumId w:val="12"/>
  </w:num>
  <w:num w:numId="8">
    <w:abstractNumId w:val="5"/>
  </w:num>
  <w:num w:numId="9">
    <w:abstractNumId w:val="17"/>
  </w:num>
  <w:num w:numId="10">
    <w:abstractNumId w:val="10"/>
  </w:num>
  <w:num w:numId="11">
    <w:abstractNumId w:val="9"/>
  </w:num>
  <w:num w:numId="12">
    <w:abstractNumId w:val="6"/>
  </w:num>
  <w:num w:numId="13">
    <w:abstractNumId w:val="11"/>
  </w:num>
  <w:num w:numId="14">
    <w:abstractNumId w:val="16"/>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4"/>
  </w:num>
  <w:num w:numId="22">
    <w:abstractNumId w:val="11"/>
    <w:lvlOverride w:ilvl="0">
      <w:startOverride w:val="1"/>
    </w:lvlOverride>
  </w:num>
  <w:num w:numId="23">
    <w:abstractNumId w:val="1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4C"/>
    <w:rsid w:val="00005D9B"/>
    <w:rsid w:val="0001311A"/>
    <w:rsid w:val="00014F9A"/>
    <w:rsid w:val="0001758B"/>
    <w:rsid w:val="000255E1"/>
    <w:rsid w:val="00026E04"/>
    <w:rsid w:val="0003609C"/>
    <w:rsid w:val="000366F7"/>
    <w:rsid w:val="0005079C"/>
    <w:rsid w:val="00050A75"/>
    <w:rsid w:val="000A7341"/>
    <w:rsid w:val="000B3F0D"/>
    <w:rsid w:val="000C1EB3"/>
    <w:rsid w:val="000C743B"/>
    <w:rsid w:val="000E3905"/>
    <w:rsid w:val="000E4D62"/>
    <w:rsid w:val="000E6B36"/>
    <w:rsid w:val="00101962"/>
    <w:rsid w:val="00103174"/>
    <w:rsid w:val="00121202"/>
    <w:rsid w:val="001274D1"/>
    <w:rsid w:val="00137BC5"/>
    <w:rsid w:val="001401FB"/>
    <w:rsid w:val="00154E15"/>
    <w:rsid w:val="00156D0D"/>
    <w:rsid w:val="001627B3"/>
    <w:rsid w:val="00174A80"/>
    <w:rsid w:val="00180885"/>
    <w:rsid w:val="00183170"/>
    <w:rsid w:val="00186AB1"/>
    <w:rsid w:val="001B18C6"/>
    <w:rsid w:val="001B60B2"/>
    <w:rsid w:val="001C4836"/>
    <w:rsid w:val="001D4AA6"/>
    <w:rsid w:val="001E3EC5"/>
    <w:rsid w:val="001E7976"/>
    <w:rsid w:val="001F0765"/>
    <w:rsid w:val="001F6D97"/>
    <w:rsid w:val="00210141"/>
    <w:rsid w:val="0021293F"/>
    <w:rsid w:val="00221BBB"/>
    <w:rsid w:val="00230B4B"/>
    <w:rsid w:val="0023122A"/>
    <w:rsid w:val="00231268"/>
    <w:rsid w:val="00240B7C"/>
    <w:rsid w:val="0024648C"/>
    <w:rsid w:val="00250896"/>
    <w:rsid w:val="00253129"/>
    <w:rsid w:val="00255BB5"/>
    <w:rsid w:val="00271B0C"/>
    <w:rsid w:val="00276980"/>
    <w:rsid w:val="00293489"/>
    <w:rsid w:val="0029462D"/>
    <w:rsid w:val="002C4C80"/>
    <w:rsid w:val="002C6899"/>
    <w:rsid w:val="002E2EF0"/>
    <w:rsid w:val="002E5B95"/>
    <w:rsid w:val="002E5BB6"/>
    <w:rsid w:val="002F426C"/>
    <w:rsid w:val="00302093"/>
    <w:rsid w:val="0030642C"/>
    <w:rsid w:val="003169C9"/>
    <w:rsid w:val="003311BD"/>
    <w:rsid w:val="00343BC8"/>
    <w:rsid w:val="00350375"/>
    <w:rsid w:val="00352268"/>
    <w:rsid w:val="00373C82"/>
    <w:rsid w:val="00375F77"/>
    <w:rsid w:val="003859B6"/>
    <w:rsid w:val="0038630B"/>
    <w:rsid w:val="003A487D"/>
    <w:rsid w:val="003C112D"/>
    <w:rsid w:val="003E0C7F"/>
    <w:rsid w:val="003E7564"/>
    <w:rsid w:val="00403329"/>
    <w:rsid w:val="0040621E"/>
    <w:rsid w:val="0041224C"/>
    <w:rsid w:val="0041435A"/>
    <w:rsid w:val="004257D8"/>
    <w:rsid w:val="004268D5"/>
    <w:rsid w:val="004274D8"/>
    <w:rsid w:val="0043421E"/>
    <w:rsid w:val="004369C8"/>
    <w:rsid w:val="004438E3"/>
    <w:rsid w:val="004443A8"/>
    <w:rsid w:val="004443D9"/>
    <w:rsid w:val="00450428"/>
    <w:rsid w:val="0046704A"/>
    <w:rsid w:val="00473CE0"/>
    <w:rsid w:val="004743C4"/>
    <w:rsid w:val="004939A6"/>
    <w:rsid w:val="004A03F1"/>
    <w:rsid w:val="004A71C7"/>
    <w:rsid w:val="004D1139"/>
    <w:rsid w:val="004D26E1"/>
    <w:rsid w:val="004D4BCE"/>
    <w:rsid w:val="005044AD"/>
    <w:rsid w:val="00515F2A"/>
    <w:rsid w:val="005253FA"/>
    <w:rsid w:val="0053561A"/>
    <w:rsid w:val="0055297D"/>
    <w:rsid w:val="005548EE"/>
    <w:rsid w:val="0056414C"/>
    <w:rsid w:val="00590AC4"/>
    <w:rsid w:val="0059615F"/>
    <w:rsid w:val="005A20F8"/>
    <w:rsid w:val="005C22EB"/>
    <w:rsid w:val="005C44E5"/>
    <w:rsid w:val="005D3DC3"/>
    <w:rsid w:val="005D70E5"/>
    <w:rsid w:val="005E468B"/>
    <w:rsid w:val="005F3134"/>
    <w:rsid w:val="00620ABF"/>
    <w:rsid w:val="006211A8"/>
    <w:rsid w:val="00621A82"/>
    <w:rsid w:val="0062209B"/>
    <w:rsid w:val="006267F2"/>
    <w:rsid w:val="00635705"/>
    <w:rsid w:val="00652D4D"/>
    <w:rsid w:val="006542D7"/>
    <w:rsid w:val="00667A56"/>
    <w:rsid w:val="00671360"/>
    <w:rsid w:val="0067345E"/>
    <w:rsid w:val="00674CCA"/>
    <w:rsid w:val="006820DA"/>
    <w:rsid w:val="006876C0"/>
    <w:rsid w:val="006935FD"/>
    <w:rsid w:val="006974DC"/>
    <w:rsid w:val="006A6C77"/>
    <w:rsid w:val="006A6CDC"/>
    <w:rsid w:val="006A747F"/>
    <w:rsid w:val="006D4E01"/>
    <w:rsid w:val="006E01A7"/>
    <w:rsid w:val="006E4480"/>
    <w:rsid w:val="00700669"/>
    <w:rsid w:val="00701B04"/>
    <w:rsid w:val="007066E6"/>
    <w:rsid w:val="00707B64"/>
    <w:rsid w:val="007121D8"/>
    <w:rsid w:val="0075772C"/>
    <w:rsid w:val="00770C7B"/>
    <w:rsid w:val="00784069"/>
    <w:rsid w:val="007933BF"/>
    <w:rsid w:val="00793F6A"/>
    <w:rsid w:val="007946A3"/>
    <w:rsid w:val="007C7B78"/>
    <w:rsid w:val="007F6A1C"/>
    <w:rsid w:val="0081599C"/>
    <w:rsid w:val="00823E83"/>
    <w:rsid w:val="00826708"/>
    <w:rsid w:val="008471D8"/>
    <w:rsid w:val="00850741"/>
    <w:rsid w:val="008638FE"/>
    <w:rsid w:val="00863C48"/>
    <w:rsid w:val="0087703E"/>
    <w:rsid w:val="008A1753"/>
    <w:rsid w:val="008C1B8B"/>
    <w:rsid w:val="008C251D"/>
    <w:rsid w:val="008D77D4"/>
    <w:rsid w:val="008E114C"/>
    <w:rsid w:val="008E37DD"/>
    <w:rsid w:val="00913745"/>
    <w:rsid w:val="00921601"/>
    <w:rsid w:val="00923088"/>
    <w:rsid w:val="009419B6"/>
    <w:rsid w:val="00947CC7"/>
    <w:rsid w:val="00952AAC"/>
    <w:rsid w:val="0095780F"/>
    <w:rsid w:val="009600BF"/>
    <w:rsid w:val="00965994"/>
    <w:rsid w:val="00977E01"/>
    <w:rsid w:val="00981BC2"/>
    <w:rsid w:val="009870FF"/>
    <w:rsid w:val="0099090D"/>
    <w:rsid w:val="0099472D"/>
    <w:rsid w:val="00997D32"/>
    <w:rsid w:val="009A183F"/>
    <w:rsid w:val="009B2FB7"/>
    <w:rsid w:val="009C3C81"/>
    <w:rsid w:val="009D14A3"/>
    <w:rsid w:val="009D1EFA"/>
    <w:rsid w:val="009D23D5"/>
    <w:rsid w:val="009D3237"/>
    <w:rsid w:val="009F1ED6"/>
    <w:rsid w:val="00A1476B"/>
    <w:rsid w:val="00A17CC4"/>
    <w:rsid w:val="00A27DB8"/>
    <w:rsid w:val="00A52AAC"/>
    <w:rsid w:val="00A8119A"/>
    <w:rsid w:val="00A848D5"/>
    <w:rsid w:val="00A931C0"/>
    <w:rsid w:val="00AA114F"/>
    <w:rsid w:val="00AA3716"/>
    <w:rsid w:val="00AC11E4"/>
    <w:rsid w:val="00AC3335"/>
    <w:rsid w:val="00AD4404"/>
    <w:rsid w:val="00AE3D36"/>
    <w:rsid w:val="00AE4E11"/>
    <w:rsid w:val="00B01530"/>
    <w:rsid w:val="00B23D49"/>
    <w:rsid w:val="00B60921"/>
    <w:rsid w:val="00B6123F"/>
    <w:rsid w:val="00B63C37"/>
    <w:rsid w:val="00B9614A"/>
    <w:rsid w:val="00B976D3"/>
    <w:rsid w:val="00BA45F0"/>
    <w:rsid w:val="00BB2B5C"/>
    <w:rsid w:val="00BD4D73"/>
    <w:rsid w:val="00BE2A8D"/>
    <w:rsid w:val="00C143FF"/>
    <w:rsid w:val="00C16C84"/>
    <w:rsid w:val="00C24C5A"/>
    <w:rsid w:val="00C31EE9"/>
    <w:rsid w:val="00C42EDD"/>
    <w:rsid w:val="00C47582"/>
    <w:rsid w:val="00C50782"/>
    <w:rsid w:val="00C50A77"/>
    <w:rsid w:val="00C65160"/>
    <w:rsid w:val="00C77277"/>
    <w:rsid w:val="00C942B3"/>
    <w:rsid w:val="00CB242C"/>
    <w:rsid w:val="00CB2D8D"/>
    <w:rsid w:val="00CB56A5"/>
    <w:rsid w:val="00CB576B"/>
    <w:rsid w:val="00CC1B7B"/>
    <w:rsid w:val="00CC2C47"/>
    <w:rsid w:val="00CD44FD"/>
    <w:rsid w:val="00CD5052"/>
    <w:rsid w:val="00CD5217"/>
    <w:rsid w:val="00CD6DE4"/>
    <w:rsid w:val="00CF2CA1"/>
    <w:rsid w:val="00CF37ED"/>
    <w:rsid w:val="00D13689"/>
    <w:rsid w:val="00D26DE8"/>
    <w:rsid w:val="00D61ACA"/>
    <w:rsid w:val="00D654B8"/>
    <w:rsid w:val="00D8381A"/>
    <w:rsid w:val="00D94C90"/>
    <w:rsid w:val="00D95255"/>
    <w:rsid w:val="00DB3C01"/>
    <w:rsid w:val="00DC0255"/>
    <w:rsid w:val="00DC4D12"/>
    <w:rsid w:val="00DC535C"/>
    <w:rsid w:val="00DD7078"/>
    <w:rsid w:val="00DE25BF"/>
    <w:rsid w:val="00DE2718"/>
    <w:rsid w:val="00E020E4"/>
    <w:rsid w:val="00E2065E"/>
    <w:rsid w:val="00E24DD9"/>
    <w:rsid w:val="00E32844"/>
    <w:rsid w:val="00E52A31"/>
    <w:rsid w:val="00E53681"/>
    <w:rsid w:val="00E55502"/>
    <w:rsid w:val="00E92B3B"/>
    <w:rsid w:val="00E96CC1"/>
    <w:rsid w:val="00EA37D8"/>
    <w:rsid w:val="00EB41BD"/>
    <w:rsid w:val="00EE1C4F"/>
    <w:rsid w:val="00F07BF8"/>
    <w:rsid w:val="00F125D4"/>
    <w:rsid w:val="00F23407"/>
    <w:rsid w:val="00F268E3"/>
    <w:rsid w:val="00F41E35"/>
    <w:rsid w:val="00F47870"/>
    <w:rsid w:val="00F733FD"/>
    <w:rsid w:val="00F74213"/>
    <w:rsid w:val="00F82ED5"/>
    <w:rsid w:val="00F84573"/>
    <w:rsid w:val="00F869EB"/>
    <w:rsid w:val="00F9304C"/>
    <w:rsid w:val="00F9777B"/>
    <w:rsid w:val="00FC4C8A"/>
    <w:rsid w:val="00FD18AF"/>
    <w:rsid w:val="00FE0AA9"/>
    <w:rsid w:val="00FE16B7"/>
    <w:rsid w:val="00FF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left" w:pos="1440"/>
      </w:tabs>
      <w:spacing w:after="220"/>
      <w:jc w:val="both"/>
    </w:pPr>
  </w:style>
  <w:style w:type="paragraph" w:styleId="FootnoteText">
    <w:name w:val="footnote text"/>
    <w:aliases w:val="Footnote Text Char1,Footnote Text Char Char,Footnote Text Char1 Char Char,Footnote Text Char Char Char Char"/>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Style 13,o,fr,Style 3,FR"/>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odyText">
    <w:name w:val="Body Text"/>
    <w:basedOn w:val="Normal"/>
    <w:rsid w:val="00450428"/>
    <w:pPr>
      <w:spacing w:after="120"/>
    </w:pPr>
  </w:style>
  <w:style w:type="character" w:customStyle="1" w:styleId="ParaNumChar">
    <w:name w:val="ParaNum Char"/>
    <w:basedOn w:val="DefaultParagraphFont"/>
    <w:link w:val="ParaNum"/>
    <w:rsid w:val="00373C82"/>
    <w:rPr>
      <w:sz w:val="22"/>
    </w:rPr>
  </w:style>
  <w:style w:type="character" w:customStyle="1" w:styleId="FootnoteTextChar">
    <w:name w:val="Footnote Text Char"/>
    <w:aliases w:val="Footnote Text Char1 Char,Footnote Text Char Char Char,Footnote Text Char1 Char Char Char,Footnote Text Char Char Char Char Char"/>
    <w:basedOn w:val="DefaultParagraphFont"/>
    <w:link w:val="FootnoteText"/>
    <w:semiHidden/>
    <w:rsid w:val="0029462D"/>
  </w:style>
  <w:style w:type="paragraph" w:styleId="ListParagraph">
    <w:name w:val="List Paragraph"/>
    <w:basedOn w:val="Normal"/>
    <w:uiPriority w:val="34"/>
    <w:qFormat/>
    <w:rsid w:val="00CD6DE4"/>
    <w:pPr>
      <w:ind w:left="720"/>
      <w:contextualSpacing/>
    </w:pPr>
  </w:style>
  <w:style w:type="paragraph" w:styleId="NormalWeb">
    <w:name w:val="Normal (Web)"/>
    <w:basedOn w:val="Normal"/>
    <w:uiPriority w:val="99"/>
    <w:unhideWhenUsed/>
    <w:rsid w:val="008C1B8B"/>
    <w:pPr>
      <w:spacing w:before="100" w:beforeAutospacing="1" w:after="100" w:afterAutospacing="1"/>
      <w:ind w:firstLine="480"/>
    </w:pPr>
    <w:rPr>
      <w:sz w:val="24"/>
      <w:szCs w:val="24"/>
    </w:rPr>
  </w:style>
  <w:style w:type="paragraph" w:styleId="BalloonText">
    <w:name w:val="Balloon Text"/>
    <w:basedOn w:val="Normal"/>
    <w:link w:val="BalloonTextChar"/>
    <w:rsid w:val="008C1B8B"/>
    <w:rPr>
      <w:rFonts w:ascii="Tahoma" w:hAnsi="Tahoma" w:cs="Tahoma"/>
      <w:sz w:val="16"/>
      <w:szCs w:val="16"/>
    </w:rPr>
  </w:style>
  <w:style w:type="character" w:customStyle="1" w:styleId="BalloonTextChar">
    <w:name w:val="Balloon Text Char"/>
    <w:basedOn w:val="DefaultParagraphFont"/>
    <w:link w:val="BalloonText"/>
    <w:rsid w:val="008C1B8B"/>
    <w:rPr>
      <w:rFonts w:ascii="Tahoma" w:hAnsi="Tahoma" w:cs="Tahoma"/>
      <w:sz w:val="16"/>
      <w:szCs w:val="16"/>
    </w:rPr>
  </w:style>
  <w:style w:type="paragraph" w:styleId="EndnoteText">
    <w:name w:val="endnote text"/>
    <w:basedOn w:val="Normal"/>
    <w:link w:val="EndnoteTextChar"/>
    <w:rsid w:val="00C24C5A"/>
    <w:pPr>
      <w:widowControl w:val="0"/>
      <w:tabs>
        <w:tab w:val="num" w:pos="1080"/>
      </w:tabs>
      <w:ind w:firstLine="720"/>
    </w:pPr>
    <w:rPr>
      <w:snapToGrid w:val="0"/>
      <w:kern w:val="28"/>
      <w:sz w:val="20"/>
    </w:rPr>
  </w:style>
  <w:style w:type="character" w:customStyle="1" w:styleId="EndnoteTextChar">
    <w:name w:val="Endnote Text Char"/>
    <w:basedOn w:val="DefaultParagraphFont"/>
    <w:link w:val="EndnoteText"/>
    <w:rsid w:val="00C24C5A"/>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left" w:pos="1440"/>
      </w:tabs>
      <w:spacing w:after="220"/>
      <w:jc w:val="both"/>
    </w:pPr>
  </w:style>
  <w:style w:type="paragraph" w:styleId="FootnoteText">
    <w:name w:val="footnote text"/>
    <w:aliases w:val="Footnote Text Char1,Footnote Text Char Char,Footnote Text Char1 Char Char,Footnote Text Char Char Char Char"/>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Style 13,o,fr,Style 3,FR"/>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odyText">
    <w:name w:val="Body Text"/>
    <w:basedOn w:val="Normal"/>
    <w:rsid w:val="00450428"/>
    <w:pPr>
      <w:spacing w:after="120"/>
    </w:pPr>
  </w:style>
  <w:style w:type="character" w:customStyle="1" w:styleId="ParaNumChar">
    <w:name w:val="ParaNum Char"/>
    <w:basedOn w:val="DefaultParagraphFont"/>
    <w:link w:val="ParaNum"/>
    <w:rsid w:val="00373C82"/>
    <w:rPr>
      <w:sz w:val="22"/>
    </w:rPr>
  </w:style>
  <w:style w:type="character" w:customStyle="1" w:styleId="FootnoteTextChar">
    <w:name w:val="Footnote Text Char"/>
    <w:aliases w:val="Footnote Text Char1 Char,Footnote Text Char Char Char,Footnote Text Char1 Char Char Char,Footnote Text Char Char Char Char Char"/>
    <w:basedOn w:val="DefaultParagraphFont"/>
    <w:link w:val="FootnoteText"/>
    <w:semiHidden/>
    <w:rsid w:val="0029462D"/>
  </w:style>
  <w:style w:type="paragraph" w:styleId="ListParagraph">
    <w:name w:val="List Paragraph"/>
    <w:basedOn w:val="Normal"/>
    <w:uiPriority w:val="34"/>
    <w:qFormat/>
    <w:rsid w:val="00CD6DE4"/>
    <w:pPr>
      <w:ind w:left="720"/>
      <w:contextualSpacing/>
    </w:pPr>
  </w:style>
  <w:style w:type="paragraph" w:styleId="NormalWeb">
    <w:name w:val="Normal (Web)"/>
    <w:basedOn w:val="Normal"/>
    <w:uiPriority w:val="99"/>
    <w:unhideWhenUsed/>
    <w:rsid w:val="008C1B8B"/>
    <w:pPr>
      <w:spacing w:before="100" w:beforeAutospacing="1" w:after="100" w:afterAutospacing="1"/>
      <w:ind w:firstLine="480"/>
    </w:pPr>
    <w:rPr>
      <w:sz w:val="24"/>
      <w:szCs w:val="24"/>
    </w:rPr>
  </w:style>
  <w:style w:type="paragraph" w:styleId="BalloonText">
    <w:name w:val="Balloon Text"/>
    <w:basedOn w:val="Normal"/>
    <w:link w:val="BalloonTextChar"/>
    <w:rsid w:val="008C1B8B"/>
    <w:rPr>
      <w:rFonts w:ascii="Tahoma" w:hAnsi="Tahoma" w:cs="Tahoma"/>
      <w:sz w:val="16"/>
      <w:szCs w:val="16"/>
    </w:rPr>
  </w:style>
  <w:style w:type="character" w:customStyle="1" w:styleId="BalloonTextChar">
    <w:name w:val="Balloon Text Char"/>
    <w:basedOn w:val="DefaultParagraphFont"/>
    <w:link w:val="BalloonText"/>
    <w:rsid w:val="008C1B8B"/>
    <w:rPr>
      <w:rFonts w:ascii="Tahoma" w:hAnsi="Tahoma" w:cs="Tahoma"/>
      <w:sz w:val="16"/>
      <w:szCs w:val="16"/>
    </w:rPr>
  </w:style>
  <w:style w:type="paragraph" w:styleId="EndnoteText">
    <w:name w:val="endnote text"/>
    <w:basedOn w:val="Normal"/>
    <w:link w:val="EndnoteTextChar"/>
    <w:rsid w:val="00C24C5A"/>
    <w:pPr>
      <w:widowControl w:val="0"/>
      <w:tabs>
        <w:tab w:val="num" w:pos="1080"/>
      </w:tabs>
      <w:ind w:firstLine="720"/>
    </w:pPr>
    <w:rPr>
      <w:snapToGrid w:val="0"/>
      <w:kern w:val="28"/>
      <w:sz w:val="20"/>
    </w:rPr>
  </w:style>
  <w:style w:type="character" w:customStyle="1" w:styleId="EndnoteTextChar">
    <w:name w:val="Endnote Text Char"/>
    <w:basedOn w:val="DefaultParagraphFont"/>
    <w:link w:val="EndnoteText"/>
    <w:rsid w:val="00C24C5A"/>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850429">
      <w:bodyDiv w:val="1"/>
      <w:marLeft w:val="0"/>
      <w:marRight w:val="0"/>
      <w:marTop w:val="30"/>
      <w:marBottom w:val="750"/>
      <w:divBdr>
        <w:top w:val="none" w:sz="0" w:space="0" w:color="auto"/>
        <w:left w:val="none" w:sz="0" w:space="0" w:color="auto"/>
        <w:bottom w:val="none" w:sz="0" w:space="0" w:color="auto"/>
        <w:right w:val="none" w:sz="0" w:space="0" w:color="auto"/>
      </w:divBdr>
      <w:divsChild>
        <w:div w:id="819076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864</Words>
  <Characters>4799</Characters>
  <Application>Microsoft Office Word</Application>
  <DocSecurity>0</DocSecurity>
  <Lines>93</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5699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2014-07-29T18:35:00Z</cp:lastPrinted>
  <dcterms:created xsi:type="dcterms:W3CDTF">2014-10-28T18:45:00Z</dcterms:created>
  <dcterms:modified xsi:type="dcterms:W3CDTF">2014-10-28T18:45:00Z</dcterms:modified>
  <cp:category> </cp:category>
  <cp:contentStatus> </cp:contentStatus>
</cp:coreProperties>
</file>