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DF" w:rsidRDefault="000F69DF">
      <w:pPr>
        <w:pStyle w:val="Header"/>
        <w:tabs>
          <w:tab w:val="clear" w:pos="4320"/>
          <w:tab w:val="clear" w:pos="8640"/>
        </w:tabs>
        <w:sectPr w:rsidR="000F69D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0F69DF" w:rsidRPr="006A743B" w:rsidRDefault="0074070D">
      <w:pPr>
        <w:jc w:val="right"/>
        <w:rPr>
          <w:b/>
          <w:szCs w:val="22"/>
        </w:rPr>
      </w:pPr>
      <w:r>
        <w:rPr>
          <w:b/>
          <w:szCs w:val="22"/>
        </w:rPr>
        <w:lastRenderedPageBreak/>
        <w:t>DA</w:t>
      </w:r>
      <w:r w:rsidR="00C333C1">
        <w:rPr>
          <w:b/>
          <w:szCs w:val="22"/>
        </w:rPr>
        <w:t xml:space="preserve"> 14-1572</w:t>
      </w:r>
    </w:p>
    <w:p w:rsidR="000F69DF" w:rsidRPr="006A743B" w:rsidRDefault="00336FA5">
      <w:pPr>
        <w:spacing w:before="60"/>
        <w:jc w:val="right"/>
        <w:rPr>
          <w:b/>
          <w:szCs w:val="22"/>
        </w:rPr>
      </w:pPr>
      <w:r>
        <w:rPr>
          <w:b/>
          <w:szCs w:val="22"/>
        </w:rPr>
        <w:t xml:space="preserve">October </w:t>
      </w:r>
      <w:r w:rsidR="00F47E86">
        <w:rPr>
          <w:b/>
          <w:szCs w:val="22"/>
        </w:rPr>
        <w:t>30</w:t>
      </w:r>
      <w:r w:rsidR="001E68FC" w:rsidRPr="006A743B">
        <w:rPr>
          <w:b/>
          <w:szCs w:val="22"/>
        </w:rPr>
        <w:t>, 2014</w:t>
      </w:r>
    </w:p>
    <w:p w:rsidR="000F69DF" w:rsidRPr="006A743B" w:rsidRDefault="000F69DF">
      <w:pPr>
        <w:jc w:val="right"/>
        <w:rPr>
          <w:szCs w:val="22"/>
        </w:rPr>
      </w:pPr>
    </w:p>
    <w:p w:rsidR="001E68FC" w:rsidRPr="006A743B" w:rsidRDefault="0074070D" w:rsidP="0074070D">
      <w:pPr>
        <w:spacing w:after="240"/>
        <w:jc w:val="center"/>
        <w:rPr>
          <w:b/>
          <w:szCs w:val="22"/>
        </w:rPr>
      </w:pPr>
      <w:r>
        <w:rPr>
          <w:b/>
          <w:szCs w:val="22"/>
        </w:rPr>
        <w:t xml:space="preserve">FCC </w:t>
      </w:r>
      <w:r w:rsidR="009C6AF1">
        <w:rPr>
          <w:b/>
          <w:szCs w:val="22"/>
        </w:rPr>
        <w:t>CONFIRMS</w:t>
      </w:r>
      <w:r w:rsidR="004B55F9">
        <w:rPr>
          <w:b/>
          <w:szCs w:val="22"/>
        </w:rPr>
        <w:t xml:space="preserve"> </w:t>
      </w:r>
      <w:r w:rsidR="00AA6AEF">
        <w:rPr>
          <w:b/>
          <w:szCs w:val="22"/>
        </w:rPr>
        <w:t>OPT</w:t>
      </w:r>
      <w:r w:rsidR="0059264E">
        <w:rPr>
          <w:b/>
          <w:szCs w:val="22"/>
        </w:rPr>
        <w:t>-</w:t>
      </w:r>
      <w:r w:rsidR="00AA6AEF">
        <w:rPr>
          <w:b/>
          <w:szCs w:val="22"/>
        </w:rPr>
        <w:t>OUT NOTICE REQUIREMENTS APPLICABLE TO ALL FAX ADVERTISEMENTS</w:t>
      </w:r>
      <w:r w:rsidR="00AA6AEF" w:rsidRPr="006A743B" w:rsidDel="00AA6AEF">
        <w:rPr>
          <w:b/>
          <w:szCs w:val="22"/>
        </w:rPr>
        <w:t xml:space="preserve"> </w:t>
      </w:r>
    </w:p>
    <w:p w:rsidR="001E68FC" w:rsidRDefault="001E68FC" w:rsidP="001E68FC">
      <w:pPr>
        <w:jc w:val="center"/>
        <w:rPr>
          <w:b/>
          <w:szCs w:val="22"/>
        </w:rPr>
      </w:pPr>
      <w:r>
        <w:rPr>
          <w:b/>
          <w:szCs w:val="22"/>
        </w:rPr>
        <w:t>CG</w:t>
      </w:r>
      <w:r w:rsidRPr="009007BF">
        <w:rPr>
          <w:b/>
          <w:szCs w:val="22"/>
        </w:rPr>
        <w:t xml:space="preserve"> Docket No. </w:t>
      </w:r>
      <w:r>
        <w:rPr>
          <w:b/>
          <w:szCs w:val="22"/>
        </w:rPr>
        <w:t>02-278</w:t>
      </w:r>
    </w:p>
    <w:p w:rsidR="00737776" w:rsidRPr="0063254D" w:rsidRDefault="001E68FC" w:rsidP="0063254D">
      <w:pPr>
        <w:spacing w:after="240"/>
        <w:jc w:val="center"/>
        <w:rPr>
          <w:b/>
          <w:szCs w:val="22"/>
        </w:rPr>
      </w:pPr>
      <w:r>
        <w:rPr>
          <w:b/>
          <w:szCs w:val="22"/>
        </w:rPr>
        <w:t>CG</w:t>
      </w:r>
      <w:r w:rsidRPr="009007BF">
        <w:rPr>
          <w:b/>
          <w:szCs w:val="22"/>
        </w:rPr>
        <w:t xml:space="preserve"> Docket No. </w:t>
      </w:r>
      <w:r>
        <w:rPr>
          <w:b/>
          <w:szCs w:val="22"/>
        </w:rPr>
        <w:t>05-338</w:t>
      </w:r>
    </w:p>
    <w:p w:rsidR="0082044A" w:rsidRDefault="009E67D5" w:rsidP="000905A2">
      <w:pPr>
        <w:spacing w:after="240"/>
        <w:ind w:firstLine="720"/>
        <w:rPr>
          <w:szCs w:val="22"/>
        </w:rPr>
      </w:pPr>
      <w:r>
        <w:rPr>
          <w:szCs w:val="22"/>
        </w:rPr>
        <w:t>In an Order released today,</w:t>
      </w:r>
      <w:r>
        <w:rPr>
          <w:rStyle w:val="FootnoteReference"/>
          <w:szCs w:val="22"/>
        </w:rPr>
        <w:footnoteReference w:id="1"/>
      </w:r>
      <w:r>
        <w:rPr>
          <w:szCs w:val="22"/>
        </w:rPr>
        <w:t xml:space="preserve"> the Federal Communications Commission (Commission) confirmed that opt-out notices </w:t>
      </w:r>
      <w:r w:rsidR="009A266B">
        <w:rPr>
          <w:szCs w:val="22"/>
        </w:rPr>
        <w:t>are required on</w:t>
      </w:r>
      <w:r>
        <w:rPr>
          <w:szCs w:val="22"/>
        </w:rPr>
        <w:t xml:space="preserve"> </w:t>
      </w:r>
      <w:r w:rsidRPr="00AC585C">
        <w:rPr>
          <w:b/>
          <w:szCs w:val="22"/>
        </w:rPr>
        <w:t xml:space="preserve">all </w:t>
      </w:r>
      <w:r>
        <w:rPr>
          <w:szCs w:val="22"/>
        </w:rPr>
        <w:t>fax ads</w:t>
      </w:r>
      <w:r w:rsidR="009A266B">
        <w:rPr>
          <w:szCs w:val="22"/>
        </w:rPr>
        <w:t>, and such notices</w:t>
      </w:r>
      <w:r>
        <w:rPr>
          <w:szCs w:val="22"/>
        </w:rPr>
        <w:t xml:space="preserve"> must conform to the rules ado</w:t>
      </w:r>
      <w:r w:rsidR="00AC585C">
        <w:rPr>
          <w:szCs w:val="22"/>
        </w:rPr>
        <w:t xml:space="preserve">pted by the Commission in its </w:t>
      </w:r>
      <w:r w:rsidR="00AC585C">
        <w:rPr>
          <w:i/>
          <w:szCs w:val="22"/>
        </w:rPr>
        <w:t xml:space="preserve">2006 </w:t>
      </w:r>
      <w:r w:rsidR="00AC585C" w:rsidRPr="00C35056">
        <w:rPr>
          <w:i/>
          <w:szCs w:val="22"/>
        </w:rPr>
        <w:t>Junk Fax Order</w:t>
      </w:r>
      <w:r w:rsidR="00AC585C">
        <w:rPr>
          <w:szCs w:val="22"/>
        </w:rPr>
        <w:t>.</w:t>
      </w:r>
      <w:r>
        <w:rPr>
          <w:rStyle w:val="FootnoteReference"/>
          <w:szCs w:val="22"/>
        </w:rPr>
        <w:footnoteReference w:id="2"/>
      </w:r>
      <w:r>
        <w:rPr>
          <w:szCs w:val="22"/>
        </w:rPr>
        <w:t xml:space="preserve"> </w:t>
      </w:r>
      <w:r w:rsidR="008A1B27">
        <w:rPr>
          <w:szCs w:val="22"/>
        </w:rPr>
        <w:t xml:space="preserve"> </w:t>
      </w:r>
      <w:r w:rsidR="009A266B">
        <w:rPr>
          <w:szCs w:val="22"/>
        </w:rPr>
        <w:t>T</w:t>
      </w:r>
      <w:r w:rsidR="0082044A">
        <w:rPr>
          <w:szCs w:val="22"/>
        </w:rPr>
        <w:t>he Commission also acted on individual requests</w:t>
      </w:r>
      <w:r w:rsidR="009A266B" w:rsidRPr="009A266B">
        <w:rPr>
          <w:szCs w:val="22"/>
        </w:rPr>
        <w:t xml:space="preserve"> </w:t>
      </w:r>
      <w:r w:rsidR="009A266B">
        <w:rPr>
          <w:szCs w:val="22"/>
        </w:rPr>
        <w:t>for waiver</w:t>
      </w:r>
      <w:r w:rsidR="0082044A">
        <w:rPr>
          <w:szCs w:val="22"/>
        </w:rPr>
        <w:t xml:space="preserve">, granting retroactive </w:t>
      </w:r>
      <w:r w:rsidR="0059264E">
        <w:rPr>
          <w:szCs w:val="22"/>
        </w:rPr>
        <w:t>relief</w:t>
      </w:r>
      <w:r w:rsidR="004B55F9">
        <w:rPr>
          <w:szCs w:val="22"/>
        </w:rPr>
        <w:t xml:space="preserve"> </w:t>
      </w:r>
      <w:r w:rsidR="009A266B">
        <w:rPr>
          <w:szCs w:val="22"/>
        </w:rPr>
        <w:t xml:space="preserve">to parties that were </w:t>
      </w:r>
      <w:r w:rsidR="009A266B" w:rsidRPr="00C447B4">
        <w:rPr>
          <w:szCs w:val="22"/>
        </w:rPr>
        <w:t xml:space="preserve">reasonably uncertain about whether the opt-out notice </w:t>
      </w:r>
      <w:r w:rsidR="009A266B">
        <w:rPr>
          <w:szCs w:val="22"/>
        </w:rPr>
        <w:t xml:space="preserve">requirement </w:t>
      </w:r>
      <w:r w:rsidR="009A266B" w:rsidRPr="00C447B4">
        <w:rPr>
          <w:szCs w:val="22"/>
        </w:rPr>
        <w:t>applied to faxes</w:t>
      </w:r>
      <w:r w:rsidR="00F92CBF">
        <w:rPr>
          <w:szCs w:val="22"/>
        </w:rPr>
        <w:t xml:space="preserve"> sent with the recipient’s prior permission</w:t>
      </w:r>
      <w:r w:rsidR="005E2DDF">
        <w:rPr>
          <w:szCs w:val="22"/>
        </w:rPr>
        <w:t>.</w:t>
      </w:r>
      <w:r w:rsidR="0082044A">
        <w:rPr>
          <w:szCs w:val="22"/>
        </w:rPr>
        <w:t xml:space="preserve"> </w:t>
      </w:r>
      <w:r w:rsidR="005E2DDF">
        <w:rPr>
          <w:szCs w:val="22"/>
        </w:rPr>
        <w:t xml:space="preserve">The Commission </w:t>
      </w:r>
      <w:r w:rsidR="0082044A">
        <w:rPr>
          <w:szCs w:val="22"/>
        </w:rPr>
        <w:t xml:space="preserve">provided a six-month window from </w:t>
      </w:r>
      <w:r w:rsidR="00336FA5">
        <w:rPr>
          <w:szCs w:val="22"/>
        </w:rPr>
        <w:t xml:space="preserve">October </w:t>
      </w:r>
      <w:r w:rsidR="009A5D42">
        <w:rPr>
          <w:szCs w:val="22"/>
        </w:rPr>
        <w:t>30</w:t>
      </w:r>
      <w:r w:rsidR="00336FA5">
        <w:rPr>
          <w:szCs w:val="22"/>
        </w:rPr>
        <w:t xml:space="preserve">, 2014 </w:t>
      </w:r>
      <w:r w:rsidR="0082044A">
        <w:rPr>
          <w:szCs w:val="22"/>
        </w:rPr>
        <w:t xml:space="preserve">for these waiver recipients to come into full compliance.  Finally, the Commission noted that similarly situated parties may seek waiver requests and emphasized that such parties should make every effort to file such requests prior to </w:t>
      </w:r>
      <w:r w:rsidR="00336FA5" w:rsidRPr="00336FA5">
        <w:rPr>
          <w:szCs w:val="22"/>
        </w:rPr>
        <w:t>April 30, 2015</w:t>
      </w:r>
      <w:r w:rsidR="0082044A" w:rsidRPr="00336FA5">
        <w:rPr>
          <w:szCs w:val="22"/>
        </w:rPr>
        <w:t>.</w:t>
      </w:r>
      <w:r w:rsidR="009A266B">
        <w:rPr>
          <w:szCs w:val="22"/>
        </w:rPr>
        <w:t xml:space="preserve">  Absent a waiver, however, full compliance is currently expected, and </w:t>
      </w:r>
      <w:r w:rsidR="00AD1C2B">
        <w:rPr>
          <w:szCs w:val="22"/>
        </w:rPr>
        <w:t xml:space="preserve">any past or future </w:t>
      </w:r>
      <w:r w:rsidR="009A266B">
        <w:rPr>
          <w:szCs w:val="22"/>
        </w:rPr>
        <w:t xml:space="preserve">failure to comply could subject entities to enforcement sanctions, including potential fines and forfeitures, and to private litigation.  </w:t>
      </w:r>
    </w:p>
    <w:p w:rsidR="009E67D5" w:rsidRDefault="009E67D5" w:rsidP="000905A2">
      <w:pPr>
        <w:spacing w:after="240"/>
        <w:ind w:firstLine="720"/>
        <w:rPr>
          <w:szCs w:val="22"/>
        </w:rPr>
      </w:pPr>
      <w:r>
        <w:rPr>
          <w:szCs w:val="22"/>
        </w:rPr>
        <w:t xml:space="preserve">Specifically, </w:t>
      </w:r>
      <w:r w:rsidR="0082044A">
        <w:rPr>
          <w:szCs w:val="22"/>
        </w:rPr>
        <w:t xml:space="preserve">today’s decision eliminates any confusion </w:t>
      </w:r>
      <w:r w:rsidR="00A45DA8">
        <w:rPr>
          <w:szCs w:val="22"/>
        </w:rPr>
        <w:t xml:space="preserve">or erroneous interpretation </w:t>
      </w:r>
      <w:r w:rsidR="0082044A">
        <w:rPr>
          <w:szCs w:val="22"/>
        </w:rPr>
        <w:t xml:space="preserve">regarding the applicability of </w:t>
      </w:r>
      <w:r w:rsidR="000905A2">
        <w:rPr>
          <w:szCs w:val="22"/>
        </w:rPr>
        <w:t>FCC</w:t>
      </w:r>
      <w:r w:rsidR="000914AB">
        <w:rPr>
          <w:szCs w:val="22"/>
        </w:rPr>
        <w:t xml:space="preserve"> rules </w:t>
      </w:r>
      <w:r w:rsidR="0082044A">
        <w:rPr>
          <w:szCs w:val="22"/>
        </w:rPr>
        <w:t xml:space="preserve">to all fax ads.  The FCC’s rules </w:t>
      </w:r>
      <w:r w:rsidR="000914AB">
        <w:rPr>
          <w:szCs w:val="22"/>
        </w:rPr>
        <w:t xml:space="preserve">require that a “facsimile advertisement that is sent to a recipient that has provided prior express invitation or permission to the sender </w:t>
      </w:r>
      <w:r w:rsidR="000914AB">
        <w:rPr>
          <w:b/>
          <w:szCs w:val="22"/>
        </w:rPr>
        <w:t>must</w:t>
      </w:r>
      <w:r w:rsidR="000914AB">
        <w:rPr>
          <w:szCs w:val="22"/>
        </w:rPr>
        <w:t xml:space="preserve"> include an opt-out notice that complies with the requirement</w:t>
      </w:r>
      <w:r w:rsidR="0059264E">
        <w:rPr>
          <w:szCs w:val="22"/>
        </w:rPr>
        <w:t>s</w:t>
      </w:r>
      <w:r w:rsidR="000914AB">
        <w:rPr>
          <w:szCs w:val="22"/>
        </w:rPr>
        <w:t xml:space="preserve"> in [section 64.1200(a)(4)(iii)].”</w:t>
      </w:r>
      <w:r w:rsidR="000914AB">
        <w:rPr>
          <w:rStyle w:val="FootnoteReference"/>
          <w:szCs w:val="22"/>
        </w:rPr>
        <w:footnoteReference w:id="3"/>
      </w:r>
      <w:r w:rsidR="000914AB">
        <w:rPr>
          <w:szCs w:val="22"/>
        </w:rPr>
        <w:t xml:space="preserve">  </w:t>
      </w:r>
      <w:r w:rsidR="000A5158">
        <w:rPr>
          <w:szCs w:val="22"/>
        </w:rPr>
        <w:t>T</w:t>
      </w:r>
      <w:r w:rsidR="00DD28BD">
        <w:rPr>
          <w:szCs w:val="22"/>
        </w:rPr>
        <w:t xml:space="preserve">he </w:t>
      </w:r>
      <w:r w:rsidR="000905A2">
        <w:rPr>
          <w:szCs w:val="22"/>
        </w:rPr>
        <w:t>rules specif</w:t>
      </w:r>
      <w:r w:rsidR="000A5158">
        <w:rPr>
          <w:szCs w:val="22"/>
        </w:rPr>
        <w:t>y</w:t>
      </w:r>
      <w:r w:rsidR="000905A2">
        <w:rPr>
          <w:szCs w:val="22"/>
        </w:rPr>
        <w:t xml:space="preserve"> that the opt-out notice contained in fax ads must:</w:t>
      </w:r>
    </w:p>
    <w:p w:rsidR="009E67D5" w:rsidRDefault="000905A2" w:rsidP="000905A2">
      <w:pPr>
        <w:spacing w:after="240"/>
        <w:ind w:firstLine="720"/>
        <w:rPr>
          <w:szCs w:val="22"/>
        </w:rPr>
      </w:pPr>
      <w:r>
        <w:rPr>
          <w:szCs w:val="22"/>
        </w:rPr>
        <w:t>(1) be clear and conspicuous and on the first page of the ad;</w:t>
      </w:r>
    </w:p>
    <w:p w:rsidR="009E67D5" w:rsidRDefault="000905A2" w:rsidP="000905A2">
      <w:pPr>
        <w:spacing w:after="240"/>
        <w:ind w:firstLine="720"/>
        <w:rPr>
          <w:szCs w:val="22"/>
        </w:rPr>
      </w:pPr>
      <w:r>
        <w:rPr>
          <w:szCs w:val="22"/>
        </w:rPr>
        <w:t xml:space="preserve">(2) state that the recipient may make a request to the sender not to send any future ads and that failure to comply, within 30 days, with such a request is unlawful; </w:t>
      </w:r>
      <w:r w:rsidR="000A5158">
        <w:rPr>
          <w:szCs w:val="22"/>
        </w:rPr>
        <w:t>and</w:t>
      </w:r>
      <w:r w:rsidR="009E67D5">
        <w:rPr>
          <w:szCs w:val="22"/>
        </w:rPr>
        <w:t>,</w:t>
      </w:r>
    </w:p>
    <w:p w:rsidR="000905A2" w:rsidRDefault="000905A2" w:rsidP="000905A2">
      <w:pPr>
        <w:spacing w:after="240"/>
        <w:ind w:firstLine="720"/>
        <w:rPr>
          <w:szCs w:val="22"/>
        </w:rPr>
      </w:pPr>
      <w:r>
        <w:rPr>
          <w:szCs w:val="22"/>
        </w:rPr>
        <w:lastRenderedPageBreak/>
        <w:t>(3) contain a domestic contact telephone number and fax number for the recipient to transmit an opt-out request.</w:t>
      </w:r>
      <w:r>
        <w:rPr>
          <w:rStyle w:val="FootnoteReference"/>
          <w:szCs w:val="22"/>
        </w:rPr>
        <w:footnoteReference w:id="4"/>
      </w:r>
      <w:r>
        <w:rPr>
          <w:szCs w:val="22"/>
        </w:rPr>
        <w:t xml:space="preserve">  </w:t>
      </w:r>
      <w:r w:rsidR="00DD28BD">
        <w:rPr>
          <w:szCs w:val="22"/>
        </w:rPr>
        <w:t>Fax ads sent pursuant to an established business relationship must also contain this opt-out information.</w:t>
      </w:r>
      <w:r w:rsidR="00DD28BD">
        <w:rPr>
          <w:rStyle w:val="FootnoteReference"/>
          <w:szCs w:val="22"/>
        </w:rPr>
        <w:footnoteReference w:id="5"/>
      </w:r>
    </w:p>
    <w:p w:rsidR="000914AB" w:rsidRDefault="00170A71" w:rsidP="005C758B">
      <w:pPr>
        <w:spacing w:after="240"/>
        <w:ind w:firstLine="720"/>
        <w:rPr>
          <w:szCs w:val="22"/>
        </w:rPr>
      </w:pPr>
      <w:r>
        <w:rPr>
          <w:szCs w:val="22"/>
        </w:rPr>
        <w:t>E</w:t>
      </w:r>
      <w:r w:rsidR="000905A2">
        <w:rPr>
          <w:szCs w:val="22"/>
        </w:rPr>
        <w:t xml:space="preserve">ven if the fax sender places an opt-out notice on its fax ad, it will not </w:t>
      </w:r>
      <w:r w:rsidR="00795238">
        <w:rPr>
          <w:szCs w:val="22"/>
        </w:rPr>
        <w:t xml:space="preserve">comply </w:t>
      </w:r>
      <w:r w:rsidR="000905A2">
        <w:rPr>
          <w:szCs w:val="22"/>
        </w:rPr>
        <w:t>with</w:t>
      </w:r>
      <w:r w:rsidR="00C547D1">
        <w:rPr>
          <w:szCs w:val="22"/>
        </w:rPr>
        <w:t xml:space="preserve"> the law</w:t>
      </w:r>
      <w:r w:rsidR="000905A2">
        <w:rPr>
          <w:szCs w:val="22"/>
        </w:rPr>
        <w:t xml:space="preserve"> unless the opt-out notice satisfies each requirement contained in the rule.</w:t>
      </w:r>
    </w:p>
    <w:p w:rsidR="0074070D" w:rsidRDefault="000A5158" w:rsidP="0063254D">
      <w:pPr>
        <w:spacing w:after="240"/>
        <w:ind w:firstLine="720"/>
        <w:rPr>
          <w:szCs w:val="22"/>
        </w:rPr>
      </w:pPr>
      <w:r>
        <w:rPr>
          <w:szCs w:val="22"/>
        </w:rPr>
        <w:t xml:space="preserve">Also </w:t>
      </w:r>
      <w:r w:rsidR="00795238">
        <w:rPr>
          <w:szCs w:val="22"/>
        </w:rPr>
        <w:t>today</w:t>
      </w:r>
      <w:r w:rsidR="0025153A">
        <w:rPr>
          <w:szCs w:val="22"/>
        </w:rPr>
        <w:t xml:space="preserve">, the Commission </w:t>
      </w:r>
      <w:r w:rsidR="00DB6064">
        <w:rPr>
          <w:szCs w:val="22"/>
        </w:rPr>
        <w:t xml:space="preserve">recognized that a number of parties who have sent fax ads with the recipient’s prior express permission may have reasonably been uncertain about whether the requirement for an opt-out notice applied to such </w:t>
      </w:r>
      <w:r w:rsidR="009A266B">
        <w:rPr>
          <w:szCs w:val="22"/>
        </w:rPr>
        <w:t xml:space="preserve">“solicited” </w:t>
      </w:r>
      <w:r w:rsidR="00DB6064">
        <w:rPr>
          <w:szCs w:val="22"/>
        </w:rPr>
        <w:t>faxes</w:t>
      </w:r>
      <w:r w:rsidR="002726F3">
        <w:rPr>
          <w:szCs w:val="22"/>
        </w:rPr>
        <w:t xml:space="preserve">, or erroneously believed that this requirement did not apply to </w:t>
      </w:r>
      <w:r w:rsidR="005F76ED">
        <w:rPr>
          <w:szCs w:val="22"/>
        </w:rPr>
        <w:t xml:space="preserve">such </w:t>
      </w:r>
      <w:r w:rsidR="002726F3">
        <w:rPr>
          <w:szCs w:val="22"/>
        </w:rPr>
        <w:t>faxes</w:t>
      </w:r>
      <w:r w:rsidR="00DB6064">
        <w:rPr>
          <w:szCs w:val="22"/>
        </w:rPr>
        <w:t xml:space="preserve">.  As such, the Commission granted retroactive waivers of this requirement to these fax senders to provide them with temporary relief from any past obligation to provide opt-out notices to fax recipients as required by </w:t>
      </w:r>
      <w:r w:rsidR="00D654BD">
        <w:rPr>
          <w:szCs w:val="22"/>
        </w:rPr>
        <w:t xml:space="preserve">FCC </w:t>
      </w:r>
      <w:r w:rsidR="00DB6064">
        <w:rPr>
          <w:szCs w:val="22"/>
        </w:rPr>
        <w:t>rules.</w:t>
      </w:r>
      <w:r w:rsidR="00DB6064">
        <w:rPr>
          <w:rStyle w:val="FootnoteReference"/>
          <w:szCs w:val="22"/>
        </w:rPr>
        <w:footnoteReference w:id="6"/>
      </w:r>
      <w:r w:rsidR="00DB6064">
        <w:rPr>
          <w:szCs w:val="22"/>
        </w:rPr>
        <w:t xml:space="preserve">  At the same time, the Commission </w:t>
      </w:r>
      <w:r w:rsidR="0025153A">
        <w:rPr>
          <w:szCs w:val="22"/>
        </w:rPr>
        <w:t xml:space="preserve">denied several requests for declaratory ruling </w:t>
      </w:r>
      <w:r w:rsidR="00D654BD">
        <w:rPr>
          <w:szCs w:val="22"/>
        </w:rPr>
        <w:t xml:space="preserve">that </w:t>
      </w:r>
      <w:r w:rsidR="0025153A">
        <w:rPr>
          <w:szCs w:val="22"/>
        </w:rPr>
        <w:t>sought a ruling that the Commission lacked the statutory</w:t>
      </w:r>
      <w:r w:rsidR="00635E9D">
        <w:rPr>
          <w:szCs w:val="22"/>
        </w:rPr>
        <w:t xml:space="preserve"> authority</w:t>
      </w:r>
      <w:r w:rsidR="0025153A">
        <w:rPr>
          <w:szCs w:val="22"/>
        </w:rPr>
        <w:t xml:space="preserve"> to require opt-out information on fax ads sent with a con</w:t>
      </w:r>
      <w:r w:rsidR="00D654BD">
        <w:rPr>
          <w:szCs w:val="22"/>
        </w:rPr>
        <w:t>sumer’s prior express permission</w:t>
      </w:r>
      <w:r w:rsidR="00AE66A9">
        <w:rPr>
          <w:szCs w:val="22"/>
        </w:rPr>
        <w:t xml:space="preserve"> </w:t>
      </w:r>
      <w:r w:rsidR="00AE66A9" w:rsidRPr="00C35056">
        <w:rPr>
          <w:szCs w:val="22"/>
        </w:rPr>
        <w:t>or, alternatively, that section 227</w:t>
      </w:r>
      <w:r w:rsidR="00AE66A9">
        <w:rPr>
          <w:szCs w:val="22"/>
        </w:rPr>
        <w:t>(b)</w:t>
      </w:r>
      <w:r w:rsidR="00AE66A9" w:rsidRPr="00C35056">
        <w:rPr>
          <w:szCs w:val="22"/>
        </w:rPr>
        <w:t xml:space="preserve"> of the Communications Act of 1934, as amended (the Act), was not the stat</w:t>
      </w:r>
      <w:r w:rsidR="00AE66A9">
        <w:rPr>
          <w:szCs w:val="22"/>
        </w:rPr>
        <w:t>utory basis of that requirement</w:t>
      </w:r>
      <w:r w:rsidR="00D654BD">
        <w:rPr>
          <w:szCs w:val="22"/>
        </w:rPr>
        <w:t>.</w:t>
      </w:r>
      <w:r w:rsidR="00D654BD">
        <w:rPr>
          <w:rStyle w:val="FootnoteReference"/>
          <w:szCs w:val="22"/>
        </w:rPr>
        <w:footnoteReference w:id="7"/>
      </w:r>
      <w:r w:rsidR="00D654BD">
        <w:rPr>
          <w:szCs w:val="22"/>
        </w:rPr>
        <w:t xml:space="preserve">  The Commission also </w:t>
      </w:r>
      <w:r w:rsidR="002A598A">
        <w:rPr>
          <w:szCs w:val="22"/>
        </w:rPr>
        <w:t>confirmed that such faxes must include a fully compliant opt-out notice</w:t>
      </w:r>
      <w:r w:rsidR="0025153A">
        <w:rPr>
          <w:szCs w:val="22"/>
        </w:rPr>
        <w:t>.</w:t>
      </w:r>
      <w:r w:rsidR="0025153A">
        <w:rPr>
          <w:rStyle w:val="FootnoteReference"/>
          <w:szCs w:val="22"/>
        </w:rPr>
        <w:footnoteReference w:id="8"/>
      </w:r>
    </w:p>
    <w:p w:rsidR="00E82779" w:rsidRDefault="00E82779" w:rsidP="00E82779">
      <w:pPr>
        <w:spacing w:after="240"/>
        <w:rPr>
          <w:szCs w:val="22"/>
        </w:rPr>
      </w:pPr>
      <w:r>
        <w:rPr>
          <w:szCs w:val="22"/>
        </w:rPr>
        <w:tab/>
        <w:t xml:space="preserve">The Commission has provided a six-month window </w:t>
      </w:r>
      <w:r w:rsidR="002A614A">
        <w:rPr>
          <w:szCs w:val="22"/>
        </w:rPr>
        <w:t xml:space="preserve">from </w:t>
      </w:r>
      <w:r w:rsidR="00336FA5" w:rsidRPr="00336FA5">
        <w:rPr>
          <w:szCs w:val="22"/>
        </w:rPr>
        <w:t xml:space="preserve">October </w:t>
      </w:r>
      <w:r w:rsidR="009A5D42">
        <w:rPr>
          <w:szCs w:val="22"/>
        </w:rPr>
        <w:t>30</w:t>
      </w:r>
      <w:r w:rsidR="00336FA5" w:rsidRPr="00336FA5">
        <w:rPr>
          <w:szCs w:val="22"/>
        </w:rPr>
        <w:t>, 2014</w:t>
      </w:r>
      <w:r>
        <w:rPr>
          <w:szCs w:val="22"/>
        </w:rPr>
        <w:t xml:space="preserve"> </w:t>
      </w:r>
      <w:r w:rsidR="00BB4315">
        <w:rPr>
          <w:szCs w:val="22"/>
        </w:rPr>
        <w:t>for these waiver</w:t>
      </w:r>
      <w:r>
        <w:rPr>
          <w:szCs w:val="22"/>
        </w:rPr>
        <w:t xml:space="preserve"> recipients to come into</w:t>
      </w:r>
      <w:r w:rsidR="003404CB">
        <w:rPr>
          <w:szCs w:val="22"/>
        </w:rPr>
        <w:t xml:space="preserve"> full </w:t>
      </w:r>
      <w:r>
        <w:rPr>
          <w:szCs w:val="22"/>
        </w:rPr>
        <w:t xml:space="preserve">compliance with the opt-out </w:t>
      </w:r>
      <w:r w:rsidR="003110B2">
        <w:rPr>
          <w:szCs w:val="22"/>
        </w:rPr>
        <w:t xml:space="preserve">notice </w:t>
      </w:r>
      <w:r>
        <w:rPr>
          <w:szCs w:val="22"/>
        </w:rPr>
        <w:t xml:space="preserve">requirement.  After this </w:t>
      </w:r>
      <w:r w:rsidR="002A598A">
        <w:rPr>
          <w:szCs w:val="22"/>
        </w:rPr>
        <w:t xml:space="preserve">date, </w:t>
      </w:r>
      <w:r>
        <w:rPr>
          <w:szCs w:val="22"/>
        </w:rPr>
        <w:t xml:space="preserve">all waiver recipients must include the opt-out notice in the precise manner required by </w:t>
      </w:r>
      <w:r w:rsidR="00766F68">
        <w:rPr>
          <w:szCs w:val="22"/>
        </w:rPr>
        <w:t xml:space="preserve">FCC </w:t>
      </w:r>
      <w:r>
        <w:rPr>
          <w:szCs w:val="22"/>
        </w:rPr>
        <w:t>rules.</w:t>
      </w:r>
      <w:r w:rsidR="004321CA">
        <w:rPr>
          <w:rStyle w:val="FootnoteReference"/>
          <w:szCs w:val="22"/>
        </w:rPr>
        <w:footnoteReference w:id="9"/>
      </w:r>
      <w:r>
        <w:rPr>
          <w:szCs w:val="22"/>
        </w:rPr>
        <w:t xml:space="preserve">  </w:t>
      </w:r>
      <w:r w:rsidR="00740E6F">
        <w:rPr>
          <w:szCs w:val="22"/>
        </w:rPr>
        <w:t>As noted, t</w:t>
      </w:r>
      <w:r w:rsidR="00E45FD6">
        <w:rPr>
          <w:szCs w:val="22"/>
        </w:rPr>
        <w:t>his</w:t>
      </w:r>
      <w:r w:rsidR="00740E6F">
        <w:rPr>
          <w:szCs w:val="22"/>
        </w:rPr>
        <w:t xml:space="preserve"> waiver applies only to the individual petitioners listed in the </w:t>
      </w:r>
      <w:r w:rsidR="00740E6F" w:rsidRPr="000662DE">
        <w:rPr>
          <w:i/>
          <w:szCs w:val="22"/>
        </w:rPr>
        <w:t>Fax Order</w:t>
      </w:r>
      <w:r w:rsidR="00740E6F">
        <w:rPr>
          <w:szCs w:val="22"/>
        </w:rPr>
        <w:t xml:space="preserve">.  </w:t>
      </w:r>
      <w:r>
        <w:rPr>
          <w:szCs w:val="22"/>
        </w:rPr>
        <w:t>Other, similarly situated p</w:t>
      </w:r>
      <w:r w:rsidR="00BB4315">
        <w:rPr>
          <w:szCs w:val="22"/>
        </w:rPr>
        <w:t>arties may also seek waivers</w:t>
      </w:r>
      <w:r>
        <w:rPr>
          <w:szCs w:val="22"/>
        </w:rPr>
        <w:t xml:space="preserve">. </w:t>
      </w:r>
      <w:r w:rsidR="00345882">
        <w:rPr>
          <w:szCs w:val="22"/>
        </w:rPr>
        <w:t xml:space="preserve"> </w:t>
      </w:r>
      <w:r w:rsidR="000A5158">
        <w:rPr>
          <w:szCs w:val="22"/>
        </w:rPr>
        <w:t xml:space="preserve">The Commission </w:t>
      </w:r>
      <w:r w:rsidR="00345882">
        <w:rPr>
          <w:szCs w:val="22"/>
        </w:rPr>
        <w:t>emphasize</w:t>
      </w:r>
      <w:r w:rsidR="000A5158">
        <w:rPr>
          <w:szCs w:val="22"/>
        </w:rPr>
        <w:t>d</w:t>
      </w:r>
      <w:r w:rsidR="00345882">
        <w:rPr>
          <w:szCs w:val="22"/>
        </w:rPr>
        <w:t xml:space="preserve"> that</w:t>
      </w:r>
      <w:r>
        <w:rPr>
          <w:szCs w:val="22"/>
        </w:rPr>
        <w:t xml:space="preserve"> in light of </w:t>
      </w:r>
      <w:r w:rsidR="000A5158">
        <w:rPr>
          <w:szCs w:val="22"/>
        </w:rPr>
        <w:t xml:space="preserve">its </w:t>
      </w:r>
      <w:r>
        <w:rPr>
          <w:szCs w:val="22"/>
        </w:rPr>
        <w:t>confirmation that a fax ad sent with the recipient’s prior ex</w:t>
      </w:r>
      <w:r w:rsidR="00635E9D">
        <w:rPr>
          <w:szCs w:val="22"/>
        </w:rPr>
        <w:t>press permission must include a fully compliant</w:t>
      </w:r>
      <w:r>
        <w:rPr>
          <w:szCs w:val="22"/>
        </w:rPr>
        <w:t xml:space="preserve"> opt-out notice, we expect these parties to make every effort to file such requests prior to</w:t>
      </w:r>
      <w:r w:rsidR="00D33219">
        <w:rPr>
          <w:szCs w:val="22"/>
        </w:rPr>
        <w:t xml:space="preserve"> </w:t>
      </w:r>
      <w:r w:rsidR="00336FA5" w:rsidRPr="00336FA5">
        <w:rPr>
          <w:szCs w:val="22"/>
        </w:rPr>
        <w:t>April 30, 2015</w:t>
      </w:r>
      <w:r>
        <w:rPr>
          <w:szCs w:val="22"/>
        </w:rPr>
        <w:t>.</w:t>
      </w:r>
      <w:r w:rsidR="004321CA">
        <w:rPr>
          <w:szCs w:val="22"/>
        </w:rPr>
        <w:t xml:space="preserve">  </w:t>
      </w:r>
      <w:r w:rsidR="000A5158">
        <w:rPr>
          <w:szCs w:val="22"/>
        </w:rPr>
        <w:t>The Commission stated that a</w:t>
      </w:r>
      <w:r w:rsidR="004321CA">
        <w:rPr>
          <w:szCs w:val="22"/>
        </w:rPr>
        <w:t>ll future waiver request</w:t>
      </w:r>
      <w:r w:rsidR="00BB4315">
        <w:rPr>
          <w:szCs w:val="22"/>
        </w:rPr>
        <w:t>s</w:t>
      </w:r>
      <w:r w:rsidR="004321CA">
        <w:rPr>
          <w:szCs w:val="22"/>
        </w:rPr>
        <w:t xml:space="preserve"> will be adjudicated on a case-by-case basis.</w:t>
      </w:r>
    </w:p>
    <w:p w:rsidR="00D71F24" w:rsidRDefault="00D71F24" w:rsidP="00740E6F">
      <w:pPr>
        <w:spacing w:after="240"/>
        <w:rPr>
          <w:szCs w:val="22"/>
        </w:rPr>
      </w:pPr>
      <w:r>
        <w:rPr>
          <w:szCs w:val="22"/>
        </w:rPr>
        <w:t xml:space="preserve">Additional information can be found at:  </w:t>
      </w:r>
      <w:hyperlink r:id="rId14" w:history="1">
        <w:r w:rsidRPr="002B03DC">
          <w:rPr>
            <w:rStyle w:val="Hyperlink"/>
            <w:szCs w:val="22"/>
          </w:rPr>
          <w:t>http://www.fcc.gov/guides/fax-advertising</w:t>
        </w:r>
      </w:hyperlink>
      <w:r>
        <w:rPr>
          <w:szCs w:val="22"/>
        </w:rPr>
        <w:t>.</w:t>
      </w:r>
    </w:p>
    <w:p w:rsidR="001E68FC" w:rsidRPr="001E68FC" w:rsidRDefault="001E68FC" w:rsidP="001E68FC">
      <w:pPr>
        <w:rPr>
          <w:szCs w:val="22"/>
        </w:rPr>
      </w:pPr>
      <w:r w:rsidRPr="001E68FC">
        <w:rPr>
          <w:b/>
          <w:szCs w:val="22"/>
        </w:rPr>
        <w:lastRenderedPageBreak/>
        <w:t>FOR FURTHER INFORMATION CONTACT:</w:t>
      </w:r>
      <w:r w:rsidRPr="001E68FC">
        <w:rPr>
          <w:szCs w:val="22"/>
        </w:rPr>
        <w:t xml:space="preserve">  Richard D. Smith, Consumer and Governmental Affairs Bureau, Federal Communications Commission, (717) 338-2797</w:t>
      </w:r>
      <w:r w:rsidR="006D0730">
        <w:rPr>
          <w:szCs w:val="22"/>
        </w:rPr>
        <w:t>;</w:t>
      </w:r>
      <w:r w:rsidRPr="001E68FC">
        <w:rPr>
          <w:szCs w:val="22"/>
        </w:rPr>
        <w:t xml:space="preserve"> or Richard.Smith@fcc.gov.</w:t>
      </w:r>
    </w:p>
    <w:p w:rsidR="001E68FC" w:rsidRPr="001E68FC" w:rsidRDefault="001E68FC" w:rsidP="001E68FC">
      <w:pPr>
        <w:rPr>
          <w:szCs w:val="22"/>
        </w:rPr>
      </w:pPr>
    </w:p>
    <w:p w:rsidR="001E68FC" w:rsidRPr="001E68FC" w:rsidRDefault="001E68FC" w:rsidP="001E68FC">
      <w:pPr>
        <w:jc w:val="center"/>
        <w:rPr>
          <w:b/>
          <w:sz w:val="24"/>
          <w:szCs w:val="24"/>
        </w:rPr>
      </w:pPr>
      <w:r w:rsidRPr="001E68FC">
        <w:rPr>
          <w:b/>
          <w:sz w:val="24"/>
          <w:szCs w:val="24"/>
        </w:rPr>
        <w:t>-FCC-</w:t>
      </w:r>
    </w:p>
    <w:p w:rsidR="006878EA" w:rsidRDefault="006878EA">
      <w:pPr>
        <w:spacing w:before="120" w:after="240"/>
        <w:rPr>
          <w:sz w:val="24"/>
        </w:rPr>
      </w:pPr>
    </w:p>
    <w:sectPr w:rsidR="006878EA">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F10" w:rsidRDefault="00504F10">
      <w:r>
        <w:separator/>
      </w:r>
    </w:p>
  </w:endnote>
  <w:endnote w:type="continuationSeparator" w:id="0">
    <w:p w:rsidR="00504F10" w:rsidRDefault="0050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E" w:rsidRDefault="00406D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E" w:rsidRDefault="00406D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E" w:rsidRDefault="00406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F10" w:rsidRDefault="00504F10">
      <w:r>
        <w:separator/>
      </w:r>
    </w:p>
  </w:footnote>
  <w:footnote w:type="continuationSeparator" w:id="0">
    <w:p w:rsidR="00504F10" w:rsidRDefault="00504F10">
      <w:r>
        <w:continuationSeparator/>
      </w:r>
    </w:p>
  </w:footnote>
  <w:footnote w:id="1">
    <w:p w:rsidR="009E67D5" w:rsidRPr="00B4114F" w:rsidRDefault="009E67D5" w:rsidP="009E67D5">
      <w:pPr>
        <w:pStyle w:val="FootnoteText"/>
        <w:rPr>
          <w:sz w:val="20"/>
        </w:rPr>
      </w:pPr>
      <w:r w:rsidRPr="00B4114F">
        <w:rPr>
          <w:rStyle w:val="FootnoteReference"/>
          <w:sz w:val="20"/>
        </w:rPr>
        <w:footnoteRef/>
      </w:r>
      <w:r w:rsidRPr="00B4114F">
        <w:rPr>
          <w:sz w:val="20"/>
        </w:rPr>
        <w:t xml:space="preserve"> </w:t>
      </w:r>
      <w:r w:rsidRPr="00B4114F">
        <w:rPr>
          <w:i/>
          <w:sz w:val="20"/>
        </w:rPr>
        <w:t>See Rules and Regulations Implementing the Telephone Consumer Protection Act of 1991; Junk Fax Prevention Act of 2005; Application for Review filed by Anda, Inc.; Petitions for Declaratory Ruling, Waiver, and/or Rulemaking Regarding the Commission’s Opt-Out Requirement for Faxes Sent with the Recipient’s Prior Express Permission</w:t>
      </w:r>
      <w:r w:rsidRPr="00B4114F">
        <w:rPr>
          <w:sz w:val="20"/>
        </w:rPr>
        <w:t xml:space="preserve">, CG Docket Nos. 02-278, 05-338, Order, </w:t>
      </w:r>
      <w:r w:rsidR="00336FA5">
        <w:rPr>
          <w:sz w:val="20"/>
        </w:rPr>
        <w:t>FCC</w:t>
      </w:r>
      <w:r w:rsidRPr="00B4114F">
        <w:rPr>
          <w:sz w:val="20"/>
        </w:rPr>
        <w:t xml:space="preserve"> 14-</w:t>
      </w:r>
      <w:r w:rsidR="00336FA5">
        <w:rPr>
          <w:sz w:val="20"/>
        </w:rPr>
        <w:t>164</w:t>
      </w:r>
      <w:r w:rsidRPr="00B4114F">
        <w:rPr>
          <w:sz w:val="20"/>
        </w:rPr>
        <w:t xml:space="preserve"> (rel </w:t>
      </w:r>
      <w:r w:rsidR="00336FA5">
        <w:rPr>
          <w:sz w:val="20"/>
        </w:rPr>
        <w:t xml:space="preserve">October </w:t>
      </w:r>
      <w:r w:rsidR="009A5D42">
        <w:rPr>
          <w:sz w:val="20"/>
        </w:rPr>
        <w:t>30</w:t>
      </w:r>
      <w:r w:rsidR="00336FA5">
        <w:rPr>
          <w:sz w:val="20"/>
        </w:rPr>
        <w:t>,</w:t>
      </w:r>
      <w:r w:rsidRPr="00B4114F">
        <w:rPr>
          <w:sz w:val="20"/>
        </w:rPr>
        <w:t xml:space="preserve"> 2014)</w:t>
      </w:r>
      <w:r>
        <w:rPr>
          <w:sz w:val="20"/>
        </w:rPr>
        <w:t xml:space="preserve"> (</w:t>
      </w:r>
      <w:r w:rsidRPr="000662DE">
        <w:rPr>
          <w:i/>
          <w:sz w:val="20"/>
        </w:rPr>
        <w:t>Fax Order</w:t>
      </w:r>
      <w:r>
        <w:rPr>
          <w:sz w:val="20"/>
        </w:rPr>
        <w:t>)</w:t>
      </w:r>
      <w:r w:rsidRPr="00B4114F">
        <w:rPr>
          <w:sz w:val="20"/>
        </w:rPr>
        <w:t>.</w:t>
      </w:r>
    </w:p>
  </w:footnote>
  <w:footnote w:id="2">
    <w:p w:rsidR="009E67D5" w:rsidRPr="002A598A" w:rsidRDefault="009E67D5" w:rsidP="009E67D5">
      <w:pPr>
        <w:pStyle w:val="FootnoteText"/>
        <w:rPr>
          <w:sz w:val="20"/>
        </w:rPr>
      </w:pPr>
      <w:r w:rsidRPr="002A598A">
        <w:rPr>
          <w:rStyle w:val="FootnoteReference"/>
          <w:sz w:val="20"/>
        </w:rPr>
        <w:footnoteRef/>
      </w:r>
      <w:r w:rsidRPr="002A598A">
        <w:rPr>
          <w:sz w:val="20"/>
        </w:rPr>
        <w:t xml:space="preserve"> </w:t>
      </w:r>
      <w:r w:rsidRPr="002A598A">
        <w:rPr>
          <w:i/>
          <w:sz w:val="20"/>
        </w:rPr>
        <w:t>See</w:t>
      </w:r>
      <w:r>
        <w:rPr>
          <w:i/>
          <w:sz w:val="20"/>
        </w:rPr>
        <w:t>, e.g.,</w:t>
      </w:r>
      <w:r w:rsidRPr="002A598A">
        <w:rPr>
          <w:sz w:val="20"/>
        </w:rPr>
        <w:t xml:space="preserve"> </w:t>
      </w:r>
      <w:r>
        <w:rPr>
          <w:i/>
          <w:sz w:val="20"/>
        </w:rPr>
        <w:t>id.</w:t>
      </w:r>
      <w:r w:rsidRPr="002A598A">
        <w:rPr>
          <w:sz w:val="20"/>
        </w:rPr>
        <w:t xml:space="preserve"> at para. 33 (rejecting an argument that a fax ad sent with an opt-out notice to a recipient that has provided prior permission does not violate the regulation if contains some, but not all of the information required under the rule).  </w:t>
      </w:r>
    </w:p>
  </w:footnote>
  <w:footnote w:id="3">
    <w:p w:rsidR="000914AB" w:rsidRPr="002A598A" w:rsidRDefault="000914AB" w:rsidP="000914AB">
      <w:pPr>
        <w:pStyle w:val="FootnoteText"/>
        <w:rPr>
          <w:sz w:val="20"/>
        </w:rPr>
      </w:pPr>
      <w:r w:rsidRPr="002A598A">
        <w:rPr>
          <w:rStyle w:val="FootnoteReference"/>
          <w:sz w:val="20"/>
        </w:rPr>
        <w:footnoteRef/>
      </w:r>
      <w:r w:rsidRPr="002A598A">
        <w:rPr>
          <w:sz w:val="20"/>
        </w:rPr>
        <w:t xml:space="preserve"> </w:t>
      </w:r>
      <w:r w:rsidRPr="00B4114F">
        <w:rPr>
          <w:i/>
          <w:sz w:val="20"/>
        </w:rPr>
        <w:t>See</w:t>
      </w:r>
      <w:r w:rsidR="00DD28BD">
        <w:rPr>
          <w:sz w:val="20"/>
        </w:rPr>
        <w:t xml:space="preserve"> </w:t>
      </w:r>
      <w:r w:rsidR="003B1FB9" w:rsidRPr="00B4114F">
        <w:rPr>
          <w:sz w:val="20"/>
        </w:rPr>
        <w:t xml:space="preserve">47 C.F.R. </w:t>
      </w:r>
      <w:r w:rsidRPr="00B4114F">
        <w:rPr>
          <w:sz w:val="20"/>
        </w:rPr>
        <w:t>§ 64.1200(a)(</w:t>
      </w:r>
      <w:r>
        <w:rPr>
          <w:sz w:val="20"/>
        </w:rPr>
        <w:t>4)(iv</w:t>
      </w:r>
      <w:r w:rsidRPr="00B4114F">
        <w:rPr>
          <w:sz w:val="20"/>
        </w:rPr>
        <w:t>)</w:t>
      </w:r>
      <w:r>
        <w:rPr>
          <w:sz w:val="20"/>
        </w:rPr>
        <w:t xml:space="preserve"> (emphasis added)</w:t>
      </w:r>
      <w:r w:rsidRPr="00B4114F">
        <w:rPr>
          <w:sz w:val="20"/>
        </w:rPr>
        <w:t xml:space="preserve">.  </w:t>
      </w:r>
    </w:p>
  </w:footnote>
  <w:footnote w:id="4">
    <w:p w:rsidR="000905A2" w:rsidRPr="002A598A" w:rsidRDefault="000905A2" w:rsidP="000905A2">
      <w:pPr>
        <w:pStyle w:val="FootnoteText"/>
        <w:rPr>
          <w:sz w:val="20"/>
        </w:rPr>
      </w:pPr>
      <w:r w:rsidRPr="002A598A">
        <w:rPr>
          <w:rStyle w:val="FootnoteReference"/>
          <w:sz w:val="20"/>
        </w:rPr>
        <w:footnoteRef/>
      </w:r>
      <w:r w:rsidRPr="002A598A">
        <w:rPr>
          <w:sz w:val="20"/>
        </w:rPr>
        <w:t xml:space="preserve"> </w:t>
      </w:r>
      <w:r w:rsidRPr="002A598A">
        <w:rPr>
          <w:i/>
          <w:sz w:val="20"/>
        </w:rPr>
        <w:t>See</w:t>
      </w:r>
      <w:r w:rsidR="00DD28BD">
        <w:rPr>
          <w:sz w:val="20"/>
        </w:rPr>
        <w:t xml:space="preserve"> </w:t>
      </w:r>
      <w:r w:rsidR="00DD28BD">
        <w:rPr>
          <w:i/>
          <w:sz w:val="20"/>
        </w:rPr>
        <w:t>id.</w:t>
      </w:r>
      <w:r w:rsidR="00DD28BD">
        <w:rPr>
          <w:sz w:val="20"/>
        </w:rPr>
        <w:t xml:space="preserve"> </w:t>
      </w:r>
      <w:r w:rsidRPr="002A598A">
        <w:rPr>
          <w:sz w:val="20"/>
        </w:rPr>
        <w:t xml:space="preserve">§ 64.1200(a)(4)(iii).  If neither the required telephone number nor fax number is a toll-free number, a separate cost-free mechanism including a Web site address or email address, </w:t>
      </w:r>
      <w:r>
        <w:rPr>
          <w:sz w:val="20"/>
        </w:rPr>
        <w:t xml:space="preserve">must be provided </w:t>
      </w:r>
      <w:r w:rsidRPr="002A598A">
        <w:rPr>
          <w:sz w:val="20"/>
        </w:rPr>
        <w:t>for a recipient to transmit a request to opt-out of future faxes. The telephone and fax number and cost-free mechanism identified in the notice must permit an individual or business to make an opt-out request 24 hours a day, seven days a week.</w:t>
      </w:r>
      <w:r w:rsidR="006F1E07">
        <w:rPr>
          <w:sz w:val="20"/>
        </w:rPr>
        <w:t xml:space="preserve">  </w:t>
      </w:r>
      <w:r w:rsidR="006F1E07" w:rsidRPr="006F1E07">
        <w:rPr>
          <w:sz w:val="20"/>
        </w:rPr>
        <w:t>Section § 64.1200(a)(3)(iii)</w:t>
      </w:r>
      <w:r w:rsidR="006F1E07">
        <w:rPr>
          <w:sz w:val="20"/>
        </w:rPr>
        <w:t>.</w:t>
      </w:r>
    </w:p>
  </w:footnote>
  <w:footnote w:id="5">
    <w:p w:rsidR="00DD28BD" w:rsidRPr="0063254D" w:rsidRDefault="00DD28BD">
      <w:pPr>
        <w:pStyle w:val="FootnoteText"/>
        <w:rPr>
          <w:i/>
        </w:rPr>
      </w:pPr>
      <w:r>
        <w:rPr>
          <w:rStyle w:val="FootnoteReference"/>
        </w:rPr>
        <w:footnoteRef/>
      </w:r>
      <w:r>
        <w:t xml:space="preserve"> </w:t>
      </w:r>
      <w:r w:rsidRPr="0063254D">
        <w:rPr>
          <w:i/>
          <w:sz w:val="20"/>
        </w:rPr>
        <w:t>Id.</w:t>
      </w:r>
      <w:r w:rsidRPr="0063254D">
        <w:rPr>
          <w:sz w:val="20"/>
        </w:rPr>
        <w:t xml:space="preserve"> </w:t>
      </w:r>
      <w:r w:rsidRPr="002A598A">
        <w:rPr>
          <w:sz w:val="20"/>
        </w:rPr>
        <w:t>§ 64.1200(a)(4)</w:t>
      </w:r>
      <w:r>
        <w:rPr>
          <w:sz w:val="20"/>
        </w:rPr>
        <w:t>(i)-</w:t>
      </w:r>
      <w:r w:rsidRPr="002A598A">
        <w:rPr>
          <w:sz w:val="20"/>
        </w:rPr>
        <w:t>(iii).</w:t>
      </w:r>
      <w:r>
        <w:rPr>
          <w:sz w:val="20"/>
        </w:rPr>
        <w:t xml:space="preserve">  Fax ads </w:t>
      </w:r>
      <w:r w:rsidR="00026819">
        <w:rPr>
          <w:sz w:val="20"/>
        </w:rPr>
        <w:t xml:space="preserve">that are unsolicited – i.e., </w:t>
      </w:r>
      <w:r>
        <w:rPr>
          <w:sz w:val="20"/>
        </w:rPr>
        <w:t xml:space="preserve">sent </w:t>
      </w:r>
      <w:r w:rsidR="00026819">
        <w:rPr>
          <w:sz w:val="20"/>
        </w:rPr>
        <w:t xml:space="preserve">without </w:t>
      </w:r>
      <w:r w:rsidR="003B1FB9">
        <w:rPr>
          <w:sz w:val="20"/>
        </w:rPr>
        <w:t xml:space="preserve">the recipient’s </w:t>
      </w:r>
      <w:r>
        <w:rPr>
          <w:sz w:val="20"/>
        </w:rPr>
        <w:t xml:space="preserve">consent or an established business relationship </w:t>
      </w:r>
      <w:r w:rsidR="003B1FB9">
        <w:rPr>
          <w:sz w:val="20"/>
        </w:rPr>
        <w:t xml:space="preserve">with the recipient </w:t>
      </w:r>
      <w:r w:rsidR="00026819">
        <w:rPr>
          <w:sz w:val="20"/>
        </w:rPr>
        <w:t xml:space="preserve">– </w:t>
      </w:r>
      <w:r>
        <w:rPr>
          <w:sz w:val="20"/>
        </w:rPr>
        <w:t xml:space="preserve">are unlawful.  </w:t>
      </w:r>
      <w:r>
        <w:rPr>
          <w:i/>
          <w:sz w:val="20"/>
        </w:rPr>
        <w:t xml:space="preserve">See id. </w:t>
      </w:r>
      <w:r w:rsidRPr="002A598A">
        <w:rPr>
          <w:sz w:val="20"/>
        </w:rPr>
        <w:t xml:space="preserve">§ </w:t>
      </w:r>
      <w:r>
        <w:rPr>
          <w:sz w:val="20"/>
        </w:rPr>
        <w:t>64.1200(a)(4)</w:t>
      </w:r>
      <w:r w:rsidRPr="002A598A">
        <w:rPr>
          <w:sz w:val="20"/>
        </w:rPr>
        <w:t>.</w:t>
      </w:r>
    </w:p>
  </w:footnote>
  <w:footnote w:id="6">
    <w:p w:rsidR="00DB6064" w:rsidRPr="00B4114F" w:rsidRDefault="00DB6064" w:rsidP="00DB6064">
      <w:pPr>
        <w:pStyle w:val="FootnoteText"/>
        <w:rPr>
          <w:sz w:val="20"/>
        </w:rPr>
      </w:pPr>
      <w:r w:rsidRPr="00B4114F">
        <w:rPr>
          <w:rStyle w:val="FootnoteReference"/>
          <w:sz w:val="20"/>
        </w:rPr>
        <w:footnoteRef/>
      </w:r>
      <w:r>
        <w:rPr>
          <w:sz w:val="20"/>
        </w:rPr>
        <w:t xml:space="preserve"> </w:t>
      </w:r>
      <w:r w:rsidRPr="00B4114F">
        <w:rPr>
          <w:sz w:val="20"/>
        </w:rPr>
        <w:t xml:space="preserve">This waiver does not extend to a similar requirement to include opt-out notices on fax ads sent pursuant to an established business relationship, as there is no confusion regarding the applicability of this requirement to such faxes.  </w:t>
      </w:r>
      <w:r w:rsidRPr="00B4114F">
        <w:rPr>
          <w:i/>
          <w:sz w:val="20"/>
        </w:rPr>
        <w:t>See</w:t>
      </w:r>
      <w:r w:rsidRPr="00B4114F">
        <w:rPr>
          <w:sz w:val="20"/>
        </w:rPr>
        <w:t xml:space="preserve"> 47 C.F.R. § 64.1200(a)(4)(iii).  Nor does this waiver affect the prohibition against sending unsolicited fax ads.</w:t>
      </w:r>
      <w:r w:rsidRPr="00B4114F">
        <w:rPr>
          <w:i/>
          <w:sz w:val="20"/>
        </w:rPr>
        <w:t xml:space="preserve">  See</w:t>
      </w:r>
      <w:r>
        <w:rPr>
          <w:sz w:val="20"/>
        </w:rPr>
        <w:t xml:space="preserve"> </w:t>
      </w:r>
      <w:r>
        <w:rPr>
          <w:i/>
          <w:sz w:val="20"/>
        </w:rPr>
        <w:t>id.</w:t>
      </w:r>
      <w:r w:rsidRPr="00B4114F">
        <w:rPr>
          <w:sz w:val="20"/>
        </w:rPr>
        <w:t xml:space="preserve"> § 64.1200(a)(4).</w:t>
      </w:r>
    </w:p>
  </w:footnote>
  <w:footnote w:id="7">
    <w:p w:rsidR="00D654BD" w:rsidRPr="00B4114F" w:rsidRDefault="00D654BD" w:rsidP="00D654BD">
      <w:pPr>
        <w:pStyle w:val="FootnoteText"/>
        <w:rPr>
          <w:sz w:val="20"/>
        </w:rPr>
      </w:pPr>
      <w:r w:rsidRPr="00B4114F">
        <w:rPr>
          <w:rStyle w:val="FootnoteReference"/>
          <w:sz w:val="20"/>
        </w:rPr>
        <w:footnoteRef/>
      </w:r>
      <w:r w:rsidRPr="00B4114F">
        <w:rPr>
          <w:sz w:val="20"/>
        </w:rPr>
        <w:t xml:space="preserve"> </w:t>
      </w:r>
      <w:r w:rsidRPr="00B4114F">
        <w:rPr>
          <w:i/>
          <w:sz w:val="20"/>
        </w:rPr>
        <w:t xml:space="preserve">See </w:t>
      </w:r>
      <w:r>
        <w:rPr>
          <w:i/>
          <w:sz w:val="20"/>
        </w:rPr>
        <w:t xml:space="preserve">Fax Order </w:t>
      </w:r>
      <w:r w:rsidRPr="0063254D">
        <w:rPr>
          <w:sz w:val="20"/>
        </w:rPr>
        <w:t>at para</w:t>
      </w:r>
      <w:r w:rsidR="00AE66A9">
        <w:rPr>
          <w:sz w:val="20"/>
        </w:rPr>
        <w:t>s</w:t>
      </w:r>
      <w:r w:rsidRPr="0063254D">
        <w:rPr>
          <w:sz w:val="20"/>
        </w:rPr>
        <w:t>.</w:t>
      </w:r>
      <w:r>
        <w:rPr>
          <w:sz w:val="20"/>
        </w:rPr>
        <w:t xml:space="preserve"> 14</w:t>
      </w:r>
      <w:r w:rsidR="009C6AF1">
        <w:rPr>
          <w:sz w:val="20"/>
        </w:rPr>
        <w:t xml:space="preserve">, </w:t>
      </w:r>
      <w:r w:rsidR="00AE66A9">
        <w:rPr>
          <w:sz w:val="20"/>
        </w:rPr>
        <w:t>19</w:t>
      </w:r>
      <w:r w:rsidRPr="0063254D">
        <w:rPr>
          <w:sz w:val="20"/>
        </w:rPr>
        <w:t>.</w:t>
      </w:r>
    </w:p>
  </w:footnote>
  <w:footnote w:id="8">
    <w:p w:rsidR="0025153A" w:rsidRPr="00B4114F" w:rsidRDefault="0025153A">
      <w:pPr>
        <w:pStyle w:val="FootnoteText"/>
        <w:rPr>
          <w:sz w:val="20"/>
        </w:rPr>
      </w:pPr>
      <w:r w:rsidRPr="00B4114F">
        <w:rPr>
          <w:rStyle w:val="FootnoteReference"/>
          <w:sz w:val="20"/>
        </w:rPr>
        <w:footnoteRef/>
      </w:r>
      <w:r w:rsidR="00E82779" w:rsidRPr="00B4114F">
        <w:rPr>
          <w:sz w:val="20"/>
        </w:rPr>
        <w:t xml:space="preserve"> </w:t>
      </w:r>
      <w:r w:rsidR="00E82779" w:rsidRPr="00B4114F">
        <w:rPr>
          <w:i/>
          <w:sz w:val="20"/>
        </w:rPr>
        <w:t xml:space="preserve">See </w:t>
      </w:r>
      <w:r w:rsidR="00D654BD">
        <w:rPr>
          <w:i/>
          <w:sz w:val="20"/>
        </w:rPr>
        <w:t>id</w:t>
      </w:r>
      <w:r w:rsidR="00DB6064" w:rsidRPr="0063254D">
        <w:rPr>
          <w:sz w:val="20"/>
        </w:rPr>
        <w:t>.</w:t>
      </w:r>
      <w:r w:rsidR="00AE66A9">
        <w:rPr>
          <w:sz w:val="20"/>
        </w:rPr>
        <w:t xml:space="preserve"> at para. </w:t>
      </w:r>
      <w:r w:rsidR="00723F5A">
        <w:rPr>
          <w:sz w:val="20"/>
        </w:rPr>
        <w:t>33</w:t>
      </w:r>
      <w:r w:rsidR="00AE66A9">
        <w:rPr>
          <w:sz w:val="20"/>
        </w:rPr>
        <w:t>.</w:t>
      </w:r>
    </w:p>
  </w:footnote>
  <w:footnote w:id="9">
    <w:p w:rsidR="004321CA" w:rsidRPr="002A598A" w:rsidRDefault="004321CA">
      <w:pPr>
        <w:pStyle w:val="FootnoteText"/>
        <w:rPr>
          <w:sz w:val="20"/>
        </w:rPr>
      </w:pPr>
      <w:r w:rsidRPr="002A598A">
        <w:rPr>
          <w:rStyle w:val="FootnoteReference"/>
          <w:sz w:val="20"/>
        </w:rPr>
        <w:footnoteRef/>
      </w:r>
      <w:r w:rsidRPr="002A598A">
        <w:rPr>
          <w:sz w:val="20"/>
        </w:rPr>
        <w:t xml:space="preserve"> As a result, the waiver does not apply to such conduct</w:t>
      </w:r>
      <w:r w:rsidR="002A598A">
        <w:rPr>
          <w:sz w:val="20"/>
        </w:rPr>
        <w:t xml:space="preserve"> by these parties</w:t>
      </w:r>
      <w:r w:rsidRPr="002A598A">
        <w:rPr>
          <w:sz w:val="20"/>
        </w:rPr>
        <w:t xml:space="preserve"> that occurs more than six months after the release date of the Order</w:t>
      </w:r>
      <w:r w:rsidR="00345882">
        <w:rPr>
          <w:sz w:val="20"/>
        </w:rPr>
        <w:t>,</w:t>
      </w:r>
      <w:r w:rsidRPr="002A598A">
        <w:rPr>
          <w:sz w:val="20"/>
        </w:rPr>
        <w:t xml:space="preserve"> nor to any situation other than where the fax sender has obtained the prior express invitation or permission of the recipient to receive the fax ad.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E" w:rsidRDefault="00406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E" w:rsidRDefault="00406D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AC" w:rsidRDefault="00997FA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EC284E5" wp14:editId="47712806">
          <wp:simplePos x="0" y="0"/>
          <wp:positionH relativeFrom="column">
            <wp:posOffset>30480</wp:posOffset>
          </wp:positionH>
          <wp:positionV relativeFrom="paragraph">
            <wp:posOffset>107950</wp:posOffset>
          </wp:positionV>
          <wp:extent cx="530225" cy="530225"/>
          <wp:effectExtent l="0" t="0" r="3175" b="3175"/>
          <wp:wrapTopAndBottom/>
          <wp:docPr id="5" name="Picture 5"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5B19380F" wp14:editId="71887508">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FAC" w:rsidRDefault="00997FAC">
                          <w:pPr>
                            <w:rPr>
                              <w:rFonts w:ascii="Arial" w:hAnsi="Arial"/>
                              <w:b/>
                            </w:rPr>
                          </w:pPr>
                          <w:r>
                            <w:rPr>
                              <w:rFonts w:ascii="Arial" w:hAnsi="Arial"/>
                              <w:b/>
                            </w:rPr>
                            <w:t>Federal Communications Commission</w:t>
                          </w:r>
                        </w:p>
                        <w:p w:rsidR="00997FAC" w:rsidRDefault="00997FA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97FAC" w:rsidRDefault="00997FA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19380F"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997FAC" w:rsidRDefault="00997FAC">
                    <w:pPr>
                      <w:rPr>
                        <w:rFonts w:ascii="Arial" w:hAnsi="Arial"/>
                        <w:b/>
                      </w:rPr>
                    </w:pPr>
                    <w:r>
                      <w:rPr>
                        <w:rFonts w:ascii="Arial" w:hAnsi="Arial"/>
                        <w:b/>
                      </w:rPr>
                      <w:t>Federal Communications Commission</w:t>
                    </w:r>
                  </w:p>
                  <w:p w:rsidR="00997FAC" w:rsidRDefault="00997FA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97FAC" w:rsidRDefault="00997FAC">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997FAC" w:rsidRDefault="00997FA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AFEAF17" wp14:editId="378FD082">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5FBCD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233EEC30" wp14:editId="3FF7A290">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FAC" w:rsidRDefault="00997FAC">
                          <w:pPr>
                            <w:spacing w:before="40"/>
                            <w:jc w:val="right"/>
                            <w:rPr>
                              <w:rFonts w:ascii="Arial" w:hAnsi="Arial"/>
                              <w:b/>
                              <w:sz w:val="16"/>
                            </w:rPr>
                          </w:pPr>
                          <w:r>
                            <w:rPr>
                              <w:rFonts w:ascii="Arial" w:hAnsi="Arial"/>
                              <w:b/>
                              <w:sz w:val="16"/>
                            </w:rPr>
                            <w:t>News Media Information 202 / 418-0500</w:t>
                          </w:r>
                        </w:p>
                        <w:p w:rsidR="00997FAC" w:rsidRDefault="00997FA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97FAC" w:rsidRDefault="00997FAC">
                          <w:pPr>
                            <w:jc w:val="right"/>
                            <w:rPr>
                              <w:rFonts w:ascii="Arial" w:hAnsi="Arial"/>
                              <w:b/>
                              <w:sz w:val="16"/>
                            </w:rPr>
                          </w:pPr>
                          <w:r>
                            <w:rPr>
                              <w:rFonts w:ascii="Arial" w:hAnsi="Arial"/>
                              <w:b/>
                              <w:sz w:val="16"/>
                            </w:rPr>
                            <w:t>TTY: 1-888-835-5322</w:t>
                          </w:r>
                        </w:p>
                        <w:p w:rsidR="00997FAC" w:rsidRDefault="00997FA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3EEC30"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997FAC" w:rsidRDefault="00997FAC">
                    <w:pPr>
                      <w:spacing w:before="40"/>
                      <w:jc w:val="right"/>
                      <w:rPr>
                        <w:rFonts w:ascii="Arial" w:hAnsi="Arial"/>
                        <w:b/>
                        <w:sz w:val="16"/>
                      </w:rPr>
                    </w:pPr>
                    <w:r>
                      <w:rPr>
                        <w:rFonts w:ascii="Arial" w:hAnsi="Arial"/>
                        <w:b/>
                        <w:sz w:val="16"/>
                      </w:rPr>
                      <w:t>News Media Information 202 / 418-0500</w:t>
                    </w:r>
                  </w:p>
                  <w:p w:rsidR="00997FAC" w:rsidRDefault="00997FA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97FAC" w:rsidRDefault="00997FAC">
                    <w:pPr>
                      <w:jc w:val="right"/>
                      <w:rPr>
                        <w:rFonts w:ascii="Arial" w:hAnsi="Arial"/>
                        <w:b/>
                        <w:sz w:val="16"/>
                      </w:rPr>
                    </w:pPr>
                    <w:r>
                      <w:rPr>
                        <w:rFonts w:ascii="Arial" w:hAnsi="Arial"/>
                        <w:b/>
                        <w:sz w:val="16"/>
                      </w:rPr>
                      <w:t>TTY: 1-888-835-5322</w:t>
                    </w:r>
                  </w:p>
                  <w:p w:rsidR="00997FAC" w:rsidRDefault="00997FAC">
                    <w:pPr>
                      <w:jc w:val="right"/>
                    </w:pPr>
                  </w:p>
                </w:txbxContent>
              </v:textbox>
            </v:shape>
          </w:pict>
        </mc:Fallback>
      </mc:AlternateContent>
    </w:r>
  </w:p>
  <w:p w:rsidR="00997FAC" w:rsidRDefault="00997FA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ncy">
    <w15:presenceInfo w15:providerId="None" w15:userId="Nan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A"/>
    <w:rsid w:val="00026819"/>
    <w:rsid w:val="000558D4"/>
    <w:rsid w:val="000662DE"/>
    <w:rsid w:val="000905A2"/>
    <w:rsid w:val="000914AB"/>
    <w:rsid w:val="000A5158"/>
    <w:rsid w:val="000B553F"/>
    <w:rsid w:val="000F69DF"/>
    <w:rsid w:val="0010035E"/>
    <w:rsid w:val="00146E01"/>
    <w:rsid w:val="00157F4B"/>
    <w:rsid w:val="00170A71"/>
    <w:rsid w:val="00170DCF"/>
    <w:rsid w:val="001B4F07"/>
    <w:rsid w:val="001E68FC"/>
    <w:rsid w:val="00225A09"/>
    <w:rsid w:val="0025153A"/>
    <w:rsid w:val="00257984"/>
    <w:rsid w:val="002726F3"/>
    <w:rsid w:val="002A598A"/>
    <w:rsid w:val="002A614A"/>
    <w:rsid w:val="002A7CCC"/>
    <w:rsid w:val="002F6070"/>
    <w:rsid w:val="002F60FA"/>
    <w:rsid w:val="003024F2"/>
    <w:rsid w:val="003110B2"/>
    <w:rsid w:val="00336FA5"/>
    <w:rsid w:val="003404CB"/>
    <w:rsid w:val="00345882"/>
    <w:rsid w:val="003967FF"/>
    <w:rsid w:val="003B1FB9"/>
    <w:rsid w:val="004058FC"/>
    <w:rsid w:val="00406D5E"/>
    <w:rsid w:val="004321CA"/>
    <w:rsid w:val="00433DBD"/>
    <w:rsid w:val="0047489A"/>
    <w:rsid w:val="004B55F9"/>
    <w:rsid w:val="004D56B1"/>
    <w:rsid w:val="00504F10"/>
    <w:rsid w:val="005410A1"/>
    <w:rsid w:val="0059264E"/>
    <w:rsid w:val="005B6BD7"/>
    <w:rsid w:val="005C758B"/>
    <w:rsid w:val="005E2DDF"/>
    <w:rsid w:val="005F76ED"/>
    <w:rsid w:val="005F77CF"/>
    <w:rsid w:val="0063254D"/>
    <w:rsid w:val="00635E9D"/>
    <w:rsid w:val="006659E4"/>
    <w:rsid w:val="006753B0"/>
    <w:rsid w:val="006823CB"/>
    <w:rsid w:val="006878EA"/>
    <w:rsid w:val="006A743B"/>
    <w:rsid w:val="006D0730"/>
    <w:rsid w:val="006F1E07"/>
    <w:rsid w:val="00723F5A"/>
    <w:rsid w:val="007252B4"/>
    <w:rsid w:val="00732B25"/>
    <w:rsid w:val="00732D4B"/>
    <w:rsid w:val="00737776"/>
    <w:rsid w:val="0074070D"/>
    <w:rsid w:val="00740E6F"/>
    <w:rsid w:val="00752DFE"/>
    <w:rsid w:val="00766F68"/>
    <w:rsid w:val="0079324D"/>
    <w:rsid w:val="00795238"/>
    <w:rsid w:val="007C584A"/>
    <w:rsid w:val="00806515"/>
    <w:rsid w:val="008069C5"/>
    <w:rsid w:val="0082044A"/>
    <w:rsid w:val="00822C7F"/>
    <w:rsid w:val="00851E06"/>
    <w:rsid w:val="00857258"/>
    <w:rsid w:val="008675B7"/>
    <w:rsid w:val="008A1B27"/>
    <w:rsid w:val="008B0ACE"/>
    <w:rsid w:val="009566D4"/>
    <w:rsid w:val="00997FAC"/>
    <w:rsid w:val="009A266B"/>
    <w:rsid w:val="009A5D42"/>
    <w:rsid w:val="009C5DC2"/>
    <w:rsid w:val="009C6AF1"/>
    <w:rsid w:val="009E67D5"/>
    <w:rsid w:val="00A10E54"/>
    <w:rsid w:val="00A45DA8"/>
    <w:rsid w:val="00A505A2"/>
    <w:rsid w:val="00A70D8D"/>
    <w:rsid w:val="00A90258"/>
    <w:rsid w:val="00AA6AEF"/>
    <w:rsid w:val="00AC585C"/>
    <w:rsid w:val="00AD1C2B"/>
    <w:rsid w:val="00AD561B"/>
    <w:rsid w:val="00AE66A9"/>
    <w:rsid w:val="00B129F3"/>
    <w:rsid w:val="00B32683"/>
    <w:rsid w:val="00B4114F"/>
    <w:rsid w:val="00B5005D"/>
    <w:rsid w:val="00BA41B5"/>
    <w:rsid w:val="00BA7303"/>
    <w:rsid w:val="00BB4315"/>
    <w:rsid w:val="00BC491A"/>
    <w:rsid w:val="00BC51CD"/>
    <w:rsid w:val="00BE2849"/>
    <w:rsid w:val="00C2369C"/>
    <w:rsid w:val="00C24345"/>
    <w:rsid w:val="00C32853"/>
    <w:rsid w:val="00C333C1"/>
    <w:rsid w:val="00C43A64"/>
    <w:rsid w:val="00C46146"/>
    <w:rsid w:val="00C547D1"/>
    <w:rsid w:val="00C92C66"/>
    <w:rsid w:val="00C937A3"/>
    <w:rsid w:val="00CF6273"/>
    <w:rsid w:val="00D00DE0"/>
    <w:rsid w:val="00D04F67"/>
    <w:rsid w:val="00D33219"/>
    <w:rsid w:val="00D474D2"/>
    <w:rsid w:val="00D53CD8"/>
    <w:rsid w:val="00D654BD"/>
    <w:rsid w:val="00D71F24"/>
    <w:rsid w:val="00D8090D"/>
    <w:rsid w:val="00D87A74"/>
    <w:rsid w:val="00DA28AB"/>
    <w:rsid w:val="00DA3FCE"/>
    <w:rsid w:val="00DB28AF"/>
    <w:rsid w:val="00DB41B3"/>
    <w:rsid w:val="00DB6064"/>
    <w:rsid w:val="00DD1DE8"/>
    <w:rsid w:val="00DD28BD"/>
    <w:rsid w:val="00E15E0E"/>
    <w:rsid w:val="00E45FD6"/>
    <w:rsid w:val="00E82779"/>
    <w:rsid w:val="00E94D8B"/>
    <w:rsid w:val="00EB15D5"/>
    <w:rsid w:val="00EF3F9D"/>
    <w:rsid w:val="00F47E86"/>
    <w:rsid w:val="00F50E6F"/>
    <w:rsid w:val="00F63D9A"/>
    <w:rsid w:val="00F716C5"/>
    <w:rsid w:val="00F7186E"/>
    <w:rsid w:val="00F92CBF"/>
    <w:rsid w:val="00FC0F0A"/>
    <w:rsid w:val="00FE3400"/>
    <w:rsid w:val="00FF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B32683"/>
    <w:rPr>
      <w:sz w:val="16"/>
      <w:szCs w:val="16"/>
    </w:rPr>
  </w:style>
  <w:style w:type="paragraph" w:styleId="CommentText">
    <w:name w:val="annotation text"/>
    <w:basedOn w:val="Normal"/>
    <w:link w:val="CommentTextChar"/>
    <w:uiPriority w:val="99"/>
    <w:semiHidden/>
    <w:unhideWhenUsed/>
    <w:rsid w:val="00B32683"/>
    <w:rPr>
      <w:sz w:val="20"/>
    </w:rPr>
  </w:style>
  <w:style w:type="character" w:customStyle="1" w:styleId="CommentTextChar">
    <w:name w:val="Comment Text Char"/>
    <w:basedOn w:val="DefaultParagraphFont"/>
    <w:link w:val="CommentText"/>
    <w:uiPriority w:val="99"/>
    <w:semiHidden/>
    <w:rsid w:val="00B32683"/>
  </w:style>
  <w:style w:type="paragraph" w:styleId="CommentSubject">
    <w:name w:val="annotation subject"/>
    <w:basedOn w:val="CommentText"/>
    <w:next w:val="CommentText"/>
    <w:link w:val="CommentSubjectChar"/>
    <w:uiPriority w:val="99"/>
    <w:semiHidden/>
    <w:unhideWhenUsed/>
    <w:rsid w:val="00B32683"/>
    <w:rPr>
      <w:b/>
      <w:bCs/>
    </w:rPr>
  </w:style>
  <w:style w:type="character" w:customStyle="1" w:styleId="CommentSubjectChar">
    <w:name w:val="Comment Subject Char"/>
    <w:basedOn w:val="CommentTextChar"/>
    <w:link w:val="CommentSubject"/>
    <w:uiPriority w:val="99"/>
    <w:semiHidden/>
    <w:rsid w:val="00B326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B32683"/>
    <w:rPr>
      <w:sz w:val="16"/>
      <w:szCs w:val="16"/>
    </w:rPr>
  </w:style>
  <w:style w:type="paragraph" w:styleId="CommentText">
    <w:name w:val="annotation text"/>
    <w:basedOn w:val="Normal"/>
    <w:link w:val="CommentTextChar"/>
    <w:uiPriority w:val="99"/>
    <w:semiHidden/>
    <w:unhideWhenUsed/>
    <w:rsid w:val="00B32683"/>
    <w:rPr>
      <w:sz w:val="20"/>
    </w:rPr>
  </w:style>
  <w:style w:type="character" w:customStyle="1" w:styleId="CommentTextChar">
    <w:name w:val="Comment Text Char"/>
    <w:basedOn w:val="DefaultParagraphFont"/>
    <w:link w:val="CommentText"/>
    <w:uiPriority w:val="99"/>
    <w:semiHidden/>
    <w:rsid w:val="00B32683"/>
  </w:style>
  <w:style w:type="paragraph" w:styleId="CommentSubject">
    <w:name w:val="annotation subject"/>
    <w:basedOn w:val="CommentText"/>
    <w:next w:val="CommentText"/>
    <w:link w:val="CommentSubjectChar"/>
    <w:uiPriority w:val="99"/>
    <w:semiHidden/>
    <w:unhideWhenUsed/>
    <w:rsid w:val="00B32683"/>
    <w:rPr>
      <w:b/>
      <w:bCs/>
    </w:rPr>
  </w:style>
  <w:style w:type="character" w:customStyle="1" w:styleId="CommentSubjectChar">
    <w:name w:val="Comment Subject Char"/>
    <w:basedOn w:val="CommentTextChar"/>
    <w:link w:val="CommentSubject"/>
    <w:uiPriority w:val="99"/>
    <w:semiHidden/>
    <w:rsid w:val="00B32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guides/fax-advertis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3674</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4345</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2014-10-30T13:02:00Z</dcterms:created>
  <dcterms:modified xsi:type="dcterms:W3CDTF">2014-10-30T13:02:00Z</dcterms:modified>
  <cp:category> </cp:category>
  <cp:contentStatus> </cp:contentStatus>
</cp:coreProperties>
</file>