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9220E9" w:rsidRDefault="009220E9">
      <w:pPr>
        <w:jc w:val="right"/>
        <w:rPr>
          <w:b/>
          <w:szCs w:val="22"/>
        </w:rPr>
      </w:pPr>
      <w:r>
        <w:rPr>
          <w:b/>
          <w:szCs w:val="22"/>
        </w:rPr>
        <w:lastRenderedPageBreak/>
        <w:t>DA 14-</w:t>
      </w:r>
      <w:r w:rsidR="00112EA8">
        <w:rPr>
          <w:b/>
          <w:szCs w:val="22"/>
        </w:rPr>
        <w:t>1585</w:t>
      </w:r>
    </w:p>
    <w:p w:rsidR="00602577" w:rsidRPr="00C44865" w:rsidRDefault="00DA138F">
      <w:pPr>
        <w:spacing w:before="60"/>
        <w:jc w:val="right"/>
        <w:rPr>
          <w:b/>
          <w:szCs w:val="22"/>
        </w:rPr>
      </w:pPr>
      <w:r>
        <w:rPr>
          <w:b/>
          <w:szCs w:val="22"/>
        </w:rPr>
        <w:t xml:space="preserve">Released: </w:t>
      </w:r>
      <w:r w:rsidR="00EA0D97">
        <w:rPr>
          <w:b/>
          <w:szCs w:val="22"/>
        </w:rPr>
        <w:t xml:space="preserve">November </w:t>
      </w:r>
      <w:r w:rsidR="000F42BE">
        <w:rPr>
          <w:b/>
          <w:szCs w:val="22"/>
        </w:rPr>
        <w:t>5</w:t>
      </w:r>
      <w:r w:rsidR="009220E9">
        <w:rPr>
          <w:b/>
          <w:szCs w:val="22"/>
        </w:rPr>
        <w:t>, 2014</w:t>
      </w:r>
    </w:p>
    <w:p w:rsidR="00602577" w:rsidRDefault="00602577">
      <w:pPr>
        <w:jc w:val="right"/>
        <w:rPr>
          <w:sz w:val="24"/>
        </w:rPr>
      </w:pPr>
    </w:p>
    <w:p w:rsidR="002C2EAD" w:rsidRDefault="002C2EAD" w:rsidP="002C2EAD">
      <w:pPr>
        <w:tabs>
          <w:tab w:val="left" w:pos="-720"/>
        </w:tabs>
        <w:suppressAutoHyphens/>
        <w:jc w:val="center"/>
        <w:outlineLvl w:val="0"/>
        <w:rPr>
          <w:b/>
          <w:szCs w:val="22"/>
        </w:rPr>
      </w:pPr>
      <w:r>
        <w:rPr>
          <w:b/>
          <w:szCs w:val="22"/>
        </w:rPr>
        <w:t xml:space="preserve">PLEADING CYCLE ESTABLISHED FOR COMMENTS ON </w:t>
      </w:r>
    </w:p>
    <w:p w:rsidR="002C2EAD" w:rsidRDefault="002C2EAD" w:rsidP="002C2EAD">
      <w:pPr>
        <w:tabs>
          <w:tab w:val="left" w:pos="-720"/>
        </w:tabs>
        <w:suppressAutoHyphens/>
        <w:jc w:val="center"/>
        <w:outlineLvl w:val="0"/>
        <w:rPr>
          <w:b/>
          <w:szCs w:val="22"/>
        </w:rPr>
      </w:pPr>
      <w:r>
        <w:rPr>
          <w:b/>
          <w:szCs w:val="22"/>
        </w:rPr>
        <w:t xml:space="preserve">UNITED STATES TELECOM ASSOCIATION PETITION FOR FORBEARANCE </w:t>
      </w:r>
    </w:p>
    <w:p w:rsidR="002C2EAD" w:rsidRDefault="002C2EAD" w:rsidP="00571EDF">
      <w:pPr>
        <w:tabs>
          <w:tab w:val="left" w:pos="-720"/>
        </w:tabs>
        <w:suppressAutoHyphens/>
        <w:jc w:val="center"/>
        <w:outlineLvl w:val="0"/>
        <w:rPr>
          <w:b/>
          <w:szCs w:val="22"/>
        </w:rPr>
      </w:pPr>
      <w:r>
        <w:rPr>
          <w:b/>
          <w:szCs w:val="22"/>
        </w:rPr>
        <w:t xml:space="preserve">FROM </w:t>
      </w:r>
      <w:r w:rsidR="00571EDF">
        <w:rPr>
          <w:b/>
          <w:szCs w:val="22"/>
        </w:rPr>
        <w:t>CERTA</w:t>
      </w:r>
      <w:r w:rsidR="00EA716C">
        <w:rPr>
          <w:b/>
          <w:szCs w:val="22"/>
        </w:rPr>
        <w:t>I</w:t>
      </w:r>
      <w:r w:rsidR="00571EDF">
        <w:rPr>
          <w:b/>
          <w:szCs w:val="22"/>
        </w:rPr>
        <w:t>N</w:t>
      </w:r>
      <w:r>
        <w:rPr>
          <w:b/>
          <w:szCs w:val="22"/>
        </w:rPr>
        <w:t xml:space="preserve"> INCUMBENT LEC REGULATORY </w:t>
      </w:r>
      <w:r w:rsidR="00571EDF">
        <w:rPr>
          <w:b/>
          <w:szCs w:val="22"/>
        </w:rPr>
        <w:t>OBLIGATIONS</w:t>
      </w:r>
    </w:p>
    <w:p w:rsidR="00340F67" w:rsidRDefault="00340F67" w:rsidP="002C2EAD">
      <w:pPr>
        <w:tabs>
          <w:tab w:val="left" w:pos="-720"/>
        </w:tabs>
        <w:suppressAutoHyphens/>
        <w:jc w:val="center"/>
        <w:outlineLvl w:val="0"/>
        <w:rPr>
          <w:b/>
          <w:szCs w:val="22"/>
        </w:rPr>
      </w:pPr>
    </w:p>
    <w:p w:rsidR="008E0219" w:rsidRDefault="008E0219" w:rsidP="008E0219">
      <w:pPr>
        <w:tabs>
          <w:tab w:val="left" w:pos="-720"/>
        </w:tabs>
        <w:suppressAutoHyphens/>
        <w:jc w:val="center"/>
        <w:rPr>
          <w:b/>
          <w:szCs w:val="22"/>
        </w:rPr>
      </w:pPr>
      <w:r>
        <w:rPr>
          <w:b/>
          <w:szCs w:val="22"/>
        </w:rPr>
        <w:t>WC Docket No. 14-</w:t>
      </w:r>
      <w:r w:rsidR="005F17AA">
        <w:rPr>
          <w:b/>
          <w:szCs w:val="22"/>
        </w:rPr>
        <w:t>192</w:t>
      </w:r>
    </w:p>
    <w:p w:rsidR="008E0219" w:rsidRDefault="008E0219" w:rsidP="008E0219">
      <w:pPr>
        <w:tabs>
          <w:tab w:val="left" w:pos="-720"/>
        </w:tabs>
        <w:suppressAutoHyphens/>
        <w:rPr>
          <w:b/>
          <w:szCs w:val="22"/>
        </w:rPr>
      </w:pPr>
    </w:p>
    <w:p w:rsidR="008E0219" w:rsidRDefault="00C44865" w:rsidP="008E0219">
      <w:pPr>
        <w:tabs>
          <w:tab w:val="left" w:pos="-720"/>
        </w:tabs>
        <w:suppressAutoHyphens/>
        <w:rPr>
          <w:b/>
          <w:szCs w:val="22"/>
        </w:rPr>
      </w:pPr>
      <w:r>
        <w:rPr>
          <w:b/>
          <w:szCs w:val="22"/>
        </w:rPr>
        <w:t xml:space="preserve">Comments or Oppositions Due:  </w:t>
      </w:r>
      <w:r w:rsidR="000F42BE">
        <w:rPr>
          <w:b/>
          <w:szCs w:val="22"/>
        </w:rPr>
        <w:t>December 5</w:t>
      </w:r>
      <w:r w:rsidR="00832816">
        <w:rPr>
          <w:b/>
          <w:szCs w:val="22"/>
        </w:rPr>
        <w:t>,</w:t>
      </w:r>
      <w:r>
        <w:rPr>
          <w:b/>
          <w:szCs w:val="22"/>
        </w:rPr>
        <w:t xml:space="preserve"> </w:t>
      </w:r>
      <w:r w:rsidR="008E0219">
        <w:rPr>
          <w:b/>
          <w:szCs w:val="22"/>
        </w:rPr>
        <w:t xml:space="preserve">2014   </w:t>
      </w:r>
    </w:p>
    <w:p w:rsidR="008E0219" w:rsidRDefault="00C44865" w:rsidP="008E0219">
      <w:pPr>
        <w:tabs>
          <w:tab w:val="left" w:pos="-720"/>
        </w:tabs>
        <w:suppressAutoHyphens/>
        <w:rPr>
          <w:b/>
          <w:szCs w:val="22"/>
        </w:rPr>
      </w:pPr>
      <w:r>
        <w:rPr>
          <w:b/>
          <w:szCs w:val="22"/>
        </w:rPr>
        <w:t xml:space="preserve">Reply Comments </w:t>
      </w:r>
      <w:r w:rsidR="00C42222">
        <w:rPr>
          <w:b/>
          <w:szCs w:val="22"/>
        </w:rPr>
        <w:t xml:space="preserve">or Reply to Oppositions </w:t>
      </w:r>
      <w:r>
        <w:rPr>
          <w:b/>
          <w:szCs w:val="22"/>
        </w:rPr>
        <w:t xml:space="preserve">Due:  </w:t>
      </w:r>
      <w:r w:rsidR="000F42BE">
        <w:rPr>
          <w:b/>
          <w:szCs w:val="22"/>
        </w:rPr>
        <w:t>December 22</w:t>
      </w:r>
      <w:r w:rsidR="008E0219">
        <w:rPr>
          <w:b/>
          <w:szCs w:val="22"/>
        </w:rPr>
        <w:t xml:space="preserve">, 2014 </w:t>
      </w:r>
    </w:p>
    <w:p w:rsidR="008E0219" w:rsidRDefault="008E0219" w:rsidP="008E0219">
      <w:pPr>
        <w:tabs>
          <w:tab w:val="left" w:pos="-720"/>
        </w:tabs>
        <w:suppressAutoHyphens/>
        <w:rPr>
          <w:szCs w:val="22"/>
        </w:rPr>
      </w:pPr>
    </w:p>
    <w:p w:rsidR="008E0219" w:rsidRPr="008E0219" w:rsidRDefault="008E0219" w:rsidP="008E0219">
      <w:pPr>
        <w:autoSpaceDE w:val="0"/>
        <w:autoSpaceDN w:val="0"/>
        <w:adjustRightInd w:val="0"/>
        <w:ind w:firstLine="720"/>
        <w:rPr>
          <w:szCs w:val="22"/>
        </w:rPr>
      </w:pPr>
      <w:r w:rsidRPr="008E0219">
        <w:rPr>
          <w:szCs w:val="22"/>
        </w:rPr>
        <w:t>On October 6, 2014, the United States Telecom Association (USTelecom) filed a petition</w:t>
      </w:r>
      <w:r w:rsidRPr="00D45088">
        <w:rPr>
          <w:rStyle w:val="FootnoteReference"/>
          <w:sz w:val="20"/>
          <w:szCs w:val="22"/>
        </w:rPr>
        <w:footnoteReference w:id="2"/>
      </w:r>
      <w:r w:rsidRPr="008E0219">
        <w:rPr>
          <w:szCs w:val="22"/>
        </w:rPr>
        <w:t xml:space="preserve"> pursuant to section 10 of the Communications Act of 1934, as amended,</w:t>
      </w:r>
      <w:r w:rsidRPr="00D45088">
        <w:rPr>
          <w:rStyle w:val="FootnoteReference"/>
          <w:sz w:val="20"/>
          <w:szCs w:val="22"/>
        </w:rPr>
        <w:footnoteReference w:id="3"/>
      </w:r>
      <w:r w:rsidRPr="008E0219">
        <w:rPr>
          <w:szCs w:val="22"/>
        </w:rPr>
        <w:t xml:space="preserve"> requesting that the Commission forbear from enforcing “various outdated regulatory requirements applicable to incumbent local exchange carriers,” claiming that the relief requested will “promote the deployment of next-generation high-speed networks</w:t>
      </w:r>
      <w:r w:rsidR="00E228C0">
        <w:rPr>
          <w:szCs w:val="22"/>
        </w:rPr>
        <w:t xml:space="preserve"> . . . </w:t>
      </w:r>
      <w:r w:rsidRPr="008E0219">
        <w:rPr>
          <w:szCs w:val="22"/>
        </w:rPr>
        <w:t>expanding infrastructure investment and increasing competition for services that have become central to Americans’ daily lives.”</w:t>
      </w:r>
      <w:r w:rsidRPr="00D45088">
        <w:rPr>
          <w:rStyle w:val="FootnoteReference"/>
          <w:sz w:val="20"/>
          <w:szCs w:val="22"/>
        </w:rPr>
        <w:footnoteReference w:id="4"/>
      </w:r>
      <w:r w:rsidRPr="008E0219">
        <w:rPr>
          <w:szCs w:val="22"/>
        </w:rPr>
        <w:t xml:space="preserve">  The USTelecom </w:t>
      </w:r>
      <w:r w:rsidR="00DA138F">
        <w:rPr>
          <w:szCs w:val="22"/>
        </w:rPr>
        <w:t>p</w:t>
      </w:r>
      <w:r w:rsidRPr="008E0219">
        <w:rPr>
          <w:szCs w:val="22"/>
        </w:rPr>
        <w:t xml:space="preserve">etition seeks forbearance from </w:t>
      </w:r>
      <w:r w:rsidR="00333D23">
        <w:rPr>
          <w:szCs w:val="22"/>
        </w:rPr>
        <w:t xml:space="preserve">application of </w:t>
      </w:r>
      <w:r w:rsidRPr="008E0219">
        <w:rPr>
          <w:szCs w:val="22"/>
        </w:rPr>
        <w:t>statutory provisions and regulations that USTelecom characterizes as falling into one of the following seven categories:</w:t>
      </w:r>
      <w:r w:rsidRPr="00D45088">
        <w:rPr>
          <w:rStyle w:val="FootnoteReference"/>
          <w:sz w:val="20"/>
          <w:szCs w:val="22"/>
        </w:rPr>
        <w:footnoteReference w:id="5"/>
      </w:r>
    </w:p>
    <w:p w:rsidR="008E0219" w:rsidRPr="008E0219" w:rsidRDefault="008E0219" w:rsidP="008E0219">
      <w:pPr>
        <w:spacing w:before="120" w:after="240"/>
        <w:ind w:left="720"/>
        <w:rPr>
          <w:szCs w:val="22"/>
        </w:rPr>
      </w:pPr>
      <w:r w:rsidRPr="008E0219">
        <w:rPr>
          <w:b/>
          <w:szCs w:val="22"/>
        </w:rPr>
        <w:t>Category 1:</w:t>
      </w:r>
      <w:r w:rsidRPr="008E0219">
        <w:rPr>
          <w:szCs w:val="22"/>
        </w:rPr>
        <w:t xml:space="preserve">  Remaining </w:t>
      </w:r>
      <w:r w:rsidR="00571EDF">
        <w:rPr>
          <w:szCs w:val="22"/>
        </w:rPr>
        <w:t>s</w:t>
      </w:r>
      <w:r w:rsidRPr="008E0219">
        <w:rPr>
          <w:szCs w:val="22"/>
        </w:rPr>
        <w:t xml:space="preserve">ection </w:t>
      </w:r>
      <w:r w:rsidR="00501BD0">
        <w:rPr>
          <w:szCs w:val="22"/>
        </w:rPr>
        <w:t>271 a</w:t>
      </w:r>
      <w:r w:rsidR="00501BD0" w:rsidRPr="008E0219">
        <w:rPr>
          <w:szCs w:val="22"/>
        </w:rPr>
        <w:t xml:space="preserve">nd 272 </w:t>
      </w:r>
      <w:r w:rsidR="00571EDF">
        <w:rPr>
          <w:szCs w:val="22"/>
        </w:rPr>
        <w:t>o</w:t>
      </w:r>
      <w:r w:rsidRPr="008E0219">
        <w:rPr>
          <w:szCs w:val="22"/>
        </w:rPr>
        <w:t>bligations</w:t>
      </w:r>
      <w:r w:rsidR="00501BD0" w:rsidRPr="008E0219">
        <w:rPr>
          <w:szCs w:val="22"/>
        </w:rPr>
        <w:t xml:space="preserve">, </w:t>
      </w:r>
      <w:r w:rsidR="00571EDF">
        <w:rPr>
          <w:szCs w:val="22"/>
        </w:rPr>
        <w:t>e</w:t>
      </w:r>
      <w:r w:rsidRPr="008E0219">
        <w:rPr>
          <w:szCs w:val="22"/>
        </w:rPr>
        <w:t xml:space="preserve">qual </w:t>
      </w:r>
      <w:r w:rsidR="00571EDF">
        <w:rPr>
          <w:szCs w:val="22"/>
        </w:rPr>
        <w:t>a</w:t>
      </w:r>
      <w:r w:rsidRPr="008E0219">
        <w:rPr>
          <w:szCs w:val="22"/>
        </w:rPr>
        <w:t xml:space="preserve">ccess </w:t>
      </w:r>
      <w:r w:rsidR="00571EDF">
        <w:rPr>
          <w:szCs w:val="22"/>
        </w:rPr>
        <w:t>r</w:t>
      </w:r>
      <w:r w:rsidR="00501BD0">
        <w:rPr>
          <w:szCs w:val="22"/>
        </w:rPr>
        <w:t xml:space="preserve">ules, and the </w:t>
      </w:r>
      <w:r w:rsidR="00571EDF">
        <w:rPr>
          <w:szCs w:val="22"/>
        </w:rPr>
        <w:t>n</w:t>
      </w:r>
      <w:r w:rsidR="00501BD0">
        <w:rPr>
          <w:szCs w:val="22"/>
        </w:rPr>
        <w:t xml:space="preserve">ondiscrimination and </w:t>
      </w:r>
      <w:r w:rsidR="00571EDF">
        <w:rPr>
          <w:szCs w:val="22"/>
        </w:rPr>
        <w:t>i</w:t>
      </w:r>
      <w:r w:rsidR="00501BD0">
        <w:rPr>
          <w:szCs w:val="22"/>
        </w:rPr>
        <w:t xml:space="preserve">mputation </w:t>
      </w:r>
      <w:r w:rsidR="00571EDF">
        <w:rPr>
          <w:szCs w:val="22"/>
        </w:rPr>
        <w:t>r</w:t>
      </w:r>
      <w:r w:rsidRPr="008E0219">
        <w:rPr>
          <w:szCs w:val="22"/>
        </w:rPr>
        <w:t xml:space="preserve">equirements </w:t>
      </w:r>
      <w:r w:rsidR="00571EDF">
        <w:rPr>
          <w:szCs w:val="22"/>
        </w:rPr>
        <w:t>s</w:t>
      </w:r>
      <w:r w:rsidR="00501BD0">
        <w:rPr>
          <w:szCs w:val="22"/>
        </w:rPr>
        <w:t xml:space="preserve">et </w:t>
      </w:r>
      <w:r w:rsidR="00571EDF">
        <w:rPr>
          <w:szCs w:val="22"/>
        </w:rPr>
        <w:t>o</w:t>
      </w:r>
      <w:r w:rsidR="00501BD0">
        <w:rPr>
          <w:szCs w:val="22"/>
        </w:rPr>
        <w:t>ut in t</w:t>
      </w:r>
      <w:r w:rsidR="00501BD0" w:rsidRPr="008E0219">
        <w:rPr>
          <w:szCs w:val="22"/>
        </w:rPr>
        <w:t xml:space="preserve">he </w:t>
      </w:r>
      <w:r w:rsidRPr="008E0219">
        <w:rPr>
          <w:i/>
          <w:szCs w:val="22"/>
        </w:rPr>
        <w:t>Section 272 Sunset Order</w:t>
      </w:r>
      <w:r w:rsidR="0005534C">
        <w:rPr>
          <w:i/>
          <w:szCs w:val="22"/>
        </w:rPr>
        <w:t xml:space="preserve"> </w:t>
      </w:r>
      <w:r w:rsidRPr="008E0219">
        <w:rPr>
          <w:szCs w:val="22"/>
        </w:rPr>
        <w:t>(47 U.S.C. §§ 271, 272, 251(g))</w:t>
      </w:r>
      <w:r w:rsidR="0005534C">
        <w:rPr>
          <w:szCs w:val="22"/>
        </w:rPr>
        <w:t>.</w:t>
      </w:r>
      <w:r w:rsidR="0005534C" w:rsidRPr="00D45088">
        <w:rPr>
          <w:rStyle w:val="FootnoteReference"/>
          <w:sz w:val="20"/>
          <w:szCs w:val="22"/>
        </w:rPr>
        <w:footnoteReference w:id="6"/>
      </w:r>
    </w:p>
    <w:p w:rsidR="00520F58" w:rsidRDefault="008E0219" w:rsidP="00520F58">
      <w:pPr>
        <w:spacing w:before="120" w:after="240"/>
        <w:ind w:left="720"/>
        <w:rPr>
          <w:szCs w:val="22"/>
        </w:rPr>
      </w:pPr>
      <w:r w:rsidRPr="008E0219">
        <w:rPr>
          <w:b/>
          <w:szCs w:val="22"/>
        </w:rPr>
        <w:lastRenderedPageBreak/>
        <w:t xml:space="preserve">Category 2: </w:t>
      </w:r>
      <w:r w:rsidR="00571EDF">
        <w:rPr>
          <w:szCs w:val="22"/>
        </w:rPr>
        <w:t xml:space="preserve"> Structural s</w:t>
      </w:r>
      <w:r w:rsidRPr="008E0219">
        <w:rPr>
          <w:szCs w:val="22"/>
        </w:rPr>
        <w:t xml:space="preserve">eparation </w:t>
      </w:r>
      <w:r w:rsidR="00571EDF">
        <w:rPr>
          <w:szCs w:val="22"/>
        </w:rPr>
        <w:t>r</w:t>
      </w:r>
      <w:r w:rsidRPr="008E0219">
        <w:rPr>
          <w:szCs w:val="22"/>
        </w:rPr>
        <w:t xml:space="preserve">equirements </w:t>
      </w:r>
      <w:r w:rsidR="00571EDF">
        <w:rPr>
          <w:szCs w:val="22"/>
        </w:rPr>
        <w:t>f</w:t>
      </w:r>
      <w:r w:rsidR="00501BD0" w:rsidRPr="008E0219">
        <w:rPr>
          <w:szCs w:val="22"/>
        </w:rPr>
        <w:t xml:space="preserve">or </w:t>
      </w:r>
      <w:r w:rsidR="00571EDF">
        <w:rPr>
          <w:szCs w:val="22"/>
        </w:rPr>
        <w:t>i</w:t>
      </w:r>
      <w:r w:rsidRPr="008E0219">
        <w:rPr>
          <w:szCs w:val="22"/>
        </w:rPr>
        <w:t xml:space="preserve">ndependent </w:t>
      </w:r>
      <w:r w:rsidR="00571EDF">
        <w:rPr>
          <w:szCs w:val="22"/>
        </w:rPr>
        <w:t xml:space="preserve">incumbent </w:t>
      </w:r>
      <w:r w:rsidR="00501BD0">
        <w:rPr>
          <w:szCs w:val="22"/>
        </w:rPr>
        <w:t>LEC</w:t>
      </w:r>
      <w:r w:rsidR="00501BD0" w:rsidRPr="008E0219">
        <w:rPr>
          <w:szCs w:val="22"/>
        </w:rPr>
        <w:t xml:space="preserve">s, </w:t>
      </w:r>
      <w:r w:rsidR="00571EDF">
        <w:rPr>
          <w:szCs w:val="22"/>
        </w:rPr>
        <w:t>i</w:t>
      </w:r>
      <w:r w:rsidR="00501BD0" w:rsidRPr="008E0219">
        <w:rPr>
          <w:szCs w:val="22"/>
        </w:rPr>
        <w:t xml:space="preserve">ncluding </w:t>
      </w:r>
      <w:r w:rsidR="00571EDF">
        <w:rPr>
          <w:szCs w:val="22"/>
        </w:rPr>
        <w:t>a</w:t>
      </w:r>
      <w:r w:rsidR="00501BD0" w:rsidRPr="008E0219">
        <w:rPr>
          <w:szCs w:val="22"/>
        </w:rPr>
        <w:t xml:space="preserve">ny </w:t>
      </w:r>
      <w:r w:rsidR="00571EDF">
        <w:rPr>
          <w:szCs w:val="22"/>
        </w:rPr>
        <w:t>c</w:t>
      </w:r>
      <w:r w:rsidR="00501BD0" w:rsidRPr="008E0219">
        <w:rPr>
          <w:szCs w:val="22"/>
        </w:rPr>
        <w:t xml:space="preserve">onditions </w:t>
      </w:r>
      <w:r w:rsidR="00571EDF">
        <w:rPr>
          <w:szCs w:val="22"/>
        </w:rPr>
        <w:t>i</w:t>
      </w:r>
      <w:r w:rsidR="00501BD0" w:rsidRPr="008E0219">
        <w:rPr>
          <w:szCs w:val="22"/>
        </w:rPr>
        <w:t xml:space="preserve">mposed </w:t>
      </w:r>
      <w:r w:rsidR="00571EDF">
        <w:rPr>
          <w:szCs w:val="22"/>
        </w:rPr>
        <w:t>b</w:t>
      </w:r>
      <w:r w:rsidR="00501BD0" w:rsidRPr="008E0219">
        <w:rPr>
          <w:szCs w:val="22"/>
        </w:rPr>
        <w:t xml:space="preserve">y </w:t>
      </w:r>
      <w:r w:rsidR="00571EDF">
        <w:rPr>
          <w:szCs w:val="22"/>
        </w:rPr>
        <w:t>p</w:t>
      </w:r>
      <w:r w:rsidR="00501BD0" w:rsidRPr="008E0219">
        <w:rPr>
          <w:szCs w:val="22"/>
        </w:rPr>
        <w:t xml:space="preserve">rior </w:t>
      </w:r>
      <w:r w:rsidRPr="008E0219">
        <w:rPr>
          <w:szCs w:val="22"/>
        </w:rPr>
        <w:t xml:space="preserve">Commission </w:t>
      </w:r>
      <w:r w:rsidR="00D31282">
        <w:rPr>
          <w:szCs w:val="22"/>
        </w:rPr>
        <w:t>O</w:t>
      </w:r>
      <w:r w:rsidR="00501BD0" w:rsidRPr="008E0219">
        <w:rPr>
          <w:szCs w:val="22"/>
        </w:rPr>
        <w:t xml:space="preserve">rders </w:t>
      </w:r>
      <w:r w:rsidR="00571EDF">
        <w:rPr>
          <w:szCs w:val="22"/>
        </w:rPr>
        <w:t>g</w:t>
      </w:r>
      <w:r w:rsidR="00501BD0" w:rsidRPr="008E0219">
        <w:rPr>
          <w:szCs w:val="22"/>
        </w:rPr>
        <w:t xml:space="preserve">ranting </w:t>
      </w:r>
      <w:r w:rsidR="00571EDF">
        <w:rPr>
          <w:szCs w:val="22"/>
        </w:rPr>
        <w:t>p</w:t>
      </w:r>
      <w:r w:rsidR="00501BD0" w:rsidRPr="008E0219">
        <w:rPr>
          <w:szCs w:val="22"/>
        </w:rPr>
        <w:t xml:space="preserve">artial </w:t>
      </w:r>
      <w:r w:rsidR="00571EDF">
        <w:rPr>
          <w:szCs w:val="22"/>
        </w:rPr>
        <w:t>f</w:t>
      </w:r>
      <w:r w:rsidR="00501BD0" w:rsidRPr="008E0219">
        <w:rPr>
          <w:szCs w:val="22"/>
        </w:rPr>
        <w:t xml:space="preserve">orbearance </w:t>
      </w:r>
      <w:r w:rsidR="00571EDF">
        <w:rPr>
          <w:szCs w:val="22"/>
        </w:rPr>
        <w:t>f</w:t>
      </w:r>
      <w:r w:rsidR="00501BD0" w:rsidRPr="008E0219">
        <w:rPr>
          <w:szCs w:val="22"/>
        </w:rPr>
        <w:t xml:space="preserve">rom </w:t>
      </w:r>
      <w:r w:rsidR="0005534C">
        <w:rPr>
          <w:szCs w:val="22"/>
        </w:rPr>
        <w:t>47 C.F.R. § 64.190</w:t>
      </w:r>
      <w:r w:rsidR="005C3C39">
        <w:rPr>
          <w:szCs w:val="22"/>
        </w:rPr>
        <w:t>3</w:t>
      </w:r>
      <w:r w:rsidRPr="008E0219">
        <w:rPr>
          <w:szCs w:val="22"/>
        </w:rPr>
        <w:t>.</w:t>
      </w:r>
      <w:r w:rsidR="0005534C" w:rsidRPr="00E228C0">
        <w:rPr>
          <w:rStyle w:val="FootnoteReference"/>
          <w:sz w:val="20"/>
          <w:szCs w:val="22"/>
        </w:rPr>
        <w:footnoteReference w:id="7"/>
      </w:r>
    </w:p>
    <w:p w:rsidR="00520F58" w:rsidRDefault="008E0219" w:rsidP="00520F58">
      <w:pPr>
        <w:spacing w:before="120" w:after="240"/>
        <w:ind w:left="720"/>
        <w:rPr>
          <w:szCs w:val="22"/>
        </w:rPr>
      </w:pPr>
      <w:r w:rsidRPr="008E0219">
        <w:rPr>
          <w:b/>
          <w:szCs w:val="22"/>
        </w:rPr>
        <w:t xml:space="preserve">Category 3: </w:t>
      </w:r>
      <w:r w:rsidRPr="008E0219">
        <w:rPr>
          <w:szCs w:val="22"/>
        </w:rPr>
        <w:t xml:space="preserve"> Requirement to </w:t>
      </w:r>
      <w:r w:rsidR="00571EDF">
        <w:rPr>
          <w:szCs w:val="22"/>
        </w:rPr>
        <w:t>p</w:t>
      </w:r>
      <w:r w:rsidRPr="008E0219">
        <w:rPr>
          <w:szCs w:val="22"/>
        </w:rPr>
        <w:t xml:space="preserve">rovide 64 kbps </w:t>
      </w:r>
      <w:r w:rsidR="00571EDF">
        <w:rPr>
          <w:szCs w:val="22"/>
        </w:rPr>
        <w:t>v</w:t>
      </w:r>
      <w:r w:rsidRPr="008E0219">
        <w:rPr>
          <w:szCs w:val="22"/>
        </w:rPr>
        <w:t xml:space="preserve">oice </w:t>
      </w:r>
      <w:r w:rsidR="00571EDF">
        <w:rPr>
          <w:szCs w:val="22"/>
        </w:rPr>
        <w:t>c</w:t>
      </w:r>
      <w:r w:rsidRPr="008E0219">
        <w:rPr>
          <w:szCs w:val="22"/>
        </w:rPr>
        <w:t xml:space="preserve">hannel </w:t>
      </w:r>
      <w:r w:rsidR="00571EDF">
        <w:rPr>
          <w:szCs w:val="22"/>
        </w:rPr>
        <w:t>w</w:t>
      </w:r>
      <w:r w:rsidRPr="008E0219">
        <w:rPr>
          <w:szCs w:val="22"/>
        </w:rPr>
        <w:t xml:space="preserve">here </w:t>
      </w:r>
      <w:r w:rsidR="00571EDF">
        <w:rPr>
          <w:szCs w:val="22"/>
        </w:rPr>
        <w:t>c</w:t>
      </w:r>
      <w:r w:rsidRPr="008E0219">
        <w:rPr>
          <w:szCs w:val="22"/>
        </w:rPr>
        <w:t xml:space="preserve">opper </w:t>
      </w:r>
      <w:r w:rsidR="00571EDF">
        <w:rPr>
          <w:szCs w:val="22"/>
        </w:rPr>
        <w:t>l</w:t>
      </w:r>
      <w:r w:rsidRPr="008E0219">
        <w:rPr>
          <w:szCs w:val="22"/>
        </w:rPr>
        <w:t xml:space="preserve">oop </w:t>
      </w:r>
      <w:r w:rsidR="00571EDF">
        <w:rPr>
          <w:szCs w:val="22"/>
        </w:rPr>
        <w:t>h</w:t>
      </w:r>
      <w:r w:rsidRPr="008E0219">
        <w:rPr>
          <w:szCs w:val="22"/>
        </w:rPr>
        <w:t xml:space="preserve">as </w:t>
      </w:r>
      <w:r w:rsidR="00571EDF">
        <w:rPr>
          <w:szCs w:val="22"/>
        </w:rPr>
        <w:t>b</w:t>
      </w:r>
      <w:r w:rsidR="00501BD0">
        <w:rPr>
          <w:szCs w:val="22"/>
        </w:rPr>
        <w:t xml:space="preserve">een </w:t>
      </w:r>
      <w:r w:rsidR="00D31282">
        <w:rPr>
          <w:szCs w:val="22"/>
        </w:rPr>
        <w:t>retired</w:t>
      </w:r>
      <w:r w:rsidR="00D31282" w:rsidRPr="008E0219">
        <w:rPr>
          <w:szCs w:val="22"/>
        </w:rPr>
        <w:t xml:space="preserve"> (</w:t>
      </w:r>
      <w:r w:rsidRPr="008E0219">
        <w:rPr>
          <w:szCs w:val="22"/>
        </w:rPr>
        <w:t>47 C.F.R. § 51.219(a)(3)(iii)(C))</w:t>
      </w:r>
      <w:r w:rsidR="0005534C">
        <w:rPr>
          <w:szCs w:val="22"/>
        </w:rPr>
        <w:t>.</w:t>
      </w:r>
    </w:p>
    <w:p w:rsidR="008E0219" w:rsidRDefault="008E0219" w:rsidP="008E0219">
      <w:pPr>
        <w:pStyle w:val="BodyText"/>
        <w:widowControl/>
        <w:ind w:left="720" w:right="234"/>
        <w:rPr>
          <w:szCs w:val="22"/>
        </w:rPr>
      </w:pPr>
      <w:r w:rsidRPr="008E0219">
        <w:rPr>
          <w:b/>
          <w:szCs w:val="22"/>
        </w:rPr>
        <w:t xml:space="preserve">Category 4: </w:t>
      </w:r>
      <w:r w:rsidR="00501BD0">
        <w:rPr>
          <w:szCs w:val="22"/>
        </w:rPr>
        <w:t xml:space="preserve"> All </w:t>
      </w:r>
      <w:r w:rsidR="00571EDF">
        <w:rPr>
          <w:szCs w:val="22"/>
        </w:rPr>
        <w:t>r</w:t>
      </w:r>
      <w:r w:rsidRPr="008E0219">
        <w:rPr>
          <w:szCs w:val="22"/>
        </w:rPr>
        <w:t xml:space="preserve">emaining </w:t>
      </w:r>
      <w:r w:rsidR="00501BD0" w:rsidRPr="008E0219">
        <w:rPr>
          <w:szCs w:val="22"/>
        </w:rPr>
        <w:t xml:space="preserve">47 </w:t>
      </w:r>
      <w:r w:rsidRPr="008E0219">
        <w:rPr>
          <w:szCs w:val="22"/>
        </w:rPr>
        <w:t>U</w:t>
      </w:r>
      <w:r w:rsidR="00501BD0" w:rsidRPr="008E0219">
        <w:rPr>
          <w:szCs w:val="22"/>
        </w:rPr>
        <w:t>.</w:t>
      </w:r>
      <w:r w:rsidRPr="008E0219">
        <w:rPr>
          <w:szCs w:val="22"/>
        </w:rPr>
        <w:t>S</w:t>
      </w:r>
      <w:r w:rsidR="00501BD0" w:rsidRPr="008E0219">
        <w:rPr>
          <w:szCs w:val="22"/>
        </w:rPr>
        <w:t>.</w:t>
      </w:r>
      <w:r w:rsidRPr="008E0219">
        <w:rPr>
          <w:szCs w:val="22"/>
        </w:rPr>
        <w:t>C</w:t>
      </w:r>
      <w:r w:rsidR="00501BD0" w:rsidRPr="008E0219">
        <w:rPr>
          <w:szCs w:val="22"/>
        </w:rPr>
        <w:t>. §</w:t>
      </w:r>
      <w:r w:rsidR="00501BD0">
        <w:rPr>
          <w:szCs w:val="22"/>
        </w:rPr>
        <w:t> </w:t>
      </w:r>
      <w:r w:rsidR="00501BD0" w:rsidRPr="008E0219">
        <w:rPr>
          <w:szCs w:val="22"/>
        </w:rPr>
        <w:t>214</w:t>
      </w:r>
      <w:r w:rsidR="00501BD0">
        <w:rPr>
          <w:szCs w:val="22"/>
        </w:rPr>
        <w:t>(e)</w:t>
      </w:r>
      <w:r w:rsidR="00501BD0" w:rsidRPr="008E0219">
        <w:rPr>
          <w:szCs w:val="22"/>
        </w:rPr>
        <w:t xml:space="preserve"> </w:t>
      </w:r>
      <w:r w:rsidR="00571EDF">
        <w:rPr>
          <w:szCs w:val="22"/>
        </w:rPr>
        <w:t>o</w:t>
      </w:r>
      <w:r w:rsidR="00501BD0">
        <w:rPr>
          <w:szCs w:val="22"/>
        </w:rPr>
        <w:t xml:space="preserve">bligations </w:t>
      </w:r>
      <w:r w:rsidR="00571EDF">
        <w:rPr>
          <w:szCs w:val="22"/>
        </w:rPr>
        <w:t>w</w:t>
      </w:r>
      <w:r w:rsidR="00501BD0">
        <w:rPr>
          <w:szCs w:val="22"/>
        </w:rPr>
        <w:t xml:space="preserve">here </w:t>
      </w:r>
      <w:r w:rsidR="00571EDF">
        <w:rPr>
          <w:szCs w:val="22"/>
        </w:rPr>
        <w:t>a p</w:t>
      </w:r>
      <w:r w:rsidRPr="008E0219">
        <w:rPr>
          <w:szCs w:val="22"/>
        </w:rPr>
        <w:t xml:space="preserve">rice </w:t>
      </w:r>
      <w:r w:rsidR="00571EDF">
        <w:rPr>
          <w:szCs w:val="22"/>
        </w:rPr>
        <w:t>c</w:t>
      </w:r>
      <w:r w:rsidRPr="008E0219">
        <w:rPr>
          <w:szCs w:val="22"/>
        </w:rPr>
        <w:t xml:space="preserve">ap </w:t>
      </w:r>
      <w:r w:rsidR="00571EDF">
        <w:rPr>
          <w:szCs w:val="22"/>
        </w:rPr>
        <w:t>carrier does n</w:t>
      </w:r>
      <w:r w:rsidRPr="008E0219">
        <w:rPr>
          <w:szCs w:val="22"/>
        </w:rPr>
        <w:t xml:space="preserve">ot </w:t>
      </w:r>
      <w:r w:rsidR="00571EDF">
        <w:rPr>
          <w:szCs w:val="22"/>
        </w:rPr>
        <w:t>r</w:t>
      </w:r>
      <w:r w:rsidRPr="008E0219">
        <w:rPr>
          <w:szCs w:val="22"/>
        </w:rPr>
        <w:t xml:space="preserve">eceive </w:t>
      </w:r>
      <w:r w:rsidR="00501BD0">
        <w:rPr>
          <w:szCs w:val="22"/>
        </w:rPr>
        <w:t>H</w:t>
      </w:r>
      <w:r w:rsidRPr="008E0219">
        <w:rPr>
          <w:szCs w:val="22"/>
        </w:rPr>
        <w:t xml:space="preserve">igh </w:t>
      </w:r>
      <w:r w:rsidR="00501BD0">
        <w:rPr>
          <w:szCs w:val="22"/>
        </w:rPr>
        <w:t>Cost Universal Service S</w:t>
      </w:r>
      <w:r w:rsidRPr="008E0219">
        <w:rPr>
          <w:szCs w:val="22"/>
        </w:rPr>
        <w:t>upport</w:t>
      </w:r>
      <w:r w:rsidR="00501BD0" w:rsidRPr="008E0219">
        <w:rPr>
          <w:szCs w:val="22"/>
        </w:rPr>
        <w:t xml:space="preserve">, </w:t>
      </w:r>
      <w:r w:rsidR="00571EDF">
        <w:rPr>
          <w:szCs w:val="22"/>
        </w:rPr>
        <w:t>i</w:t>
      </w:r>
      <w:r w:rsidR="00501BD0" w:rsidRPr="008E0219">
        <w:rPr>
          <w:szCs w:val="22"/>
        </w:rPr>
        <w:t xml:space="preserve">ncluding </w:t>
      </w:r>
      <w:r w:rsidRPr="008E0219">
        <w:rPr>
          <w:szCs w:val="22"/>
        </w:rPr>
        <w:t xml:space="preserve">47 C.F.R. §54.201(d).  And, the Commission’s determination that an Eligible </w:t>
      </w:r>
      <w:r w:rsidR="0005534C">
        <w:rPr>
          <w:szCs w:val="22"/>
        </w:rPr>
        <w:t>Telecommunications Carrier</w:t>
      </w:r>
      <w:r w:rsidRPr="008E0219">
        <w:rPr>
          <w:szCs w:val="22"/>
        </w:rPr>
        <w:t xml:space="preserve"> is required to provide the “supported” services throughout its service area regardless of whether such services are actually “supported” with high-co</w:t>
      </w:r>
      <w:r w:rsidR="0005534C">
        <w:rPr>
          <w:szCs w:val="22"/>
        </w:rPr>
        <w:t xml:space="preserve">st funding throughout that area </w:t>
      </w:r>
      <w:r w:rsidRPr="008E0219">
        <w:rPr>
          <w:szCs w:val="22"/>
        </w:rPr>
        <w:t xml:space="preserve"> (47 U.S.C. § 214(e); 47 C.F.R. § 54.201(d))</w:t>
      </w:r>
      <w:r w:rsidR="0005534C">
        <w:rPr>
          <w:szCs w:val="22"/>
        </w:rPr>
        <w:t>.</w:t>
      </w:r>
      <w:r w:rsidR="0005534C" w:rsidRPr="00E228C0">
        <w:rPr>
          <w:rStyle w:val="FootnoteReference"/>
          <w:sz w:val="20"/>
          <w:szCs w:val="22"/>
        </w:rPr>
        <w:footnoteReference w:id="8"/>
      </w:r>
    </w:p>
    <w:p w:rsidR="00520F58" w:rsidRPr="008E0219" w:rsidRDefault="00520F58" w:rsidP="008E0219">
      <w:pPr>
        <w:pStyle w:val="BodyText"/>
        <w:widowControl/>
        <w:ind w:left="720" w:right="234"/>
        <w:rPr>
          <w:szCs w:val="22"/>
        </w:rPr>
      </w:pPr>
    </w:p>
    <w:p w:rsidR="008E0219" w:rsidRDefault="008E0219" w:rsidP="008E0219">
      <w:pPr>
        <w:pStyle w:val="BodyText"/>
        <w:widowControl/>
        <w:ind w:left="720" w:right="234"/>
        <w:rPr>
          <w:szCs w:val="22"/>
        </w:rPr>
      </w:pPr>
      <w:r w:rsidRPr="008E0219">
        <w:rPr>
          <w:b/>
          <w:szCs w:val="22"/>
        </w:rPr>
        <w:t>Category 5</w:t>
      </w:r>
      <w:r w:rsidR="00501BD0" w:rsidRPr="008E0219">
        <w:rPr>
          <w:b/>
          <w:szCs w:val="22"/>
        </w:rPr>
        <w:t>:</w:t>
      </w:r>
      <w:r w:rsidR="00501BD0" w:rsidRPr="008E0219">
        <w:rPr>
          <w:szCs w:val="22"/>
        </w:rPr>
        <w:t xml:space="preserve">  </w:t>
      </w:r>
      <w:r w:rsidRPr="008E0219">
        <w:rPr>
          <w:szCs w:val="22"/>
        </w:rPr>
        <w:t xml:space="preserve">Remaining </w:t>
      </w:r>
      <w:r w:rsidRPr="008E0219">
        <w:rPr>
          <w:i/>
          <w:szCs w:val="22"/>
        </w:rPr>
        <w:t>Computer Inquiry</w:t>
      </w:r>
      <w:r w:rsidRPr="008E0219">
        <w:rPr>
          <w:szCs w:val="22"/>
        </w:rPr>
        <w:t xml:space="preserve"> </w:t>
      </w:r>
      <w:r w:rsidR="0005534C">
        <w:rPr>
          <w:szCs w:val="22"/>
        </w:rPr>
        <w:t>r</w:t>
      </w:r>
      <w:r w:rsidRPr="008E0219">
        <w:rPr>
          <w:szCs w:val="22"/>
        </w:rPr>
        <w:t>ules</w:t>
      </w:r>
      <w:r w:rsidR="00501BD0" w:rsidRPr="008E0219">
        <w:rPr>
          <w:szCs w:val="22"/>
        </w:rPr>
        <w:t xml:space="preserve">, </w:t>
      </w:r>
      <w:r w:rsidR="0005534C">
        <w:rPr>
          <w:szCs w:val="22"/>
        </w:rPr>
        <w:t>o</w:t>
      </w:r>
      <w:r w:rsidRPr="008E0219">
        <w:rPr>
          <w:szCs w:val="22"/>
        </w:rPr>
        <w:t xml:space="preserve">bligations </w:t>
      </w:r>
      <w:r w:rsidR="0005534C">
        <w:rPr>
          <w:szCs w:val="22"/>
        </w:rPr>
        <w:t>i</w:t>
      </w:r>
      <w:r w:rsidRPr="008E0219">
        <w:rPr>
          <w:szCs w:val="22"/>
        </w:rPr>
        <w:t xml:space="preserve">mposed </w:t>
      </w:r>
      <w:r w:rsidR="0005534C">
        <w:rPr>
          <w:szCs w:val="22"/>
        </w:rPr>
        <w:t>b</w:t>
      </w:r>
      <w:r w:rsidR="00501BD0">
        <w:rPr>
          <w:szCs w:val="22"/>
        </w:rPr>
        <w:t>y t</w:t>
      </w:r>
      <w:r w:rsidR="00501BD0" w:rsidRPr="008E0219">
        <w:rPr>
          <w:szCs w:val="22"/>
        </w:rPr>
        <w:t xml:space="preserve">he </w:t>
      </w:r>
      <w:r w:rsidRPr="008E0219">
        <w:rPr>
          <w:szCs w:val="22"/>
        </w:rPr>
        <w:t>Commission</w:t>
      </w:r>
      <w:r w:rsidR="007D05DF">
        <w:rPr>
          <w:szCs w:val="22"/>
        </w:rPr>
        <w:t>’</w:t>
      </w:r>
      <w:r w:rsidRPr="008E0219">
        <w:rPr>
          <w:szCs w:val="22"/>
        </w:rPr>
        <w:t xml:space="preserve">s </w:t>
      </w:r>
      <w:r w:rsidRPr="00E228C0">
        <w:rPr>
          <w:i/>
          <w:szCs w:val="22"/>
        </w:rPr>
        <w:t>Computer II</w:t>
      </w:r>
      <w:r w:rsidRPr="008E0219">
        <w:rPr>
          <w:szCs w:val="22"/>
        </w:rPr>
        <w:t xml:space="preserve"> </w:t>
      </w:r>
      <w:r w:rsidR="00D31282">
        <w:rPr>
          <w:szCs w:val="22"/>
        </w:rPr>
        <w:t>O</w:t>
      </w:r>
      <w:r w:rsidRPr="008E0219">
        <w:rPr>
          <w:szCs w:val="22"/>
        </w:rPr>
        <w:t>rders</w:t>
      </w:r>
      <w:r w:rsidR="00501BD0">
        <w:rPr>
          <w:szCs w:val="22"/>
        </w:rPr>
        <w:t>, a</w:t>
      </w:r>
      <w:r w:rsidR="00501BD0" w:rsidRPr="008E0219">
        <w:rPr>
          <w:szCs w:val="22"/>
        </w:rPr>
        <w:t xml:space="preserve">nd </w:t>
      </w:r>
      <w:r w:rsidR="0005534C">
        <w:rPr>
          <w:szCs w:val="22"/>
        </w:rPr>
        <w:t>o</w:t>
      </w:r>
      <w:r w:rsidR="00501BD0" w:rsidRPr="008E0219">
        <w:rPr>
          <w:szCs w:val="22"/>
        </w:rPr>
        <w:t xml:space="preserve">bligations, </w:t>
      </w:r>
      <w:r w:rsidR="0005534C">
        <w:rPr>
          <w:szCs w:val="22"/>
        </w:rPr>
        <w:t>i</w:t>
      </w:r>
      <w:r w:rsidR="00501BD0" w:rsidRPr="008E0219">
        <w:rPr>
          <w:szCs w:val="22"/>
        </w:rPr>
        <w:t xml:space="preserve">ncluding </w:t>
      </w:r>
      <w:r w:rsidRPr="008E0219">
        <w:rPr>
          <w:szCs w:val="22"/>
        </w:rPr>
        <w:t xml:space="preserve">Comparable Efficient Interconnection </w:t>
      </w:r>
      <w:r w:rsidR="00501BD0" w:rsidRPr="008E0219">
        <w:rPr>
          <w:szCs w:val="22"/>
        </w:rPr>
        <w:t>(</w:t>
      </w:r>
      <w:r w:rsidRPr="008E0219">
        <w:rPr>
          <w:szCs w:val="22"/>
        </w:rPr>
        <w:t>CEI</w:t>
      </w:r>
      <w:r w:rsidR="00501BD0" w:rsidRPr="008E0219">
        <w:rPr>
          <w:szCs w:val="22"/>
        </w:rPr>
        <w:t xml:space="preserve">) </w:t>
      </w:r>
      <w:r w:rsidR="00501BD0">
        <w:rPr>
          <w:szCs w:val="22"/>
        </w:rPr>
        <w:t>a</w:t>
      </w:r>
      <w:r w:rsidR="00501BD0" w:rsidRPr="008E0219">
        <w:rPr>
          <w:szCs w:val="22"/>
        </w:rPr>
        <w:t xml:space="preserve">nd </w:t>
      </w:r>
      <w:r w:rsidRPr="008E0219">
        <w:rPr>
          <w:szCs w:val="22"/>
        </w:rPr>
        <w:t xml:space="preserve">Open Network Architecture </w:t>
      </w:r>
      <w:r w:rsidR="00501BD0" w:rsidRPr="008E0219">
        <w:rPr>
          <w:szCs w:val="22"/>
        </w:rPr>
        <w:t>(</w:t>
      </w:r>
      <w:r w:rsidRPr="008E0219">
        <w:rPr>
          <w:szCs w:val="22"/>
        </w:rPr>
        <w:t>ONA</w:t>
      </w:r>
      <w:r w:rsidR="00501BD0" w:rsidRPr="008E0219">
        <w:rPr>
          <w:szCs w:val="22"/>
        </w:rPr>
        <w:t xml:space="preserve">), </w:t>
      </w:r>
      <w:r w:rsidR="00501BD0">
        <w:rPr>
          <w:szCs w:val="22"/>
        </w:rPr>
        <w:t>a</w:t>
      </w:r>
      <w:r w:rsidR="00501BD0" w:rsidRPr="008E0219">
        <w:rPr>
          <w:szCs w:val="22"/>
        </w:rPr>
        <w:t xml:space="preserve">nd </w:t>
      </w:r>
      <w:r w:rsidR="0005534C">
        <w:rPr>
          <w:szCs w:val="22"/>
        </w:rPr>
        <w:t>o</w:t>
      </w:r>
      <w:r w:rsidR="00501BD0" w:rsidRPr="008E0219">
        <w:rPr>
          <w:szCs w:val="22"/>
        </w:rPr>
        <w:t xml:space="preserve">ther </w:t>
      </w:r>
      <w:r w:rsidR="0005534C">
        <w:rPr>
          <w:szCs w:val="22"/>
        </w:rPr>
        <w:t>r</w:t>
      </w:r>
      <w:r w:rsidR="00501BD0" w:rsidRPr="008E0219">
        <w:rPr>
          <w:szCs w:val="22"/>
        </w:rPr>
        <w:t xml:space="preserve">equirements </w:t>
      </w:r>
      <w:r w:rsidR="0005534C">
        <w:rPr>
          <w:szCs w:val="22"/>
        </w:rPr>
        <w:t>s</w:t>
      </w:r>
      <w:r w:rsidR="00501BD0" w:rsidRPr="008E0219">
        <w:rPr>
          <w:szCs w:val="22"/>
        </w:rPr>
        <w:t xml:space="preserve">et </w:t>
      </w:r>
      <w:r w:rsidR="0005534C">
        <w:rPr>
          <w:szCs w:val="22"/>
        </w:rPr>
        <w:t>f</w:t>
      </w:r>
      <w:r w:rsidR="00501BD0" w:rsidRPr="008E0219">
        <w:rPr>
          <w:szCs w:val="22"/>
        </w:rPr>
        <w:t xml:space="preserve">orth </w:t>
      </w:r>
      <w:r w:rsidR="00501BD0">
        <w:rPr>
          <w:szCs w:val="22"/>
        </w:rPr>
        <w:t>i</w:t>
      </w:r>
      <w:r w:rsidR="00501BD0" w:rsidRPr="008E0219">
        <w:rPr>
          <w:szCs w:val="22"/>
        </w:rPr>
        <w:t xml:space="preserve">n </w:t>
      </w:r>
      <w:r w:rsidR="00501BD0">
        <w:rPr>
          <w:szCs w:val="22"/>
        </w:rPr>
        <w:t>t</w:t>
      </w:r>
      <w:r w:rsidR="00501BD0" w:rsidRPr="008E0219">
        <w:rPr>
          <w:szCs w:val="22"/>
        </w:rPr>
        <w:t xml:space="preserve">he </w:t>
      </w:r>
      <w:r w:rsidRPr="008E0219">
        <w:rPr>
          <w:szCs w:val="22"/>
        </w:rPr>
        <w:t xml:space="preserve">Commission’s </w:t>
      </w:r>
      <w:r w:rsidRPr="00E228C0">
        <w:rPr>
          <w:i/>
          <w:szCs w:val="22"/>
        </w:rPr>
        <w:t>Computer III</w:t>
      </w:r>
      <w:r w:rsidRPr="008E0219">
        <w:rPr>
          <w:szCs w:val="22"/>
        </w:rPr>
        <w:t xml:space="preserve"> </w:t>
      </w:r>
      <w:r w:rsidR="0005534C">
        <w:rPr>
          <w:szCs w:val="22"/>
        </w:rPr>
        <w:t>orders</w:t>
      </w:r>
      <w:r w:rsidRPr="008E0219">
        <w:rPr>
          <w:szCs w:val="22"/>
        </w:rPr>
        <w:t xml:space="preserve"> (47 C.F.R. § 64.702)</w:t>
      </w:r>
      <w:r w:rsidR="0005534C" w:rsidRPr="0005534C">
        <w:rPr>
          <w:rStyle w:val="FootnoteReference"/>
          <w:sz w:val="20"/>
          <w:szCs w:val="22"/>
        </w:rPr>
        <w:t xml:space="preserve"> </w:t>
      </w:r>
      <w:r w:rsidR="0005534C">
        <w:rPr>
          <w:sz w:val="20"/>
          <w:szCs w:val="22"/>
        </w:rPr>
        <w:t>.</w:t>
      </w:r>
      <w:r w:rsidR="0005534C" w:rsidRPr="00E228C0">
        <w:rPr>
          <w:rStyle w:val="FootnoteReference"/>
          <w:sz w:val="20"/>
          <w:szCs w:val="22"/>
        </w:rPr>
        <w:footnoteReference w:id="9"/>
      </w:r>
    </w:p>
    <w:p w:rsidR="00520F58" w:rsidRPr="008E0219" w:rsidRDefault="00520F58" w:rsidP="008E0219">
      <w:pPr>
        <w:pStyle w:val="BodyText"/>
        <w:widowControl/>
        <w:ind w:left="720" w:right="234"/>
        <w:rPr>
          <w:szCs w:val="22"/>
        </w:rPr>
      </w:pPr>
    </w:p>
    <w:p w:rsidR="008E0219" w:rsidRDefault="008E0219" w:rsidP="008E0219">
      <w:pPr>
        <w:pStyle w:val="BodyText"/>
        <w:widowControl/>
        <w:ind w:left="720" w:right="234"/>
      </w:pPr>
      <w:r w:rsidRPr="008E0219">
        <w:rPr>
          <w:b/>
          <w:szCs w:val="22"/>
        </w:rPr>
        <w:t>Category 6:</w:t>
      </w:r>
      <w:r w:rsidRPr="008E0219">
        <w:rPr>
          <w:szCs w:val="22"/>
        </w:rPr>
        <w:t xml:space="preserve">  Requirement to </w:t>
      </w:r>
      <w:r w:rsidR="0005534C">
        <w:rPr>
          <w:szCs w:val="22"/>
        </w:rPr>
        <w:t>p</w:t>
      </w:r>
      <w:r w:rsidRPr="008E0219">
        <w:rPr>
          <w:szCs w:val="22"/>
        </w:rPr>
        <w:t xml:space="preserve">rovide </w:t>
      </w:r>
      <w:r w:rsidR="0005534C">
        <w:rPr>
          <w:szCs w:val="22"/>
        </w:rPr>
        <w:t>a</w:t>
      </w:r>
      <w:r w:rsidRPr="008E0219">
        <w:rPr>
          <w:szCs w:val="22"/>
        </w:rPr>
        <w:t xml:space="preserve">ccess to </w:t>
      </w:r>
      <w:r w:rsidR="0005534C">
        <w:rPr>
          <w:szCs w:val="22"/>
        </w:rPr>
        <w:t>n</w:t>
      </w:r>
      <w:r w:rsidR="00501BD0">
        <w:rPr>
          <w:szCs w:val="22"/>
        </w:rPr>
        <w:t xml:space="preserve">ewly </w:t>
      </w:r>
      <w:r w:rsidR="0005534C">
        <w:rPr>
          <w:szCs w:val="22"/>
        </w:rPr>
        <w:t>d</w:t>
      </w:r>
      <w:r w:rsidR="00501BD0">
        <w:rPr>
          <w:szCs w:val="22"/>
        </w:rPr>
        <w:t xml:space="preserve">eployed </w:t>
      </w:r>
      <w:r w:rsidR="0005534C">
        <w:rPr>
          <w:szCs w:val="22"/>
        </w:rPr>
        <w:t>e</w:t>
      </w:r>
      <w:r w:rsidR="00501BD0">
        <w:rPr>
          <w:szCs w:val="22"/>
        </w:rPr>
        <w:t xml:space="preserve">ntrance </w:t>
      </w:r>
      <w:r w:rsidR="0005534C">
        <w:rPr>
          <w:szCs w:val="22"/>
        </w:rPr>
        <w:t>c</w:t>
      </w:r>
      <w:r w:rsidR="00501BD0">
        <w:rPr>
          <w:szCs w:val="22"/>
        </w:rPr>
        <w:t xml:space="preserve">onduit </w:t>
      </w:r>
      <w:r w:rsidR="0005534C">
        <w:rPr>
          <w:szCs w:val="22"/>
        </w:rPr>
        <w:t>a</w:t>
      </w:r>
      <w:r w:rsidRPr="008E0219">
        <w:rPr>
          <w:szCs w:val="22"/>
        </w:rPr>
        <w:t xml:space="preserve">t </w:t>
      </w:r>
      <w:r w:rsidR="0005534C">
        <w:rPr>
          <w:szCs w:val="22"/>
        </w:rPr>
        <w:t>r</w:t>
      </w:r>
      <w:r w:rsidRPr="008E0219">
        <w:rPr>
          <w:szCs w:val="22"/>
        </w:rPr>
        <w:t>egulate</w:t>
      </w:r>
      <w:r w:rsidR="007D05DF">
        <w:rPr>
          <w:szCs w:val="22"/>
        </w:rPr>
        <w:t>d</w:t>
      </w:r>
      <w:r w:rsidRPr="008E0219">
        <w:rPr>
          <w:szCs w:val="22"/>
        </w:rPr>
        <w:t xml:space="preserve"> </w:t>
      </w:r>
      <w:r w:rsidR="00D31282">
        <w:rPr>
          <w:szCs w:val="22"/>
        </w:rPr>
        <w:t>rates</w:t>
      </w:r>
      <w:r w:rsidR="00D31282" w:rsidRPr="008E0219">
        <w:rPr>
          <w:szCs w:val="22"/>
        </w:rPr>
        <w:t xml:space="preserve"> </w:t>
      </w:r>
      <w:r w:rsidR="00D31282">
        <w:rPr>
          <w:szCs w:val="22"/>
        </w:rPr>
        <w:t>(</w:t>
      </w:r>
      <w:r w:rsidRPr="008E0219">
        <w:rPr>
          <w:szCs w:val="22"/>
        </w:rPr>
        <w:t>47 U.S.C. §§ 224, 251(b)(4))</w:t>
      </w:r>
      <w:r w:rsidR="0005534C">
        <w:rPr>
          <w:szCs w:val="22"/>
        </w:rPr>
        <w:t>.</w:t>
      </w:r>
    </w:p>
    <w:p w:rsidR="00520F58" w:rsidRDefault="00520F58" w:rsidP="008E0219">
      <w:pPr>
        <w:pStyle w:val="BodyText"/>
        <w:widowControl/>
        <w:ind w:left="720" w:right="234"/>
      </w:pPr>
    </w:p>
    <w:p w:rsidR="008E0219" w:rsidRPr="008E0219" w:rsidRDefault="008E0219" w:rsidP="008E0219">
      <w:pPr>
        <w:keepNext/>
        <w:ind w:left="720" w:right="230"/>
        <w:rPr>
          <w:color w:val="000000"/>
          <w:szCs w:val="22"/>
        </w:rPr>
      </w:pPr>
      <w:r w:rsidRPr="008E0219">
        <w:rPr>
          <w:b/>
          <w:szCs w:val="22"/>
        </w:rPr>
        <w:t xml:space="preserve">Category 7:  </w:t>
      </w:r>
      <w:r w:rsidRPr="008E0219">
        <w:rPr>
          <w:color w:val="000000"/>
          <w:szCs w:val="22"/>
        </w:rPr>
        <w:t xml:space="preserve">Rules </w:t>
      </w:r>
      <w:r w:rsidR="0005534C">
        <w:rPr>
          <w:color w:val="000000"/>
          <w:szCs w:val="22"/>
        </w:rPr>
        <w:t>p</w:t>
      </w:r>
      <w:r w:rsidRPr="008E0219">
        <w:rPr>
          <w:color w:val="000000"/>
          <w:szCs w:val="22"/>
        </w:rPr>
        <w:t xml:space="preserve">rohibiting </w:t>
      </w:r>
      <w:r w:rsidR="005C3C39">
        <w:rPr>
          <w:color w:val="000000"/>
          <w:szCs w:val="22"/>
        </w:rPr>
        <w:t>price c</w:t>
      </w:r>
      <w:r w:rsidR="0005534C">
        <w:rPr>
          <w:color w:val="000000"/>
          <w:szCs w:val="22"/>
        </w:rPr>
        <w:t xml:space="preserve">ap incumbent </w:t>
      </w:r>
      <w:r w:rsidRPr="008E0219">
        <w:rPr>
          <w:color w:val="000000"/>
          <w:szCs w:val="22"/>
        </w:rPr>
        <w:t xml:space="preserve">LECs’ </w:t>
      </w:r>
      <w:r w:rsidR="0005534C">
        <w:rPr>
          <w:color w:val="000000"/>
          <w:szCs w:val="22"/>
        </w:rPr>
        <w:t>u</w:t>
      </w:r>
      <w:r w:rsidRPr="008E0219">
        <w:rPr>
          <w:color w:val="000000"/>
          <w:szCs w:val="22"/>
        </w:rPr>
        <w:t xml:space="preserve">se of </w:t>
      </w:r>
      <w:r w:rsidR="0005534C">
        <w:rPr>
          <w:color w:val="000000"/>
          <w:szCs w:val="22"/>
        </w:rPr>
        <w:t>contract tariffs for business data services in a</w:t>
      </w:r>
      <w:r w:rsidRPr="008E0219">
        <w:rPr>
          <w:color w:val="000000"/>
          <w:szCs w:val="22"/>
        </w:rPr>
        <w:t xml:space="preserve">ll </w:t>
      </w:r>
      <w:r w:rsidR="0005534C">
        <w:rPr>
          <w:color w:val="000000"/>
          <w:szCs w:val="22"/>
        </w:rPr>
        <w:t>r</w:t>
      </w:r>
      <w:r w:rsidRPr="008E0219">
        <w:rPr>
          <w:color w:val="000000"/>
          <w:szCs w:val="22"/>
        </w:rPr>
        <w:t>egions.  And, if necessary, the requirement that packet-switched or optical transmission services be subject to price cap regulation in order to be e</w:t>
      </w:r>
      <w:r w:rsidR="0005534C">
        <w:rPr>
          <w:color w:val="000000"/>
          <w:szCs w:val="22"/>
        </w:rPr>
        <w:t>ligible for pricing flexibility</w:t>
      </w:r>
      <w:r w:rsidRPr="008E0219">
        <w:rPr>
          <w:szCs w:val="22"/>
        </w:rPr>
        <w:t xml:space="preserve"> (47 C.F.R. §§ 61.3(o), 61.55(a), 69.709(b), 69.711(b), 69.727(a), 69.705)</w:t>
      </w:r>
      <w:r w:rsidR="0005534C">
        <w:rPr>
          <w:szCs w:val="22"/>
        </w:rPr>
        <w:t>.</w:t>
      </w:r>
      <w:r w:rsidR="0005534C" w:rsidRPr="00E228C0">
        <w:rPr>
          <w:rStyle w:val="FootnoteReference"/>
          <w:sz w:val="20"/>
          <w:szCs w:val="22"/>
        </w:rPr>
        <w:footnoteReference w:id="10"/>
      </w:r>
    </w:p>
    <w:p w:rsidR="008E0219" w:rsidRDefault="008E0219" w:rsidP="008E0219">
      <w:pPr>
        <w:pStyle w:val="BodyText"/>
        <w:widowControl/>
        <w:ind w:right="234"/>
        <w:rPr>
          <w:b/>
        </w:rPr>
      </w:pPr>
    </w:p>
    <w:p w:rsidR="008E0219" w:rsidRDefault="008E0219" w:rsidP="008E0219">
      <w:pPr>
        <w:spacing w:before="120" w:after="240"/>
        <w:ind w:firstLine="720"/>
        <w:rPr>
          <w:szCs w:val="22"/>
        </w:rPr>
      </w:pPr>
      <w:r>
        <w:rPr>
          <w:szCs w:val="22"/>
        </w:rPr>
        <w:t xml:space="preserve">Interested parties may file comments on or oppositions to the 2014 USTelecom </w:t>
      </w:r>
      <w:r w:rsidR="00C42222">
        <w:rPr>
          <w:szCs w:val="22"/>
        </w:rPr>
        <w:t xml:space="preserve">Forbearance </w:t>
      </w:r>
      <w:r>
        <w:rPr>
          <w:szCs w:val="22"/>
        </w:rPr>
        <w:t>Petition on or before</w:t>
      </w:r>
      <w:r w:rsidR="00D31282">
        <w:rPr>
          <w:b/>
          <w:szCs w:val="22"/>
        </w:rPr>
        <w:t xml:space="preserve"> December </w:t>
      </w:r>
      <w:r w:rsidR="000F42BE">
        <w:rPr>
          <w:b/>
          <w:szCs w:val="22"/>
        </w:rPr>
        <w:t>5</w:t>
      </w:r>
      <w:r>
        <w:rPr>
          <w:b/>
          <w:szCs w:val="22"/>
        </w:rPr>
        <w:t>, 2014</w:t>
      </w:r>
      <w:r w:rsidR="00C42222">
        <w:rPr>
          <w:b/>
          <w:szCs w:val="22"/>
        </w:rPr>
        <w:t>,</w:t>
      </w:r>
      <w:r>
        <w:rPr>
          <w:b/>
          <w:szCs w:val="22"/>
        </w:rPr>
        <w:t xml:space="preserve"> </w:t>
      </w:r>
      <w:r>
        <w:rPr>
          <w:szCs w:val="22"/>
        </w:rPr>
        <w:t>and repl</w:t>
      </w:r>
      <w:r w:rsidR="00C42222">
        <w:rPr>
          <w:szCs w:val="22"/>
        </w:rPr>
        <w:t xml:space="preserve">ies thereo </w:t>
      </w:r>
      <w:r>
        <w:rPr>
          <w:szCs w:val="22"/>
        </w:rPr>
        <w:t xml:space="preserve">on or before </w:t>
      </w:r>
      <w:r w:rsidR="000F42BE">
        <w:rPr>
          <w:b/>
          <w:szCs w:val="22"/>
        </w:rPr>
        <w:t>December 22</w:t>
      </w:r>
      <w:r>
        <w:rPr>
          <w:b/>
          <w:szCs w:val="22"/>
        </w:rPr>
        <w:t>, 2014</w:t>
      </w:r>
      <w:r w:rsidRPr="007D2E57">
        <w:rPr>
          <w:b/>
          <w:szCs w:val="22"/>
        </w:rPr>
        <w:t>.</w:t>
      </w:r>
      <w:r>
        <w:rPr>
          <w:b/>
          <w:szCs w:val="22"/>
        </w:rPr>
        <w:t xml:space="preserve">  </w:t>
      </w:r>
      <w:r>
        <w:rPr>
          <w:szCs w:val="22"/>
        </w:rPr>
        <w:t xml:space="preserve">All pleadings should reference </w:t>
      </w:r>
      <w:r>
        <w:rPr>
          <w:b/>
          <w:szCs w:val="22"/>
        </w:rPr>
        <w:t>WC Docket No. 14-</w:t>
      </w:r>
      <w:r w:rsidR="005F17AA">
        <w:rPr>
          <w:b/>
          <w:szCs w:val="22"/>
        </w:rPr>
        <w:t>192</w:t>
      </w:r>
      <w:r>
        <w:rPr>
          <w:szCs w:val="22"/>
        </w:rPr>
        <w:t xml:space="preserve">.  Parties should also clearly identify in their </w:t>
      </w:r>
      <w:r w:rsidR="007D05DF">
        <w:rPr>
          <w:szCs w:val="22"/>
        </w:rPr>
        <w:t>t</w:t>
      </w:r>
      <w:r>
        <w:rPr>
          <w:szCs w:val="22"/>
        </w:rPr>
        <w:t xml:space="preserve">able of </w:t>
      </w:r>
      <w:r w:rsidR="007D05DF">
        <w:rPr>
          <w:szCs w:val="22"/>
        </w:rPr>
        <w:t>c</w:t>
      </w:r>
      <w:r>
        <w:rPr>
          <w:szCs w:val="22"/>
        </w:rPr>
        <w:t>onten</w:t>
      </w:r>
      <w:r w:rsidR="007D05DF">
        <w:rPr>
          <w:szCs w:val="22"/>
        </w:rPr>
        <w:t>t</w:t>
      </w:r>
      <w:r>
        <w:rPr>
          <w:szCs w:val="22"/>
        </w:rPr>
        <w:t xml:space="preserve">s </w:t>
      </w:r>
      <w:r w:rsidR="007D05DF">
        <w:rPr>
          <w:szCs w:val="22"/>
        </w:rPr>
        <w:t>and/</w:t>
      </w:r>
      <w:r>
        <w:rPr>
          <w:szCs w:val="22"/>
        </w:rPr>
        <w:t>o</w:t>
      </w:r>
      <w:r w:rsidR="007D05DF">
        <w:rPr>
          <w:szCs w:val="22"/>
        </w:rPr>
        <w:t>r</w:t>
      </w:r>
      <w:r>
        <w:rPr>
          <w:szCs w:val="22"/>
        </w:rPr>
        <w:t xml:space="preserve"> opening summary of their comments and reply comments which of the seven regulatory categories their comments </w:t>
      </w:r>
      <w:r w:rsidR="005A36EE">
        <w:rPr>
          <w:szCs w:val="22"/>
        </w:rPr>
        <w:t>address</w:t>
      </w:r>
      <w:r>
        <w:rPr>
          <w:szCs w:val="22"/>
        </w:rPr>
        <w:t>.</w:t>
      </w:r>
      <w:r w:rsidRPr="008E0219">
        <w:rPr>
          <w:rStyle w:val="FootnoteReference"/>
          <w:sz w:val="20"/>
          <w:szCs w:val="22"/>
        </w:rPr>
        <w:t xml:space="preserve"> </w:t>
      </w:r>
      <w:r w:rsidRPr="00975426">
        <w:rPr>
          <w:rStyle w:val="FootnoteReference"/>
          <w:sz w:val="20"/>
          <w:szCs w:val="22"/>
        </w:rPr>
        <w:footnoteReference w:id="11"/>
      </w:r>
      <w:r>
        <w:rPr>
          <w:sz w:val="20"/>
          <w:szCs w:val="22"/>
        </w:rPr>
        <w:t xml:space="preserve">  </w:t>
      </w:r>
      <w:r>
        <w:rPr>
          <w:szCs w:val="22"/>
        </w:rPr>
        <w:t xml:space="preserve">For example, if a party files comments relating to equal access and </w:t>
      </w:r>
      <w:r w:rsidR="00C42222">
        <w:rPr>
          <w:szCs w:val="22"/>
        </w:rPr>
        <w:t>s</w:t>
      </w:r>
      <w:r>
        <w:rPr>
          <w:szCs w:val="22"/>
        </w:rPr>
        <w:t>ection 271 and 272 obligations, the caption should reference WC Docket No. 14-</w:t>
      </w:r>
      <w:r w:rsidR="005F17AA">
        <w:rPr>
          <w:szCs w:val="22"/>
        </w:rPr>
        <w:t>192</w:t>
      </w:r>
      <w:r>
        <w:rPr>
          <w:szCs w:val="22"/>
        </w:rPr>
        <w:t xml:space="preserve">, and the </w:t>
      </w:r>
      <w:r w:rsidR="007D05DF">
        <w:rPr>
          <w:szCs w:val="22"/>
        </w:rPr>
        <w:t>t</w:t>
      </w:r>
      <w:r>
        <w:rPr>
          <w:szCs w:val="22"/>
        </w:rPr>
        <w:t xml:space="preserve">able of </w:t>
      </w:r>
      <w:r w:rsidR="007D05DF">
        <w:rPr>
          <w:szCs w:val="22"/>
        </w:rPr>
        <w:t>c</w:t>
      </w:r>
      <w:r>
        <w:rPr>
          <w:szCs w:val="22"/>
        </w:rPr>
        <w:t xml:space="preserve">ontents and/or opening summary should clearly state that </w:t>
      </w:r>
      <w:r w:rsidR="0005534C">
        <w:rPr>
          <w:szCs w:val="22"/>
        </w:rPr>
        <w:t>the comments respond</w:t>
      </w:r>
      <w:r w:rsidRPr="0069026E">
        <w:rPr>
          <w:szCs w:val="22"/>
        </w:rPr>
        <w:t xml:space="preserve"> to</w:t>
      </w:r>
      <w:r w:rsidR="007D05DF">
        <w:rPr>
          <w:szCs w:val="22"/>
        </w:rPr>
        <w:t xml:space="preserve"> </w:t>
      </w:r>
      <w:r w:rsidR="00981624">
        <w:rPr>
          <w:szCs w:val="22"/>
        </w:rPr>
        <w:t>“</w:t>
      </w:r>
      <w:r w:rsidR="005C3C39">
        <w:rPr>
          <w:szCs w:val="22"/>
        </w:rPr>
        <w:t>Category 1</w:t>
      </w:r>
      <w:r>
        <w:rPr>
          <w:szCs w:val="22"/>
        </w:rPr>
        <w:t>.</w:t>
      </w:r>
      <w:r w:rsidR="00981624">
        <w:rPr>
          <w:szCs w:val="22"/>
        </w:rPr>
        <w:t>”</w:t>
      </w:r>
    </w:p>
    <w:p w:rsidR="008E0219" w:rsidRDefault="005C3C39" w:rsidP="005C3C39">
      <w:pPr>
        <w:ind w:firstLine="720"/>
      </w:pPr>
      <w:r>
        <w:t>Pursuant to section</w:t>
      </w:r>
      <w:r w:rsidR="008E0219" w:rsidRPr="00915197">
        <w:t xml:space="preserve"> 1.</w:t>
      </w:r>
      <w:r>
        <w:t>55</w:t>
      </w:r>
      <w:r w:rsidR="008E0219" w:rsidRPr="00915197">
        <w:t xml:space="preserve"> of </w:t>
      </w:r>
      <w:r>
        <w:t>the Commission’s rules,</w:t>
      </w:r>
      <w:r w:rsidR="00C42222">
        <w:rPr>
          <w:rStyle w:val="FootnoteReference"/>
        </w:rPr>
        <w:footnoteReference w:id="12"/>
      </w:r>
      <w:r>
        <w:t xml:space="preserve"> </w:t>
      </w:r>
      <w:r w:rsidR="008E0219" w:rsidRPr="00915197">
        <w:t xml:space="preserve">interested parties may file comments </w:t>
      </w:r>
      <w:r w:rsidR="00C42222">
        <w:t xml:space="preserve">or oppositions, </w:t>
      </w:r>
      <w:r w:rsidR="008E0219" w:rsidRPr="00915197">
        <w:t>and repl</w:t>
      </w:r>
      <w:r w:rsidR="00E93883">
        <w:t>ies thereto</w:t>
      </w:r>
      <w:r w:rsidR="00C42222">
        <w:t xml:space="preserve">, </w:t>
      </w:r>
      <w:r w:rsidR="008E0219" w:rsidRPr="00915197">
        <w:t>on or before the dates indicated on the first page of this document.  Comments</w:t>
      </w:r>
      <w:r w:rsidR="00E93883">
        <w:t>, oppositions, and replies</w:t>
      </w:r>
      <w:r w:rsidR="008E0219" w:rsidRPr="00915197">
        <w:t xml:space="preserve"> may be filed </w:t>
      </w:r>
      <w:r w:rsidR="00E93883">
        <w:t xml:space="preserve">by paper copies or by </w:t>
      </w:r>
      <w:r w:rsidR="008E0219" w:rsidRPr="00915197">
        <w:t>using the Commission’s Electronic Comment Filing System (ECFS).</w:t>
      </w:r>
      <w:r w:rsidR="00C42222">
        <w:rPr>
          <w:rStyle w:val="FootnoteReference"/>
        </w:rPr>
        <w:footnoteReference w:id="13"/>
      </w:r>
      <w:r w:rsidR="008E0219" w:rsidRPr="00915197">
        <w:t xml:space="preserve">  </w:t>
      </w:r>
    </w:p>
    <w:p w:rsidR="008E0219" w:rsidRDefault="008E0219" w:rsidP="008E0219"/>
    <w:p w:rsidR="008E0219" w:rsidRPr="008E0219" w:rsidRDefault="008E0219" w:rsidP="008E0219">
      <w:pPr>
        <w:numPr>
          <w:ilvl w:val="0"/>
          <w:numId w:val="15"/>
        </w:numPr>
        <w:rPr>
          <w:szCs w:val="22"/>
        </w:rPr>
      </w:pPr>
      <w:r w:rsidRPr="008E0219">
        <w:rPr>
          <w:szCs w:val="22"/>
        </w:rPr>
        <w:t xml:space="preserve">Electronic Filers:  </w:t>
      </w:r>
      <w:r w:rsidR="00E93883" w:rsidRPr="00915197">
        <w:t>Comments</w:t>
      </w:r>
      <w:r w:rsidR="00E93883">
        <w:t>, oppositions, and replies</w:t>
      </w:r>
      <w:r w:rsidRPr="008E0219">
        <w:rPr>
          <w:szCs w:val="22"/>
        </w:rPr>
        <w:t xml:space="preserve"> may be filed electronically using the Internet by accessing the ECFS:  </w:t>
      </w:r>
      <w:r w:rsidRPr="00340F67">
        <w:rPr>
          <w:szCs w:val="22"/>
        </w:rPr>
        <w:t>http://fjallfoss.fcc.gov/ecfs2/</w:t>
      </w:r>
      <w:r w:rsidRPr="008E0219">
        <w:rPr>
          <w:szCs w:val="22"/>
        </w:rPr>
        <w:t xml:space="preserve">.  </w:t>
      </w:r>
    </w:p>
    <w:p w:rsidR="008E0219" w:rsidRPr="008E0219" w:rsidRDefault="008E0219" w:rsidP="008E0219">
      <w:pPr>
        <w:rPr>
          <w:szCs w:val="22"/>
        </w:rPr>
      </w:pPr>
    </w:p>
    <w:p w:rsidR="008E0219" w:rsidRPr="008E0219" w:rsidRDefault="008E0219" w:rsidP="00D5089C">
      <w:pPr>
        <w:numPr>
          <w:ilvl w:val="0"/>
          <w:numId w:val="13"/>
        </w:numPr>
        <w:rPr>
          <w:szCs w:val="22"/>
        </w:rPr>
      </w:pPr>
      <w:r w:rsidRPr="008E0219">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8E0219" w:rsidRPr="008E0219" w:rsidRDefault="008E0219" w:rsidP="008E0219">
      <w:pPr>
        <w:rPr>
          <w:szCs w:val="22"/>
        </w:rPr>
      </w:pPr>
    </w:p>
    <w:p w:rsidR="008E0219" w:rsidRPr="008E0219" w:rsidRDefault="008E0219" w:rsidP="008E0219">
      <w:pPr>
        <w:numPr>
          <w:ilvl w:val="0"/>
          <w:numId w:val="14"/>
        </w:numPr>
        <w:rPr>
          <w:szCs w:val="22"/>
        </w:rPr>
      </w:pPr>
      <w:r w:rsidRPr="008E0219">
        <w:rPr>
          <w:szCs w:val="22"/>
        </w:rPr>
        <w:t>All hand-delivered or messenger-delivered paper filings for the Commission’s Secretary must be delivered to FCC Headquarters at 445 12</w:t>
      </w:r>
      <w:r w:rsidRPr="008E0219">
        <w:rPr>
          <w:szCs w:val="22"/>
          <w:vertAlign w:val="superscript"/>
        </w:rPr>
        <w:t>th</w:t>
      </w:r>
      <w:r w:rsidRPr="008E0219">
        <w:rPr>
          <w:szCs w:val="22"/>
        </w:rPr>
        <w:t xml:space="preserve"> St., SW, Room TW-A325, Washington, DC 20554.  The filing hours are 8:00 a.m. to 7:00 p.m.   All hand deliveries must be held together with rubber bands or fasteners.  Any envelopes and boxes must be disposed of </w:t>
      </w:r>
      <w:r w:rsidRPr="008E0219">
        <w:rPr>
          <w:szCs w:val="22"/>
          <w:u w:val="single"/>
        </w:rPr>
        <w:t>before</w:t>
      </w:r>
      <w:r w:rsidRPr="008E0219">
        <w:rPr>
          <w:szCs w:val="22"/>
        </w:rPr>
        <w:t xml:space="preserve"> entering the building.  </w:t>
      </w:r>
    </w:p>
    <w:p w:rsidR="008E0219" w:rsidRPr="008E0219" w:rsidRDefault="008E0219" w:rsidP="008E0219">
      <w:pPr>
        <w:ind w:left="1080"/>
        <w:rPr>
          <w:szCs w:val="22"/>
        </w:rPr>
      </w:pPr>
    </w:p>
    <w:p w:rsidR="008E0219" w:rsidRPr="008E0219" w:rsidRDefault="008E0219" w:rsidP="008E0219">
      <w:pPr>
        <w:numPr>
          <w:ilvl w:val="0"/>
          <w:numId w:val="14"/>
        </w:numPr>
        <w:rPr>
          <w:szCs w:val="22"/>
        </w:rPr>
      </w:pPr>
      <w:r w:rsidRPr="008E0219">
        <w:rPr>
          <w:szCs w:val="22"/>
        </w:rPr>
        <w:t>Commercial overnight mail (other than U.S. Postal Service Express Mail and Priority Mail) must be sent to 9300 East Hampton Drive, Capitol Heights, MD  20743.</w:t>
      </w:r>
    </w:p>
    <w:p w:rsidR="008E0219" w:rsidRPr="008E0219" w:rsidRDefault="008E0219" w:rsidP="008E0219">
      <w:pPr>
        <w:rPr>
          <w:szCs w:val="22"/>
        </w:rPr>
      </w:pPr>
    </w:p>
    <w:p w:rsidR="008E0219" w:rsidRPr="008E0219" w:rsidRDefault="008E0219" w:rsidP="008E0219">
      <w:pPr>
        <w:numPr>
          <w:ilvl w:val="0"/>
          <w:numId w:val="14"/>
        </w:numPr>
        <w:rPr>
          <w:szCs w:val="22"/>
        </w:rPr>
      </w:pPr>
      <w:r w:rsidRPr="008E0219">
        <w:rPr>
          <w:szCs w:val="22"/>
        </w:rPr>
        <w:t>U.S. Postal Service first-class, Express, and Priority mail must be addressed to 445 12</w:t>
      </w:r>
      <w:r w:rsidRPr="008E0219">
        <w:rPr>
          <w:szCs w:val="22"/>
          <w:vertAlign w:val="superscript"/>
        </w:rPr>
        <w:t>th</w:t>
      </w:r>
      <w:r w:rsidRPr="008E0219">
        <w:rPr>
          <w:szCs w:val="22"/>
        </w:rPr>
        <w:t xml:space="preserve"> Street, SW, Washington DC  20554.</w:t>
      </w:r>
    </w:p>
    <w:p w:rsidR="008E0219" w:rsidRPr="008E0219" w:rsidRDefault="008E0219" w:rsidP="008E0219">
      <w:pPr>
        <w:pStyle w:val="ListParagraph"/>
        <w:rPr>
          <w:szCs w:val="22"/>
        </w:rPr>
      </w:pPr>
    </w:p>
    <w:p w:rsidR="008E0219" w:rsidRPr="008E0219" w:rsidRDefault="008E0219" w:rsidP="008E0219">
      <w:pPr>
        <w:pStyle w:val="ParaNum"/>
        <w:widowControl/>
        <w:numPr>
          <w:ilvl w:val="0"/>
          <w:numId w:val="0"/>
        </w:numPr>
        <w:tabs>
          <w:tab w:val="num" w:pos="1080"/>
          <w:tab w:val="left" w:pos="1440"/>
        </w:tabs>
        <w:spacing w:after="240"/>
        <w:ind w:firstLine="720"/>
        <w:jc w:val="left"/>
        <w:rPr>
          <w:szCs w:val="22"/>
        </w:rPr>
      </w:pPr>
      <w:r w:rsidRPr="008E0219">
        <w:rPr>
          <w:szCs w:val="22"/>
        </w:rPr>
        <w:t xml:space="preserve">People with Disabilities:  To request materials in accessible formats for people with disabilities (braille, large print, electronic files, audio format), send an e-mail to </w:t>
      </w:r>
      <w:r w:rsidRPr="00501BD0">
        <w:rPr>
          <w:szCs w:val="22"/>
        </w:rPr>
        <w:t>fcc504@fcc.gov</w:t>
      </w:r>
      <w:r w:rsidRPr="008E0219">
        <w:rPr>
          <w:szCs w:val="22"/>
        </w:rPr>
        <w:t xml:space="preserve"> or call the Consumer &amp; Governmental Affairs Bureau at 202-418-0530 (voice), 202-418-0432 (tty).</w:t>
      </w:r>
    </w:p>
    <w:p w:rsidR="008E0219" w:rsidRPr="008E0219" w:rsidRDefault="008E0219" w:rsidP="008E0219">
      <w:pPr>
        <w:ind w:firstLine="720"/>
        <w:rPr>
          <w:szCs w:val="22"/>
        </w:rPr>
      </w:pPr>
      <w:r w:rsidRPr="008E0219">
        <w:rPr>
          <w:szCs w:val="22"/>
        </w:rPr>
        <w:t xml:space="preserve">The proceeding this Notice initiates shall be treated as a “permit-but-disclose” proceeding in accordance with the Commission’s </w:t>
      </w:r>
      <w:r w:rsidRPr="008E0219">
        <w:rPr>
          <w:i/>
          <w:iCs/>
          <w:szCs w:val="22"/>
        </w:rPr>
        <w:t xml:space="preserve">ex parte </w:t>
      </w:r>
      <w:r w:rsidRPr="008E0219">
        <w:rPr>
          <w:szCs w:val="22"/>
        </w:rPr>
        <w:t>rules.</w:t>
      </w:r>
      <w:r w:rsidRPr="00E228C0">
        <w:rPr>
          <w:rStyle w:val="FootnoteReference"/>
          <w:sz w:val="20"/>
          <w:szCs w:val="22"/>
        </w:rPr>
        <w:footnoteReference w:id="14"/>
      </w:r>
      <w:r w:rsidRPr="008E0219">
        <w:rPr>
          <w:szCs w:val="22"/>
        </w:rPr>
        <w:t xml:space="preserve">  Persons making </w:t>
      </w:r>
      <w:r w:rsidRPr="008E0219">
        <w:rPr>
          <w:i/>
          <w:szCs w:val="22"/>
        </w:rPr>
        <w:t xml:space="preserve">ex parte </w:t>
      </w:r>
      <w:r w:rsidRPr="008E0219">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8E0219">
        <w:rPr>
          <w:i/>
          <w:iCs/>
          <w:szCs w:val="22"/>
        </w:rPr>
        <w:t xml:space="preserve">ex parte </w:t>
      </w:r>
      <w:r w:rsidRPr="008E0219">
        <w:rPr>
          <w:szCs w:val="22"/>
        </w:rPr>
        <w:t xml:space="preserve">presentations are reminded that memoranda summarizing the presentation must (1) list all persons attending or otherwise participating in the meeting at which the </w:t>
      </w:r>
      <w:r w:rsidRPr="008E0219">
        <w:rPr>
          <w:i/>
          <w:iCs/>
          <w:szCs w:val="22"/>
        </w:rPr>
        <w:t xml:space="preserve">ex parte </w:t>
      </w:r>
      <w:r w:rsidRPr="008E0219">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E0219">
        <w:rPr>
          <w:i/>
          <w:iCs/>
          <w:szCs w:val="22"/>
        </w:rPr>
        <w:t xml:space="preserve">ex parte </w:t>
      </w:r>
      <w:r w:rsidRPr="008E0219">
        <w:rPr>
          <w:szCs w:val="22"/>
        </w:rPr>
        <w:t xml:space="preserve">meetings are deemed to be written </w:t>
      </w:r>
      <w:r w:rsidRPr="008E0219">
        <w:rPr>
          <w:i/>
          <w:iCs/>
          <w:szCs w:val="22"/>
        </w:rPr>
        <w:t>ex parte</w:t>
      </w:r>
      <w:r w:rsidRPr="008E0219">
        <w:rPr>
          <w:szCs w:val="22"/>
        </w:rPr>
        <w:t xml:space="preserve"> presentations and must be filed consistent with rule 1.1206(b).  In proceedings governed by rule 1.49(f) or for which the Commission has made available a method of electronic filing, written </w:t>
      </w:r>
      <w:r w:rsidRPr="008E0219">
        <w:rPr>
          <w:i/>
          <w:iCs/>
          <w:szCs w:val="22"/>
        </w:rPr>
        <w:t xml:space="preserve">ex parte </w:t>
      </w:r>
      <w:r w:rsidRPr="008E0219">
        <w:rPr>
          <w:szCs w:val="22"/>
        </w:rPr>
        <w:t xml:space="preserve">presentations and memoranda summarizing oral </w:t>
      </w:r>
      <w:r w:rsidRPr="008E0219">
        <w:rPr>
          <w:i/>
          <w:iCs/>
          <w:szCs w:val="22"/>
        </w:rPr>
        <w:t xml:space="preserve">ex parte </w:t>
      </w:r>
      <w:r w:rsidRPr="008E0219">
        <w:rPr>
          <w:szCs w:val="22"/>
        </w:rPr>
        <w:t>presentations, and all attachments thereto, must be filed through the electronic comment filing system available for that proceeding, and must be filed in their native format (</w:t>
      </w:r>
      <w:r w:rsidRPr="008E0219">
        <w:rPr>
          <w:i/>
          <w:iCs/>
          <w:szCs w:val="22"/>
        </w:rPr>
        <w:t>e.g.</w:t>
      </w:r>
      <w:r w:rsidRPr="008E0219">
        <w:rPr>
          <w:szCs w:val="22"/>
        </w:rPr>
        <w:t xml:space="preserve">, .doc, .xml, .ppt, searchable .pdf).  Participants in this proceeding should familiarize themselves with the Commission’s </w:t>
      </w:r>
      <w:r w:rsidRPr="008E0219">
        <w:rPr>
          <w:i/>
          <w:iCs/>
          <w:szCs w:val="22"/>
        </w:rPr>
        <w:t xml:space="preserve">ex parte </w:t>
      </w:r>
      <w:r w:rsidRPr="008E0219">
        <w:rPr>
          <w:szCs w:val="22"/>
        </w:rPr>
        <w:t>rules.</w:t>
      </w:r>
    </w:p>
    <w:p w:rsidR="008E0219" w:rsidRPr="008E0219" w:rsidRDefault="008E0219" w:rsidP="008E0219">
      <w:pPr>
        <w:ind w:firstLine="720"/>
        <w:rPr>
          <w:szCs w:val="22"/>
        </w:rPr>
      </w:pPr>
    </w:p>
    <w:p w:rsidR="008E0219" w:rsidRPr="008E0219" w:rsidRDefault="008E0219" w:rsidP="008E0219">
      <w:pPr>
        <w:spacing w:after="240"/>
        <w:ind w:firstLine="720"/>
        <w:rPr>
          <w:szCs w:val="22"/>
        </w:rPr>
      </w:pPr>
      <w:r w:rsidRPr="008E0219">
        <w:rPr>
          <w:szCs w:val="22"/>
        </w:rPr>
        <w:t xml:space="preserve">For further information regarding this proceeding, contact Alex Johns, Wireline Competition Bureau, Competition Policy Division, 202-418-1167.  </w:t>
      </w:r>
    </w:p>
    <w:p w:rsidR="008E0219" w:rsidRPr="008E0219" w:rsidRDefault="008E0219" w:rsidP="008E0219">
      <w:pPr>
        <w:spacing w:after="240"/>
        <w:jc w:val="center"/>
        <w:rPr>
          <w:b/>
          <w:color w:val="0000FF"/>
          <w:szCs w:val="22"/>
        </w:rPr>
      </w:pPr>
      <w:r>
        <w:rPr>
          <w:b/>
          <w:szCs w:val="22"/>
        </w:rPr>
        <w:t xml:space="preserve">- FCC </w:t>
      </w:r>
      <w:r w:rsidR="00223717">
        <w:rPr>
          <w:b/>
          <w:szCs w:val="22"/>
        </w:rPr>
        <w:t>-</w:t>
      </w:r>
    </w:p>
    <w:sectPr w:rsidR="008E0219" w:rsidRPr="008E0219" w:rsidSect="00EA0D9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9E3" w:rsidRDefault="00FD59E3">
      <w:r>
        <w:separator/>
      </w:r>
    </w:p>
  </w:endnote>
  <w:endnote w:type="continuationSeparator" w:id="0">
    <w:p w:rsidR="00FD59E3" w:rsidRDefault="00FD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2CC" w:rsidRDefault="004A6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416" w:rsidRDefault="002A5416" w:rsidP="002A5416">
    <w:pPr>
      <w:pStyle w:val="Footer"/>
      <w:spacing w:before="120"/>
      <w:jc w:val="center"/>
    </w:pPr>
    <w:r>
      <w:fldChar w:fldCharType="begin"/>
    </w:r>
    <w:r>
      <w:instrText xml:space="preserve"> PAGE   \* MERGEFORMAT </w:instrText>
    </w:r>
    <w:r>
      <w:fldChar w:fldCharType="separate"/>
    </w:r>
    <w:r w:rsidR="009A6F89">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2CC" w:rsidRDefault="004A6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9E3" w:rsidRDefault="00FD59E3">
      <w:r>
        <w:separator/>
      </w:r>
    </w:p>
  </w:footnote>
  <w:footnote w:type="continuationSeparator" w:id="0">
    <w:p w:rsidR="00FD59E3" w:rsidRPr="00D5089C" w:rsidRDefault="00FD59E3" w:rsidP="00D5089C">
      <w:pPr>
        <w:rPr>
          <w:sz w:val="20"/>
        </w:rPr>
      </w:pPr>
      <w:r w:rsidRPr="00D5089C">
        <w:rPr>
          <w:sz w:val="20"/>
        </w:rPr>
        <w:t xml:space="preserve">(Continued from previous page) </w:t>
      </w:r>
      <w:r w:rsidRPr="00D5089C">
        <w:rPr>
          <w:sz w:val="20"/>
        </w:rPr>
        <w:separator/>
      </w:r>
    </w:p>
  </w:footnote>
  <w:footnote w:type="continuationNotice" w:id="1">
    <w:p w:rsidR="00FD59E3" w:rsidRDefault="00FD59E3"/>
  </w:footnote>
  <w:footnote w:id="2">
    <w:p w:rsidR="008E0219" w:rsidRPr="00975426" w:rsidRDefault="008E0219" w:rsidP="008E0219">
      <w:pPr>
        <w:pStyle w:val="FootnoteText"/>
        <w:spacing w:after="120"/>
        <w:rPr>
          <w:sz w:val="20"/>
        </w:rPr>
      </w:pPr>
      <w:r w:rsidRPr="00975426">
        <w:rPr>
          <w:rStyle w:val="FootnoteReference"/>
          <w:sz w:val="20"/>
        </w:rPr>
        <w:footnoteRef/>
      </w:r>
      <w:r w:rsidRPr="00975426">
        <w:rPr>
          <w:sz w:val="20"/>
        </w:rPr>
        <w:t xml:space="preserve"> Petition of USTelecom for Forb</w:t>
      </w:r>
      <w:r>
        <w:rPr>
          <w:sz w:val="20"/>
        </w:rPr>
        <w:t>earance Pursuant to 47 U.S.C. § </w:t>
      </w:r>
      <w:r w:rsidRPr="00975426">
        <w:rPr>
          <w:sz w:val="20"/>
        </w:rPr>
        <w:t>160(c) from Enforcement of Obsolete ILEC Legacy Regulations That Inhibit Deployment of Next-Generation Networks, WC Docket No. 14-</w:t>
      </w:r>
      <w:r w:rsidR="005F17AA">
        <w:rPr>
          <w:sz w:val="20"/>
        </w:rPr>
        <w:t>192</w:t>
      </w:r>
      <w:r w:rsidRPr="00975426">
        <w:rPr>
          <w:sz w:val="20"/>
        </w:rPr>
        <w:t xml:space="preserve"> (filed Oct. 6, 2014) (2014 USTelecom Forbearance Petition).    </w:t>
      </w:r>
    </w:p>
  </w:footnote>
  <w:footnote w:id="3">
    <w:p w:rsidR="008E0219" w:rsidRPr="00975426" w:rsidRDefault="008E0219" w:rsidP="008E0219">
      <w:pPr>
        <w:pStyle w:val="FootnoteText"/>
        <w:tabs>
          <w:tab w:val="clear" w:pos="720"/>
          <w:tab w:val="left" w:pos="360"/>
        </w:tabs>
        <w:spacing w:after="120"/>
        <w:rPr>
          <w:sz w:val="20"/>
        </w:rPr>
      </w:pPr>
      <w:r w:rsidRPr="00975426">
        <w:rPr>
          <w:rStyle w:val="FootnoteReference"/>
          <w:sz w:val="20"/>
        </w:rPr>
        <w:footnoteRef/>
      </w:r>
      <w:r w:rsidRPr="00975426">
        <w:rPr>
          <w:sz w:val="20"/>
        </w:rPr>
        <w:t xml:space="preserve"> </w:t>
      </w:r>
      <w:r w:rsidRPr="00975426">
        <w:rPr>
          <w:i/>
          <w:sz w:val="20"/>
        </w:rPr>
        <w:t xml:space="preserve">See </w:t>
      </w:r>
      <w:r w:rsidRPr="00975426">
        <w:rPr>
          <w:sz w:val="20"/>
        </w:rPr>
        <w:t>47 U.S.C. § 160.</w:t>
      </w:r>
    </w:p>
  </w:footnote>
  <w:footnote w:id="4">
    <w:p w:rsidR="008E0219" w:rsidRPr="00975426" w:rsidRDefault="008E0219" w:rsidP="008E0219">
      <w:pPr>
        <w:pStyle w:val="FootnoteText"/>
        <w:spacing w:after="120"/>
        <w:rPr>
          <w:sz w:val="20"/>
        </w:rPr>
      </w:pPr>
      <w:r w:rsidRPr="00975426">
        <w:rPr>
          <w:rStyle w:val="FootnoteReference"/>
          <w:sz w:val="20"/>
        </w:rPr>
        <w:footnoteRef/>
      </w:r>
      <w:r w:rsidRPr="00975426">
        <w:rPr>
          <w:sz w:val="20"/>
        </w:rPr>
        <w:t xml:space="preserve"> 2014 USTelecom Forbearance Petition at 1-2.</w:t>
      </w:r>
    </w:p>
  </w:footnote>
  <w:footnote w:id="5">
    <w:p w:rsidR="008E0219" w:rsidRPr="00975426" w:rsidRDefault="008E0219" w:rsidP="008E0219">
      <w:pPr>
        <w:pStyle w:val="FootnoteText"/>
        <w:spacing w:after="120"/>
        <w:rPr>
          <w:sz w:val="20"/>
        </w:rPr>
      </w:pPr>
      <w:r w:rsidRPr="00975426">
        <w:rPr>
          <w:rStyle w:val="FootnoteReference"/>
          <w:sz w:val="20"/>
        </w:rPr>
        <w:footnoteRef/>
      </w:r>
      <w:r w:rsidRPr="00975426">
        <w:rPr>
          <w:sz w:val="20"/>
        </w:rPr>
        <w:t xml:space="preserve"> </w:t>
      </w:r>
      <w:r>
        <w:rPr>
          <w:sz w:val="20"/>
        </w:rPr>
        <w:t>USTelecom states that, i</w:t>
      </w:r>
      <w:r w:rsidRPr="00975426">
        <w:rPr>
          <w:sz w:val="20"/>
        </w:rPr>
        <w:t xml:space="preserve">n some cases, </w:t>
      </w:r>
      <w:r>
        <w:rPr>
          <w:sz w:val="20"/>
        </w:rPr>
        <w:t>it</w:t>
      </w:r>
      <w:r w:rsidRPr="00975426">
        <w:rPr>
          <w:sz w:val="20"/>
        </w:rPr>
        <w:t xml:space="preserve"> seeks forbearance </w:t>
      </w:r>
      <w:r>
        <w:rPr>
          <w:sz w:val="20"/>
        </w:rPr>
        <w:t>“</w:t>
      </w:r>
      <w:r w:rsidRPr="00975426">
        <w:rPr>
          <w:sz w:val="20"/>
        </w:rPr>
        <w:t xml:space="preserve">for all ILECs subject to the rules, while in other cases, forbearance is requested only for: (1) those ILECs operating under price cap regulation at the federal level; (2) those ILECs operating under rate-of-return regulation at the federal level; or (3) those ILECs that are Bell Operating Companies (also referred to throughout as Regional Bell Operating Companies, or </w:t>
      </w:r>
      <w:r>
        <w:rPr>
          <w:sz w:val="20"/>
        </w:rPr>
        <w:t>‘</w:t>
      </w:r>
      <w:r w:rsidRPr="00975426">
        <w:rPr>
          <w:sz w:val="20"/>
        </w:rPr>
        <w:t>RBOCs</w:t>
      </w:r>
      <w:r>
        <w:rPr>
          <w:sz w:val="20"/>
        </w:rPr>
        <w:t>’</w:t>
      </w:r>
      <w:r w:rsidRPr="00975426">
        <w:rPr>
          <w:sz w:val="20"/>
        </w:rPr>
        <w:t>), that have not previously been granted forbearance.</w:t>
      </w:r>
      <w:r>
        <w:rPr>
          <w:sz w:val="20"/>
        </w:rPr>
        <w:t xml:space="preserve">”  </w:t>
      </w:r>
      <w:r w:rsidR="00DA138F" w:rsidRPr="00DA138F">
        <w:rPr>
          <w:i/>
          <w:sz w:val="20"/>
        </w:rPr>
        <w:t>Id</w:t>
      </w:r>
      <w:r w:rsidR="00DA138F">
        <w:rPr>
          <w:sz w:val="20"/>
        </w:rPr>
        <w:t>.</w:t>
      </w:r>
      <w:r w:rsidR="00E228C0">
        <w:rPr>
          <w:sz w:val="20"/>
        </w:rPr>
        <w:t xml:space="preserve"> at 1 n.2.  </w:t>
      </w:r>
      <w:r w:rsidRPr="00975426">
        <w:rPr>
          <w:sz w:val="20"/>
        </w:rPr>
        <w:t>The specific regulations and the associated relief that USTelecom seeks are detailed in Appendix A to the 2014 USTelecom Forbearance Petition.</w:t>
      </w:r>
    </w:p>
  </w:footnote>
  <w:footnote w:id="6">
    <w:p w:rsidR="0005534C" w:rsidRPr="00975426" w:rsidRDefault="0005534C" w:rsidP="0005534C">
      <w:pPr>
        <w:pStyle w:val="FootnoteText"/>
        <w:spacing w:after="120"/>
        <w:rPr>
          <w:sz w:val="20"/>
        </w:rPr>
      </w:pPr>
      <w:r w:rsidRPr="00975426">
        <w:rPr>
          <w:rStyle w:val="FootnoteReference"/>
          <w:sz w:val="20"/>
        </w:rPr>
        <w:footnoteRef/>
      </w:r>
      <w:r>
        <w:rPr>
          <w:sz w:val="20"/>
        </w:rPr>
        <w:t xml:space="preserve"> </w:t>
      </w:r>
      <w:r w:rsidR="00DA138F" w:rsidRPr="00C42222">
        <w:rPr>
          <w:i/>
          <w:sz w:val="20"/>
        </w:rPr>
        <w:t>Id</w:t>
      </w:r>
      <w:r w:rsidR="00DA138F">
        <w:rPr>
          <w:sz w:val="20"/>
        </w:rPr>
        <w:t xml:space="preserve">. </w:t>
      </w:r>
      <w:r>
        <w:rPr>
          <w:sz w:val="20"/>
        </w:rPr>
        <w:t>at Appx</w:t>
      </w:r>
      <w:r w:rsidR="00C42222">
        <w:rPr>
          <w:sz w:val="20"/>
        </w:rPr>
        <w:t>.</w:t>
      </w:r>
      <w:r>
        <w:rPr>
          <w:sz w:val="20"/>
        </w:rPr>
        <w:t xml:space="preserve"> A, A-1.</w:t>
      </w:r>
    </w:p>
  </w:footnote>
  <w:footnote w:id="7">
    <w:p w:rsidR="0005534C" w:rsidRPr="00975426" w:rsidRDefault="0005534C" w:rsidP="0005534C">
      <w:pPr>
        <w:pStyle w:val="FootnoteText"/>
        <w:spacing w:after="120"/>
        <w:rPr>
          <w:sz w:val="20"/>
        </w:rPr>
      </w:pPr>
      <w:r w:rsidRPr="00975426">
        <w:rPr>
          <w:rStyle w:val="FootnoteReference"/>
          <w:sz w:val="20"/>
        </w:rPr>
        <w:footnoteRef/>
      </w:r>
      <w:r w:rsidRPr="00975426">
        <w:rPr>
          <w:sz w:val="20"/>
        </w:rPr>
        <w:t xml:space="preserve"> </w:t>
      </w:r>
      <w:r w:rsidRPr="00DD4B0F">
        <w:rPr>
          <w:i/>
          <w:sz w:val="20"/>
        </w:rPr>
        <w:t>See</w:t>
      </w:r>
      <w:r>
        <w:rPr>
          <w:i/>
          <w:sz w:val="20"/>
        </w:rPr>
        <w:t xml:space="preserve"> id.</w:t>
      </w:r>
      <w:r>
        <w:rPr>
          <w:sz w:val="20"/>
        </w:rPr>
        <w:t xml:space="preserve"> </w:t>
      </w:r>
    </w:p>
  </w:footnote>
  <w:footnote w:id="8">
    <w:p w:rsidR="0005534C" w:rsidRPr="00975426" w:rsidRDefault="0005534C" w:rsidP="0005534C">
      <w:pPr>
        <w:pStyle w:val="FootnoteText"/>
        <w:spacing w:after="120"/>
        <w:rPr>
          <w:sz w:val="20"/>
        </w:rPr>
      </w:pPr>
      <w:r w:rsidRPr="00975426">
        <w:rPr>
          <w:rStyle w:val="FootnoteReference"/>
          <w:sz w:val="20"/>
        </w:rPr>
        <w:footnoteRef/>
      </w:r>
      <w:r w:rsidRPr="00975426">
        <w:rPr>
          <w:sz w:val="20"/>
        </w:rPr>
        <w:t xml:space="preserve"> </w:t>
      </w:r>
      <w:r w:rsidRPr="00DD4B0F">
        <w:rPr>
          <w:i/>
          <w:sz w:val="20"/>
        </w:rPr>
        <w:t>See</w:t>
      </w:r>
      <w:r>
        <w:rPr>
          <w:sz w:val="20"/>
        </w:rPr>
        <w:t xml:space="preserve"> </w:t>
      </w:r>
      <w:r>
        <w:rPr>
          <w:i/>
          <w:sz w:val="20"/>
        </w:rPr>
        <w:t>id.</w:t>
      </w:r>
      <w:r>
        <w:rPr>
          <w:sz w:val="20"/>
        </w:rPr>
        <w:t xml:space="preserve"> at A-2.</w:t>
      </w:r>
    </w:p>
  </w:footnote>
  <w:footnote w:id="9">
    <w:p w:rsidR="0005534C" w:rsidRPr="00975426" w:rsidRDefault="0005534C" w:rsidP="0005534C">
      <w:pPr>
        <w:pStyle w:val="FootnoteText"/>
        <w:spacing w:after="120"/>
        <w:rPr>
          <w:sz w:val="20"/>
        </w:rPr>
      </w:pPr>
      <w:r w:rsidRPr="00975426">
        <w:rPr>
          <w:rStyle w:val="FootnoteReference"/>
          <w:sz w:val="20"/>
        </w:rPr>
        <w:footnoteRef/>
      </w:r>
      <w:r>
        <w:rPr>
          <w:sz w:val="20"/>
        </w:rPr>
        <w:t xml:space="preserve"> </w:t>
      </w:r>
      <w:r w:rsidRPr="00DD4B0F">
        <w:rPr>
          <w:i/>
          <w:sz w:val="20"/>
        </w:rPr>
        <w:t>See</w:t>
      </w:r>
      <w:r>
        <w:rPr>
          <w:sz w:val="20"/>
        </w:rPr>
        <w:t xml:space="preserve"> </w:t>
      </w:r>
      <w:r>
        <w:rPr>
          <w:i/>
          <w:sz w:val="20"/>
        </w:rPr>
        <w:t>id.</w:t>
      </w:r>
      <w:r>
        <w:rPr>
          <w:sz w:val="20"/>
        </w:rPr>
        <w:t xml:space="preserve"> at A-2 to A-3.</w:t>
      </w:r>
    </w:p>
  </w:footnote>
  <w:footnote w:id="10">
    <w:p w:rsidR="0005534C" w:rsidRPr="00975426" w:rsidRDefault="0005534C" w:rsidP="0005534C">
      <w:pPr>
        <w:pStyle w:val="FootnoteText"/>
        <w:spacing w:after="120"/>
        <w:rPr>
          <w:sz w:val="20"/>
        </w:rPr>
      </w:pPr>
      <w:r w:rsidRPr="00975426">
        <w:rPr>
          <w:rStyle w:val="FootnoteReference"/>
          <w:sz w:val="20"/>
        </w:rPr>
        <w:footnoteRef/>
      </w:r>
      <w:r>
        <w:rPr>
          <w:sz w:val="20"/>
        </w:rPr>
        <w:t xml:space="preserve"> </w:t>
      </w:r>
      <w:r w:rsidRPr="00DD4B0F">
        <w:rPr>
          <w:i/>
          <w:sz w:val="20"/>
        </w:rPr>
        <w:t>See</w:t>
      </w:r>
      <w:r>
        <w:rPr>
          <w:sz w:val="20"/>
        </w:rPr>
        <w:t xml:space="preserve"> </w:t>
      </w:r>
      <w:r>
        <w:rPr>
          <w:i/>
          <w:sz w:val="20"/>
        </w:rPr>
        <w:t>id.</w:t>
      </w:r>
      <w:r>
        <w:rPr>
          <w:sz w:val="20"/>
        </w:rPr>
        <w:t xml:space="preserve"> at A-3 to A-4.</w:t>
      </w:r>
    </w:p>
  </w:footnote>
  <w:footnote w:id="11">
    <w:p w:rsidR="008E0219" w:rsidRPr="00975426" w:rsidRDefault="008E0219" w:rsidP="008E0219">
      <w:pPr>
        <w:pStyle w:val="FootnoteText"/>
        <w:spacing w:after="120"/>
        <w:rPr>
          <w:sz w:val="20"/>
        </w:rPr>
      </w:pPr>
      <w:r w:rsidRPr="00975426">
        <w:rPr>
          <w:rStyle w:val="FootnoteReference"/>
          <w:sz w:val="20"/>
        </w:rPr>
        <w:footnoteRef/>
      </w:r>
      <w:r w:rsidRPr="00975426">
        <w:rPr>
          <w:sz w:val="20"/>
        </w:rPr>
        <w:t xml:space="preserve"> Parties filing brief comments that do not contain a </w:t>
      </w:r>
      <w:r w:rsidR="005A36EE">
        <w:rPr>
          <w:sz w:val="20"/>
        </w:rPr>
        <w:t>t</w:t>
      </w:r>
      <w:r w:rsidRPr="00975426">
        <w:rPr>
          <w:sz w:val="20"/>
        </w:rPr>
        <w:t xml:space="preserve">able of </w:t>
      </w:r>
      <w:r w:rsidR="005A36EE">
        <w:rPr>
          <w:sz w:val="20"/>
        </w:rPr>
        <w:t>c</w:t>
      </w:r>
      <w:r w:rsidRPr="00975426">
        <w:rPr>
          <w:sz w:val="20"/>
        </w:rPr>
        <w:t>ontents or opening summary may identify the category their comments are addressing in their opening paragraph.</w:t>
      </w:r>
    </w:p>
  </w:footnote>
  <w:footnote w:id="12">
    <w:p w:rsidR="00C42222" w:rsidRPr="00C42222" w:rsidRDefault="00C42222" w:rsidP="00C42222">
      <w:pPr>
        <w:pStyle w:val="FootnoteText"/>
        <w:spacing w:after="120"/>
        <w:rPr>
          <w:sz w:val="20"/>
        </w:rPr>
      </w:pPr>
      <w:r w:rsidRPr="00C42222">
        <w:rPr>
          <w:rStyle w:val="FootnoteReference"/>
          <w:sz w:val="20"/>
        </w:rPr>
        <w:footnoteRef/>
      </w:r>
      <w:r w:rsidRPr="00C42222">
        <w:rPr>
          <w:sz w:val="20"/>
        </w:rPr>
        <w:t xml:space="preserve"> 47 C.F.R. § 1.55.</w:t>
      </w:r>
    </w:p>
  </w:footnote>
  <w:footnote w:id="13">
    <w:p w:rsidR="00C42222" w:rsidRPr="00C42222" w:rsidRDefault="00C42222" w:rsidP="00C42222">
      <w:pPr>
        <w:pStyle w:val="FootnoteText"/>
        <w:spacing w:after="120"/>
        <w:rPr>
          <w:sz w:val="20"/>
        </w:rPr>
      </w:pPr>
      <w:r w:rsidRPr="00C42222">
        <w:rPr>
          <w:rStyle w:val="FootnoteReference"/>
          <w:sz w:val="20"/>
        </w:rPr>
        <w:footnoteRef/>
      </w:r>
      <w:r w:rsidRPr="00C42222">
        <w:rPr>
          <w:sz w:val="20"/>
        </w:rPr>
        <w:t xml:space="preserve"> </w:t>
      </w:r>
      <w:r w:rsidRPr="00C42222">
        <w:rPr>
          <w:i/>
          <w:sz w:val="20"/>
        </w:rPr>
        <w:t>See Electronic Filing of Documents in Rulemaking Proceedings</w:t>
      </w:r>
      <w:r w:rsidRPr="00C42222">
        <w:rPr>
          <w:sz w:val="20"/>
        </w:rPr>
        <w:t>, 63 FR 24121 (1998).</w:t>
      </w:r>
    </w:p>
  </w:footnote>
  <w:footnote w:id="14">
    <w:p w:rsidR="008E0219" w:rsidRPr="00975426" w:rsidRDefault="008E0219" w:rsidP="008E0219">
      <w:pPr>
        <w:pStyle w:val="FootnoteText"/>
        <w:spacing w:after="120"/>
        <w:rPr>
          <w:i/>
          <w:iCs/>
          <w:sz w:val="20"/>
        </w:rPr>
      </w:pPr>
      <w:r w:rsidRPr="00975426">
        <w:rPr>
          <w:rStyle w:val="FootnoteReference"/>
          <w:sz w:val="20"/>
        </w:rPr>
        <w:footnoteRef/>
      </w:r>
      <w:r>
        <w:rPr>
          <w:sz w:val="20"/>
        </w:rPr>
        <w:t xml:space="preserve"> 47 C.F.R. §§ </w:t>
      </w:r>
      <w:r w:rsidRPr="00975426">
        <w:rPr>
          <w:sz w:val="20"/>
        </w:rPr>
        <w:t xml:space="preserve">1.1200 </w:t>
      </w:r>
      <w:r w:rsidRPr="00975426">
        <w:rPr>
          <w:i/>
          <w:iCs/>
          <w:sz w:val="20"/>
        </w:rPr>
        <w:t>et seq.</w:t>
      </w:r>
    </w:p>
    <w:p w:rsidR="008E0219" w:rsidRPr="00975426" w:rsidRDefault="008E0219" w:rsidP="008E0219">
      <w:pPr>
        <w:pStyle w:val="FootnoteText"/>
        <w:spacing w:after="120"/>
        <w:rPr>
          <w:i/>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2CC" w:rsidRDefault="004A6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2CC" w:rsidRDefault="004A6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7B111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7B111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6"/>
  </w:num>
  <w:num w:numId="3">
    <w:abstractNumId w:val="8"/>
  </w:num>
  <w:num w:numId="4">
    <w:abstractNumId w:val="2"/>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1"/>
  </w:num>
  <w:num w:numId="14">
    <w:abstractNumId w:val="9"/>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AD"/>
    <w:rsid w:val="000265AE"/>
    <w:rsid w:val="0005534C"/>
    <w:rsid w:val="000C1AD6"/>
    <w:rsid w:val="000F42BE"/>
    <w:rsid w:val="00112EA8"/>
    <w:rsid w:val="001C6FE6"/>
    <w:rsid w:val="001F50D1"/>
    <w:rsid w:val="00223717"/>
    <w:rsid w:val="002A5416"/>
    <w:rsid w:val="002C2EAD"/>
    <w:rsid w:val="00333D23"/>
    <w:rsid w:val="00340F67"/>
    <w:rsid w:val="0035714E"/>
    <w:rsid w:val="004A62CC"/>
    <w:rsid w:val="004B4EC5"/>
    <w:rsid w:val="00501BD0"/>
    <w:rsid w:val="00520F58"/>
    <w:rsid w:val="00571EDF"/>
    <w:rsid w:val="005A36EE"/>
    <w:rsid w:val="005C3C39"/>
    <w:rsid w:val="005F17AA"/>
    <w:rsid w:val="005F3FCC"/>
    <w:rsid w:val="00602577"/>
    <w:rsid w:val="007B1112"/>
    <w:rsid w:val="007D05DF"/>
    <w:rsid w:val="00826E43"/>
    <w:rsid w:val="00832816"/>
    <w:rsid w:val="008541D9"/>
    <w:rsid w:val="008E0219"/>
    <w:rsid w:val="009220E9"/>
    <w:rsid w:val="00981624"/>
    <w:rsid w:val="009A6F89"/>
    <w:rsid w:val="00B31EDF"/>
    <w:rsid w:val="00C42222"/>
    <w:rsid w:val="00C44865"/>
    <w:rsid w:val="00D17DC0"/>
    <w:rsid w:val="00D31282"/>
    <w:rsid w:val="00D45088"/>
    <w:rsid w:val="00D5089C"/>
    <w:rsid w:val="00D60EFF"/>
    <w:rsid w:val="00DA138F"/>
    <w:rsid w:val="00E228C0"/>
    <w:rsid w:val="00E47F7E"/>
    <w:rsid w:val="00E93883"/>
    <w:rsid w:val="00EA0D97"/>
    <w:rsid w:val="00EA716C"/>
    <w:rsid w:val="00FD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8E0219"/>
    <w:pPr>
      <w:widowControl w:val="0"/>
      <w:suppressAutoHyphens/>
    </w:pPr>
    <w:rPr>
      <w:snapToGrid w:val="0"/>
      <w:kern w:val="28"/>
    </w:rPr>
  </w:style>
  <w:style w:type="character" w:customStyle="1" w:styleId="BodyTextChar">
    <w:name w:val="Body Text Char"/>
    <w:basedOn w:val="DefaultParagraphFont"/>
    <w:link w:val="BodyText"/>
    <w:rsid w:val="008E0219"/>
    <w:rPr>
      <w:snapToGrid w:val="0"/>
      <w:kern w:val="28"/>
      <w:sz w:val="22"/>
    </w:rPr>
  </w:style>
  <w:style w:type="paragraph" w:styleId="ListParagraph">
    <w:name w:val="List Paragraph"/>
    <w:basedOn w:val="Normal"/>
    <w:uiPriority w:val="34"/>
    <w:qFormat/>
    <w:rsid w:val="008E0219"/>
    <w:pPr>
      <w:ind w:left="720"/>
    </w:pPr>
  </w:style>
  <w:style w:type="paragraph" w:customStyle="1" w:styleId="ParaNum">
    <w:name w:val="ParaNum"/>
    <w:basedOn w:val="Normal"/>
    <w:rsid w:val="008E0219"/>
    <w:pPr>
      <w:widowControl w:val="0"/>
      <w:numPr>
        <w:numId w:val="16"/>
      </w:numPr>
      <w:spacing w:after="220"/>
      <w:jc w:val="both"/>
    </w:pPr>
    <w:rPr>
      <w:snapToGrid w:val="0"/>
      <w:kern w:val="28"/>
    </w:rPr>
  </w:style>
  <w:style w:type="paragraph" w:styleId="BalloonText">
    <w:name w:val="Balloon Text"/>
    <w:basedOn w:val="Normal"/>
    <w:link w:val="BalloonTextChar"/>
    <w:uiPriority w:val="99"/>
    <w:semiHidden/>
    <w:unhideWhenUsed/>
    <w:rsid w:val="007D05DF"/>
    <w:rPr>
      <w:rFonts w:ascii="Tahoma" w:hAnsi="Tahoma" w:cs="Tahoma"/>
      <w:sz w:val="16"/>
      <w:szCs w:val="16"/>
    </w:rPr>
  </w:style>
  <w:style w:type="character" w:customStyle="1" w:styleId="BalloonTextChar">
    <w:name w:val="Balloon Text Char"/>
    <w:basedOn w:val="DefaultParagraphFont"/>
    <w:link w:val="BalloonText"/>
    <w:uiPriority w:val="99"/>
    <w:semiHidden/>
    <w:rsid w:val="007D05DF"/>
    <w:rPr>
      <w:rFonts w:ascii="Tahoma" w:hAnsi="Tahoma" w:cs="Tahoma"/>
      <w:sz w:val="16"/>
      <w:szCs w:val="16"/>
    </w:rPr>
  </w:style>
  <w:style w:type="character" w:styleId="CommentReference">
    <w:name w:val="annotation reference"/>
    <w:basedOn w:val="DefaultParagraphFont"/>
    <w:uiPriority w:val="99"/>
    <w:semiHidden/>
    <w:unhideWhenUsed/>
    <w:rsid w:val="007D05DF"/>
    <w:rPr>
      <w:sz w:val="16"/>
      <w:szCs w:val="16"/>
    </w:rPr>
  </w:style>
  <w:style w:type="paragraph" w:styleId="CommentText">
    <w:name w:val="annotation text"/>
    <w:basedOn w:val="Normal"/>
    <w:link w:val="CommentTextChar"/>
    <w:uiPriority w:val="99"/>
    <w:semiHidden/>
    <w:unhideWhenUsed/>
    <w:rsid w:val="007D05DF"/>
    <w:rPr>
      <w:sz w:val="20"/>
    </w:rPr>
  </w:style>
  <w:style w:type="character" w:customStyle="1" w:styleId="CommentTextChar">
    <w:name w:val="Comment Text Char"/>
    <w:basedOn w:val="DefaultParagraphFont"/>
    <w:link w:val="CommentText"/>
    <w:uiPriority w:val="99"/>
    <w:semiHidden/>
    <w:rsid w:val="007D05DF"/>
  </w:style>
  <w:style w:type="paragraph" w:styleId="CommentSubject">
    <w:name w:val="annotation subject"/>
    <w:basedOn w:val="CommentText"/>
    <w:next w:val="CommentText"/>
    <w:link w:val="CommentSubjectChar"/>
    <w:uiPriority w:val="99"/>
    <w:semiHidden/>
    <w:unhideWhenUsed/>
    <w:rsid w:val="007D05DF"/>
    <w:rPr>
      <w:b/>
      <w:bCs/>
    </w:rPr>
  </w:style>
  <w:style w:type="character" w:customStyle="1" w:styleId="CommentSubjectChar">
    <w:name w:val="Comment Subject Char"/>
    <w:basedOn w:val="CommentTextChar"/>
    <w:link w:val="CommentSubject"/>
    <w:uiPriority w:val="99"/>
    <w:semiHidden/>
    <w:rsid w:val="007D05DF"/>
    <w:rPr>
      <w:b/>
      <w:bCs/>
    </w:rPr>
  </w:style>
  <w:style w:type="character" w:customStyle="1" w:styleId="FooterChar">
    <w:name w:val="Footer Char"/>
    <w:basedOn w:val="DefaultParagraphFont"/>
    <w:link w:val="Footer"/>
    <w:uiPriority w:val="99"/>
    <w:rsid w:val="002A541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8E0219"/>
    <w:pPr>
      <w:widowControl w:val="0"/>
      <w:suppressAutoHyphens/>
    </w:pPr>
    <w:rPr>
      <w:snapToGrid w:val="0"/>
      <w:kern w:val="28"/>
    </w:rPr>
  </w:style>
  <w:style w:type="character" w:customStyle="1" w:styleId="BodyTextChar">
    <w:name w:val="Body Text Char"/>
    <w:basedOn w:val="DefaultParagraphFont"/>
    <w:link w:val="BodyText"/>
    <w:rsid w:val="008E0219"/>
    <w:rPr>
      <w:snapToGrid w:val="0"/>
      <w:kern w:val="28"/>
      <w:sz w:val="22"/>
    </w:rPr>
  </w:style>
  <w:style w:type="paragraph" w:styleId="ListParagraph">
    <w:name w:val="List Paragraph"/>
    <w:basedOn w:val="Normal"/>
    <w:uiPriority w:val="34"/>
    <w:qFormat/>
    <w:rsid w:val="008E0219"/>
    <w:pPr>
      <w:ind w:left="720"/>
    </w:pPr>
  </w:style>
  <w:style w:type="paragraph" w:customStyle="1" w:styleId="ParaNum">
    <w:name w:val="ParaNum"/>
    <w:basedOn w:val="Normal"/>
    <w:rsid w:val="008E0219"/>
    <w:pPr>
      <w:widowControl w:val="0"/>
      <w:numPr>
        <w:numId w:val="16"/>
      </w:numPr>
      <w:spacing w:after="220"/>
      <w:jc w:val="both"/>
    </w:pPr>
    <w:rPr>
      <w:snapToGrid w:val="0"/>
      <w:kern w:val="28"/>
    </w:rPr>
  </w:style>
  <w:style w:type="paragraph" w:styleId="BalloonText">
    <w:name w:val="Balloon Text"/>
    <w:basedOn w:val="Normal"/>
    <w:link w:val="BalloonTextChar"/>
    <w:uiPriority w:val="99"/>
    <w:semiHidden/>
    <w:unhideWhenUsed/>
    <w:rsid w:val="007D05DF"/>
    <w:rPr>
      <w:rFonts w:ascii="Tahoma" w:hAnsi="Tahoma" w:cs="Tahoma"/>
      <w:sz w:val="16"/>
      <w:szCs w:val="16"/>
    </w:rPr>
  </w:style>
  <w:style w:type="character" w:customStyle="1" w:styleId="BalloonTextChar">
    <w:name w:val="Balloon Text Char"/>
    <w:basedOn w:val="DefaultParagraphFont"/>
    <w:link w:val="BalloonText"/>
    <w:uiPriority w:val="99"/>
    <w:semiHidden/>
    <w:rsid w:val="007D05DF"/>
    <w:rPr>
      <w:rFonts w:ascii="Tahoma" w:hAnsi="Tahoma" w:cs="Tahoma"/>
      <w:sz w:val="16"/>
      <w:szCs w:val="16"/>
    </w:rPr>
  </w:style>
  <w:style w:type="character" w:styleId="CommentReference">
    <w:name w:val="annotation reference"/>
    <w:basedOn w:val="DefaultParagraphFont"/>
    <w:uiPriority w:val="99"/>
    <w:semiHidden/>
    <w:unhideWhenUsed/>
    <w:rsid w:val="007D05DF"/>
    <w:rPr>
      <w:sz w:val="16"/>
      <w:szCs w:val="16"/>
    </w:rPr>
  </w:style>
  <w:style w:type="paragraph" w:styleId="CommentText">
    <w:name w:val="annotation text"/>
    <w:basedOn w:val="Normal"/>
    <w:link w:val="CommentTextChar"/>
    <w:uiPriority w:val="99"/>
    <w:semiHidden/>
    <w:unhideWhenUsed/>
    <w:rsid w:val="007D05DF"/>
    <w:rPr>
      <w:sz w:val="20"/>
    </w:rPr>
  </w:style>
  <w:style w:type="character" w:customStyle="1" w:styleId="CommentTextChar">
    <w:name w:val="Comment Text Char"/>
    <w:basedOn w:val="DefaultParagraphFont"/>
    <w:link w:val="CommentText"/>
    <w:uiPriority w:val="99"/>
    <w:semiHidden/>
    <w:rsid w:val="007D05DF"/>
  </w:style>
  <w:style w:type="paragraph" w:styleId="CommentSubject">
    <w:name w:val="annotation subject"/>
    <w:basedOn w:val="CommentText"/>
    <w:next w:val="CommentText"/>
    <w:link w:val="CommentSubjectChar"/>
    <w:uiPriority w:val="99"/>
    <w:semiHidden/>
    <w:unhideWhenUsed/>
    <w:rsid w:val="007D05DF"/>
    <w:rPr>
      <w:b/>
      <w:bCs/>
    </w:rPr>
  </w:style>
  <w:style w:type="character" w:customStyle="1" w:styleId="CommentSubjectChar">
    <w:name w:val="Comment Subject Char"/>
    <w:basedOn w:val="CommentTextChar"/>
    <w:link w:val="CommentSubject"/>
    <w:uiPriority w:val="99"/>
    <w:semiHidden/>
    <w:rsid w:val="007D05DF"/>
    <w:rPr>
      <w:b/>
      <w:bCs/>
    </w:rPr>
  </w:style>
  <w:style w:type="character" w:customStyle="1" w:styleId="FooterChar">
    <w:name w:val="Footer Char"/>
    <w:basedOn w:val="DefaultParagraphFont"/>
    <w:link w:val="Footer"/>
    <w:uiPriority w:val="99"/>
    <w:rsid w:val="002A541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1076</Words>
  <Characters>6253</Characters>
  <Application>Microsoft Office Word</Application>
  <DocSecurity>0</DocSecurity>
  <Lines>107</Lines>
  <Paragraphs>27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7351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2014-10-30T19:58:00Z</cp:lastPrinted>
  <dcterms:created xsi:type="dcterms:W3CDTF">2014-11-05T19:41:00Z</dcterms:created>
  <dcterms:modified xsi:type="dcterms:W3CDTF">2014-11-05T19:41:00Z</dcterms:modified>
  <cp:category> </cp:category>
  <cp:contentStatus> </cp:contentStatus>
</cp:coreProperties>
</file>