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1C2092">
        <w:rPr>
          <w:b/>
          <w:sz w:val="24"/>
        </w:rPr>
        <w:t xml:space="preserve"> 14-1598</w:t>
      </w:r>
    </w:p>
    <w:p w:rsidR="000F69DF" w:rsidRPr="001E68FC" w:rsidRDefault="00D6348F">
      <w:pPr>
        <w:spacing w:before="60"/>
        <w:jc w:val="right"/>
        <w:rPr>
          <w:b/>
          <w:sz w:val="24"/>
        </w:rPr>
      </w:pPr>
      <w:r>
        <w:rPr>
          <w:b/>
          <w:sz w:val="24"/>
        </w:rPr>
        <w:t xml:space="preserve">November </w:t>
      </w:r>
      <w:r w:rsidR="00757CB0">
        <w:rPr>
          <w:b/>
          <w:sz w:val="24"/>
        </w:rPr>
        <w:t>4</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CD76A8">
        <w:rPr>
          <w:b/>
          <w:caps/>
          <w:szCs w:val="22"/>
        </w:rPr>
        <w:t>S</w:t>
      </w:r>
      <w:r>
        <w:rPr>
          <w:b/>
          <w:caps/>
          <w:szCs w:val="22"/>
        </w:rPr>
        <w:t xml:space="preserve">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D6348F">
        <w:rPr>
          <w:szCs w:val="22"/>
        </w:rPr>
        <w:t xml:space="preserve">  November </w:t>
      </w:r>
      <w:r w:rsidR="00757CB0">
        <w:rPr>
          <w:szCs w:val="22"/>
        </w:rPr>
        <w:t>18</w:t>
      </w:r>
      <w:r>
        <w:rPr>
          <w:szCs w:val="22"/>
        </w:rPr>
        <w:t>, 2014</w:t>
      </w:r>
    </w:p>
    <w:p w:rsidR="000F69DF" w:rsidRPr="00997FAC" w:rsidRDefault="001E68FC" w:rsidP="00997FAC">
      <w:pPr>
        <w:rPr>
          <w:b/>
        </w:rPr>
      </w:pPr>
      <w:r>
        <w:rPr>
          <w:b/>
        </w:rPr>
        <w:t>Reply Comment Date</w:t>
      </w:r>
      <w:r>
        <w:t xml:space="preserve">:  </w:t>
      </w:r>
      <w:r w:rsidR="00D6348F">
        <w:rPr>
          <w:b/>
        </w:rPr>
        <w:t xml:space="preserve">November </w:t>
      </w:r>
      <w:r w:rsidR="00757CB0">
        <w:rPr>
          <w:b/>
        </w:rPr>
        <w:t>25</w:t>
      </w:r>
      <w:r>
        <w:t xml:space="preserve">, </w:t>
      </w:r>
      <w:r>
        <w:rPr>
          <w:b/>
        </w:rPr>
        <w:t>2014</w:t>
      </w:r>
    </w:p>
    <w:p w:rsidR="001E68FC" w:rsidRDefault="001E68FC">
      <w:pPr>
        <w:spacing w:before="120" w:after="240"/>
        <w:rPr>
          <w:szCs w:val="22"/>
        </w:rPr>
      </w:pPr>
      <w:r>
        <w:rPr>
          <w:sz w:val="24"/>
        </w:rPr>
        <w:tab/>
      </w:r>
      <w:r w:rsidR="00EE07EE">
        <w:rPr>
          <w:sz w:val="24"/>
        </w:rPr>
        <w:t xml:space="preserve">Two </w:t>
      </w:r>
      <w:r w:rsidR="00CD76A8">
        <w:rPr>
          <w:szCs w:val="22"/>
        </w:rPr>
        <w:t xml:space="preserve">petitions have been filed seeking </w:t>
      </w:r>
      <w:r w:rsidR="00355318">
        <w:rPr>
          <w:szCs w:val="22"/>
        </w:rPr>
        <w:t>a</w:t>
      </w:r>
      <w:r w:rsidR="00B261AB">
        <w:rPr>
          <w:szCs w:val="22"/>
        </w:rPr>
        <w:t xml:space="preserve"> </w:t>
      </w:r>
      <w:r w:rsidRPr="00BC51CD">
        <w:rPr>
          <w:szCs w:val="22"/>
        </w:rPr>
        <w:t>declaratory ruling and/or waiver concerning section 64.1200(a)(4)(iv) of the Commission’s rules, w</w:t>
      </w:r>
      <w:r w:rsidR="009D46E5">
        <w:rPr>
          <w:szCs w:val="22"/>
        </w:rPr>
        <w:t>hich requires fax ads</w:t>
      </w:r>
      <w:r w:rsidRPr="00BC51CD">
        <w:rPr>
          <w:szCs w:val="22"/>
        </w:rPr>
        <w:t xml:space="preserve">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825BB">
        <w:rPr>
          <w:szCs w:val="22"/>
        </w:rPr>
        <w:t xml:space="preserve">to the extent </w:t>
      </w:r>
      <w:r w:rsidRPr="00BC51CD">
        <w:rPr>
          <w:szCs w:val="22"/>
        </w:rPr>
        <w:t xml:space="preserve">described below.  </w:t>
      </w:r>
    </w:p>
    <w:p w:rsidR="00FA38C5" w:rsidRDefault="00BC51CD" w:rsidP="0037104A">
      <w:pPr>
        <w:spacing w:before="120" w:after="240"/>
        <w:rPr>
          <w:szCs w:val="22"/>
        </w:rPr>
      </w:pPr>
      <w:r>
        <w:rPr>
          <w:szCs w:val="22"/>
        </w:rPr>
        <w:tab/>
      </w:r>
      <w:r w:rsidR="00B261AB">
        <w:rPr>
          <w:szCs w:val="22"/>
        </w:rPr>
        <w:t xml:space="preserve">The </w:t>
      </w:r>
      <w:r w:rsidR="0002562F">
        <w:rPr>
          <w:szCs w:val="22"/>
        </w:rPr>
        <w:t>P</w:t>
      </w:r>
      <w:r w:rsidR="00B261AB">
        <w:rPr>
          <w:szCs w:val="22"/>
        </w:rPr>
        <w:t>etitioner</w:t>
      </w:r>
      <w:r w:rsidR="00736654">
        <w:rPr>
          <w:szCs w:val="22"/>
        </w:rPr>
        <w:t>s</w:t>
      </w:r>
      <w:r w:rsidR="00313725">
        <w:rPr>
          <w:szCs w:val="22"/>
        </w:rPr>
        <w:t xml:space="preserve"> contend</w:t>
      </w:r>
      <w:r w:rsidR="00B261AB">
        <w:rPr>
          <w:szCs w:val="22"/>
        </w:rPr>
        <w:t xml:space="preserve"> that section</w:t>
      </w:r>
      <w:r w:rsidR="003F485F">
        <w:rPr>
          <w:szCs w:val="22"/>
        </w:rPr>
        <w:t xml:space="preserve"> 64.1200(a)(4)(iv) </w:t>
      </w:r>
      <w:r w:rsidR="00F015E1">
        <w:rPr>
          <w:szCs w:val="22"/>
        </w:rPr>
        <w:t xml:space="preserve">does </w:t>
      </w:r>
      <w:r w:rsidR="00B261AB">
        <w:rPr>
          <w:szCs w:val="22"/>
        </w:rPr>
        <w:t xml:space="preserve">not apply to faxes sent with </w:t>
      </w:r>
      <w:r w:rsidR="00B343DF">
        <w:rPr>
          <w:szCs w:val="22"/>
        </w:rPr>
        <w:t>the “</w:t>
      </w:r>
      <w:r w:rsidR="009D46E5">
        <w:rPr>
          <w:szCs w:val="22"/>
        </w:rPr>
        <w:t xml:space="preserve">prior </w:t>
      </w:r>
      <w:r w:rsidR="00B261AB">
        <w:rPr>
          <w:szCs w:val="22"/>
        </w:rPr>
        <w:t xml:space="preserve">express </w:t>
      </w:r>
      <w:r w:rsidR="00B343DF">
        <w:rPr>
          <w:szCs w:val="22"/>
        </w:rPr>
        <w:t xml:space="preserve">invitation or </w:t>
      </w:r>
      <w:r w:rsidR="00B261AB">
        <w:rPr>
          <w:szCs w:val="22"/>
        </w:rPr>
        <w:t>permission</w:t>
      </w:r>
      <w:r w:rsidR="00B343DF">
        <w:rPr>
          <w:szCs w:val="22"/>
        </w:rPr>
        <w:t>”</w:t>
      </w:r>
      <w:r w:rsidR="00B261AB">
        <w:rPr>
          <w:szCs w:val="22"/>
        </w:rPr>
        <w:t xml:space="preserve"> </w:t>
      </w:r>
      <w:r w:rsidR="00B343DF">
        <w:rPr>
          <w:szCs w:val="22"/>
        </w:rPr>
        <w:t xml:space="preserve">of the recipient </w:t>
      </w:r>
      <w:r w:rsidR="00B261AB">
        <w:rPr>
          <w:szCs w:val="22"/>
        </w:rPr>
        <w:t xml:space="preserve">because the Commission </w:t>
      </w:r>
      <w:r w:rsidR="000C1109">
        <w:rPr>
          <w:szCs w:val="22"/>
        </w:rPr>
        <w:t>lack</w:t>
      </w:r>
      <w:r w:rsidR="0002562F">
        <w:rPr>
          <w:szCs w:val="22"/>
        </w:rPr>
        <w:t>s</w:t>
      </w:r>
      <w:r w:rsidR="00F41D5F">
        <w:rPr>
          <w:szCs w:val="22"/>
        </w:rPr>
        <w:t xml:space="preserve"> </w:t>
      </w:r>
      <w:r w:rsidR="00B261AB">
        <w:rPr>
          <w:szCs w:val="22"/>
        </w:rPr>
        <w:t xml:space="preserve">authority to regulate </w:t>
      </w:r>
      <w:r w:rsidR="000C1109">
        <w:rPr>
          <w:szCs w:val="22"/>
        </w:rPr>
        <w:t>“</w:t>
      </w:r>
      <w:r w:rsidR="00B261AB">
        <w:rPr>
          <w:szCs w:val="22"/>
        </w:rPr>
        <w:t>solicited</w:t>
      </w:r>
      <w:r w:rsidR="000C1109">
        <w:rPr>
          <w:szCs w:val="22"/>
        </w:rPr>
        <w:t>” faxes</w:t>
      </w:r>
      <w:r w:rsidR="00F015E1">
        <w:rPr>
          <w:szCs w:val="22"/>
        </w:rPr>
        <w:t>,</w:t>
      </w:r>
      <w:r w:rsidR="00170DCF">
        <w:rPr>
          <w:szCs w:val="22"/>
        </w:rPr>
        <w:t xml:space="preserve"> </w:t>
      </w:r>
      <w:r w:rsidR="00F015E1">
        <w:rPr>
          <w:szCs w:val="22"/>
        </w:rPr>
        <w:t xml:space="preserve">and they </w:t>
      </w:r>
      <w:r w:rsidR="00313725">
        <w:rPr>
          <w:szCs w:val="22"/>
        </w:rPr>
        <w:t>seek a declaratory ruling t</w:t>
      </w:r>
      <w:r w:rsidR="00F015E1">
        <w:rPr>
          <w:szCs w:val="22"/>
        </w:rPr>
        <w:t>o that effect</w:t>
      </w:r>
      <w:r w:rsidR="00AA2085">
        <w:rPr>
          <w:szCs w:val="22"/>
        </w:rPr>
        <w:t>.</w:t>
      </w:r>
      <w:r w:rsidR="00F015E1">
        <w:rPr>
          <w:rStyle w:val="FootnoteReference"/>
          <w:szCs w:val="22"/>
        </w:rPr>
        <w:footnoteReference w:id="2"/>
      </w:r>
      <w:r w:rsidR="00313725">
        <w:rPr>
          <w:szCs w:val="22"/>
        </w:rPr>
        <w:t xml:space="preserve"> </w:t>
      </w:r>
      <w:r w:rsidR="00E8781B">
        <w:rPr>
          <w:szCs w:val="22"/>
        </w:rPr>
        <w:t xml:space="preserve"> </w:t>
      </w:r>
      <w:r w:rsidR="00AA2085">
        <w:rPr>
          <w:szCs w:val="22"/>
        </w:rPr>
        <w:t>The Petitioner</w:t>
      </w:r>
      <w:r w:rsidR="00736654">
        <w:rPr>
          <w:szCs w:val="22"/>
        </w:rPr>
        <w:t>s</w:t>
      </w:r>
      <w:r w:rsidR="00AA2085">
        <w:rPr>
          <w:szCs w:val="22"/>
        </w:rPr>
        <w:t xml:space="preserve"> also allege</w:t>
      </w:r>
      <w:r w:rsidR="00F015E1">
        <w:rPr>
          <w:szCs w:val="22"/>
        </w:rPr>
        <w:t xml:space="preserve"> that</w:t>
      </w:r>
      <w:r w:rsidR="00AA2085">
        <w:rPr>
          <w:szCs w:val="22"/>
        </w:rPr>
        <w:t xml:space="preserve"> confusion was created regarding the applicability of the rule by language contained in a footnote to the </w:t>
      </w:r>
      <w:r w:rsidR="007E6789">
        <w:rPr>
          <w:szCs w:val="22"/>
        </w:rPr>
        <w:t xml:space="preserve">Commission’s </w:t>
      </w:r>
      <w:r w:rsidR="00AA2085">
        <w:rPr>
          <w:szCs w:val="22"/>
        </w:rPr>
        <w:t xml:space="preserve">2006 </w:t>
      </w:r>
      <w:r w:rsidR="007E6789">
        <w:rPr>
          <w:szCs w:val="22"/>
        </w:rPr>
        <w:t>o</w:t>
      </w:r>
      <w:r w:rsidR="00AA2085">
        <w:rPr>
          <w:szCs w:val="22"/>
        </w:rPr>
        <w:t>rder</w:t>
      </w:r>
      <w:r w:rsidR="007E6789">
        <w:rPr>
          <w:szCs w:val="22"/>
        </w:rPr>
        <w:t xml:space="preserve"> adopting the rule</w:t>
      </w:r>
      <w:r w:rsidR="00AA2085">
        <w:rPr>
          <w:szCs w:val="22"/>
        </w:rPr>
        <w:t>.</w:t>
      </w:r>
      <w:r w:rsidR="00AA2085">
        <w:rPr>
          <w:rStyle w:val="FootnoteReference"/>
          <w:szCs w:val="22"/>
        </w:rPr>
        <w:footnoteReference w:id="3"/>
      </w:r>
      <w:r w:rsidR="00AA2085">
        <w:rPr>
          <w:szCs w:val="22"/>
        </w:rPr>
        <w:t xml:space="preserve"> </w:t>
      </w:r>
      <w:r w:rsidR="00E8781B">
        <w:rPr>
          <w:szCs w:val="22"/>
        </w:rPr>
        <w:t xml:space="preserve"> </w:t>
      </w:r>
      <w:r w:rsidR="003F485F">
        <w:rPr>
          <w:szCs w:val="22"/>
        </w:rPr>
        <w:t xml:space="preserve">In addition, the </w:t>
      </w:r>
      <w:r w:rsidR="0002562F">
        <w:rPr>
          <w:szCs w:val="22"/>
        </w:rPr>
        <w:t>P</w:t>
      </w:r>
      <w:r w:rsidR="00B25A6F">
        <w:rPr>
          <w:szCs w:val="22"/>
        </w:rPr>
        <w:t>etitioner</w:t>
      </w:r>
      <w:r w:rsidR="00370DD3">
        <w:rPr>
          <w:szCs w:val="22"/>
        </w:rPr>
        <w:t>s</w:t>
      </w:r>
      <w:r w:rsidR="001919F2">
        <w:rPr>
          <w:szCs w:val="22"/>
        </w:rPr>
        <w:t xml:space="preserve"> argue</w:t>
      </w:r>
      <w:r w:rsidR="00B25A6F">
        <w:rPr>
          <w:szCs w:val="22"/>
        </w:rPr>
        <w:t xml:space="preserve"> that regulation of solicited faxes raise</w:t>
      </w:r>
      <w:r w:rsidR="0001646B">
        <w:rPr>
          <w:szCs w:val="22"/>
        </w:rPr>
        <w:t>s</w:t>
      </w:r>
      <w:r w:rsidR="00B25A6F">
        <w:rPr>
          <w:szCs w:val="22"/>
        </w:rPr>
        <w:t xml:space="preserve"> First Amendment</w:t>
      </w:r>
      <w:r w:rsidR="00E347E1">
        <w:rPr>
          <w:szCs w:val="22"/>
        </w:rPr>
        <w:t xml:space="preserve"> </w:t>
      </w:r>
      <w:r w:rsidR="00B25A6F">
        <w:rPr>
          <w:szCs w:val="22"/>
        </w:rPr>
        <w:t>concerns.</w:t>
      </w:r>
      <w:r w:rsidR="00B25A6F">
        <w:rPr>
          <w:rStyle w:val="FootnoteReference"/>
          <w:szCs w:val="22"/>
        </w:rPr>
        <w:footnoteReference w:id="4"/>
      </w:r>
      <w:r w:rsidR="00B25A6F">
        <w:rPr>
          <w:szCs w:val="22"/>
        </w:rPr>
        <w:t xml:space="preserve">  </w:t>
      </w:r>
      <w:r w:rsidR="00AA2085">
        <w:rPr>
          <w:szCs w:val="22"/>
        </w:rPr>
        <w:t>Alternatively, the Petitioner</w:t>
      </w:r>
      <w:r w:rsidR="008E2BE7">
        <w:rPr>
          <w:szCs w:val="22"/>
        </w:rPr>
        <w:t>s</w:t>
      </w:r>
      <w:r w:rsidR="00AA2085">
        <w:rPr>
          <w:szCs w:val="22"/>
        </w:rPr>
        <w:t xml:space="preserve"> request that the Commission clarify that the opt-out notice requirements imposed on solicited faxes were not promulgated under section 227(b) of the Communications Act, as amended.</w:t>
      </w:r>
      <w:r w:rsidR="00AA2085">
        <w:rPr>
          <w:rStyle w:val="FootnoteReference"/>
          <w:szCs w:val="22"/>
        </w:rPr>
        <w:footnoteReference w:id="5"/>
      </w:r>
      <w:r w:rsidR="00AA2085">
        <w:rPr>
          <w:szCs w:val="22"/>
        </w:rPr>
        <w:t xml:space="preserve">  </w:t>
      </w:r>
    </w:p>
    <w:p w:rsidR="00B825BB" w:rsidRDefault="00B825BB" w:rsidP="00E92B7B">
      <w:pPr>
        <w:spacing w:before="120" w:after="240"/>
        <w:ind w:firstLine="720"/>
        <w:rPr>
          <w:szCs w:val="22"/>
        </w:rPr>
      </w:pPr>
      <w:r>
        <w:rPr>
          <w:szCs w:val="22"/>
        </w:rPr>
        <w:lastRenderedPageBreak/>
        <w:t xml:space="preserve">Subsequent to the filing of these Petitions, the Commission released an </w:t>
      </w:r>
      <w:r w:rsidR="0073524A">
        <w:rPr>
          <w:szCs w:val="22"/>
        </w:rPr>
        <w:t>o</w:t>
      </w:r>
      <w:r>
        <w:rPr>
          <w:szCs w:val="22"/>
        </w:rPr>
        <w:t xml:space="preserve">rder denying </w:t>
      </w:r>
      <w:r w:rsidR="00BC46CF">
        <w:rPr>
          <w:szCs w:val="22"/>
        </w:rPr>
        <w:t xml:space="preserve">substantially similar </w:t>
      </w:r>
      <w:r>
        <w:rPr>
          <w:szCs w:val="22"/>
        </w:rPr>
        <w:t>requests for declaratory ruling made by several other</w:t>
      </w:r>
      <w:r w:rsidR="00B41279">
        <w:rPr>
          <w:szCs w:val="22"/>
        </w:rPr>
        <w:t xml:space="preserve"> </w:t>
      </w:r>
      <w:r w:rsidR="00FA38C5">
        <w:rPr>
          <w:szCs w:val="22"/>
        </w:rPr>
        <w:t>parties</w:t>
      </w:r>
      <w:r w:rsidR="008A1C4C">
        <w:rPr>
          <w:szCs w:val="22"/>
        </w:rPr>
        <w:t>.  As a result, we</w:t>
      </w:r>
      <w:r w:rsidR="00D62969">
        <w:rPr>
          <w:szCs w:val="22"/>
        </w:rPr>
        <w:t xml:space="preserve"> </w:t>
      </w:r>
      <w:r w:rsidR="008A1C4C">
        <w:rPr>
          <w:szCs w:val="22"/>
        </w:rPr>
        <w:t>find</w:t>
      </w:r>
      <w:r w:rsidR="00FE37D9">
        <w:rPr>
          <w:szCs w:val="22"/>
        </w:rPr>
        <w:t xml:space="preserve"> it unne</w:t>
      </w:r>
      <w:r w:rsidR="008A1C4C">
        <w:rPr>
          <w:szCs w:val="22"/>
        </w:rPr>
        <w:t xml:space="preserve">cessary to seek </w:t>
      </w:r>
      <w:r w:rsidR="003F1F2A">
        <w:rPr>
          <w:szCs w:val="22"/>
        </w:rPr>
        <w:t xml:space="preserve">additional </w:t>
      </w:r>
      <w:r w:rsidR="008A1C4C">
        <w:rPr>
          <w:szCs w:val="22"/>
        </w:rPr>
        <w:t>comment on the Petitioners</w:t>
      </w:r>
      <w:r w:rsidR="00686ACE">
        <w:rPr>
          <w:szCs w:val="22"/>
        </w:rPr>
        <w:t>’</w:t>
      </w:r>
      <w:r w:rsidR="008A1C4C">
        <w:rPr>
          <w:szCs w:val="22"/>
        </w:rPr>
        <w:t xml:space="preserve"> request</w:t>
      </w:r>
      <w:r w:rsidR="00686ACE">
        <w:rPr>
          <w:szCs w:val="22"/>
        </w:rPr>
        <w:t>s</w:t>
      </w:r>
      <w:r w:rsidR="008A1C4C">
        <w:rPr>
          <w:szCs w:val="22"/>
        </w:rPr>
        <w:t xml:space="preserve"> for declaratory ruling</w:t>
      </w:r>
      <w:r>
        <w:rPr>
          <w:szCs w:val="22"/>
        </w:rPr>
        <w:t>.</w:t>
      </w:r>
      <w:r>
        <w:rPr>
          <w:rStyle w:val="FootnoteReference"/>
          <w:szCs w:val="22"/>
        </w:rPr>
        <w:footnoteReference w:id="6"/>
      </w:r>
      <w:r>
        <w:rPr>
          <w:szCs w:val="22"/>
        </w:rPr>
        <w:t xml:space="preserve">  </w:t>
      </w:r>
    </w:p>
    <w:p w:rsidR="00F716C5" w:rsidRPr="008D3C08" w:rsidRDefault="00FA38C5" w:rsidP="008E2BE7">
      <w:pPr>
        <w:spacing w:before="120" w:after="240"/>
        <w:ind w:firstLine="720"/>
        <w:rPr>
          <w:szCs w:val="22"/>
        </w:rPr>
      </w:pPr>
      <w:r>
        <w:rPr>
          <w:szCs w:val="22"/>
        </w:rPr>
        <w:t>Alternatively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DA3FCE">
        <w:rPr>
          <w:szCs w:val="22"/>
        </w:rPr>
        <w:t xml:space="preserve"> seek a retroactive waiver </w:t>
      </w:r>
      <w:r w:rsidR="0001646B">
        <w:rPr>
          <w:szCs w:val="22"/>
        </w:rPr>
        <w:t xml:space="preserve">of the opt-out notice requirement </w:t>
      </w:r>
      <w:r w:rsidR="007F6B74">
        <w:rPr>
          <w:szCs w:val="22"/>
        </w:rPr>
        <w:t>for fax ad</w:t>
      </w:r>
      <w:r w:rsidR="00DA3FCE">
        <w:rPr>
          <w:szCs w:val="22"/>
        </w:rPr>
        <w:t xml:space="preserve">s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has been obtained from the recipient.</w:t>
      </w:r>
      <w:r w:rsidR="00DA3FCE">
        <w:rPr>
          <w:rStyle w:val="FootnoteReference"/>
          <w:szCs w:val="22"/>
        </w:rPr>
        <w:footnoteReference w:id="7"/>
      </w:r>
      <w:r w:rsidR="00DA3FCE">
        <w:rPr>
          <w:szCs w:val="22"/>
        </w:rPr>
        <w:t xml:space="preserve"> </w:t>
      </w:r>
      <w:r w:rsidR="00F716C5">
        <w:rPr>
          <w:szCs w:val="22"/>
        </w:rPr>
        <w:t xml:space="preserve"> </w:t>
      </w:r>
      <w:r w:rsidR="008D3C08">
        <w:rPr>
          <w:szCs w:val="22"/>
        </w:rPr>
        <w:t xml:space="preserve">In the recent </w:t>
      </w:r>
      <w:r w:rsidR="008D3C08">
        <w:rPr>
          <w:i/>
          <w:szCs w:val="22"/>
        </w:rPr>
        <w:t>Fax Order</w:t>
      </w:r>
      <w:r w:rsidR="008D3C08">
        <w:rPr>
          <w:szCs w:val="22"/>
        </w:rPr>
        <w:t xml:space="preserve">, the Commission granted retroactive waivers of this requirement to several individual petitioners </w:t>
      </w:r>
      <w:r w:rsidR="0073524A">
        <w:rPr>
          <w:szCs w:val="22"/>
        </w:rPr>
        <w:t xml:space="preserve">because of </w:t>
      </w:r>
      <w:r w:rsidR="000678E7">
        <w:rPr>
          <w:szCs w:val="22"/>
        </w:rPr>
        <w:t xml:space="preserve">the claimed </w:t>
      </w:r>
      <w:r w:rsidR="008D3C08">
        <w:rPr>
          <w:szCs w:val="22"/>
        </w:rPr>
        <w:t>uncertainty about whether the opt-out notice applied to “solicited” faxes.</w:t>
      </w:r>
      <w:r w:rsidR="0014052B">
        <w:rPr>
          <w:rStyle w:val="FootnoteReference"/>
          <w:szCs w:val="22"/>
        </w:rPr>
        <w:footnoteReference w:id="8"/>
      </w:r>
      <w:r w:rsidR="008D3C08">
        <w:rPr>
          <w:szCs w:val="22"/>
        </w:rPr>
        <w:t xml:space="preserve">  </w:t>
      </w:r>
      <w:r w:rsidR="0014052B">
        <w:rPr>
          <w:szCs w:val="22"/>
        </w:rPr>
        <w:t>The</w:t>
      </w:r>
      <w:r w:rsidR="008D3C08">
        <w:rPr>
          <w:szCs w:val="22"/>
        </w:rPr>
        <w:t xml:space="preserve"> waiver</w:t>
      </w:r>
      <w:r w:rsidR="0014052B">
        <w:rPr>
          <w:szCs w:val="22"/>
        </w:rPr>
        <w:t xml:space="preserve">s granted in </w:t>
      </w:r>
      <w:r w:rsidR="000678E7">
        <w:rPr>
          <w:szCs w:val="22"/>
        </w:rPr>
        <w:t xml:space="preserve">the </w:t>
      </w:r>
      <w:r w:rsidR="000678E7">
        <w:rPr>
          <w:i/>
          <w:szCs w:val="22"/>
        </w:rPr>
        <w:t xml:space="preserve">Fax Order </w:t>
      </w:r>
      <w:r w:rsidR="0014052B">
        <w:rPr>
          <w:szCs w:val="22"/>
        </w:rPr>
        <w:t>apply</w:t>
      </w:r>
      <w:r w:rsidR="008D3C08">
        <w:rPr>
          <w:szCs w:val="22"/>
        </w:rPr>
        <w:t xml:space="preserve"> only to the individual petitioners listed in th</w:t>
      </w:r>
      <w:r w:rsidR="000678E7">
        <w:rPr>
          <w:szCs w:val="22"/>
        </w:rPr>
        <w:t>at order</w:t>
      </w:r>
      <w:r w:rsidR="008D3C08">
        <w:rPr>
          <w:szCs w:val="22"/>
        </w:rPr>
        <w:t>.</w:t>
      </w:r>
      <w:r w:rsidR="0014052B">
        <w:rPr>
          <w:rStyle w:val="FootnoteReference"/>
          <w:szCs w:val="22"/>
        </w:rPr>
        <w:footnoteReference w:id="9"/>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sidR="0014052B">
        <w:rPr>
          <w:szCs w:val="22"/>
        </w:rPr>
        <w:t>’</w:t>
      </w:r>
      <w:r w:rsidR="008D3C08">
        <w:rPr>
          <w:szCs w:val="22"/>
        </w:rPr>
        <w:t xml:space="preserve"> r</w:t>
      </w:r>
      <w:r w:rsidR="0014052B">
        <w:rPr>
          <w:szCs w:val="22"/>
        </w:rPr>
        <w:t>equest</w:t>
      </w:r>
      <w:r w:rsidR="000678E7">
        <w:rPr>
          <w:szCs w:val="22"/>
        </w:rPr>
        <w:t>s</w:t>
      </w:r>
      <w:r w:rsidR="0014052B">
        <w:rPr>
          <w:szCs w:val="22"/>
        </w:rPr>
        <w:t xml:space="preserve"> for waiver consistent with the </w:t>
      </w:r>
      <w:r w:rsidR="008E2BE7">
        <w:rPr>
          <w:szCs w:val="22"/>
        </w:rPr>
        <w:t>guidance set forth</w:t>
      </w:r>
      <w:r w:rsidR="0014052B">
        <w:rPr>
          <w:szCs w:val="22"/>
        </w:rPr>
        <w:t xml:space="preserve"> in the </w:t>
      </w:r>
      <w:r w:rsidR="0014052B">
        <w:rPr>
          <w:i/>
          <w:szCs w:val="22"/>
        </w:rPr>
        <w:t>Fax Order</w:t>
      </w:r>
      <w:r w:rsidR="0014052B">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lastRenderedPageBreak/>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10"/>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w:t>
      </w:r>
      <w:hyperlink r:id="rId15" w:history="1">
        <w:r w:rsidR="00E41CC7" w:rsidRPr="006C1CE3">
          <w:rPr>
            <w:rStyle w:val="Hyperlink"/>
            <w:szCs w:val="22"/>
          </w:rPr>
          <w:t>Richard.Smith@fcc.gov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2E" w:rsidRDefault="0067652E">
      <w:r>
        <w:separator/>
      </w:r>
    </w:p>
  </w:endnote>
  <w:endnote w:type="continuationSeparator" w:id="0">
    <w:p w:rsidR="0067652E" w:rsidRDefault="0067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9" w:rsidRDefault="0021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9" w:rsidRDefault="00210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2E" w:rsidRDefault="0067652E">
      <w:r>
        <w:separator/>
      </w:r>
    </w:p>
  </w:footnote>
  <w:footnote w:type="continuationSeparator" w:id="0">
    <w:p w:rsidR="0067652E" w:rsidRDefault="0067652E">
      <w:r>
        <w:continuationSeparator/>
      </w:r>
    </w:p>
  </w:footnote>
  <w:footnote w:id="1">
    <w:p w:rsidR="003F485F" w:rsidRPr="00AA2085" w:rsidRDefault="003F485F" w:rsidP="001E68FC">
      <w:pPr>
        <w:rPr>
          <w:sz w:val="20"/>
        </w:rPr>
      </w:pPr>
      <w:r w:rsidRPr="00AA2085">
        <w:rPr>
          <w:rStyle w:val="FootnoteReference"/>
          <w:sz w:val="20"/>
        </w:rPr>
        <w:footnoteRef/>
      </w:r>
      <w:r w:rsidRPr="00AA2085">
        <w:rPr>
          <w:sz w:val="20"/>
        </w:rPr>
        <w:t xml:space="preserve"> </w:t>
      </w:r>
      <w:r w:rsidRPr="00AA2085">
        <w:rPr>
          <w:i/>
          <w:sz w:val="20"/>
        </w:rPr>
        <w:t>See Pe</w:t>
      </w:r>
      <w:r w:rsidR="00736654">
        <w:rPr>
          <w:i/>
          <w:sz w:val="20"/>
        </w:rPr>
        <w:t>tition of Allscripts-Misy Healthcare Solutions, Inc.</w:t>
      </w:r>
      <w:r w:rsidRPr="00AA2085">
        <w:rPr>
          <w:i/>
          <w:sz w:val="20"/>
        </w:rPr>
        <w:t xml:space="preserve"> for Declaratory Ruling and/or Waiver</w:t>
      </w:r>
      <w:r w:rsidRPr="00AA2085">
        <w:rPr>
          <w:sz w:val="20"/>
        </w:rPr>
        <w:t>, CG Docket Nos.</w:t>
      </w:r>
      <w:r w:rsidR="00736654">
        <w:rPr>
          <w:sz w:val="20"/>
        </w:rPr>
        <w:t xml:space="preserve"> 02-278, 05-338 (filed Sept. 30</w:t>
      </w:r>
      <w:r w:rsidRPr="00AA2085">
        <w:rPr>
          <w:sz w:val="20"/>
        </w:rPr>
        <w:t>, 2014)</w:t>
      </w:r>
      <w:r w:rsidR="00736654">
        <w:rPr>
          <w:sz w:val="20"/>
        </w:rPr>
        <w:t xml:space="preserve"> (Allscripts Petition); </w:t>
      </w:r>
      <w:r w:rsidR="00736654" w:rsidRPr="00AA2085">
        <w:rPr>
          <w:i/>
          <w:sz w:val="20"/>
        </w:rPr>
        <w:t>Pe</w:t>
      </w:r>
      <w:r w:rsidR="00736654">
        <w:rPr>
          <w:i/>
          <w:sz w:val="20"/>
        </w:rPr>
        <w:t xml:space="preserve">tition of Francotyp-Postalia, Inc. </w:t>
      </w:r>
      <w:r w:rsidR="00736654" w:rsidRPr="00AA2085">
        <w:rPr>
          <w:i/>
          <w:sz w:val="20"/>
        </w:rPr>
        <w:t>for Declaratory Ruling and/or Waiver</w:t>
      </w:r>
      <w:r w:rsidR="00736654" w:rsidRPr="00AA2085">
        <w:rPr>
          <w:sz w:val="20"/>
        </w:rPr>
        <w:t>, CG Docket Nos.</w:t>
      </w:r>
      <w:r w:rsidR="00736654">
        <w:rPr>
          <w:sz w:val="20"/>
        </w:rPr>
        <w:t xml:space="preserve"> 02-278, 05-338 (filed Oct. 14</w:t>
      </w:r>
      <w:r w:rsidR="00736654" w:rsidRPr="00AA2085">
        <w:rPr>
          <w:sz w:val="20"/>
        </w:rPr>
        <w:t>, 2014)</w:t>
      </w:r>
      <w:r w:rsidR="00736654">
        <w:rPr>
          <w:sz w:val="20"/>
        </w:rPr>
        <w:t xml:space="preserve"> (FP Petition)</w:t>
      </w:r>
      <w:r w:rsidRPr="00AA2085">
        <w:rPr>
          <w:sz w:val="20"/>
        </w:rPr>
        <w:t xml:space="preserve">  (</w:t>
      </w:r>
      <w:r w:rsidR="00736654">
        <w:rPr>
          <w:sz w:val="20"/>
        </w:rPr>
        <w:t xml:space="preserve">collectively </w:t>
      </w:r>
      <w:r w:rsidRPr="00AA2085">
        <w:rPr>
          <w:sz w:val="20"/>
        </w:rPr>
        <w:t>Petition</w:t>
      </w:r>
      <w:r w:rsidR="00736654">
        <w:rPr>
          <w:sz w:val="20"/>
        </w:rPr>
        <w:t>ers</w:t>
      </w:r>
      <w:r w:rsidRPr="00AA2085">
        <w:rPr>
          <w:sz w:val="20"/>
        </w:rPr>
        <w:t xml:space="preserve">); </w:t>
      </w:r>
      <w:r w:rsidRPr="00AA2085">
        <w:rPr>
          <w:i/>
          <w:sz w:val="20"/>
        </w:rPr>
        <w:t>see also</w:t>
      </w:r>
      <w:r w:rsidRPr="00AA2085">
        <w:rPr>
          <w:sz w:val="20"/>
        </w:rPr>
        <w:t xml:space="preserve"> 47 C.F.R. § 64.1200 (a)(4)(iv). </w:t>
      </w:r>
    </w:p>
    <w:p w:rsidR="003F485F" w:rsidRPr="00AA2085" w:rsidRDefault="003F485F" w:rsidP="001E68FC">
      <w:pPr>
        <w:rPr>
          <w:sz w:val="20"/>
        </w:rPr>
      </w:pPr>
    </w:p>
  </w:footnote>
  <w:footnote w:id="2">
    <w:p w:rsidR="00F015E1" w:rsidRPr="00AA2085" w:rsidRDefault="00F015E1" w:rsidP="00F015E1">
      <w:pPr>
        <w:pStyle w:val="FootnoteText"/>
        <w:rPr>
          <w:sz w:val="20"/>
        </w:rPr>
      </w:pPr>
      <w:r w:rsidRPr="00AA2085">
        <w:rPr>
          <w:rStyle w:val="FootnoteReference"/>
          <w:sz w:val="20"/>
        </w:rPr>
        <w:footnoteRef/>
      </w:r>
      <w:r w:rsidRPr="00AA2085">
        <w:rPr>
          <w:sz w:val="20"/>
        </w:rPr>
        <w:t xml:space="preserve"> </w:t>
      </w:r>
      <w:r>
        <w:rPr>
          <w:i/>
          <w:sz w:val="20"/>
        </w:rPr>
        <w:t>See</w:t>
      </w:r>
      <w:r>
        <w:rPr>
          <w:sz w:val="20"/>
        </w:rPr>
        <w:t xml:space="preserve"> Allscripts Petition at 5-7; FP Petition at 5-6.  </w:t>
      </w:r>
    </w:p>
  </w:footnote>
  <w:footnote w:id="3">
    <w:p w:rsidR="00AA2085" w:rsidRPr="00AA2085" w:rsidRDefault="00AA2085" w:rsidP="00AA2085">
      <w:pPr>
        <w:pStyle w:val="FootnoteText"/>
        <w:rPr>
          <w:sz w:val="20"/>
        </w:rPr>
      </w:pPr>
      <w:r w:rsidRPr="00AA2085">
        <w:rPr>
          <w:rStyle w:val="FootnoteReference"/>
          <w:sz w:val="20"/>
        </w:rPr>
        <w:footnoteRef/>
      </w:r>
      <w:r w:rsidRPr="00AA2085">
        <w:rPr>
          <w:sz w:val="20"/>
        </w:rPr>
        <w:t xml:space="preserve"> </w:t>
      </w:r>
      <w:r w:rsidR="00736654">
        <w:rPr>
          <w:i/>
          <w:sz w:val="20"/>
        </w:rPr>
        <w:t>See</w:t>
      </w:r>
      <w:r w:rsidR="00736654">
        <w:rPr>
          <w:sz w:val="20"/>
        </w:rPr>
        <w:t xml:space="preserve"> Allscripts Petition at 6;</w:t>
      </w:r>
      <w:r w:rsidR="00370DD3">
        <w:rPr>
          <w:sz w:val="20"/>
        </w:rPr>
        <w:t xml:space="preserve"> FP Petition at 4</w:t>
      </w:r>
      <w:r w:rsidR="00736654">
        <w:rPr>
          <w:sz w:val="20"/>
        </w:rPr>
        <w:t>.</w:t>
      </w:r>
    </w:p>
  </w:footnote>
  <w:footnote w:id="4">
    <w:p w:rsidR="003F485F" w:rsidRPr="00AA2085" w:rsidRDefault="003F485F">
      <w:pPr>
        <w:pStyle w:val="FootnoteText"/>
        <w:rPr>
          <w:sz w:val="20"/>
        </w:rPr>
      </w:pPr>
      <w:r w:rsidRPr="00AA2085">
        <w:rPr>
          <w:rStyle w:val="FootnoteReference"/>
          <w:sz w:val="20"/>
        </w:rPr>
        <w:footnoteRef/>
      </w:r>
      <w:r w:rsidRPr="00AA2085">
        <w:rPr>
          <w:sz w:val="20"/>
        </w:rPr>
        <w:t xml:space="preserve"> </w:t>
      </w:r>
      <w:r w:rsidR="00370DD3">
        <w:rPr>
          <w:i/>
          <w:sz w:val="20"/>
        </w:rPr>
        <w:t>See</w:t>
      </w:r>
      <w:r w:rsidR="00370DD3">
        <w:rPr>
          <w:sz w:val="20"/>
        </w:rPr>
        <w:t xml:space="preserve"> Allscripts Petition at 8; FP Petition at 6.</w:t>
      </w:r>
    </w:p>
  </w:footnote>
  <w:footnote w:id="5">
    <w:p w:rsidR="00AA2085" w:rsidRPr="00AA2085" w:rsidRDefault="00AA2085" w:rsidP="00AA2085">
      <w:pPr>
        <w:pStyle w:val="FootnoteText"/>
        <w:rPr>
          <w:sz w:val="20"/>
        </w:rPr>
      </w:pPr>
      <w:r w:rsidRPr="00AA2085">
        <w:rPr>
          <w:rStyle w:val="FootnoteReference"/>
          <w:sz w:val="20"/>
        </w:rPr>
        <w:footnoteRef/>
      </w:r>
      <w:r w:rsidR="00370DD3" w:rsidRPr="00370DD3">
        <w:rPr>
          <w:i/>
          <w:sz w:val="20"/>
        </w:rPr>
        <w:t xml:space="preserve"> </w:t>
      </w:r>
      <w:r w:rsidR="00370DD3">
        <w:rPr>
          <w:i/>
          <w:sz w:val="20"/>
        </w:rPr>
        <w:t>See</w:t>
      </w:r>
      <w:r w:rsidR="00370DD3">
        <w:rPr>
          <w:sz w:val="20"/>
        </w:rPr>
        <w:t xml:space="preserve"> Allscripts Petition at 9; FP Petition at 6-7.</w:t>
      </w:r>
    </w:p>
  </w:footnote>
  <w:footnote w:id="6">
    <w:p w:rsidR="00B825BB" w:rsidRPr="00B825BB" w:rsidRDefault="00B825BB">
      <w:pPr>
        <w:pStyle w:val="FootnoteText"/>
      </w:pPr>
      <w:r>
        <w:rPr>
          <w:rStyle w:val="FootnoteReference"/>
        </w:rPr>
        <w:footnoteRef/>
      </w:r>
      <w:r>
        <w:t xml:space="preserve"> </w:t>
      </w:r>
      <w:r w:rsidRPr="00E92B7B">
        <w:rPr>
          <w:i/>
          <w:sz w:val="20"/>
        </w:rPr>
        <w:t>See Rules and Regulations Implementing the Telephone Consumer Protection Act of 1991; Junk Fax Prevention Act of 2005; Application for Review filed by Anda, Inc.; Petition for Declaratory Ruling, Waiver, and/or Rulemaking Regarding the Commission’s Opt-Out Requirement for Faxes Sent with the Recipient’s Prior Express Permission</w:t>
      </w:r>
      <w:r w:rsidRPr="00E92B7B">
        <w:rPr>
          <w:sz w:val="20"/>
        </w:rPr>
        <w:t xml:space="preserve">, CG Docket No. 02-278, 05-338, Order, </w:t>
      </w:r>
      <w:r w:rsidR="009E10CA">
        <w:rPr>
          <w:sz w:val="20"/>
        </w:rPr>
        <w:t>FCC</w:t>
      </w:r>
      <w:r w:rsidR="008D3C08" w:rsidRPr="00E92B7B">
        <w:rPr>
          <w:sz w:val="20"/>
        </w:rPr>
        <w:t xml:space="preserve"> 14-164 (rel.</w:t>
      </w:r>
      <w:r w:rsidR="00CC13CC">
        <w:rPr>
          <w:sz w:val="20"/>
        </w:rPr>
        <w:t xml:space="preserve"> Oct. 30</w:t>
      </w:r>
      <w:r w:rsidR="008D3C08" w:rsidRPr="00E92B7B">
        <w:rPr>
          <w:sz w:val="20"/>
        </w:rPr>
        <w:t>, 2014) (</w:t>
      </w:r>
      <w:r w:rsidR="008D3C08" w:rsidRPr="00E92B7B">
        <w:rPr>
          <w:i/>
          <w:sz w:val="20"/>
        </w:rPr>
        <w:t>Fax Order</w:t>
      </w:r>
      <w:r w:rsidR="008D3C08" w:rsidRPr="00E92B7B">
        <w:rPr>
          <w:sz w:val="20"/>
        </w:rPr>
        <w:t>).</w:t>
      </w:r>
    </w:p>
  </w:footnote>
  <w:footnote w:id="7">
    <w:p w:rsidR="003F485F" w:rsidRPr="007F6B74" w:rsidRDefault="003F485F">
      <w:pPr>
        <w:pStyle w:val="FootnoteText"/>
        <w:rPr>
          <w:sz w:val="20"/>
        </w:rPr>
      </w:pPr>
      <w:r w:rsidRPr="00D04F67">
        <w:rPr>
          <w:rStyle w:val="FootnoteReference"/>
          <w:sz w:val="20"/>
        </w:rPr>
        <w:footnoteRef/>
      </w:r>
      <w:r w:rsidR="00370DD3">
        <w:rPr>
          <w:sz w:val="20"/>
        </w:rPr>
        <w:t xml:space="preserve"> </w:t>
      </w:r>
      <w:r w:rsidR="00370DD3">
        <w:rPr>
          <w:i/>
          <w:sz w:val="20"/>
        </w:rPr>
        <w:t>See</w:t>
      </w:r>
      <w:r w:rsidR="002C7AF9">
        <w:rPr>
          <w:sz w:val="20"/>
        </w:rPr>
        <w:t xml:space="preserve"> Allscripts </w:t>
      </w:r>
      <w:r w:rsidR="00370DD3">
        <w:rPr>
          <w:sz w:val="20"/>
        </w:rPr>
        <w:t>Petition at 9-10; FP Petition at 4.</w:t>
      </w:r>
    </w:p>
  </w:footnote>
  <w:footnote w:id="8">
    <w:p w:rsidR="0014052B" w:rsidRPr="0014052B" w:rsidRDefault="0014052B">
      <w:pPr>
        <w:pStyle w:val="FootnoteText"/>
      </w:pPr>
      <w:r>
        <w:rPr>
          <w:rStyle w:val="FootnoteReference"/>
        </w:rPr>
        <w:footnoteRef/>
      </w:r>
      <w:r>
        <w:t xml:space="preserve"> </w:t>
      </w:r>
      <w:r w:rsidRPr="00E92B7B">
        <w:rPr>
          <w:i/>
          <w:sz w:val="20"/>
        </w:rPr>
        <w:t>See Fax Order</w:t>
      </w:r>
      <w:r w:rsidR="00B41279">
        <w:rPr>
          <w:sz w:val="20"/>
        </w:rPr>
        <w:t xml:space="preserve"> at para</w:t>
      </w:r>
      <w:r w:rsidR="00344B57">
        <w:rPr>
          <w:sz w:val="20"/>
        </w:rPr>
        <w:t>s</w:t>
      </w:r>
      <w:r w:rsidR="00B41279">
        <w:rPr>
          <w:sz w:val="20"/>
        </w:rPr>
        <w:t>. 22-31</w:t>
      </w:r>
      <w:r w:rsidRPr="00E92B7B">
        <w:rPr>
          <w:sz w:val="20"/>
        </w:rPr>
        <w:t>.</w:t>
      </w:r>
    </w:p>
  </w:footnote>
  <w:footnote w:id="9">
    <w:p w:rsidR="0014052B" w:rsidRPr="0014052B" w:rsidRDefault="0014052B">
      <w:pPr>
        <w:pStyle w:val="FootnoteText"/>
      </w:pPr>
      <w:r>
        <w:rPr>
          <w:rStyle w:val="FootnoteReference"/>
        </w:rPr>
        <w:footnoteRef/>
      </w:r>
      <w:r>
        <w:t xml:space="preserve"> </w:t>
      </w:r>
      <w:r w:rsidRPr="00E92B7B">
        <w:rPr>
          <w:i/>
          <w:sz w:val="20"/>
        </w:rPr>
        <w:t>Id.</w:t>
      </w:r>
      <w:r w:rsidR="00712EA8">
        <w:rPr>
          <w:sz w:val="20"/>
        </w:rPr>
        <w:t xml:space="preserve"> at para. 22</w:t>
      </w:r>
      <w:r w:rsidRPr="00E92B7B">
        <w:rPr>
          <w:sz w:val="20"/>
        </w:rPr>
        <w:t>.</w:t>
      </w:r>
    </w:p>
  </w:footnote>
  <w:footnote w:id="10">
    <w:p w:rsidR="003F485F" w:rsidRPr="00D04F67" w:rsidRDefault="003F485F"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3F485F" w:rsidRPr="00D04F67"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9" w:rsidRDefault="00210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9" w:rsidRDefault="00210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13E4A61" wp14:editId="5DB853FD">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7AF3AB" wp14:editId="1EE2AA09">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E347E1" w:rsidRDefault="00E347E1">
                    <w:pPr>
                      <w:rPr>
                        <w:rFonts w:ascii="Arial" w:hAnsi="Arial"/>
                        <w:b/>
                      </w:rPr>
                    </w:pPr>
                    <w:r>
                      <w:rPr>
                        <w:rFonts w:ascii="Arial" w:hAnsi="Arial"/>
                        <w:b/>
                      </w:rPr>
                      <w:t>Federal Communications Commission</w:t>
                    </w:r>
                  </w:p>
                  <w:p w:rsidR="00E347E1" w:rsidRDefault="00E347E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47E1" w:rsidRDefault="00E347E1">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8A1D69C" wp14:editId="73B3197A">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8E5526F" wp14:editId="5098429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E347E1" w:rsidRDefault="00E347E1">
                    <w:pPr>
                      <w:spacing w:before="40"/>
                      <w:jc w:val="right"/>
                      <w:rPr>
                        <w:rFonts w:ascii="Arial" w:hAnsi="Arial"/>
                        <w:b/>
                        <w:sz w:val="16"/>
                      </w:rPr>
                    </w:pPr>
                    <w:r>
                      <w:rPr>
                        <w:rFonts w:ascii="Arial" w:hAnsi="Arial"/>
                        <w:b/>
                        <w:sz w:val="16"/>
                      </w:rPr>
                      <w:t>News Media Information 202 / 418-0500</w:t>
                    </w:r>
                  </w:p>
                  <w:p w:rsidR="00E347E1" w:rsidRDefault="00E347E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347E1" w:rsidRDefault="00E347E1">
                    <w:pPr>
                      <w:jc w:val="right"/>
                      <w:rPr>
                        <w:rFonts w:ascii="Arial" w:hAnsi="Arial"/>
                        <w:b/>
                        <w:sz w:val="16"/>
                      </w:rPr>
                    </w:pPr>
                    <w:r>
                      <w:rPr>
                        <w:rFonts w:ascii="Arial" w:hAnsi="Arial"/>
                        <w:b/>
                        <w:sz w:val="16"/>
                      </w:rPr>
                      <w:t>TTY: 1-888-835-5322</w:t>
                    </w:r>
                  </w:p>
                  <w:p w:rsidR="00E347E1" w:rsidRDefault="00E347E1">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612AD"/>
    <w:rsid w:val="000678E7"/>
    <w:rsid w:val="000A6B51"/>
    <w:rsid w:val="000B553F"/>
    <w:rsid w:val="000C1109"/>
    <w:rsid w:val="000D11B7"/>
    <w:rsid w:val="000D1C50"/>
    <w:rsid w:val="000D6DC2"/>
    <w:rsid w:val="000F69DF"/>
    <w:rsid w:val="0010035E"/>
    <w:rsid w:val="00113D6D"/>
    <w:rsid w:val="0014052B"/>
    <w:rsid w:val="00146E01"/>
    <w:rsid w:val="00147379"/>
    <w:rsid w:val="00170DCF"/>
    <w:rsid w:val="001919F2"/>
    <w:rsid w:val="001B21B4"/>
    <w:rsid w:val="001B4F07"/>
    <w:rsid w:val="001C2092"/>
    <w:rsid w:val="001D2450"/>
    <w:rsid w:val="001E68FC"/>
    <w:rsid w:val="002003A4"/>
    <w:rsid w:val="002108E9"/>
    <w:rsid w:val="00257984"/>
    <w:rsid w:val="002A23B4"/>
    <w:rsid w:val="002A58ED"/>
    <w:rsid w:val="002C2706"/>
    <w:rsid w:val="002C7AF9"/>
    <w:rsid w:val="003024F2"/>
    <w:rsid w:val="00313725"/>
    <w:rsid w:val="00344B57"/>
    <w:rsid w:val="00355318"/>
    <w:rsid w:val="0036187D"/>
    <w:rsid w:val="003676CF"/>
    <w:rsid w:val="00370DD3"/>
    <w:rsid w:val="0037104A"/>
    <w:rsid w:val="003967FF"/>
    <w:rsid w:val="00396E93"/>
    <w:rsid w:val="003B6850"/>
    <w:rsid w:val="003C6359"/>
    <w:rsid w:val="003D49B7"/>
    <w:rsid w:val="003F1F2A"/>
    <w:rsid w:val="003F485F"/>
    <w:rsid w:val="00402B54"/>
    <w:rsid w:val="00412C1E"/>
    <w:rsid w:val="00453BEF"/>
    <w:rsid w:val="0047489A"/>
    <w:rsid w:val="0052637A"/>
    <w:rsid w:val="00574782"/>
    <w:rsid w:val="005A066E"/>
    <w:rsid w:val="005D5554"/>
    <w:rsid w:val="00603053"/>
    <w:rsid w:val="00621993"/>
    <w:rsid w:val="00661A3A"/>
    <w:rsid w:val="006677EF"/>
    <w:rsid w:val="00671A22"/>
    <w:rsid w:val="0067652E"/>
    <w:rsid w:val="006823CB"/>
    <w:rsid w:val="00686ACE"/>
    <w:rsid w:val="006878EA"/>
    <w:rsid w:val="006A39DF"/>
    <w:rsid w:val="006D0730"/>
    <w:rsid w:val="007102BF"/>
    <w:rsid w:val="00712EA8"/>
    <w:rsid w:val="00722423"/>
    <w:rsid w:val="007252B4"/>
    <w:rsid w:val="00726E31"/>
    <w:rsid w:val="00732B25"/>
    <w:rsid w:val="00732D4B"/>
    <w:rsid w:val="00732DCB"/>
    <w:rsid w:val="0073524A"/>
    <w:rsid w:val="00736654"/>
    <w:rsid w:val="00745AE7"/>
    <w:rsid w:val="00752DFE"/>
    <w:rsid w:val="00757CB0"/>
    <w:rsid w:val="00770A4C"/>
    <w:rsid w:val="00783A5B"/>
    <w:rsid w:val="0079324D"/>
    <w:rsid w:val="007C4136"/>
    <w:rsid w:val="007C584A"/>
    <w:rsid w:val="007E6789"/>
    <w:rsid w:val="007F6B74"/>
    <w:rsid w:val="00801FF6"/>
    <w:rsid w:val="00806515"/>
    <w:rsid w:val="008069C5"/>
    <w:rsid w:val="008664FF"/>
    <w:rsid w:val="008675B7"/>
    <w:rsid w:val="008A1C4C"/>
    <w:rsid w:val="008A6371"/>
    <w:rsid w:val="008D2EA2"/>
    <w:rsid w:val="008D3C08"/>
    <w:rsid w:val="008E2BE7"/>
    <w:rsid w:val="00923ECA"/>
    <w:rsid w:val="00957E98"/>
    <w:rsid w:val="00974453"/>
    <w:rsid w:val="00976015"/>
    <w:rsid w:val="00997FAC"/>
    <w:rsid w:val="009B6268"/>
    <w:rsid w:val="009C5DC2"/>
    <w:rsid w:val="009D0247"/>
    <w:rsid w:val="009D46E5"/>
    <w:rsid w:val="009E10CA"/>
    <w:rsid w:val="00A10E54"/>
    <w:rsid w:val="00A23B89"/>
    <w:rsid w:val="00A2503C"/>
    <w:rsid w:val="00A27D3A"/>
    <w:rsid w:val="00A57079"/>
    <w:rsid w:val="00A66417"/>
    <w:rsid w:val="00A8436D"/>
    <w:rsid w:val="00A90C1C"/>
    <w:rsid w:val="00AA2085"/>
    <w:rsid w:val="00AC0A1F"/>
    <w:rsid w:val="00AD561B"/>
    <w:rsid w:val="00AE6525"/>
    <w:rsid w:val="00B1228D"/>
    <w:rsid w:val="00B25A6F"/>
    <w:rsid w:val="00B261AB"/>
    <w:rsid w:val="00B26A17"/>
    <w:rsid w:val="00B343DF"/>
    <w:rsid w:val="00B41279"/>
    <w:rsid w:val="00B825BB"/>
    <w:rsid w:val="00BC1AE9"/>
    <w:rsid w:val="00BC46CF"/>
    <w:rsid w:val="00BC491A"/>
    <w:rsid w:val="00BC51CD"/>
    <w:rsid w:val="00BE17FF"/>
    <w:rsid w:val="00C06CA3"/>
    <w:rsid w:val="00C2369C"/>
    <w:rsid w:val="00C67DFC"/>
    <w:rsid w:val="00C92C66"/>
    <w:rsid w:val="00C937A3"/>
    <w:rsid w:val="00CC13CC"/>
    <w:rsid w:val="00CC25D9"/>
    <w:rsid w:val="00CD76A8"/>
    <w:rsid w:val="00CE4649"/>
    <w:rsid w:val="00D04267"/>
    <w:rsid w:val="00D04F67"/>
    <w:rsid w:val="00D474D2"/>
    <w:rsid w:val="00D62969"/>
    <w:rsid w:val="00D6348F"/>
    <w:rsid w:val="00DA3FCE"/>
    <w:rsid w:val="00DB28AF"/>
    <w:rsid w:val="00E177BB"/>
    <w:rsid w:val="00E347E1"/>
    <w:rsid w:val="00E34D55"/>
    <w:rsid w:val="00E41CC7"/>
    <w:rsid w:val="00E8781B"/>
    <w:rsid w:val="00E92B7B"/>
    <w:rsid w:val="00EB706B"/>
    <w:rsid w:val="00ED7B1B"/>
    <w:rsid w:val="00EE07EE"/>
    <w:rsid w:val="00F015E1"/>
    <w:rsid w:val="00F41D5F"/>
    <w:rsid w:val="00F46528"/>
    <w:rsid w:val="00F50E6F"/>
    <w:rsid w:val="00F716C5"/>
    <w:rsid w:val="00F7186E"/>
    <w:rsid w:val="00F76B2A"/>
    <w:rsid w:val="00FA38C5"/>
    <w:rsid w:val="00FB5FDD"/>
    <w:rsid w:val="00FC02B3"/>
    <w:rsid w:val="00FE37D9"/>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hard.Smit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927</Words>
  <Characters>5328</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6286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2014-10-27T13:53:00Z</cp:lastPrinted>
  <dcterms:created xsi:type="dcterms:W3CDTF">2014-11-04T13:44:00Z</dcterms:created>
  <dcterms:modified xsi:type="dcterms:W3CDTF">2014-11-04T13:44:00Z</dcterms:modified>
  <cp:category> </cp:category>
  <cp:contentStatus> </cp:contentStatus>
</cp:coreProperties>
</file>