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FD3557">
        <w:rPr>
          <w:b/>
          <w:sz w:val="24"/>
        </w:rPr>
        <w:t xml:space="preserve"> 14-1613</w:t>
      </w:r>
    </w:p>
    <w:p w:rsidR="000F69DF" w:rsidRPr="001E68FC" w:rsidRDefault="00D6348F">
      <w:pPr>
        <w:spacing w:before="60"/>
        <w:jc w:val="right"/>
        <w:rPr>
          <w:b/>
          <w:sz w:val="24"/>
        </w:rPr>
      </w:pPr>
      <w:r>
        <w:rPr>
          <w:b/>
          <w:sz w:val="24"/>
        </w:rPr>
        <w:t xml:space="preserve">November </w:t>
      </w:r>
      <w:r w:rsidR="00CD4B82">
        <w:rPr>
          <w:b/>
          <w:sz w:val="24"/>
        </w:rPr>
        <w:t>7</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 xml:space="preserve">PETITION </w:t>
      </w:r>
      <w:r w:rsidR="00B31A8B">
        <w:rPr>
          <w:b/>
          <w:caps/>
          <w:szCs w:val="22"/>
        </w:rPr>
        <w:t xml:space="preserve">FOR DECLARATORY RULING </w:t>
      </w:r>
      <w:r w:rsidR="00B62B0C">
        <w:rPr>
          <w:b/>
          <w:caps/>
          <w:szCs w:val="22"/>
        </w:rPr>
        <w:t xml:space="preserve">AND/Or Waiver </w:t>
      </w:r>
      <w:r w:rsidR="00B31A8B">
        <w:rPr>
          <w:b/>
          <w:caps/>
          <w:szCs w:val="22"/>
        </w:rPr>
        <w:t>FILED BY BIJORA, INC.</w:t>
      </w:r>
      <w:r w:rsidR="0069438F">
        <w:rPr>
          <w:b/>
          <w:caps/>
          <w:szCs w:val="22"/>
        </w:rPr>
        <w:t xml:space="preserve"> </w:t>
      </w:r>
      <w:r>
        <w:rPr>
          <w:b/>
          <w:caps/>
          <w:szCs w:val="22"/>
        </w:rPr>
        <w:t xml:space="preserve">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D6348F">
        <w:rPr>
          <w:szCs w:val="22"/>
        </w:rPr>
        <w:t xml:space="preserve">  November </w:t>
      </w:r>
      <w:r w:rsidR="00CD4B82">
        <w:rPr>
          <w:szCs w:val="22"/>
        </w:rPr>
        <w:t>21</w:t>
      </w:r>
      <w:r>
        <w:rPr>
          <w:szCs w:val="22"/>
        </w:rPr>
        <w:t>, 2014</w:t>
      </w:r>
    </w:p>
    <w:p w:rsidR="000F69DF" w:rsidRPr="00997FAC" w:rsidRDefault="001E68FC" w:rsidP="00997FAC">
      <w:pPr>
        <w:rPr>
          <w:b/>
        </w:rPr>
      </w:pPr>
      <w:r>
        <w:rPr>
          <w:b/>
        </w:rPr>
        <w:t>Reply Comment Date</w:t>
      </w:r>
      <w:r>
        <w:t xml:space="preserve">:  </w:t>
      </w:r>
      <w:r w:rsidR="00D6348F">
        <w:rPr>
          <w:b/>
        </w:rPr>
        <w:t xml:space="preserve">November </w:t>
      </w:r>
      <w:r w:rsidR="00CD4B82">
        <w:rPr>
          <w:b/>
        </w:rPr>
        <w:t>28</w:t>
      </w:r>
      <w:r>
        <w:t xml:space="preserve">, </w:t>
      </w:r>
      <w:r>
        <w:rPr>
          <w:b/>
        </w:rPr>
        <w:t>2014</w:t>
      </w:r>
    </w:p>
    <w:p w:rsidR="00FA38C5" w:rsidRPr="00CF07C6" w:rsidRDefault="001E68FC" w:rsidP="00C514FC">
      <w:pPr>
        <w:spacing w:before="120" w:after="240"/>
        <w:rPr>
          <w:szCs w:val="22"/>
        </w:rPr>
      </w:pPr>
      <w:r>
        <w:rPr>
          <w:sz w:val="24"/>
        </w:rPr>
        <w:tab/>
      </w:r>
      <w:r w:rsidR="00035CEF" w:rsidRPr="00CD4B82">
        <w:rPr>
          <w:szCs w:val="22"/>
        </w:rPr>
        <w:t>On October</w:t>
      </w:r>
      <w:r w:rsidR="00053DC2" w:rsidRPr="00CD4B82">
        <w:rPr>
          <w:szCs w:val="22"/>
        </w:rPr>
        <w:t xml:space="preserve"> 7</w:t>
      </w:r>
      <w:r w:rsidR="00035CEF" w:rsidRPr="00CD4B82">
        <w:rPr>
          <w:szCs w:val="22"/>
        </w:rPr>
        <w:t>, 2014</w:t>
      </w:r>
      <w:r w:rsidR="00053DC2" w:rsidRPr="00CD4B82">
        <w:rPr>
          <w:szCs w:val="22"/>
        </w:rPr>
        <w:t>,</w:t>
      </w:r>
      <w:r w:rsidR="00035CEF" w:rsidRPr="00CD4B82">
        <w:rPr>
          <w:szCs w:val="22"/>
        </w:rPr>
        <w:t xml:space="preserve"> Bijora, </w:t>
      </w:r>
      <w:r w:rsidR="00C47DB7" w:rsidRPr="00CD4B82">
        <w:rPr>
          <w:szCs w:val="22"/>
        </w:rPr>
        <w:t>Inc</w:t>
      </w:r>
      <w:r w:rsidR="00035CEF" w:rsidRPr="00CD4B82">
        <w:rPr>
          <w:szCs w:val="22"/>
        </w:rPr>
        <w:t>.</w:t>
      </w:r>
      <w:r w:rsidR="00C47DB7" w:rsidRPr="00CD4B82">
        <w:rPr>
          <w:szCs w:val="22"/>
        </w:rPr>
        <w:t xml:space="preserve"> (Petitioner) </w:t>
      </w:r>
      <w:r w:rsidR="00C47DB7" w:rsidRPr="00CF07C6">
        <w:rPr>
          <w:szCs w:val="22"/>
        </w:rPr>
        <w:t>filed a request for</w:t>
      </w:r>
      <w:r w:rsidR="00B261AB" w:rsidRPr="00CF07C6">
        <w:rPr>
          <w:szCs w:val="22"/>
        </w:rPr>
        <w:t xml:space="preserve"> </w:t>
      </w:r>
      <w:r w:rsidRPr="00CF07C6">
        <w:rPr>
          <w:szCs w:val="22"/>
        </w:rPr>
        <w:t>declaratory ruling</w:t>
      </w:r>
      <w:r w:rsidR="00B315CB" w:rsidRPr="00CF07C6">
        <w:rPr>
          <w:szCs w:val="22"/>
        </w:rPr>
        <w:t xml:space="preserve"> and/or waiver</w:t>
      </w:r>
      <w:r w:rsidRPr="00CF07C6">
        <w:rPr>
          <w:szCs w:val="22"/>
        </w:rPr>
        <w:t xml:space="preserve"> </w:t>
      </w:r>
      <w:r w:rsidR="00B47ED1" w:rsidRPr="00CF07C6">
        <w:rPr>
          <w:szCs w:val="22"/>
        </w:rPr>
        <w:t>seeking clarification</w:t>
      </w:r>
      <w:r w:rsidR="00C47DB7" w:rsidRPr="00CF07C6">
        <w:rPr>
          <w:szCs w:val="22"/>
        </w:rPr>
        <w:t xml:space="preserve"> that </w:t>
      </w:r>
      <w:r w:rsidRPr="00CF07C6">
        <w:rPr>
          <w:szCs w:val="22"/>
        </w:rPr>
        <w:t>section 64.1200(a)(4)(iv) of the Commission’s rules</w:t>
      </w:r>
      <w:r w:rsidR="00CD015E" w:rsidRPr="00CF07C6">
        <w:rPr>
          <w:rStyle w:val="FootnoteReference"/>
          <w:szCs w:val="22"/>
        </w:rPr>
        <w:footnoteReference w:id="1"/>
      </w:r>
      <w:r w:rsidR="00C47DB7" w:rsidRPr="00CF07C6">
        <w:rPr>
          <w:szCs w:val="22"/>
        </w:rPr>
        <w:t xml:space="preserve"> does not apply to text </w:t>
      </w:r>
      <w:r w:rsidR="00B31A8B" w:rsidRPr="00CF07C6">
        <w:rPr>
          <w:szCs w:val="22"/>
        </w:rPr>
        <w:t xml:space="preserve">message </w:t>
      </w:r>
      <w:r w:rsidR="00C47DB7" w:rsidRPr="00CF07C6">
        <w:rPr>
          <w:szCs w:val="22"/>
        </w:rPr>
        <w:t>advertisements sen</w:t>
      </w:r>
      <w:r w:rsidR="007A087E" w:rsidRPr="00CF07C6">
        <w:rPr>
          <w:szCs w:val="22"/>
        </w:rPr>
        <w:t>t with the prior express consent</w:t>
      </w:r>
      <w:r w:rsidR="00C47DB7" w:rsidRPr="00CF07C6">
        <w:rPr>
          <w:szCs w:val="22"/>
        </w:rPr>
        <w:t xml:space="preserve"> or permission of the recipient.</w:t>
      </w:r>
      <w:r w:rsidRPr="00CF07C6">
        <w:rPr>
          <w:rStyle w:val="FootnoteReference"/>
          <w:szCs w:val="22"/>
        </w:rPr>
        <w:footnoteReference w:id="2"/>
      </w:r>
      <w:r w:rsidRPr="00CF07C6">
        <w:rPr>
          <w:szCs w:val="22"/>
        </w:rPr>
        <w:t xml:space="preserve">  </w:t>
      </w:r>
      <w:r w:rsidR="00B47ED1" w:rsidRPr="00CF07C6">
        <w:rPr>
          <w:szCs w:val="22"/>
        </w:rPr>
        <w:t>Specifically, th</w:t>
      </w:r>
      <w:r w:rsidR="00B315CB" w:rsidRPr="00CF07C6">
        <w:rPr>
          <w:szCs w:val="22"/>
        </w:rPr>
        <w:t>e Petitioner seeks a declaratory ruling</w:t>
      </w:r>
      <w:r w:rsidR="00B47ED1" w:rsidRPr="00CF07C6">
        <w:rPr>
          <w:szCs w:val="22"/>
        </w:rPr>
        <w:t xml:space="preserve"> that section 64.1200(a)</w:t>
      </w:r>
      <w:r w:rsidR="007A087E" w:rsidRPr="00CF07C6">
        <w:rPr>
          <w:szCs w:val="22"/>
        </w:rPr>
        <w:t>(4)</w:t>
      </w:r>
      <w:r w:rsidR="00B47ED1" w:rsidRPr="00CF07C6">
        <w:rPr>
          <w:szCs w:val="22"/>
        </w:rPr>
        <w:t>(iv) does not apply to solicited text messages or that section 227(b) of the Communications Act, as amended, is not the statutory basis of that rule.</w:t>
      </w:r>
      <w:r w:rsidR="00B47ED1" w:rsidRPr="00CF07C6">
        <w:rPr>
          <w:rStyle w:val="FootnoteReference"/>
          <w:szCs w:val="22"/>
        </w:rPr>
        <w:footnoteReference w:id="3"/>
      </w:r>
      <w:r w:rsidR="00B47ED1" w:rsidRPr="00CF07C6">
        <w:rPr>
          <w:szCs w:val="22"/>
        </w:rPr>
        <w:t xml:space="preserve">  </w:t>
      </w:r>
      <w:r w:rsidR="00C47DB7" w:rsidRPr="00CF07C6">
        <w:rPr>
          <w:szCs w:val="22"/>
        </w:rPr>
        <w:t>In the alternative, Petitioner requests that the Commission grant a retroactive waiver of section 64.1200(a)(4)(iv) with respect to text</w:t>
      </w:r>
      <w:r w:rsidR="00B31A8B" w:rsidRPr="00CF07C6">
        <w:rPr>
          <w:szCs w:val="22"/>
        </w:rPr>
        <w:t xml:space="preserve"> message ads</w:t>
      </w:r>
      <w:r w:rsidR="00C47DB7" w:rsidRPr="00CF07C6">
        <w:rPr>
          <w:szCs w:val="22"/>
        </w:rPr>
        <w:t xml:space="preserve"> that have been transm</w:t>
      </w:r>
      <w:r w:rsidR="007A087E" w:rsidRPr="00CF07C6">
        <w:rPr>
          <w:szCs w:val="22"/>
        </w:rPr>
        <w:t>itted with prior express permission</w:t>
      </w:r>
      <w:r w:rsidR="00C47DB7" w:rsidRPr="00CF07C6">
        <w:rPr>
          <w:szCs w:val="22"/>
        </w:rPr>
        <w:t xml:space="preserve"> of the recipient.</w:t>
      </w:r>
      <w:r w:rsidR="00C514FC" w:rsidRPr="00CF07C6">
        <w:rPr>
          <w:rStyle w:val="FootnoteReference"/>
          <w:szCs w:val="22"/>
        </w:rPr>
        <w:footnoteReference w:id="4"/>
      </w:r>
      <w:r w:rsidR="00C47DB7" w:rsidRPr="00CF07C6">
        <w:rPr>
          <w:szCs w:val="22"/>
        </w:rPr>
        <w:t xml:space="preserve">  </w:t>
      </w:r>
      <w:r w:rsidR="00B315CB" w:rsidRPr="00CF07C6">
        <w:rPr>
          <w:szCs w:val="22"/>
        </w:rPr>
        <w:t xml:space="preserve"> With this Public Notice, we seek comment on the Petition to the extent described above.  </w:t>
      </w:r>
    </w:p>
    <w:p w:rsidR="001E68FC" w:rsidRPr="001E68FC" w:rsidRDefault="001E68FC" w:rsidP="001E68FC">
      <w:pPr>
        <w:autoSpaceDE w:val="0"/>
        <w:autoSpaceDN w:val="0"/>
        <w:adjustRightInd w:val="0"/>
        <w:ind w:firstLine="720"/>
        <w:rPr>
          <w:szCs w:val="22"/>
        </w:rPr>
      </w:pPr>
      <w:r w:rsidRPr="001E68FC">
        <w:rPr>
          <w:szCs w:val="22"/>
        </w:rPr>
        <w:lastRenderedPageBreak/>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5"/>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E41CC7" w:rsidRPr="001E68FC" w:rsidRDefault="001E68FC" w:rsidP="001E68FC">
      <w:pPr>
        <w:rPr>
          <w:szCs w:val="22"/>
        </w:rPr>
      </w:pPr>
      <w:r w:rsidRPr="001E68FC">
        <w:rPr>
          <w:b/>
          <w:szCs w:val="22"/>
        </w:rPr>
        <w:lastRenderedPageBreak/>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w:t>
      </w:r>
      <w:hyperlink r:id="rId15" w:history="1">
        <w:r w:rsidR="00E41CC7" w:rsidRPr="006C1CE3">
          <w:rPr>
            <w:rStyle w:val="Hyperlink"/>
            <w:szCs w:val="22"/>
          </w:rPr>
          <w:t>Richard.Smith@fcc.gov</w:t>
        </w:r>
      </w:hyperlink>
      <w:r w:rsidRPr="001E68FC">
        <w:rPr>
          <w:szCs w:val="22"/>
        </w:rPr>
        <w:t>.</w:t>
      </w: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E8" w:rsidRDefault="008826E8">
      <w:r>
        <w:separator/>
      </w:r>
    </w:p>
  </w:endnote>
  <w:endnote w:type="continuationSeparator" w:id="0">
    <w:p w:rsidR="008826E8" w:rsidRDefault="008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E" w:rsidRDefault="00752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E" w:rsidRDefault="00752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E8" w:rsidRDefault="008826E8">
      <w:r>
        <w:separator/>
      </w:r>
    </w:p>
  </w:footnote>
  <w:footnote w:type="continuationSeparator" w:id="0">
    <w:p w:rsidR="008826E8" w:rsidRDefault="008826E8">
      <w:r>
        <w:continuationSeparator/>
      </w:r>
    </w:p>
  </w:footnote>
  <w:footnote w:id="1">
    <w:p w:rsidR="00CD015E" w:rsidRPr="00CD015E" w:rsidRDefault="00CD015E">
      <w:pPr>
        <w:pStyle w:val="FootnoteText"/>
        <w:rPr>
          <w:sz w:val="20"/>
        </w:rPr>
      </w:pPr>
      <w:r w:rsidRPr="00CD015E">
        <w:rPr>
          <w:rStyle w:val="FootnoteReference"/>
          <w:sz w:val="20"/>
        </w:rPr>
        <w:footnoteRef/>
      </w:r>
      <w:r w:rsidRPr="00CD015E">
        <w:rPr>
          <w:sz w:val="20"/>
        </w:rPr>
        <w:t xml:space="preserve"> Section 64.1200(a)(4)(iv) provides that “a facsimile advertisement that is sent to a recipient that has provided prior express invitation or permission to the sender must include an opt-out notice that complies with the requirements in [section 64.1200(a)(4)(iii)].”  </w:t>
      </w:r>
      <w:r w:rsidRPr="00CD015E">
        <w:rPr>
          <w:i/>
          <w:sz w:val="20"/>
        </w:rPr>
        <w:t xml:space="preserve">See </w:t>
      </w:r>
      <w:r w:rsidRPr="00CD015E">
        <w:rPr>
          <w:sz w:val="20"/>
        </w:rPr>
        <w:t>47 C.F.R. § 64.1200(a)(4)(iv).</w:t>
      </w:r>
    </w:p>
  </w:footnote>
  <w:footnote w:id="2">
    <w:p w:rsidR="003F485F" w:rsidRPr="007A087E" w:rsidRDefault="003F485F" w:rsidP="001E68FC">
      <w:pPr>
        <w:rPr>
          <w:sz w:val="20"/>
        </w:rPr>
      </w:pPr>
      <w:r w:rsidRPr="0097752E">
        <w:rPr>
          <w:rStyle w:val="FootnoteReference"/>
          <w:sz w:val="20"/>
        </w:rPr>
        <w:footnoteRef/>
      </w:r>
      <w:r w:rsidRPr="0097752E">
        <w:rPr>
          <w:sz w:val="20"/>
        </w:rPr>
        <w:t xml:space="preserve"> </w:t>
      </w:r>
      <w:r w:rsidRPr="0097752E">
        <w:rPr>
          <w:i/>
          <w:sz w:val="20"/>
        </w:rPr>
        <w:t>See Pe</w:t>
      </w:r>
      <w:r w:rsidR="00C47DB7" w:rsidRPr="0097752E">
        <w:rPr>
          <w:i/>
          <w:sz w:val="20"/>
        </w:rPr>
        <w:t>tition of B</w:t>
      </w:r>
      <w:r w:rsidR="00035CEF" w:rsidRPr="0097752E">
        <w:rPr>
          <w:i/>
          <w:sz w:val="20"/>
        </w:rPr>
        <w:t>ijora, Inc.</w:t>
      </w:r>
      <w:r w:rsidRPr="0097752E">
        <w:rPr>
          <w:i/>
          <w:sz w:val="20"/>
        </w:rPr>
        <w:t xml:space="preserve"> for Declaratory Ruling and/or Waiver</w:t>
      </w:r>
      <w:r w:rsidR="000722E4" w:rsidRPr="0097752E">
        <w:rPr>
          <w:sz w:val="20"/>
        </w:rPr>
        <w:t>,</w:t>
      </w:r>
      <w:r w:rsidR="00736654" w:rsidRPr="0097752E">
        <w:rPr>
          <w:sz w:val="20"/>
        </w:rPr>
        <w:t xml:space="preserve"> CG Docket Nos.</w:t>
      </w:r>
      <w:r w:rsidR="007F539B" w:rsidRPr="0097752E">
        <w:rPr>
          <w:sz w:val="20"/>
        </w:rPr>
        <w:t xml:space="preserve"> 02-278, 05-338 (filed Oct. 7</w:t>
      </w:r>
      <w:r w:rsidR="00736654" w:rsidRPr="0097752E">
        <w:rPr>
          <w:sz w:val="20"/>
        </w:rPr>
        <w:t>, 2014)</w:t>
      </w:r>
      <w:r w:rsidR="007F539B" w:rsidRPr="0097752E">
        <w:rPr>
          <w:sz w:val="20"/>
        </w:rPr>
        <w:t xml:space="preserve"> </w:t>
      </w:r>
      <w:r w:rsidR="00B47ED1" w:rsidRPr="0097752E">
        <w:rPr>
          <w:sz w:val="20"/>
        </w:rPr>
        <w:t xml:space="preserve"> </w:t>
      </w:r>
      <w:r w:rsidRPr="0097752E">
        <w:rPr>
          <w:sz w:val="20"/>
        </w:rPr>
        <w:t>(Petition</w:t>
      </w:r>
      <w:r w:rsidR="00CD015E">
        <w:rPr>
          <w:sz w:val="20"/>
        </w:rPr>
        <w:t>)</w:t>
      </w:r>
      <w:r w:rsidRPr="0097752E">
        <w:rPr>
          <w:sz w:val="20"/>
        </w:rPr>
        <w:t xml:space="preserve">. </w:t>
      </w:r>
      <w:r w:rsidR="00FF7A02" w:rsidRPr="0097752E">
        <w:rPr>
          <w:sz w:val="20"/>
        </w:rPr>
        <w:t xml:space="preserve"> Althoug</w:t>
      </w:r>
      <w:r w:rsidR="00B315CB">
        <w:rPr>
          <w:sz w:val="20"/>
        </w:rPr>
        <w:t xml:space="preserve">h the Petition makes </w:t>
      </w:r>
      <w:r w:rsidR="00FF7A02" w:rsidRPr="0097752E">
        <w:rPr>
          <w:sz w:val="20"/>
        </w:rPr>
        <w:t xml:space="preserve">reference to faxes, it is apparent from the factual background and substantive </w:t>
      </w:r>
      <w:r w:rsidR="0069438F">
        <w:rPr>
          <w:sz w:val="20"/>
        </w:rPr>
        <w:t>discussion</w:t>
      </w:r>
      <w:r w:rsidR="00FF7A02" w:rsidRPr="0097752E">
        <w:rPr>
          <w:sz w:val="20"/>
        </w:rPr>
        <w:t xml:space="preserve"> </w:t>
      </w:r>
      <w:r w:rsidR="00CD015E">
        <w:rPr>
          <w:sz w:val="20"/>
        </w:rPr>
        <w:t>that it</w:t>
      </w:r>
      <w:r w:rsidR="00FF7A02" w:rsidRPr="0097752E">
        <w:rPr>
          <w:sz w:val="20"/>
        </w:rPr>
        <w:t xml:space="preserve"> seeks clarification of the rule as it relates to text messages. </w:t>
      </w:r>
      <w:r w:rsidR="007A087E">
        <w:rPr>
          <w:sz w:val="20"/>
        </w:rPr>
        <w:t xml:space="preserve"> </w:t>
      </w:r>
      <w:r w:rsidR="00FF7A02" w:rsidRPr="0097752E">
        <w:rPr>
          <w:sz w:val="20"/>
        </w:rPr>
        <w:t xml:space="preserve">We also note that the Commission has recently addressed similar arguments made in the context of fax ads. </w:t>
      </w:r>
      <w:r w:rsidR="00CD015E">
        <w:rPr>
          <w:sz w:val="20"/>
        </w:rPr>
        <w:t xml:space="preserve"> </w:t>
      </w:r>
      <w:r w:rsidR="0097752E" w:rsidRPr="0097752E">
        <w:rPr>
          <w:sz w:val="20"/>
        </w:rPr>
        <w:t xml:space="preserve">As a result, it is unnecessary to seek additional </w:t>
      </w:r>
      <w:r w:rsidR="00CD015E">
        <w:rPr>
          <w:sz w:val="20"/>
        </w:rPr>
        <w:t>co</w:t>
      </w:r>
      <w:r w:rsidR="00C514FC">
        <w:rPr>
          <w:sz w:val="20"/>
        </w:rPr>
        <w:t>mment</w:t>
      </w:r>
      <w:r w:rsidR="0069438F">
        <w:rPr>
          <w:sz w:val="20"/>
        </w:rPr>
        <w:t xml:space="preserve"> on the application of this</w:t>
      </w:r>
      <w:r w:rsidR="00C514FC">
        <w:rPr>
          <w:sz w:val="20"/>
        </w:rPr>
        <w:t xml:space="preserve"> rule to fax ads</w:t>
      </w:r>
      <w:r w:rsidR="0069438F">
        <w:rPr>
          <w:sz w:val="20"/>
        </w:rPr>
        <w:t>, and</w:t>
      </w:r>
      <w:r w:rsidR="00B31A8B">
        <w:rPr>
          <w:sz w:val="20"/>
        </w:rPr>
        <w:t xml:space="preserve"> we</w:t>
      </w:r>
      <w:r w:rsidR="0069438F">
        <w:rPr>
          <w:sz w:val="20"/>
        </w:rPr>
        <w:t xml:space="preserve"> </w:t>
      </w:r>
      <w:r w:rsidR="007A087E">
        <w:rPr>
          <w:sz w:val="20"/>
        </w:rPr>
        <w:t xml:space="preserve">therefore </w:t>
      </w:r>
      <w:r w:rsidR="0069438F">
        <w:rPr>
          <w:sz w:val="20"/>
        </w:rPr>
        <w:t xml:space="preserve">limit our </w:t>
      </w:r>
      <w:r w:rsidR="00B31A8B">
        <w:rPr>
          <w:sz w:val="20"/>
        </w:rPr>
        <w:t xml:space="preserve">consideration </w:t>
      </w:r>
      <w:r w:rsidR="0069438F">
        <w:rPr>
          <w:sz w:val="20"/>
        </w:rPr>
        <w:t xml:space="preserve">to </w:t>
      </w:r>
      <w:r w:rsidR="00C514FC">
        <w:rPr>
          <w:sz w:val="20"/>
        </w:rPr>
        <w:t>text messages</w:t>
      </w:r>
      <w:r w:rsidR="00CD015E">
        <w:rPr>
          <w:sz w:val="20"/>
        </w:rPr>
        <w:t xml:space="preserve">. </w:t>
      </w:r>
      <w:r w:rsidR="00C514FC">
        <w:rPr>
          <w:sz w:val="20"/>
        </w:rPr>
        <w:t xml:space="preserve"> </w:t>
      </w:r>
      <w:r w:rsidR="00FF7A02" w:rsidRPr="0097752E">
        <w:rPr>
          <w:i/>
          <w:sz w:val="20"/>
        </w:rPr>
        <w:t xml:space="preserve">See Rules and Regulations Implementing the Telephone Consumer Protection Act of 1991; Junk Fax Prevention Act of 2005; Application for Review filed by Anda, Inc.; Petition for Declaratory Ruling, Waiver, and/or Rulemaking Regarding the Commission’s Opt-Out Requirement for Faxes Sent with the Recipient’s Prior Express Permission, </w:t>
      </w:r>
      <w:r w:rsidR="00FF7A02" w:rsidRPr="007A087E">
        <w:rPr>
          <w:sz w:val="20"/>
        </w:rPr>
        <w:t>CG Docket No. 02-278, 05-338, Order, FCC 14-164 (rel. Oct. 30, 2014).</w:t>
      </w:r>
    </w:p>
    <w:p w:rsidR="003F485F" w:rsidRPr="00FF7A02" w:rsidRDefault="003F485F" w:rsidP="001E68FC">
      <w:pPr>
        <w:rPr>
          <w:sz w:val="20"/>
        </w:rPr>
      </w:pPr>
    </w:p>
  </w:footnote>
  <w:footnote w:id="3">
    <w:p w:rsidR="00B47ED1" w:rsidRPr="00FF7A02" w:rsidRDefault="00B47ED1">
      <w:pPr>
        <w:pStyle w:val="FootnoteText"/>
        <w:rPr>
          <w:sz w:val="20"/>
        </w:rPr>
      </w:pPr>
      <w:r w:rsidRPr="00FF7A02">
        <w:rPr>
          <w:rStyle w:val="FootnoteReference"/>
          <w:sz w:val="20"/>
        </w:rPr>
        <w:footnoteRef/>
      </w:r>
      <w:r w:rsidRPr="00FF7A02">
        <w:rPr>
          <w:sz w:val="20"/>
        </w:rPr>
        <w:t xml:space="preserve"> </w:t>
      </w:r>
      <w:r w:rsidRPr="00FF7A02">
        <w:rPr>
          <w:i/>
          <w:sz w:val="20"/>
        </w:rPr>
        <w:t xml:space="preserve">See </w:t>
      </w:r>
      <w:r w:rsidRPr="00FF7A02">
        <w:rPr>
          <w:sz w:val="20"/>
        </w:rPr>
        <w:t>P</w:t>
      </w:r>
      <w:r w:rsidR="00C514FC">
        <w:rPr>
          <w:sz w:val="20"/>
        </w:rPr>
        <w:t>etition</w:t>
      </w:r>
      <w:r w:rsidRPr="00FF7A02">
        <w:rPr>
          <w:sz w:val="20"/>
        </w:rPr>
        <w:t xml:space="preserve"> at 6-11.</w:t>
      </w:r>
    </w:p>
  </w:footnote>
  <w:footnote w:id="4">
    <w:p w:rsidR="00C514FC" w:rsidRPr="0069438F" w:rsidRDefault="00C514FC">
      <w:pPr>
        <w:pStyle w:val="FootnoteText"/>
        <w:rPr>
          <w:sz w:val="20"/>
        </w:rPr>
      </w:pPr>
      <w:r w:rsidRPr="0069438F">
        <w:rPr>
          <w:rStyle w:val="FootnoteReference"/>
          <w:sz w:val="20"/>
        </w:rPr>
        <w:footnoteRef/>
      </w:r>
      <w:r w:rsidRPr="0069438F">
        <w:rPr>
          <w:sz w:val="20"/>
        </w:rPr>
        <w:t xml:space="preserve"> </w:t>
      </w:r>
      <w:r w:rsidRPr="0069438F">
        <w:rPr>
          <w:i/>
          <w:sz w:val="20"/>
        </w:rPr>
        <w:t>Id.</w:t>
      </w:r>
      <w:r w:rsidRPr="0069438F">
        <w:rPr>
          <w:sz w:val="20"/>
        </w:rPr>
        <w:t xml:space="preserve"> at 12-13 (contending that strict compliance with the rule “would be inequitable, unduly burdensome, and contrary to the public interest” because the Petitioner is “facing a multi-billion dollar class action lawsuit for an alleged failure to include appropriate opt-out notices on texts sent to plaintiffs who have suffered no actual harm”). </w:t>
      </w:r>
    </w:p>
  </w:footnote>
  <w:footnote w:id="5">
    <w:p w:rsidR="003F485F" w:rsidRPr="00D04F67" w:rsidRDefault="003F485F" w:rsidP="001E68FC">
      <w:pPr>
        <w:pStyle w:val="FootnoteText"/>
        <w:rPr>
          <w:iCs/>
          <w:sz w:val="20"/>
        </w:rPr>
      </w:pPr>
      <w:r w:rsidRPr="00D04F67">
        <w:rPr>
          <w:rStyle w:val="FootnoteReference"/>
          <w:sz w:val="20"/>
        </w:rPr>
        <w:footnoteRef/>
      </w:r>
      <w:r w:rsidRPr="00D04F67">
        <w:rPr>
          <w:sz w:val="20"/>
        </w:rPr>
        <w:t xml:space="preserve"> 47 C.F.R. §§ 1.1200 </w:t>
      </w:r>
      <w:r w:rsidRPr="00D04F67">
        <w:rPr>
          <w:i/>
          <w:iCs/>
          <w:sz w:val="20"/>
        </w:rPr>
        <w:t>et seq</w:t>
      </w:r>
      <w:r w:rsidRPr="00D04F67">
        <w:rPr>
          <w:iCs/>
          <w:sz w:val="20"/>
        </w:rPr>
        <w:t>.</w:t>
      </w:r>
    </w:p>
    <w:p w:rsidR="003F485F" w:rsidRPr="00D04F67" w:rsidRDefault="003F485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E" w:rsidRDefault="00752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9E" w:rsidRDefault="00752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20BD432" wp14:editId="0AD8582F">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8BBCAA2" wp14:editId="47596E3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E347E1" w:rsidRDefault="00E347E1">
                    <w:pPr>
                      <w:rPr>
                        <w:rFonts w:ascii="Arial" w:hAnsi="Arial"/>
                        <w:b/>
                      </w:rPr>
                    </w:pPr>
                    <w:r>
                      <w:rPr>
                        <w:rFonts w:ascii="Arial" w:hAnsi="Arial"/>
                        <w:b/>
                      </w:rPr>
                      <w:t>Federal Communications Commission</w:t>
                    </w:r>
                  </w:p>
                  <w:p w:rsidR="00E347E1" w:rsidRDefault="00E347E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47E1" w:rsidRDefault="00E347E1">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CE6D547" wp14:editId="4E90EAB2">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88889B4" wp14:editId="19178C78">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E347E1" w:rsidRDefault="00E347E1">
                    <w:pPr>
                      <w:spacing w:before="40"/>
                      <w:jc w:val="right"/>
                      <w:rPr>
                        <w:rFonts w:ascii="Arial" w:hAnsi="Arial"/>
                        <w:b/>
                        <w:sz w:val="16"/>
                      </w:rPr>
                    </w:pPr>
                    <w:r>
                      <w:rPr>
                        <w:rFonts w:ascii="Arial" w:hAnsi="Arial"/>
                        <w:b/>
                        <w:sz w:val="16"/>
                      </w:rPr>
                      <w:t>News Media Information 202 / 418-0500</w:t>
                    </w:r>
                  </w:p>
                  <w:p w:rsidR="00E347E1" w:rsidRDefault="00E347E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347E1" w:rsidRDefault="00E347E1">
                    <w:pPr>
                      <w:jc w:val="right"/>
                      <w:rPr>
                        <w:rFonts w:ascii="Arial" w:hAnsi="Arial"/>
                        <w:b/>
                        <w:sz w:val="16"/>
                      </w:rPr>
                    </w:pPr>
                    <w:r>
                      <w:rPr>
                        <w:rFonts w:ascii="Arial" w:hAnsi="Arial"/>
                        <w:b/>
                        <w:sz w:val="16"/>
                      </w:rPr>
                      <w:t>TTY: 1-888-835-5322</w:t>
                    </w:r>
                  </w:p>
                  <w:p w:rsidR="00E347E1" w:rsidRDefault="00E347E1">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35CEF"/>
    <w:rsid w:val="00053DC2"/>
    <w:rsid w:val="000612AD"/>
    <w:rsid w:val="000678E7"/>
    <w:rsid w:val="000722E4"/>
    <w:rsid w:val="000A6B51"/>
    <w:rsid w:val="000B2AF5"/>
    <w:rsid w:val="000B553F"/>
    <w:rsid w:val="000C1109"/>
    <w:rsid w:val="000D11B7"/>
    <w:rsid w:val="000D1C50"/>
    <w:rsid w:val="000D6DC2"/>
    <w:rsid w:val="000F69DF"/>
    <w:rsid w:val="0010035E"/>
    <w:rsid w:val="00113D6D"/>
    <w:rsid w:val="0014052B"/>
    <w:rsid w:val="00146E01"/>
    <w:rsid w:val="00147379"/>
    <w:rsid w:val="00170DCF"/>
    <w:rsid w:val="001919F2"/>
    <w:rsid w:val="001B4F07"/>
    <w:rsid w:val="001D2450"/>
    <w:rsid w:val="001E68FC"/>
    <w:rsid w:val="002003A4"/>
    <w:rsid w:val="00257984"/>
    <w:rsid w:val="00295871"/>
    <w:rsid w:val="002A23B4"/>
    <w:rsid w:val="002A58ED"/>
    <w:rsid w:val="003024F2"/>
    <w:rsid w:val="00313725"/>
    <w:rsid w:val="00344B57"/>
    <w:rsid w:val="00355318"/>
    <w:rsid w:val="0036187D"/>
    <w:rsid w:val="003676CF"/>
    <w:rsid w:val="00370DD3"/>
    <w:rsid w:val="0037104A"/>
    <w:rsid w:val="0038442D"/>
    <w:rsid w:val="003967FF"/>
    <w:rsid w:val="00396E93"/>
    <w:rsid w:val="003C6359"/>
    <w:rsid w:val="003D49B7"/>
    <w:rsid w:val="003F0389"/>
    <w:rsid w:val="003F485F"/>
    <w:rsid w:val="00402B54"/>
    <w:rsid w:val="00412C1E"/>
    <w:rsid w:val="00453BEF"/>
    <w:rsid w:val="0047489A"/>
    <w:rsid w:val="00574782"/>
    <w:rsid w:val="005A066E"/>
    <w:rsid w:val="005D5554"/>
    <w:rsid w:val="00603053"/>
    <w:rsid w:val="00621993"/>
    <w:rsid w:val="00661A3A"/>
    <w:rsid w:val="006677EF"/>
    <w:rsid w:val="006823CB"/>
    <w:rsid w:val="006878EA"/>
    <w:rsid w:val="0069438F"/>
    <w:rsid w:val="006A39DF"/>
    <w:rsid w:val="006D0730"/>
    <w:rsid w:val="007102BF"/>
    <w:rsid w:val="00712EA8"/>
    <w:rsid w:val="00722423"/>
    <w:rsid w:val="007252B4"/>
    <w:rsid w:val="00726024"/>
    <w:rsid w:val="00726E31"/>
    <w:rsid w:val="00732B25"/>
    <w:rsid w:val="00732D4B"/>
    <w:rsid w:val="00732DCB"/>
    <w:rsid w:val="0073524A"/>
    <w:rsid w:val="00736654"/>
    <w:rsid w:val="00745AE7"/>
    <w:rsid w:val="00752A9E"/>
    <w:rsid w:val="00752DFE"/>
    <w:rsid w:val="00770A4C"/>
    <w:rsid w:val="00783A5B"/>
    <w:rsid w:val="0079324D"/>
    <w:rsid w:val="007A087E"/>
    <w:rsid w:val="007C4136"/>
    <w:rsid w:val="007C584A"/>
    <w:rsid w:val="007E6789"/>
    <w:rsid w:val="007F539B"/>
    <w:rsid w:val="007F6B74"/>
    <w:rsid w:val="00801FF6"/>
    <w:rsid w:val="00806515"/>
    <w:rsid w:val="008069C5"/>
    <w:rsid w:val="0084663E"/>
    <w:rsid w:val="008675B7"/>
    <w:rsid w:val="008826E8"/>
    <w:rsid w:val="008A1C4C"/>
    <w:rsid w:val="008D2EA2"/>
    <w:rsid w:val="008D3C08"/>
    <w:rsid w:val="008E2BE7"/>
    <w:rsid w:val="00923ECA"/>
    <w:rsid w:val="00957E98"/>
    <w:rsid w:val="00976015"/>
    <w:rsid w:val="0097752E"/>
    <w:rsid w:val="00997FAC"/>
    <w:rsid w:val="009C5DC2"/>
    <w:rsid w:val="009D0247"/>
    <w:rsid w:val="009D46E5"/>
    <w:rsid w:val="00A10E54"/>
    <w:rsid w:val="00A23B89"/>
    <w:rsid w:val="00A2503C"/>
    <w:rsid w:val="00A27D3A"/>
    <w:rsid w:val="00A57079"/>
    <w:rsid w:val="00A66417"/>
    <w:rsid w:val="00A8436D"/>
    <w:rsid w:val="00A90C1C"/>
    <w:rsid w:val="00AA2085"/>
    <w:rsid w:val="00AC0A1F"/>
    <w:rsid w:val="00AD561B"/>
    <w:rsid w:val="00AD756C"/>
    <w:rsid w:val="00AE6525"/>
    <w:rsid w:val="00AF3E88"/>
    <w:rsid w:val="00B1228D"/>
    <w:rsid w:val="00B25A6F"/>
    <w:rsid w:val="00B261AB"/>
    <w:rsid w:val="00B26A17"/>
    <w:rsid w:val="00B315CB"/>
    <w:rsid w:val="00B31A8B"/>
    <w:rsid w:val="00B343DF"/>
    <w:rsid w:val="00B41279"/>
    <w:rsid w:val="00B47ED1"/>
    <w:rsid w:val="00B62B0C"/>
    <w:rsid w:val="00B825BB"/>
    <w:rsid w:val="00BC1AE9"/>
    <w:rsid w:val="00BC46CF"/>
    <w:rsid w:val="00BC491A"/>
    <w:rsid w:val="00BC51CD"/>
    <w:rsid w:val="00BE17FF"/>
    <w:rsid w:val="00C06CA3"/>
    <w:rsid w:val="00C2369C"/>
    <w:rsid w:val="00C47DB7"/>
    <w:rsid w:val="00C514FC"/>
    <w:rsid w:val="00C67DFC"/>
    <w:rsid w:val="00C92C66"/>
    <w:rsid w:val="00C937A3"/>
    <w:rsid w:val="00C97E96"/>
    <w:rsid w:val="00CC13CC"/>
    <w:rsid w:val="00CC25D9"/>
    <w:rsid w:val="00CD015E"/>
    <w:rsid w:val="00CD4B82"/>
    <w:rsid w:val="00CD76A8"/>
    <w:rsid w:val="00CE4649"/>
    <w:rsid w:val="00CF07C6"/>
    <w:rsid w:val="00D04267"/>
    <w:rsid w:val="00D04F67"/>
    <w:rsid w:val="00D474D2"/>
    <w:rsid w:val="00D6348F"/>
    <w:rsid w:val="00DA3FCE"/>
    <w:rsid w:val="00DB28AF"/>
    <w:rsid w:val="00DD2EEC"/>
    <w:rsid w:val="00E177BB"/>
    <w:rsid w:val="00E347E1"/>
    <w:rsid w:val="00E34D55"/>
    <w:rsid w:val="00E41CC7"/>
    <w:rsid w:val="00E8781B"/>
    <w:rsid w:val="00E92B7B"/>
    <w:rsid w:val="00EB706B"/>
    <w:rsid w:val="00ED7B1B"/>
    <w:rsid w:val="00EE07EE"/>
    <w:rsid w:val="00F015E1"/>
    <w:rsid w:val="00F41D5F"/>
    <w:rsid w:val="00F46528"/>
    <w:rsid w:val="00F467C0"/>
    <w:rsid w:val="00F50E6F"/>
    <w:rsid w:val="00F716C5"/>
    <w:rsid w:val="00F7186E"/>
    <w:rsid w:val="00F76B2A"/>
    <w:rsid w:val="00FA38C5"/>
    <w:rsid w:val="00FB5FDD"/>
    <w:rsid w:val="00FC02B3"/>
    <w:rsid w:val="00FD3557"/>
    <w:rsid w:val="00FE37D9"/>
    <w:rsid w:val="00FF363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hard.Smit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734</Words>
  <Characters>4200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4958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2014-10-27T13:53:00Z</cp:lastPrinted>
  <dcterms:created xsi:type="dcterms:W3CDTF">2014-11-06T16:11:00Z</dcterms:created>
  <dcterms:modified xsi:type="dcterms:W3CDTF">2014-11-06T16:11:00Z</dcterms:modified>
  <cp:category> </cp:category>
  <cp:contentStatus> </cp:contentStatus>
</cp:coreProperties>
</file>