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42" w:rsidRDefault="005E0242">
      <w:pPr>
        <w:jc w:val="right"/>
        <w:rPr>
          <w:b/>
          <w:szCs w:val="22"/>
        </w:rPr>
      </w:pPr>
      <w:bookmarkStart w:id="0" w:name="_GoBack"/>
      <w:bookmarkEnd w:id="0"/>
      <w:r>
        <w:rPr>
          <w:b/>
          <w:szCs w:val="22"/>
        </w:rPr>
        <w:t>DA 14-</w:t>
      </w:r>
      <w:r w:rsidR="00A45126">
        <w:rPr>
          <w:b/>
          <w:szCs w:val="22"/>
        </w:rPr>
        <w:t>1614</w:t>
      </w:r>
    </w:p>
    <w:p w:rsidR="005E0242" w:rsidRDefault="005E0242">
      <w:pPr>
        <w:jc w:val="right"/>
        <w:rPr>
          <w:b/>
          <w:caps/>
          <w:szCs w:val="22"/>
        </w:rPr>
      </w:pPr>
      <w:r>
        <w:rPr>
          <w:b/>
          <w:szCs w:val="22"/>
        </w:rPr>
        <w:t xml:space="preserve">Released:  </w:t>
      </w:r>
      <w:r w:rsidR="00ED6C6D">
        <w:rPr>
          <w:b/>
          <w:szCs w:val="22"/>
        </w:rPr>
        <w:t xml:space="preserve"> </w:t>
      </w:r>
      <w:r w:rsidR="00F171EC">
        <w:rPr>
          <w:b/>
          <w:szCs w:val="22"/>
        </w:rPr>
        <w:t>November 6</w:t>
      </w:r>
      <w:r>
        <w:rPr>
          <w:b/>
          <w:szCs w:val="22"/>
        </w:rPr>
        <w:t>, 2014</w:t>
      </w:r>
    </w:p>
    <w:p w:rsidR="005E0242" w:rsidRDefault="005E0242">
      <w:pPr>
        <w:spacing w:after="240"/>
        <w:jc w:val="center"/>
        <w:rPr>
          <w:b/>
          <w:caps/>
          <w:szCs w:val="22"/>
        </w:rPr>
      </w:pPr>
    </w:p>
    <w:p w:rsidR="005E0242" w:rsidRDefault="005E0242" w:rsidP="00375472">
      <w:pPr>
        <w:spacing w:after="240"/>
        <w:jc w:val="center"/>
        <w:rPr>
          <w:b/>
          <w:caps/>
          <w:szCs w:val="22"/>
        </w:rPr>
      </w:pPr>
      <w:r>
        <w:rPr>
          <w:b/>
          <w:caps/>
          <w:szCs w:val="22"/>
        </w:rPr>
        <w:t>Consumer AND Governmental</w:t>
      </w:r>
      <w:r w:rsidR="00375472">
        <w:rPr>
          <w:b/>
          <w:caps/>
          <w:szCs w:val="22"/>
        </w:rPr>
        <w:t xml:space="preserve"> </w:t>
      </w:r>
      <w:r>
        <w:rPr>
          <w:b/>
          <w:caps/>
          <w:szCs w:val="22"/>
        </w:rPr>
        <w:t>Affairs Bureau Seeks Comment on</w:t>
      </w:r>
      <w:r w:rsidR="00375472">
        <w:rPr>
          <w:b/>
          <w:caps/>
          <w:szCs w:val="22"/>
        </w:rPr>
        <w:t xml:space="preserve"> </w:t>
      </w:r>
      <w:r>
        <w:rPr>
          <w:b/>
          <w:caps/>
          <w:szCs w:val="22"/>
        </w:rPr>
        <w:t xml:space="preserve">petition </w:t>
      </w:r>
      <w:r w:rsidR="00375472">
        <w:rPr>
          <w:b/>
          <w:caps/>
          <w:szCs w:val="22"/>
        </w:rPr>
        <w:t>FOR</w:t>
      </w:r>
      <w:r w:rsidR="00071A80">
        <w:rPr>
          <w:b/>
          <w:caps/>
          <w:szCs w:val="22"/>
        </w:rPr>
        <w:t xml:space="preserve"> EXEMPTION</w:t>
      </w:r>
      <w:r>
        <w:rPr>
          <w:b/>
          <w:caps/>
          <w:szCs w:val="22"/>
        </w:rPr>
        <w:t xml:space="preserve"> filed by </w:t>
      </w:r>
      <w:r w:rsidR="0069028D">
        <w:rPr>
          <w:b/>
          <w:caps/>
          <w:szCs w:val="22"/>
        </w:rPr>
        <w:t xml:space="preserve">THE </w:t>
      </w:r>
      <w:r w:rsidR="00375472">
        <w:rPr>
          <w:b/>
          <w:caps/>
          <w:szCs w:val="22"/>
        </w:rPr>
        <w:t>AMERICAN BANKERS ASSOCIATION</w:t>
      </w:r>
    </w:p>
    <w:p w:rsidR="005E0242" w:rsidRDefault="005E0242">
      <w:pPr>
        <w:tabs>
          <w:tab w:val="left" w:pos="2430"/>
          <w:tab w:val="center" w:pos="4680"/>
        </w:tabs>
        <w:rPr>
          <w:b/>
          <w:szCs w:val="22"/>
        </w:rPr>
      </w:pPr>
      <w:r>
        <w:rPr>
          <w:b/>
          <w:szCs w:val="22"/>
        </w:rPr>
        <w:tab/>
      </w:r>
      <w:r>
        <w:rPr>
          <w:b/>
          <w:szCs w:val="22"/>
        </w:rPr>
        <w:tab/>
        <w:t>CG Docket No. 02-278</w:t>
      </w:r>
    </w:p>
    <w:p w:rsidR="005E0242" w:rsidRDefault="005E0242">
      <w:pPr>
        <w:jc w:val="center"/>
        <w:rPr>
          <w:szCs w:val="22"/>
        </w:rPr>
      </w:pPr>
    </w:p>
    <w:p w:rsidR="005E0242" w:rsidRDefault="005E0242">
      <w:pPr>
        <w:pStyle w:val="Heading3"/>
        <w:numPr>
          <w:ilvl w:val="0"/>
          <w:numId w:val="0"/>
        </w:numPr>
        <w:spacing w:after="0"/>
        <w:rPr>
          <w:szCs w:val="22"/>
        </w:rPr>
      </w:pPr>
      <w:r>
        <w:rPr>
          <w:szCs w:val="22"/>
        </w:rPr>
        <w:t>Comment Date</w:t>
      </w:r>
      <w:r w:rsidRPr="00BA2ED0">
        <w:rPr>
          <w:szCs w:val="22"/>
        </w:rPr>
        <w:t>:</w:t>
      </w:r>
      <w:r>
        <w:rPr>
          <w:szCs w:val="22"/>
        </w:rPr>
        <w:t xml:space="preserve">  </w:t>
      </w:r>
      <w:r w:rsidR="00BA2ED0">
        <w:rPr>
          <w:szCs w:val="22"/>
        </w:rPr>
        <w:t xml:space="preserve">December 8, </w:t>
      </w:r>
      <w:r>
        <w:rPr>
          <w:szCs w:val="22"/>
        </w:rPr>
        <w:t>2014</w:t>
      </w:r>
    </w:p>
    <w:p w:rsidR="005E0242" w:rsidRDefault="005E0242">
      <w:pPr>
        <w:rPr>
          <w:b/>
        </w:rPr>
      </w:pPr>
      <w:r>
        <w:rPr>
          <w:b/>
        </w:rPr>
        <w:t>Reply Comment Date</w:t>
      </w:r>
      <w:r w:rsidRPr="00BA2ED0">
        <w:rPr>
          <w:b/>
        </w:rPr>
        <w:t xml:space="preserve">: </w:t>
      </w:r>
      <w:r w:rsidR="00BA2ED0" w:rsidRPr="00BA2ED0">
        <w:rPr>
          <w:b/>
        </w:rPr>
        <w:t>December 22</w:t>
      </w:r>
      <w:r>
        <w:rPr>
          <w:b/>
        </w:rPr>
        <w:t>,</w:t>
      </w:r>
      <w:r>
        <w:t xml:space="preserve"> </w:t>
      </w:r>
      <w:r>
        <w:rPr>
          <w:b/>
        </w:rPr>
        <w:t>2014</w:t>
      </w:r>
    </w:p>
    <w:p w:rsidR="005E0242" w:rsidRDefault="005E0242">
      <w:pPr>
        <w:rPr>
          <w:b/>
          <w:szCs w:val="22"/>
        </w:rPr>
      </w:pPr>
    </w:p>
    <w:p w:rsidR="00A4279F" w:rsidRDefault="005E0242">
      <w:pPr>
        <w:ind w:firstLine="720"/>
        <w:rPr>
          <w:szCs w:val="22"/>
        </w:rPr>
      </w:pPr>
      <w:r w:rsidRPr="00B318C1">
        <w:rPr>
          <w:szCs w:val="22"/>
        </w:rPr>
        <w:t xml:space="preserve">On </w:t>
      </w:r>
      <w:r w:rsidR="00375472">
        <w:rPr>
          <w:szCs w:val="22"/>
        </w:rPr>
        <w:t>October 14</w:t>
      </w:r>
      <w:r w:rsidRPr="00B318C1">
        <w:rPr>
          <w:szCs w:val="22"/>
        </w:rPr>
        <w:t xml:space="preserve">, 2014, </w:t>
      </w:r>
      <w:r w:rsidR="00EF2EC7">
        <w:rPr>
          <w:szCs w:val="22"/>
        </w:rPr>
        <w:t xml:space="preserve">the </w:t>
      </w:r>
      <w:r w:rsidR="00375472">
        <w:rPr>
          <w:szCs w:val="22"/>
        </w:rPr>
        <w:t xml:space="preserve">American Bankers Association </w:t>
      </w:r>
      <w:r w:rsidRPr="00B318C1">
        <w:rPr>
          <w:szCs w:val="22"/>
        </w:rPr>
        <w:t>(</w:t>
      </w:r>
      <w:r w:rsidR="006E0DBC">
        <w:rPr>
          <w:szCs w:val="22"/>
        </w:rPr>
        <w:t>the Association</w:t>
      </w:r>
      <w:r w:rsidRPr="00B318C1">
        <w:rPr>
          <w:szCs w:val="22"/>
        </w:rPr>
        <w:t>) filed a petition for</w:t>
      </w:r>
      <w:r w:rsidR="006B53CE">
        <w:rPr>
          <w:szCs w:val="22"/>
        </w:rPr>
        <w:t xml:space="preserve"> exemption</w:t>
      </w:r>
      <w:r w:rsidRPr="00B318C1">
        <w:rPr>
          <w:szCs w:val="22"/>
        </w:rPr>
        <w:t xml:space="preserve"> requesting </w:t>
      </w:r>
      <w:r w:rsidR="00AE418A">
        <w:rPr>
          <w:szCs w:val="22"/>
        </w:rPr>
        <w:t xml:space="preserve">that </w:t>
      </w:r>
      <w:r w:rsidRPr="00B318C1">
        <w:rPr>
          <w:szCs w:val="22"/>
        </w:rPr>
        <w:t xml:space="preserve">the Commission </w:t>
      </w:r>
      <w:r w:rsidR="00375472">
        <w:rPr>
          <w:szCs w:val="22"/>
        </w:rPr>
        <w:t>exempt</w:t>
      </w:r>
      <w:r w:rsidRPr="00B318C1">
        <w:rPr>
          <w:szCs w:val="22"/>
        </w:rPr>
        <w:t xml:space="preserve"> </w:t>
      </w:r>
      <w:r w:rsidR="006A021B">
        <w:rPr>
          <w:szCs w:val="22"/>
        </w:rPr>
        <w:t xml:space="preserve">“certain time-sensitive informational calls, placed without charge to the called parties, </w:t>
      </w:r>
      <w:r w:rsidR="00375472">
        <w:rPr>
          <w:szCs w:val="22"/>
        </w:rPr>
        <w:t xml:space="preserve">from </w:t>
      </w:r>
      <w:r w:rsidRPr="00B318C1">
        <w:rPr>
          <w:szCs w:val="22"/>
        </w:rPr>
        <w:t>the Telephone Consumer Protection Act</w:t>
      </w:r>
      <w:r w:rsidR="00375472">
        <w:rPr>
          <w:szCs w:val="22"/>
        </w:rPr>
        <w:t>’s</w:t>
      </w:r>
      <w:r w:rsidRPr="00B318C1">
        <w:rPr>
          <w:rStyle w:val="FootnoteReference"/>
          <w:szCs w:val="22"/>
        </w:rPr>
        <w:footnoteReference w:id="2"/>
      </w:r>
      <w:r w:rsidRPr="00B318C1">
        <w:rPr>
          <w:szCs w:val="22"/>
        </w:rPr>
        <w:t xml:space="preserve"> </w:t>
      </w:r>
      <w:r w:rsidR="00375472">
        <w:rPr>
          <w:szCs w:val="22"/>
        </w:rPr>
        <w:t>restrictions on automated calls to mobile devices</w:t>
      </w:r>
      <w:r w:rsidR="006A021B">
        <w:rPr>
          <w:szCs w:val="22"/>
        </w:rPr>
        <w:t>.”</w:t>
      </w:r>
      <w:r w:rsidR="00314569" w:rsidRPr="00314569">
        <w:rPr>
          <w:rStyle w:val="FootnoteReference"/>
          <w:szCs w:val="22"/>
        </w:rPr>
        <w:t xml:space="preserve"> </w:t>
      </w:r>
      <w:r w:rsidR="00314569" w:rsidRPr="00B318C1">
        <w:rPr>
          <w:rStyle w:val="FootnoteReference"/>
          <w:szCs w:val="22"/>
        </w:rPr>
        <w:footnoteReference w:id="3"/>
      </w:r>
      <w:r w:rsidR="00314569">
        <w:rPr>
          <w:szCs w:val="22"/>
        </w:rPr>
        <w:t xml:space="preserve"> </w:t>
      </w:r>
      <w:r w:rsidR="00375472">
        <w:rPr>
          <w:szCs w:val="22"/>
        </w:rPr>
        <w:t xml:space="preserve"> </w:t>
      </w:r>
      <w:r w:rsidRPr="00B318C1">
        <w:rPr>
          <w:szCs w:val="22"/>
        </w:rPr>
        <w:t xml:space="preserve">Specifically, </w:t>
      </w:r>
      <w:r w:rsidR="006E0DBC" w:rsidRPr="006E0DBC">
        <w:rPr>
          <w:szCs w:val="22"/>
        </w:rPr>
        <w:t>the Association</w:t>
      </w:r>
      <w:r w:rsidR="00375472">
        <w:rPr>
          <w:szCs w:val="22"/>
        </w:rPr>
        <w:t xml:space="preserve"> asks the Commission to exempt </w:t>
      </w:r>
      <w:r w:rsidR="00405D96">
        <w:rPr>
          <w:szCs w:val="22"/>
        </w:rPr>
        <w:t xml:space="preserve">automated calls and </w:t>
      </w:r>
      <w:r w:rsidR="00EF2EC7">
        <w:rPr>
          <w:szCs w:val="22"/>
        </w:rPr>
        <w:t xml:space="preserve">text message </w:t>
      </w:r>
      <w:r w:rsidR="00375472">
        <w:rPr>
          <w:szCs w:val="22"/>
        </w:rPr>
        <w:t xml:space="preserve">alerts </w:t>
      </w:r>
      <w:r w:rsidR="00236134">
        <w:rPr>
          <w:szCs w:val="22"/>
        </w:rPr>
        <w:t>to wireless telephone numbers</w:t>
      </w:r>
      <w:r w:rsidR="008E2AFE">
        <w:rPr>
          <w:szCs w:val="22"/>
        </w:rPr>
        <w:t xml:space="preserve"> concerning</w:t>
      </w:r>
      <w:r w:rsidR="00607C83">
        <w:rPr>
          <w:szCs w:val="22"/>
        </w:rPr>
        <w:t>: (1) transactions and events that suggest a risk of fraud or identity theft;</w:t>
      </w:r>
      <w:r w:rsidR="00E55EA0">
        <w:rPr>
          <w:rStyle w:val="FootnoteReference"/>
          <w:szCs w:val="22"/>
        </w:rPr>
        <w:footnoteReference w:id="4"/>
      </w:r>
      <w:r w:rsidR="00607C83">
        <w:rPr>
          <w:szCs w:val="22"/>
        </w:rPr>
        <w:t xml:space="preserve"> (2) possible breaches of the security of customers’ personal information;</w:t>
      </w:r>
      <w:r w:rsidR="00E55EA0">
        <w:rPr>
          <w:rStyle w:val="FootnoteReference"/>
          <w:szCs w:val="22"/>
        </w:rPr>
        <w:footnoteReference w:id="5"/>
      </w:r>
      <w:r w:rsidR="00607C83">
        <w:rPr>
          <w:szCs w:val="22"/>
        </w:rPr>
        <w:t xml:space="preserve"> (3) steps consumers can take to prevent or remedy harm caused by data security breaches</w:t>
      </w:r>
      <w:r w:rsidR="00DF1E14">
        <w:rPr>
          <w:szCs w:val="22"/>
        </w:rPr>
        <w:t xml:space="preserve"> (collectively referred to as remediation messages)</w:t>
      </w:r>
      <w:r w:rsidR="00607C83">
        <w:rPr>
          <w:szCs w:val="22"/>
        </w:rPr>
        <w:t>;</w:t>
      </w:r>
      <w:r w:rsidR="00E55EA0">
        <w:rPr>
          <w:rStyle w:val="FootnoteReference"/>
          <w:szCs w:val="22"/>
        </w:rPr>
        <w:footnoteReference w:id="6"/>
      </w:r>
      <w:r w:rsidR="00607C83">
        <w:rPr>
          <w:szCs w:val="22"/>
        </w:rPr>
        <w:t xml:space="preserve"> and (4) </w:t>
      </w:r>
      <w:r w:rsidR="00701F9A">
        <w:rPr>
          <w:szCs w:val="22"/>
        </w:rPr>
        <w:t xml:space="preserve">money transfer notifications and notifications of </w:t>
      </w:r>
      <w:r w:rsidR="00607C83">
        <w:rPr>
          <w:szCs w:val="22"/>
        </w:rPr>
        <w:t>actions needed to arrange for receipt of pending money transfers</w:t>
      </w:r>
      <w:r w:rsidR="0039395B" w:rsidRPr="00B318C1">
        <w:rPr>
          <w:szCs w:val="22"/>
        </w:rPr>
        <w:t>.</w:t>
      </w:r>
      <w:r w:rsidR="00B77E6D" w:rsidRPr="00B318C1">
        <w:rPr>
          <w:rStyle w:val="FootnoteReference"/>
          <w:szCs w:val="22"/>
        </w:rPr>
        <w:footnoteReference w:id="7"/>
      </w:r>
      <w:r w:rsidR="0039395B" w:rsidRPr="00B318C1">
        <w:rPr>
          <w:szCs w:val="22"/>
        </w:rPr>
        <w:t xml:space="preserve">  </w:t>
      </w:r>
    </w:p>
    <w:p w:rsidR="00A4279F" w:rsidRDefault="00A4279F">
      <w:pPr>
        <w:ind w:firstLine="720"/>
        <w:rPr>
          <w:szCs w:val="22"/>
        </w:rPr>
      </w:pPr>
    </w:p>
    <w:p w:rsidR="00BB1EEA" w:rsidRDefault="00405D96">
      <w:pPr>
        <w:ind w:firstLine="720"/>
        <w:rPr>
          <w:szCs w:val="22"/>
        </w:rPr>
      </w:pPr>
      <w:r>
        <w:rPr>
          <w:szCs w:val="22"/>
        </w:rPr>
        <w:t xml:space="preserve">According to </w:t>
      </w:r>
      <w:r w:rsidR="006E0DBC" w:rsidRPr="006E0DBC">
        <w:rPr>
          <w:szCs w:val="22"/>
        </w:rPr>
        <w:t>the Association</w:t>
      </w:r>
      <w:r>
        <w:rPr>
          <w:szCs w:val="22"/>
        </w:rPr>
        <w:t xml:space="preserve">, if exempted, </w:t>
      </w:r>
      <w:r w:rsidR="00607C83">
        <w:rPr>
          <w:szCs w:val="22"/>
        </w:rPr>
        <w:t xml:space="preserve">these </w:t>
      </w:r>
      <w:r>
        <w:rPr>
          <w:szCs w:val="22"/>
        </w:rPr>
        <w:t xml:space="preserve">automated calls and </w:t>
      </w:r>
      <w:r w:rsidR="00EF2EC7">
        <w:rPr>
          <w:szCs w:val="22"/>
        </w:rPr>
        <w:t xml:space="preserve">text message </w:t>
      </w:r>
      <w:r w:rsidR="00607C83">
        <w:rPr>
          <w:szCs w:val="22"/>
        </w:rPr>
        <w:t xml:space="preserve">alerts </w:t>
      </w:r>
      <w:r>
        <w:rPr>
          <w:szCs w:val="22"/>
        </w:rPr>
        <w:t xml:space="preserve">would </w:t>
      </w:r>
      <w:r w:rsidR="00607C83">
        <w:rPr>
          <w:szCs w:val="22"/>
        </w:rPr>
        <w:t xml:space="preserve">be </w:t>
      </w:r>
      <w:r w:rsidR="00C517B7">
        <w:rPr>
          <w:szCs w:val="22"/>
        </w:rPr>
        <w:t xml:space="preserve">without charge to the recipient and would be </w:t>
      </w:r>
      <w:r>
        <w:rPr>
          <w:szCs w:val="22"/>
        </w:rPr>
        <w:t>subject to certain conditions</w:t>
      </w:r>
      <w:r w:rsidR="00C517B7">
        <w:rPr>
          <w:szCs w:val="22"/>
        </w:rPr>
        <w:t xml:space="preserve"> proposed in the </w:t>
      </w:r>
      <w:r w:rsidR="00C517B7">
        <w:rPr>
          <w:i/>
          <w:szCs w:val="22"/>
        </w:rPr>
        <w:t>Petition</w:t>
      </w:r>
      <w:r w:rsidR="00C517B7">
        <w:rPr>
          <w:szCs w:val="22"/>
        </w:rPr>
        <w:t>,</w:t>
      </w:r>
      <w:r>
        <w:rPr>
          <w:szCs w:val="22"/>
        </w:rPr>
        <w:t xml:space="preserve"> such as</w:t>
      </w:r>
      <w:r w:rsidR="00C517B7">
        <w:rPr>
          <w:szCs w:val="22"/>
        </w:rPr>
        <w:t>, among others,</w:t>
      </w:r>
      <w:r>
        <w:rPr>
          <w:szCs w:val="22"/>
        </w:rPr>
        <w:t xml:space="preserve"> </w:t>
      </w:r>
      <w:r w:rsidR="00AF0A81">
        <w:rPr>
          <w:szCs w:val="22"/>
        </w:rPr>
        <w:t>not includ</w:t>
      </w:r>
      <w:r>
        <w:rPr>
          <w:szCs w:val="22"/>
        </w:rPr>
        <w:t>ing</w:t>
      </w:r>
      <w:r w:rsidR="00AF0A81">
        <w:rPr>
          <w:szCs w:val="22"/>
        </w:rPr>
        <w:t xml:space="preserve"> </w:t>
      </w:r>
      <w:r w:rsidR="00701F9A">
        <w:rPr>
          <w:szCs w:val="22"/>
        </w:rPr>
        <w:t>any solicitation, tele</w:t>
      </w:r>
      <w:r w:rsidR="00AF0A81">
        <w:rPr>
          <w:szCs w:val="22"/>
        </w:rPr>
        <w:t>marketing</w:t>
      </w:r>
      <w:r w:rsidR="00C517B7">
        <w:rPr>
          <w:szCs w:val="22"/>
        </w:rPr>
        <w:t>,</w:t>
      </w:r>
      <w:r w:rsidR="00AF0A81">
        <w:rPr>
          <w:szCs w:val="22"/>
        </w:rPr>
        <w:t xml:space="preserve"> </w:t>
      </w:r>
      <w:r w:rsidR="00701F9A">
        <w:rPr>
          <w:szCs w:val="22"/>
        </w:rPr>
        <w:t xml:space="preserve">or advertising </w:t>
      </w:r>
      <w:r w:rsidR="00AF0A81">
        <w:rPr>
          <w:szCs w:val="22"/>
        </w:rPr>
        <w:t>information</w:t>
      </w:r>
      <w:r w:rsidR="00C517B7">
        <w:rPr>
          <w:szCs w:val="22"/>
        </w:rPr>
        <w:t>;</w:t>
      </w:r>
      <w:r w:rsidR="00E55EA0">
        <w:rPr>
          <w:szCs w:val="22"/>
        </w:rPr>
        <w:t xml:space="preserve"> and </w:t>
      </w:r>
      <w:r>
        <w:rPr>
          <w:szCs w:val="22"/>
        </w:rPr>
        <w:t>only</w:t>
      </w:r>
      <w:r w:rsidR="00E55EA0">
        <w:rPr>
          <w:szCs w:val="22"/>
        </w:rPr>
        <w:t xml:space="preserve"> be</w:t>
      </w:r>
      <w:r>
        <w:rPr>
          <w:szCs w:val="22"/>
        </w:rPr>
        <w:t>ing</w:t>
      </w:r>
      <w:r w:rsidR="00E55EA0">
        <w:rPr>
          <w:szCs w:val="22"/>
        </w:rPr>
        <w:t xml:space="preserve"> sent to the telephone number of the consumer to whom the alert </w:t>
      </w:r>
      <w:r w:rsidR="00D5646E">
        <w:rPr>
          <w:szCs w:val="22"/>
        </w:rPr>
        <w:t xml:space="preserve">or notification </w:t>
      </w:r>
      <w:r w:rsidR="00E55EA0">
        <w:rPr>
          <w:szCs w:val="22"/>
        </w:rPr>
        <w:t>is directed</w:t>
      </w:r>
      <w:r w:rsidR="00607C83">
        <w:rPr>
          <w:szCs w:val="22"/>
        </w:rPr>
        <w:t>.</w:t>
      </w:r>
      <w:r w:rsidR="00607C83">
        <w:rPr>
          <w:rStyle w:val="FootnoteReference"/>
          <w:szCs w:val="22"/>
        </w:rPr>
        <w:footnoteReference w:id="8"/>
      </w:r>
      <w:r w:rsidR="00D5646E">
        <w:rPr>
          <w:szCs w:val="22"/>
        </w:rPr>
        <w:t xml:space="preserve">  In </w:t>
      </w:r>
      <w:r w:rsidR="00D5646E">
        <w:rPr>
          <w:szCs w:val="22"/>
        </w:rPr>
        <w:lastRenderedPageBreak/>
        <w:t>support of its</w:t>
      </w:r>
      <w:r w:rsidR="00394AE8">
        <w:rPr>
          <w:szCs w:val="22"/>
        </w:rPr>
        <w:t xml:space="preserve"> </w:t>
      </w:r>
      <w:r w:rsidR="00394AE8">
        <w:rPr>
          <w:i/>
          <w:szCs w:val="22"/>
        </w:rPr>
        <w:t>Petition</w:t>
      </w:r>
      <w:r w:rsidR="00D5646E">
        <w:rPr>
          <w:szCs w:val="22"/>
        </w:rPr>
        <w:t xml:space="preserve">, </w:t>
      </w:r>
      <w:r w:rsidR="00D5646E" w:rsidRPr="006E0DBC">
        <w:rPr>
          <w:szCs w:val="22"/>
        </w:rPr>
        <w:t>the Association</w:t>
      </w:r>
      <w:r w:rsidR="00D5646E">
        <w:rPr>
          <w:szCs w:val="22"/>
        </w:rPr>
        <w:t xml:space="preserve"> states that automated communications to mobile devices are best suited to provide quick and efficient notification</w:t>
      </w:r>
      <w:r w:rsidR="00394AE8">
        <w:rPr>
          <w:szCs w:val="22"/>
        </w:rPr>
        <w:t>s</w:t>
      </w:r>
      <w:r w:rsidR="00D5646E">
        <w:rPr>
          <w:szCs w:val="22"/>
        </w:rPr>
        <w:t xml:space="preserve"> to customers </w:t>
      </w:r>
      <w:r w:rsidR="00394AE8">
        <w:rPr>
          <w:szCs w:val="22"/>
        </w:rPr>
        <w:t xml:space="preserve">in </w:t>
      </w:r>
      <w:r w:rsidR="00D5646E">
        <w:rPr>
          <w:szCs w:val="22"/>
        </w:rPr>
        <w:t>time-sensitive</w:t>
      </w:r>
      <w:r w:rsidR="00394AE8">
        <w:rPr>
          <w:szCs w:val="22"/>
        </w:rPr>
        <w:t xml:space="preserve"> situations, such </w:t>
      </w:r>
      <w:r w:rsidR="00D5646E">
        <w:rPr>
          <w:szCs w:val="22"/>
        </w:rPr>
        <w:t>as</w:t>
      </w:r>
      <w:r w:rsidR="00394AE8">
        <w:rPr>
          <w:szCs w:val="22"/>
        </w:rPr>
        <w:t xml:space="preserve"> in cases of </w:t>
      </w:r>
      <w:r w:rsidR="00D5646E">
        <w:rPr>
          <w:szCs w:val="22"/>
        </w:rPr>
        <w:t>data security breach</w:t>
      </w:r>
      <w:r w:rsidR="00394AE8">
        <w:rPr>
          <w:szCs w:val="22"/>
        </w:rPr>
        <w:t>es</w:t>
      </w:r>
      <w:r w:rsidR="00D5646E">
        <w:rPr>
          <w:szCs w:val="22"/>
        </w:rPr>
        <w:t xml:space="preserve"> or </w:t>
      </w:r>
      <w:r w:rsidR="00394AE8">
        <w:rPr>
          <w:szCs w:val="22"/>
        </w:rPr>
        <w:t xml:space="preserve">attempted </w:t>
      </w:r>
      <w:r w:rsidR="00D5646E">
        <w:rPr>
          <w:szCs w:val="22"/>
        </w:rPr>
        <w:t>identity theft.</w:t>
      </w:r>
      <w:r w:rsidR="00D5646E">
        <w:rPr>
          <w:rStyle w:val="FootnoteReference"/>
          <w:szCs w:val="22"/>
        </w:rPr>
        <w:footnoteReference w:id="9"/>
      </w:r>
      <w:r w:rsidR="00D5646E">
        <w:rPr>
          <w:szCs w:val="22"/>
        </w:rPr>
        <w:t xml:space="preserve">  </w:t>
      </w:r>
    </w:p>
    <w:p w:rsidR="00BB1EEA" w:rsidRDefault="00BB1EEA">
      <w:pPr>
        <w:ind w:firstLine="720"/>
        <w:rPr>
          <w:szCs w:val="22"/>
        </w:rPr>
      </w:pPr>
    </w:p>
    <w:p w:rsidR="00BB1EEA" w:rsidRDefault="00BB1EEA" w:rsidP="00BB1EEA">
      <w:pPr>
        <w:ind w:firstLine="720"/>
        <w:rPr>
          <w:szCs w:val="22"/>
        </w:rPr>
      </w:pPr>
      <w:r>
        <w:t>In pertinent part, the TCPA and the Commission’s implementing rules, among other things, prohibit using an “automatic telephone dialing system or an artificial or prerecorded voice” to make a call to a wireless telephone number, except in emergencies or with prior express consent of the called party.</w:t>
      </w:r>
      <w:r>
        <w:rPr>
          <w:rStyle w:val="FootnoteReference"/>
        </w:rPr>
        <w:footnoteReference w:id="10"/>
      </w:r>
      <w:r>
        <w:rPr>
          <w:szCs w:val="22"/>
        </w:rPr>
        <w:t xml:space="preserve">  The Commission may exempt from this restriction such calls to a wireless telephone number that are not charged to the called party, “subject to such conditions as the Commission may prescribe” to protect consumer privacy.</w:t>
      </w:r>
      <w:r>
        <w:rPr>
          <w:rStyle w:val="FootnoteReference"/>
          <w:szCs w:val="22"/>
        </w:rPr>
        <w:footnoteReference w:id="11"/>
      </w:r>
      <w:r>
        <w:rPr>
          <w:szCs w:val="22"/>
        </w:rPr>
        <w:t xml:space="preserve">  </w:t>
      </w:r>
    </w:p>
    <w:p w:rsidR="00BB1EEA" w:rsidRDefault="00BB1EEA">
      <w:pPr>
        <w:ind w:firstLine="720"/>
        <w:rPr>
          <w:szCs w:val="22"/>
        </w:rPr>
      </w:pPr>
    </w:p>
    <w:p w:rsidR="004E0E91" w:rsidRDefault="00D5646E">
      <w:pPr>
        <w:ind w:firstLine="720"/>
        <w:rPr>
          <w:szCs w:val="22"/>
        </w:rPr>
      </w:pPr>
      <w:r>
        <w:rPr>
          <w:szCs w:val="22"/>
        </w:rPr>
        <w:t xml:space="preserve">We seek comment on </w:t>
      </w:r>
      <w:r w:rsidR="00BB1EEA">
        <w:rPr>
          <w:szCs w:val="22"/>
        </w:rPr>
        <w:t>the</w:t>
      </w:r>
      <w:r>
        <w:rPr>
          <w:szCs w:val="22"/>
        </w:rPr>
        <w:t xml:space="preserve"> issues raised in the </w:t>
      </w:r>
      <w:r>
        <w:rPr>
          <w:i/>
          <w:szCs w:val="22"/>
        </w:rPr>
        <w:t>Petition</w:t>
      </w:r>
      <w:r w:rsidR="004F0E79">
        <w:rPr>
          <w:szCs w:val="22"/>
        </w:rPr>
        <w:t xml:space="preserve">, including </w:t>
      </w:r>
      <w:r w:rsidR="000A032A">
        <w:rPr>
          <w:szCs w:val="22"/>
        </w:rPr>
        <w:t xml:space="preserve">whether </w:t>
      </w:r>
      <w:r w:rsidR="000728BB">
        <w:rPr>
          <w:szCs w:val="22"/>
        </w:rPr>
        <w:t xml:space="preserve">the exemptions requested in the </w:t>
      </w:r>
      <w:r w:rsidR="000728BB">
        <w:rPr>
          <w:i/>
          <w:szCs w:val="22"/>
        </w:rPr>
        <w:t xml:space="preserve">Petition </w:t>
      </w:r>
      <w:r w:rsidR="000728BB">
        <w:rPr>
          <w:szCs w:val="22"/>
        </w:rPr>
        <w:t xml:space="preserve">allow </w:t>
      </w:r>
      <w:r w:rsidR="00666C9F">
        <w:rPr>
          <w:szCs w:val="22"/>
        </w:rPr>
        <w:t>the financial services industry</w:t>
      </w:r>
      <w:r w:rsidR="004F0E79">
        <w:rPr>
          <w:szCs w:val="22"/>
        </w:rPr>
        <w:t xml:space="preserve"> to </w:t>
      </w:r>
      <w:r w:rsidR="00666C9F">
        <w:rPr>
          <w:szCs w:val="22"/>
        </w:rPr>
        <w:t xml:space="preserve">reduce </w:t>
      </w:r>
      <w:r w:rsidR="004F0E79">
        <w:rPr>
          <w:szCs w:val="22"/>
        </w:rPr>
        <w:t xml:space="preserve">privacy and security risks </w:t>
      </w:r>
      <w:r w:rsidR="00666C9F">
        <w:rPr>
          <w:szCs w:val="22"/>
        </w:rPr>
        <w:t xml:space="preserve">proactively </w:t>
      </w:r>
      <w:r w:rsidR="004F0E79">
        <w:rPr>
          <w:szCs w:val="22"/>
        </w:rPr>
        <w:t xml:space="preserve">so that </w:t>
      </w:r>
      <w:r w:rsidR="00666C9F">
        <w:rPr>
          <w:szCs w:val="22"/>
        </w:rPr>
        <w:t xml:space="preserve">fraud, </w:t>
      </w:r>
      <w:r w:rsidR="004F0E79">
        <w:rPr>
          <w:szCs w:val="22"/>
        </w:rPr>
        <w:t xml:space="preserve">data </w:t>
      </w:r>
      <w:r w:rsidR="00666C9F">
        <w:rPr>
          <w:szCs w:val="22"/>
        </w:rPr>
        <w:t xml:space="preserve">security </w:t>
      </w:r>
      <w:r w:rsidR="004F0E79">
        <w:rPr>
          <w:szCs w:val="22"/>
        </w:rPr>
        <w:t>breaches</w:t>
      </w:r>
      <w:r w:rsidR="001923C1">
        <w:rPr>
          <w:szCs w:val="22"/>
        </w:rPr>
        <w:t>,</w:t>
      </w:r>
      <w:r w:rsidR="004F0E79">
        <w:rPr>
          <w:szCs w:val="22"/>
        </w:rPr>
        <w:t xml:space="preserve"> and identity theft are less likely to </w:t>
      </w:r>
      <w:r w:rsidR="00585E20">
        <w:rPr>
          <w:szCs w:val="22"/>
        </w:rPr>
        <w:t>occur</w:t>
      </w:r>
      <w:r w:rsidR="00143EF0">
        <w:rPr>
          <w:szCs w:val="22"/>
        </w:rPr>
        <w:t xml:space="preserve"> in the first place</w:t>
      </w:r>
      <w:r w:rsidR="00294DD2">
        <w:rPr>
          <w:szCs w:val="22"/>
        </w:rPr>
        <w:t>.</w:t>
      </w:r>
      <w:r w:rsidR="004E0E91">
        <w:rPr>
          <w:szCs w:val="22"/>
        </w:rPr>
        <w:t xml:space="preserve"> </w:t>
      </w:r>
      <w:r w:rsidR="00143EF0">
        <w:rPr>
          <w:szCs w:val="22"/>
        </w:rPr>
        <w:t xml:space="preserve"> </w:t>
      </w:r>
      <w:r w:rsidR="00A4279F">
        <w:rPr>
          <w:szCs w:val="22"/>
        </w:rPr>
        <w:t xml:space="preserve">As it considers the </w:t>
      </w:r>
      <w:r w:rsidR="00A4279F">
        <w:rPr>
          <w:i/>
          <w:szCs w:val="22"/>
        </w:rPr>
        <w:t>Petition</w:t>
      </w:r>
      <w:r w:rsidR="00A4279F">
        <w:rPr>
          <w:szCs w:val="22"/>
        </w:rPr>
        <w:t xml:space="preserve">, should </w:t>
      </w:r>
      <w:r w:rsidR="00294DD2">
        <w:rPr>
          <w:szCs w:val="22"/>
        </w:rPr>
        <w:t xml:space="preserve">the </w:t>
      </w:r>
      <w:r w:rsidR="00BB1EEA">
        <w:rPr>
          <w:szCs w:val="22"/>
        </w:rPr>
        <w:t>Commission</w:t>
      </w:r>
      <w:r w:rsidR="00BA2ED0">
        <w:rPr>
          <w:szCs w:val="22"/>
        </w:rPr>
        <w:t xml:space="preserve"> </w:t>
      </w:r>
      <w:r w:rsidR="00A4279F">
        <w:rPr>
          <w:szCs w:val="22"/>
        </w:rPr>
        <w:t xml:space="preserve">consider additional or modified conditions to </w:t>
      </w:r>
      <w:r w:rsidR="00BB1EEA">
        <w:rPr>
          <w:szCs w:val="22"/>
        </w:rPr>
        <w:t xml:space="preserve">protect consumers from unwanted communications </w:t>
      </w:r>
      <w:r w:rsidR="00A4279F">
        <w:rPr>
          <w:szCs w:val="22"/>
        </w:rPr>
        <w:t xml:space="preserve">and </w:t>
      </w:r>
      <w:r w:rsidR="00BB1EEA">
        <w:rPr>
          <w:szCs w:val="22"/>
        </w:rPr>
        <w:t xml:space="preserve">from fraud, identity theft and data security breaches?  </w:t>
      </w:r>
    </w:p>
    <w:p w:rsidR="004E0E91" w:rsidRDefault="004E0E91">
      <w:pPr>
        <w:autoSpaceDE w:val="0"/>
        <w:autoSpaceDN w:val="0"/>
        <w:adjustRightInd w:val="0"/>
        <w:ind w:firstLine="720"/>
        <w:rPr>
          <w:szCs w:val="22"/>
        </w:rPr>
      </w:pPr>
    </w:p>
    <w:p w:rsidR="005E0242" w:rsidRDefault="005E0242">
      <w:pPr>
        <w:autoSpaceDE w:val="0"/>
        <w:autoSpaceDN w:val="0"/>
        <w:adjustRightInd w:val="0"/>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w:t>
      </w:r>
      <w:r>
        <w:rPr>
          <w:szCs w:val="22"/>
        </w:rPr>
        <w:t xml:space="preserve"> Electronic Filing of Documents in Rulemaking Proceedings, 63 FR 24121 (1998).</w:t>
      </w:r>
    </w:p>
    <w:p w:rsidR="005E0242" w:rsidRDefault="005E0242">
      <w:pPr>
        <w:autoSpaceDE w:val="0"/>
        <w:autoSpaceDN w:val="0"/>
        <w:adjustRightInd w:val="0"/>
        <w:ind w:firstLine="720"/>
        <w:rPr>
          <w:szCs w:val="22"/>
        </w:rPr>
      </w:pPr>
    </w:p>
    <w:p w:rsidR="005E0242" w:rsidRDefault="005E0242">
      <w:pPr>
        <w:numPr>
          <w:ilvl w:val="0"/>
          <w:numId w:val="19"/>
        </w:numPr>
        <w:autoSpaceDE w:val="0"/>
        <w:autoSpaceDN w:val="0"/>
        <w:adjustRightInd w:val="0"/>
        <w:rPr>
          <w:szCs w:val="22"/>
        </w:rPr>
      </w:pPr>
      <w:r>
        <w:rPr>
          <w:szCs w:val="22"/>
        </w:rPr>
        <w:t xml:space="preserve">Electronic Filers:  Comments may be filed electronically using the Internet by accessing the ECFS:  http://fjallfoss.fcc.gov/ecfs2/.  </w:t>
      </w:r>
    </w:p>
    <w:p w:rsidR="005E0242" w:rsidRDefault="005E0242">
      <w:pPr>
        <w:numPr>
          <w:ilvl w:val="0"/>
          <w:numId w:val="19"/>
        </w:numPr>
        <w:autoSpaceDE w:val="0"/>
        <w:autoSpaceDN w:val="0"/>
        <w:adjustRightInd w:val="0"/>
        <w:rPr>
          <w:szCs w:val="22"/>
        </w:rPr>
      </w:pPr>
      <w:r>
        <w:rPr>
          <w:szCs w:val="22"/>
        </w:rPr>
        <w:t xml:space="preserve">Paper Filers:  Parties who choose to file by paper must file an original and one copy of each filing.  </w:t>
      </w:r>
    </w:p>
    <w:p w:rsidR="005E0242" w:rsidRDefault="005E0242">
      <w:pPr>
        <w:numPr>
          <w:ilvl w:val="0"/>
          <w:numId w:val="19"/>
        </w:numPr>
        <w:autoSpaceDE w:val="0"/>
        <w:autoSpaceDN w:val="0"/>
        <w:adjustRightInd w:val="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E0242" w:rsidRDefault="005E0242">
      <w:pPr>
        <w:numPr>
          <w:ilvl w:val="0"/>
          <w:numId w:val="19"/>
        </w:numPr>
        <w:autoSpaceDE w:val="0"/>
        <w:autoSpaceDN w:val="0"/>
        <w:adjustRightInd w:val="0"/>
        <w:rPr>
          <w:szCs w:val="22"/>
        </w:rPr>
      </w:pPr>
      <w:r>
        <w:rPr>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  </w:t>
      </w:r>
    </w:p>
    <w:p w:rsidR="005E0242" w:rsidRDefault="005E0242">
      <w:pPr>
        <w:numPr>
          <w:ilvl w:val="0"/>
          <w:numId w:val="19"/>
        </w:numPr>
        <w:autoSpaceDE w:val="0"/>
        <w:autoSpaceDN w:val="0"/>
        <w:adjustRightInd w:val="0"/>
        <w:rPr>
          <w:szCs w:val="22"/>
        </w:rPr>
      </w:pPr>
      <w:r>
        <w:rPr>
          <w:szCs w:val="22"/>
        </w:rPr>
        <w:t>Commercial overnight mail (other than U.S. Postal Service Express Mail and Priority Mail) must be sent to 9300 East Hampton Drive, Capitol Heights, MD  20743.</w:t>
      </w:r>
    </w:p>
    <w:p w:rsidR="005E0242" w:rsidRDefault="005E0242">
      <w:pPr>
        <w:numPr>
          <w:ilvl w:val="0"/>
          <w:numId w:val="19"/>
        </w:numPr>
        <w:autoSpaceDE w:val="0"/>
        <w:autoSpaceDN w:val="0"/>
        <w:adjustRightInd w:val="0"/>
        <w:rPr>
          <w:szCs w:val="22"/>
        </w:rPr>
      </w:pPr>
      <w:r>
        <w:rPr>
          <w:szCs w:val="22"/>
        </w:rPr>
        <w:t>U.S. Postal Service first-class, Express, and Priority mail must be addressed to 445 12th Street, SW, Washington DC  20554.</w:t>
      </w:r>
    </w:p>
    <w:p w:rsidR="005E0242" w:rsidRDefault="005E0242">
      <w:pPr>
        <w:autoSpaceDE w:val="0"/>
        <w:autoSpaceDN w:val="0"/>
        <w:adjustRightInd w:val="0"/>
        <w:rPr>
          <w:szCs w:val="22"/>
        </w:rPr>
      </w:pPr>
    </w:p>
    <w:p w:rsidR="005E0242" w:rsidRDefault="005E0242">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5E0242" w:rsidRDefault="005E0242">
      <w:pPr>
        <w:autoSpaceDE w:val="0"/>
        <w:autoSpaceDN w:val="0"/>
        <w:adjustRightInd w:val="0"/>
        <w:ind w:firstLine="720"/>
        <w:rPr>
          <w:szCs w:val="22"/>
        </w:rPr>
      </w:pPr>
    </w:p>
    <w:p w:rsidR="005E0242" w:rsidRDefault="005E0242">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2"/>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Pr>
          <w:szCs w:val="22"/>
        </w:rPr>
        <w:tab/>
      </w:r>
    </w:p>
    <w:p w:rsidR="005E0242" w:rsidRDefault="005E0242">
      <w:pPr>
        <w:autoSpaceDE w:val="0"/>
        <w:autoSpaceDN w:val="0"/>
        <w:adjustRightInd w:val="0"/>
        <w:rPr>
          <w:szCs w:val="22"/>
        </w:rPr>
      </w:pPr>
    </w:p>
    <w:p w:rsidR="005E0242" w:rsidRDefault="005E0242">
      <w:pPr>
        <w:rPr>
          <w:szCs w:val="22"/>
        </w:rPr>
      </w:pPr>
      <w:r>
        <w:rPr>
          <w:b/>
          <w:szCs w:val="22"/>
        </w:rPr>
        <w:t>FOR FURTHER INFORMATION CONTACT:</w:t>
      </w:r>
      <w:r>
        <w:rPr>
          <w:szCs w:val="22"/>
        </w:rPr>
        <w:t xml:space="preserve">  </w:t>
      </w:r>
      <w:r w:rsidR="00ED6C6D">
        <w:rPr>
          <w:szCs w:val="22"/>
        </w:rPr>
        <w:t>Christina Clearwater</w:t>
      </w:r>
      <w:r>
        <w:rPr>
          <w:szCs w:val="22"/>
        </w:rPr>
        <w:t>, Consumer and Governmental Affairs Bureau, Federal Communications Commission, (202) 418-</w:t>
      </w:r>
      <w:r w:rsidR="00ED6C6D">
        <w:rPr>
          <w:szCs w:val="22"/>
        </w:rPr>
        <w:t>1893</w:t>
      </w:r>
      <w:r>
        <w:rPr>
          <w:szCs w:val="22"/>
        </w:rPr>
        <w:t xml:space="preserve">; </w:t>
      </w:r>
      <w:r w:rsidR="00ED6C6D">
        <w:rPr>
          <w:szCs w:val="22"/>
        </w:rPr>
        <w:t>Christina.Clearwater</w:t>
      </w:r>
      <w:r>
        <w:rPr>
          <w:szCs w:val="22"/>
        </w:rPr>
        <w:t>@fcc.gov.</w:t>
      </w:r>
    </w:p>
    <w:p w:rsidR="005E0242" w:rsidRDefault="005E0242">
      <w:pPr>
        <w:rPr>
          <w:szCs w:val="22"/>
        </w:rPr>
      </w:pPr>
    </w:p>
    <w:p w:rsidR="005E0242" w:rsidRDefault="005E0242">
      <w:pPr>
        <w:jc w:val="center"/>
        <w:rPr>
          <w:b/>
          <w:sz w:val="24"/>
          <w:szCs w:val="24"/>
        </w:rPr>
      </w:pPr>
      <w:r>
        <w:rPr>
          <w:b/>
          <w:sz w:val="24"/>
          <w:szCs w:val="24"/>
        </w:rPr>
        <w:t>-FCC-</w:t>
      </w:r>
    </w:p>
    <w:sectPr w:rsidR="005E024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C1" w:rsidRDefault="00090EC1">
      <w:r>
        <w:separator/>
      </w:r>
    </w:p>
  </w:endnote>
  <w:endnote w:type="continuationSeparator" w:id="0">
    <w:p w:rsidR="00090EC1" w:rsidRDefault="00090EC1">
      <w:r>
        <w:continuationSeparator/>
      </w:r>
    </w:p>
  </w:endnote>
  <w:endnote w:type="continuationNotice" w:id="1">
    <w:p w:rsidR="00090EC1" w:rsidRDefault="00090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42" w:rsidRDefault="005E0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242" w:rsidRDefault="005E0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42" w:rsidRDefault="005E0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126">
      <w:rPr>
        <w:rStyle w:val="PageNumber"/>
        <w:noProof/>
      </w:rPr>
      <w:t>3</w:t>
    </w:r>
    <w:r>
      <w:rPr>
        <w:rStyle w:val="PageNumber"/>
      </w:rPr>
      <w:fldChar w:fldCharType="end"/>
    </w:r>
  </w:p>
  <w:p w:rsidR="005E0242" w:rsidRDefault="005E0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B" w:rsidRDefault="00C9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C1" w:rsidRDefault="00090EC1">
      <w:r>
        <w:separator/>
      </w:r>
    </w:p>
  </w:footnote>
  <w:footnote w:type="continuationSeparator" w:id="0">
    <w:p w:rsidR="00090EC1" w:rsidRDefault="00090EC1">
      <w:r>
        <w:continuationSeparator/>
      </w:r>
    </w:p>
  </w:footnote>
  <w:footnote w:type="continuationNotice" w:id="1">
    <w:p w:rsidR="00090EC1" w:rsidRDefault="00090EC1"/>
  </w:footnote>
  <w:footnote w:id="2">
    <w:p w:rsidR="005E0242" w:rsidRPr="00013BE9" w:rsidRDefault="005E0242">
      <w:pPr>
        <w:pStyle w:val="FootnoteText"/>
        <w:rPr>
          <w:sz w:val="20"/>
        </w:rPr>
      </w:pPr>
      <w:r>
        <w:rPr>
          <w:rStyle w:val="FootnoteReference"/>
        </w:rPr>
        <w:footnoteRef/>
      </w:r>
      <w:r>
        <w:t xml:space="preserve"> </w:t>
      </w:r>
      <w:r>
        <w:rPr>
          <w:i/>
          <w:sz w:val="20"/>
        </w:rPr>
        <w:t xml:space="preserve"> </w:t>
      </w:r>
      <w:r w:rsidRPr="00013BE9">
        <w:rPr>
          <w:sz w:val="20"/>
        </w:rPr>
        <w:t xml:space="preserve">The </w:t>
      </w:r>
      <w:r w:rsidR="006A021B">
        <w:rPr>
          <w:sz w:val="20"/>
        </w:rPr>
        <w:t>Telephone Consumer Protection Act (</w:t>
      </w:r>
      <w:r w:rsidRPr="00013BE9">
        <w:rPr>
          <w:sz w:val="20"/>
        </w:rPr>
        <w:t>TCPA</w:t>
      </w:r>
      <w:r w:rsidR="006A021B">
        <w:rPr>
          <w:sz w:val="20"/>
        </w:rPr>
        <w:t>)</w:t>
      </w:r>
      <w:r w:rsidRPr="00013BE9">
        <w:rPr>
          <w:sz w:val="20"/>
        </w:rPr>
        <w:t xml:space="preserve"> is codified as 47 U.S.C. § 227.  The Commission’s implementing rules are codified as 47 C.F.R. § 64.1200.</w:t>
      </w:r>
    </w:p>
  </w:footnote>
  <w:footnote w:id="3">
    <w:p w:rsidR="00314569" w:rsidRPr="00013BE9" w:rsidRDefault="00314569" w:rsidP="00314569">
      <w:pPr>
        <w:pStyle w:val="FootnoteText"/>
        <w:rPr>
          <w:sz w:val="20"/>
        </w:rPr>
      </w:pPr>
      <w:r w:rsidRPr="00013BE9">
        <w:rPr>
          <w:rStyle w:val="FootnoteReference"/>
          <w:sz w:val="20"/>
        </w:rPr>
        <w:footnoteRef/>
      </w:r>
      <w:r w:rsidRPr="00013BE9">
        <w:rPr>
          <w:sz w:val="20"/>
        </w:rPr>
        <w:t xml:space="preserve"> </w:t>
      </w:r>
      <w:r w:rsidRPr="00013BE9">
        <w:rPr>
          <w:i/>
          <w:sz w:val="20"/>
        </w:rPr>
        <w:t>Petition for</w:t>
      </w:r>
      <w:r w:rsidR="002B547A">
        <w:rPr>
          <w:i/>
          <w:sz w:val="20"/>
        </w:rPr>
        <w:t xml:space="preserve"> </w:t>
      </w:r>
      <w:r>
        <w:rPr>
          <w:i/>
          <w:sz w:val="20"/>
        </w:rPr>
        <w:t>Exemption of the American Bankers Association</w:t>
      </w:r>
      <w:r w:rsidRPr="00013BE9">
        <w:rPr>
          <w:sz w:val="20"/>
        </w:rPr>
        <w:t xml:space="preserve">, CG Docket No. 02-278, filed on </w:t>
      </w:r>
      <w:r>
        <w:rPr>
          <w:sz w:val="20"/>
        </w:rPr>
        <w:t>October</w:t>
      </w:r>
      <w:r w:rsidRPr="00013BE9">
        <w:rPr>
          <w:sz w:val="20"/>
        </w:rPr>
        <w:t xml:space="preserve"> </w:t>
      </w:r>
      <w:r>
        <w:rPr>
          <w:sz w:val="20"/>
        </w:rPr>
        <w:t>14</w:t>
      </w:r>
      <w:r w:rsidRPr="00013BE9">
        <w:rPr>
          <w:sz w:val="20"/>
        </w:rPr>
        <w:t>, 2014</w:t>
      </w:r>
      <w:r>
        <w:rPr>
          <w:sz w:val="20"/>
        </w:rPr>
        <w:t>, at 3</w:t>
      </w:r>
      <w:r w:rsidRPr="00013BE9">
        <w:rPr>
          <w:sz w:val="20"/>
        </w:rPr>
        <w:t xml:space="preserve"> (</w:t>
      </w:r>
      <w:r w:rsidRPr="00013BE9">
        <w:rPr>
          <w:i/>
          <w:sz w:val="20"/>
        </w:rPr>
        <w:t>Petition</w:t>
      </w:r>
      <w:r w:rsidRPr="00013BE9">
        <w:rPr>
          <w:sz w:val="20"/>
        </w:rPr>
        <w:t xml:space="preserve">).  </w:t>
      </w:r>
    </w:p>
  </w:footnote>
  <w:footnote w:id="4">
    <w:p w:rsidR="00E55EA0" w:rsidRPr="00E55EA0" w:rsidRDefault="00E55EA0">
      <w:pPr>
        <w:pStyle w:val="FootnoteText"/>
        <w:rPr>
          <w:i/>
          <w:sz w:val="20"/>
        </w:rPr>
      </w:pPr>
      <w:r>
        <w:rPr>
          <w:rStyle w:val="FootnoteReference"/>
        </w:rPr>
        <w:footnoteRef/>
      </w:r>
      <w:r>
        <w:t xml:space="preserve"> </w:t>
      </w:r>
      <w:r w:rsidR="00C37BF8">
        <w:rPr>
          <w:i/>
          <w:sz w:val="20"/>
        </w:rPr>
        <w:t>Id.</w:t>
      </w:r>
      <w:r w:rsidRPr="00E55EA0">
        <w:rPr>
          <w:sz w:val="20"/>
        </w:rPr>
        <w:t xml:space="preserve"> at 3, 9-12.</w:t>
      </w:r>
    </w:p>
  </w:footnote>
  <w:footnote w:id="5">
    <w:p w:rsidR="00E55EA0" w:rsidRDefault="00E55EA0">
      <w:pPr>
        <w:pStyle w:val="FootnoteText"/>
      </w:pPr>
      <w:r>
        <w:rPr>
          <w:rStyle w:val="FootnoteReference"/>
        </w:rPr>
        <w:footnoteRef/>
      </w:r>
      <w:r>
        <w:t xml:space="preserve"> </w:t>
      </w:r>
      <w:r w:rsidR="00C37BF8" w:rsidRPr="00C37BF8">
        <w:rPr>
          <w:i/>
          <w:sz w:val="20"/>
        </w:rPr>
        <w:t>Id.</w:t>
      </w:r>
      <w:r w:rsidRPr="00E55EA0">
        <w:rPr>
          <w:sz w:val="20"/>
        </w:rPr>
        <w:t xml:space="preserve"> at 3, 12</w:t>
      </w:r>
      <w:r>
        <w:rPr>
          <w:sz w:val="20"/>
        </w:rPr>
        <w:t>-14</w:t>
      </w:r>
      <w:r w:rsidRPr="00E55EA0">
        <w:rPr>
          <w:sz w:val="20"/>
        </w:rPr>
        <w:t>.</w:t>
      </w:r>
    </w:p>
  </w:footnote>
  <w:footnote w:id="6">
    <w:p w:rsidR="00E55EA0" w:rsidRDefault="00E55EA0">
      <w:pPr>
        <w:pStyle w:val="FootnoteText"/>
      </w:pPr>
      <w:r>
        <w:rPr>
          <w:rStyle w:val="FootnoteReference"/>
        </w:rPr>
        <w:footnoteRef/>
      </w:r>
      <w:r>
        <w:t xml:space="preserve"> </w:t>
      </w:r>
      <w:r w:rsidR="00D571FB">
        <w:rPr>
          <w:i/>
          <w:sz w:val="20"/>
        </w:rPr>
        <w:t>Id.</w:t>
      </w:r>
      <w:r w:rsidR="00D571FB" w:rsidRPr="00E55EA0">
        <w:rPr>
          <w:sz w:val="20"/>
        </w:rPr>
        <w:t xml:space="preserve"> </w:t>
      </w:r>
      <w:r w:rsidRPr="00E55EA0">
        <w:rPr>
          <w:sz w:val="20"/>
        </w:rPr>
        <w:t>at 3, 1</w:t>
      </w:r>
      <w:r>
        <w:rPr>
          <w:sz w:val="20"/>
        </w:rPr>
        <w:t>4-15</w:t>
      </w:r>
      <w:r w:rsidRPr="00E55EA0">
        <w:rPr>
          <w:sz w:val="20"/>
        </w:rPr>
        <w:t>.</w:t>
      </w:r>
    </w:p>
  </w:footnote>
  <w:footnote w:id="7">
    <w:p w:rsidR="00B77E6D" w:rsidRPr="00013BE9" w:rsidRDefault="00B77E6D">
      <w:pPr>
        <w:pStyle w:val="FootnoteText"/>
        <w:rPr>
          <w:sz w:val="20"/>
        </w:rPr>
      </w:pPr>
      <w:r w:rsidRPr="00013BE9">
        <w:rPr>
          <w:rStyle w:val="FootnoteReference"/>
          <w:sz w:val="20"/>
        </w:rPr>
        <w:footnoteRef/>
      </w:r>
      <w:r w:rsidRPr="00013BE9">
        <w:rPr>
          <w:sz w:val="20"/>
        </w:rPr>
        <w:t xml:space="preserve"> </w:t>
      </w:r>
      <w:r w:rsidR="00C37BF8" w:rsidRPr="00C37BF8">
        <w:rPr>
          <w:i/>
          <w:sz w:val="20"/>
        </w:rPr>
        <w:t>Id.</w:t>
      </w:r>
      <w:r w:rsidR="00013BE9" w:rsidRPr="00013BE9">
        <w:rPr>
          <w:sz w:val="20"/>
        </w:rPr>
        <w:t xml:space="preserve"> at </w:t>
      </w:r>
      <w:r w:rsidR="00607C83">
        <w:rPr>
          <w:sz w:val="20"/>
        </w:rPr>
        <w:t>3</w:t>
      </w:r>
      <w:r w:rsidR="00013BE9" w:rsidRPr="00013BE9">
        <w:rPr>
          <w:sz w:val="20"/>
        </w:rPr>
        <w:t xml:space="preserve">, </w:t>
      </w:r>
      <w:r w:rsidR="00E55EA0">
        <w:rPr>
          <w:sz w:val="20"/>
        </w:rPr>
        <w:t>15-16</w:t>
      </w:r>
      <w:r w:rsidR="00013BE9" w:rsidRPr="00013BE9">
        <w:rPr>
          <w:sz w:val="20"/>
        </w:rPr>
        <w:t>.</w:t>
      </w:r>
    </w:p>
  </w:footnote>
  <w:footnote w:id="8">
    <w:p w:rsidR="00607C83" w:rsidRDefault="00607C83">
      <w:pPr>
        <w:pStyle w:val="FootnoteText"/>
      </w:pPr>
      <w:r>
        <w:rPr>
          <w:rStyle w:val="FootnoteReference"/>
        </w:rPr>
        <w:footnoteRef/>
      </w:r>
      <w:r>
        <w:t xml:space="preserve"> </w:t>
      </w:r>
      <w:r w:rsidR="00C37BF8" w:rsidRPr="00C37BF8">
        <w:rPr>
          <w:i/>
          <w:sz w:val="20"/>
        </w:rPr>
        <w:t>Id.</w:t>
      </w:r>
      <w:r w:rsidRPr="00013BE9">
        <w:rPr>
          <w:sz w:val="20"/>
        </w:rPr>
        <w:t xml:space="preserve"> at</w:t>
      </w:r>
      <w:r w:rsidR="00EF2EC7">
        <w:rPr>
          <w:sz w:val="20"/>
        </w:rPr>
        <w:t xml:space="preserve"> 3</w:t>
      </w:r>
      <w:r w:rsidRPr="00013BE9">
        <w:rPr>
          <w:sz w:val="20"/>
        </w:rPr>
        <w:t xml:space="preserve">, </w:t>
      </w:r>
      <w:r w:rsidR="00EF2EC7">
        <w:rPr>
          <w:sz w:val="20"/>
        </w:rPr>
        <w:t>9, 16-</w:t>
      </w:r>
      <w:r w:rsidR="00E55EA0">
        <w:rPr>
          <w:sz w:val="20"/>
        </w:rPr>
        <w:t>21</w:t>
      </w:r>
      <w:r w:rsidRPr="00013BE9">
        <w:rPr>
          <w:sz w:val="20"/>
        </w:rPr>
        <w:t>.</w:t>
      </w:r>
    </w:p>
  </w:footnote>
  <w:footnote w:id="9">
    <w:p w:rsidR="00D5646E" w:rsidRDefault="00D5646E" w:rsidP="00D5646E">
      <w:pPr>
        <w:pStyle w:val="FootnoteText"/>
      </w:pPr>
      <w:r>
        <w:rPr>
          <w:rStyle w:val="FootnoteReference"/>
        </w:rPr>
        <w:footnoteRef/>
      </w:r>
      <w:r>
        <w:t xml:space="preserve"> </w:t>
      </w:r>
      <w:r w:rsidRPr="004407E5">
        <w:rPr>
          <w:i/>
          <w:sz w:val="20"/>
        </w:rPr>
        <w:t xml:space="preserve">Petition </w:t>
      </w:r>
      <w:r w:rsidRPr="004407E5">
        <w:rPr>
          <w:sz w:val="20"/>
        </w:rPr>
        <w:t>at 4-6</w:t>
      </w:r>
      <w:r>
        <w:t>.</w:t>
      </w:r>
    </w:p>
  </w:footnote>
  <w:footnote w:id="10">
    <w:p w:rsidR="00BB1EEA" w:rsidRDefault="00BB1EEA" w:rsidP="00BB1EEA">
      <w:pPr>
        <w:pStyle w:val="FootnoteText"/>
      </w:pPr>
      <w:r>
        <w:rPr>
          <w:rStyle w:val="FootnoteReference"/>
        </w:rPr>
        <w:footnoteRef/>
      </w:r>
      <w:r>
        <w:t xml:space="preserve"> </w:t>
      </w:r>
      <w:r>
        <w:rPr>
          <w:sz w:val="20"/>
        </w:rPr>
        <w:t xml:space="preserve">47 U.S.C. § 227(b)(1)(A); 47 C.F.R. § 64.1200(a)(1).  </w:t>
      </w:r>
    </w:p>
  </w:footnote>
  <w:footnote w:id="11">
    <w:p w:rsidR="00BB1EEA" w:rsidRPr="00AF0A81" w:rsidRDefault="00BB1EEA" w:rsidP="00BB1EEA">
      <w:pPr>
        <w:pStyle w:val="FootnoteText"/>
        <w:rPr>
          <w:i/>
        </w:rPr>
      </w:pPr>
      <w:r>
        <w:rPr>
          <w:rStyle w:val="FootnoteReference"/>
        </w:rPr>
        <w:footnoteRef/>
      </w:r>
      <w:r>
        <w:t xml:space="preserve"> </w:t>
      </w:r>
      <w:r w:rsidRPr="00724FE7">
        <w:rPr>
          <w:sz w:val="20"/>
        </w:rPr>
        <w:t xml:space="preserve">47 U.S.C. </w:t>
      </w:r>
      <w:r w:rsidRPr="00D80E9B">
        <w:rPr>
          <w:sz w:val="20"/>
        </w:rPr>
        <w:t>§</w:t>
      </w:r>
      <w:r>
        <w:rPr>
          <w:sz w:val="20"/>
        </w:rPr>
        <w:t xml:space="preserve"> 227(b)(2)(C); </w:t>
      </w:r>
      <w:r>
        <w:rPr>
          <w:i/>
          <w:sz w:val="20"/>
        </w:rPr>
        <w:t xml:space="preserve">see also In the Matter of Cargo Airline Association Petition for Expedited Declaratory Ruling; Rules and Regulations Implementing the Telephone Consumer Protection Act of 1991, CG Docket No. 02-278, </w:t>
      </w:r>
      <w:r>
        <w:rPr>
          <w:sz w:val="20"/>
        </w:rPr>
        <w:t xml:space="preserve">Order, 29  FCC Rcd 3432 (2014); </w:t>
      </w:r>
      <w:r>
        <w:rPr>
          <w:i/>
          <w:sz w:val="20"/>
        </w:rPr>
        <w:t xml:space="preserve">Erratum, </w:t>
      </w:r>
      <w:r>
        <w:rPr>
          <w:sz w:val="20"/>
        </w:rPr>
        <w:t>29 FCC Rcd 5056</w:t>
      </w:r>
      <w:r w:rsidRPr="00AF0A81">
        <w:rPr>
          <w:sz w:val="20"/>
        </w:rPr>
        <w:t xml:space="preserve"> (</w:t>
      </w:r>
      <w:r>
        <w:rPr>
          <w:sz w:val="20"/>
        </w:rPr>
        <w:t>CGB</w:t>
      </w:r>
      <w:r w:rsidRPr="00AF0A81">
        <w:rPr>
          <w:sz w:val="20"/>
        </w:rPr>
        <w:t xml:space="preserve"> 2014)</w:t>
      </w:r>
      <w:r>
        <w:rPr>
          <w:sz w:val="20"/>
        </w:rPr>
        <w:t xml:space="preserve"> (in the first use of this authority, granted a limited exemption, subject to certain conditions, for package delivery notifications sent to mobile devices)</w:t>
      </w:r>
      <w:r w:rsidRPr="00AF0A81">
        <w:rPr>
          <w:sz w:val="20"/>
        </w:rPr>
        <w:t>.</w:t>
      </w:r>
    </w:p>
  </w:footnote>
  <w:footnote w:id="12">
    <w:p w:rsidR="005E0242" w:rsidRDefault="005E0242">
      <w:pPr>
        <w:pStyle w:val="FootnoteText"/>
        <w:rPr>
          <w:iCs/>
          <w:sz w:val="20"/>
        </w:rPr>
      </w:pPr>
      <w:r>
        <w:rPr>
          <w:rStyle w:val="FootnoteReference"/>
          <w:sz w:val="20"/>
        </w:rPr>
        <w:footnoteRef/>
      </w:r>
      <w:r>
        <w:rPr>
          <w:sz w:val="20"/>
        </w:rPr>
        <w:t xml:space="preserve"> 47 C.F.R. §§ 1.1200 </w:t>
      </w:r>
      <w:r>
        <w:rPr>
          <w:i/>
          <w:iCs/>
          <w:sz w:val="20"/>
        </w:rPr>
        <w:t>et seq</w:t>
      </w:r>
      <w:r>
        <w:rPr>
          <w:iCs/>
          <w:sz w:val="20"/>
        </w:rPr>
        <w:t>.</w:t>
      </w:r>
    </w:p>
    <w:p w:rsidR="005E0242" w:rsidRDefault="005E0242">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B" w:rsidRDefault="00C90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B" w:rsidRDefault="00C90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42" w:rsidRDefault="004E0E91">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5"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242" w:rsidRDefault="005E0242">
                          <w:pPr>
                            <w:rPr>
                              <w:rFonts w:ascii="Arial" w:hAnsi="Arial"/>
                              <w:b/>
                            </w:rPr>
                          </w:pPr>
                          <w:r>
                            <w:rPr>
                              <w:rFonts w:ascii="Arial" w:hAnsi="Arial"/>
                              <w:b/>
                            </w:rPr>
                            <w:t>Federal Communications Commission</w:t>
                          </w:r>
                        </w:p>
                        <w:p w:rsidR="005E0242" w:rsidRDefault="005E024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5E0242" w:rsidRDefault="005E024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3308D61E" w14:textId="77777777" w:rsidR="005E0242" w:rsidRDefault="005E0242">
                    <w:pPr>
                      <w:rPr>
                        <w:rFonts w:ascii="Arial" w:hAnsi="Arial"/>
                        <w:b/>
                      </w:rPr>
                    </w:pPr>
                    <w:r>
                      <w:rPr>
                        <w:rFonts w:ascii="Arial" w:hAnsi="Arial"/>
                        <w:b/>
                      </w:rPr>
                      <w:t>Federal Communications Commission</w:t>
                    </w:r>
                  </w:p>
                  <w:p w14:paraId="750AFC82" w14:textId="77777777" w:rsidR="005E0242" w:rsidRDefault="005E024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41860F99" w14:textId="77777777" w:rsidR="005E0242" w:rsidRDefault="005E024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5E0242">
      <w:rPr>
        <w:rFonts w:ascii="Arial" w:hAnsi="Arial" w:cs="Arial"/>
        <w:b/>
        <w:kern w:val="28"/>
        <w:sz w:val="96"/>
      </w:rPr>
      <w:t>PUBLIC NOTICE</w:t>
    </w:r>
  </w:p>
  <w:p w:rsidR="005E0242" w:rsidRDefault="004E0E9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242" w:rsidRDefault="005E0242">
                          <w:pPr>
                            <w:spacing w:before="40"/>
                            <w:jc w:val="right"/>
                            <w:rPr>
                              <w:rFonts w:ascii="Arial" w:hAnsi="Arial"/>
                              <w:b/>
                              <w:sz w:val="16"/>
                            </w:rPr>
                          </w:pPr>
                          <w:r>
                            <w:rPr>
                              <w:rFonts w:ascii="Arial" w:hAnsi="Arial"/>
                              <w:b/>
                              <w:sz w:val="16"/>
                            </w:rPr>
                            <w:t>News Media Information 202 / 418-0500</w:t>
                          </w:r>
                        </w:p>
                        <w:p w:rsidR="005E0242" w:rsidRDefault="005E024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E0242" w:rsidRDefault="005E0242">
                          <w:pPr>
                            <w:jc w:val="right"/>
                            <w:rPr>
                              <w:rFonts w:ascii="Arial" w:hAnsi="Arial"/>
                              <w:b/>
                              <w:sz w:val="16"/>
                            </w:rPr>
                          </w:pPr>
                          <w:r>
                            <w:rPr>
                              <w:rFonts w:ascii="Arial" w:hAnsi="Arial"/>
                              <w:b/>
                              <w:sz w:val="16"/>
                            </w:rPr>
                            <w:t>TTY: 1-888-835-5322</w:t>
                          </w:r>
                        </w:p>
                        <w:p w:rsidR="005E0242" w:rsidRDefault="005E024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14:paraId="6099AE52" w14:textId="77777777" w:rsidR="005E0242" w:rsidRDefault="005E0242">
                    <w:pPr>
                      <w:spacing w:before="40"/>
                      <w:jc w:val="right"/>
                      <w:rPr>
                        <w:rFonts w:ascii="Arial" w:hAnsi="Arial"/>
                        <w:b/>
                        <w:sz w:val="16"/>
                      </w:rPr>
                    </w:pPr>
                    <w:r>
                      <w:rPr>
                        <w:rFonts w:ascii="Arial" w:hAnsi="Arial"/>
                        <w:b/>
                        <w:sz w:val="16"/>
                      </w:rPr>
                      <w:t>News Media Information 202 / 418-0500</w:t>
                    </w:r>
                  </w:p>
                  <w:p w14:paraId="02C176DB" w14:textId="77777777" w:rsidR="005E0242" w:rsidRDefault="005E0242">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14:paraId="52F954B9" w14:textId="77777777" w:rsidR="005E0242" w:rsidRDefault="005E0242">
                    <w:pPr>
                      <w:jc w:val="right"/>
                      <w:rPr>
                        <w:rFonts w:ascii="Arial" w:hAnsi="Arial"/>
                        <w:b/>
                        <w:sz w:val="16"/>
                      </w:rPr>
                    </w:pPr>
                    <w:r>
                      <w:rPr>
                        <w:rFonts w:ascii="Arial" w:hAnsi="Arial"/>
                        <w:b/>
                        <w:sz w:val="16"/>
                      </w:rPr>
                      <w:t>TTY: 1-888-835-5322</w:t>
                    </w:r>
                  </w:p>
                  <w:p w14:paraId="42341AA5" w14:textId="77777777" w:rsidR="005E0242" w:rsidRDefault="005E0242">
                    <w:pPr>
                      <w:jc w:val="right"/>
                    </w:pPr>
                  </w:p>
                </w:txbxContent>
              </v:textbox>
            </v:shape>
          </w:pict>
        </mc:Fallback>
      </mc:AlternateContent>
    </w:r>
  </w:p>
  <w:p w:rsidR="005E0242" w:rsidRDefault="004E0E91">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5943600" cy="2540"/>
              <wp:effectExtent l="0" t="0" r="0" b="165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D"/>
    <w:rsid w:val="00013BE9"/>
    <w:rsid w:val="00043EDC"/>
    <w:rsid w:val="00071A80"/>
    <w:rsid w:val="000728BB"/>
    <w:rsid w:val="00090EC1"/>
    <w:rsid w:val="000A032A"/>
    <w:rsid w:val="001224E1"/>
    <w:rsid w:val="00132B9B"/>
    <w:rsid w:val="00143EF0"/>
    <w:rsid w:val="00153F8D"/>
    <w:rsid w:val="001923C1"/>
    <w:rsid w:val="001959AC"/>
    <w:rsid w:val="00212869"/>
    <w:rsid w:val="00236134"/>
    <w:rsid w:val="00294DD2"/>
    <w:rsid w:val="002B547A"/>
    <w:rsid w:val="002C42C8"/>
    <w:rsid w:val="002E4680"/>
    <w:rsid w:val="00314569"/>
    <w:rsid w:val="00330631"/>
    <w:rsid w:val="00375472"/>
    <w:rsid w:val="00375522"/>
    <w:rsid w:val="00383E46"/>
    <w:rsid w:val="0039395B"/>
    <w:rsid w:val="00394AE8"/>
    <w:rsid w:val="00405D96"/>
    <w:rsid w:val="00411B6C"/>
    <w:rsid w:val="004407E5"/>
    <w:rsid w:val="00467D05"/>
    <w:rsid w:val="00473BBC"/>
    <w:rsid w:val="00477ADF"/>
    <w:rsid w:val="004823F0"/>
    <w:rsid w:val="004902EC"/>
    <w:rsid w:val="004B783A"/>
    <w:rsid w:val="004D4BA7"/>
    <w:rsid w:val="004E0E91"/>
    <w:rsid w:val="004F0E79"/>
    <w:rsid w:val="005652E8"/>
    <w:rsid w:val="00585E20"/>
    <w:rsid w:val="005E0242"/>
    <w:rsid w:val="00607C83"/>
    <w:rsid w:val="00666C9F"/>
    <w:rsid w:val="0069028D"/>
    <w:rsid w:val="006A021B"/>
    <w:rsid w:val="006B53CE"/>
    <w:rsid w:val="006C12D8"/>
    <w:rsid w:val="006E0DBC"/>
    <w:rsid w:val="00701F9A"/>
    <w:rsid w:val="00724FE7"/>
    <w:rsid w:val="00727706"/>
    <w:rsid w:val="0074049C"/>
    <w:rsid w:val="00757724"/>
    <w:rsid w:val="00793562"/>
    <w:rsid w:val="007D275E"/>
    <w:rsid w:val="007F3E3A"/>
    <w:rsid w:val="0083547F"/>
    <w:rsid w:val="008536ED"/>
    <w:rsid w:val="0089633A"/>
    <w:rsid w:val="008A67AE"/>
    <w:rsid w:val="008C038A"/>
    <w:rsid w:val="008E2AFE"/>
    <w:rsid w:val="008E6A3B"/>
    <w:rsid w:val="008F2CFF"/>
    <w:rsid w:val="00926A1D"/>
    <w:rsid w:val="00965F4A"/>
    <w:rsid w:val="009C0325"/>
    <w:rsid w:val="009D4F1A"/>
    <w:rsid w:val="00A01049"/>
    <w:rsid w:val="00A05BD8"/>
    <w:rsid w:val="00A4279F"/>
    <w:rsid w:val="00A45126"/>
    <w:rsid w:val="00A53588"/>
    <w:rsid w:val="00A604E4"/>
    <w:rsid w:val="00A755E3"/>
    <w:rsid w:val="00AE418A"/>
    <w:rsid w:val="00AF0A81"/>
    <w:rsid w:val="00B318C1"/>
    <w:rsid w:val="00B77E6D"/>
    <w:rsid w:val="00BA2ED0"/>
    <w:rsid w:val="00BB0616"/>
    <w:rsid w:val="00BB1EEA"/>
    <w:rsid w:val="00C25AAE"/>
    <w:rsid w:val="00C317D5"/>
    <w:rsid w:val="00C37BF8"/>
    <w:rsid w:val="00C446FF"/>
    <w:rsid w:val="00C517B7"/>
    <w:rsid w:val="00C9084B"/>
    <w:rsid w:val="00D35E50"/>
    <w:rsid w:val="00D52AC5"/>
    <w:rsid w:val="00D5646E"/>
    <w:rsid w:val="00D571FB"/>
    <w:rsid w:val="00D65847"/>
    <w:rsid w:val="00D66D11"/>
    <w:rsid w:val="00D80E9B"/>
    <w:rsid w:val="00DC28A8"/>
    <w:rsid w:val="00DD7E36"/>
    <w:rsid w:val="00DE6138"/>
    <w:rsid w:val="00DF1E14"/>
    <w:rsid w:val="00E06430"/>
    <w:rsid w:val="00E55EA0"/>
    <w:rsid w:val="00E85885"/>
    <w:rsid w:val="00ED6C6D"/>
    <w:rsid w:val="00EF2EC7"/>
    <w:rsid w:val="00F171EC"/>
    <w:rsid w:val="00F55147"/>
    <w:rsid w:val="00F7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9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Pr>
      <w:sz w:val="22"/>
      <w:lang w:val="en-US" w:eastAsia="en-US" w:bidi="ar-SA"/>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9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Pr>
      <w:sz w:val="22"/>
      <w:lang w:val="en-US" w:eastAsia="en-US" w:bidi="ar-SA"/>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sChild>
    </w:div>
    <w:div w:id="1753621905">
      <w:bodyDiv w:val="1"/>
      <w:marLeft w:val="0"/>
      <w:marRight w:val="0"/>
      <w:marTop w:val="0"/>
      <w:marBottom w:val="0"/>
      <w:divBdr>
        <w:top w:val="none" w:sz="0" w:space="0" w:color="auto"/>
        <w:left w:val="none" w:sz="0" w:space="0" w:color="auto"/>
        <w:bottom w:val="none" w:sz="0" w:space="0" w:color="auto"/>
        <w:right w:val="none" w:sz="0" w:space="0" w:color="auto"/>
      </w:divBdr>
      <w:divsChild>
        <w:div w:id="127867611">
          <w:marLeft w:val="0"/>
          <w:marRight w:val="0"/>
          <w:marTop w:val="0"/>
          <w:marBottom w:val="0"/>
          <w:divBdr>
            <w:top w:val="none" w:sz="0" w:space="0" w:color="auto"/>
            <w:left w:val="none" w:sz="0" w:space="0" w:color="auto"/>
            <w:bottom w:val="none" w:sz="0" w:space="0" w:color="auto"/>
            <w:right w:val="none" w:sz="0" w:space="0" w:color="auto"/>
          </w:divBdr>
        </w:div>
        <w:div w:id="392580826">
          <w:marLeft w:val="0"/>
          <w:marRight w:val="0"/>
          <w:marTop w:val="0"/>
          <w:marBottom w:val="0"/>
          <w:divBdr>
            <w:top w:val="none" w:sz="0" w:space="0" w:color="auto"/>
            <w:left w:val="none" w:sz="0" w:space="0" w:color="auto"/>
            <w:bottom w:val="none" w:sz="0" w:space="0" w:color="auto"/>
            <w:right w:val="none" w:sz="0" w:space="0" w:color="auto"/>
          </w:divBdr>
        </w:div>
        <w:div w:id="601954175">
          <w:marLeft w:val="0"/>
          <w:marRight w:val="0"/>
          <w:marTop w:val="0"/>
          <w:marBottom w:val="0"/>
          <w:divBdr>
            <w:top w:val="none" w:sz="0" w:space="0" w:color="auto"/>
            <w:left w:val="none" w:sz="0" w:space="0" w:color="auto"/>
            <w:bottom w:val="none" w:sz="0" w:space="0" w:color="auto"/>
            <w:right w:val="none" w:sz="0" w:space="0" w:color="auto"/>
          </w:divBdr>
        </w:div>
        <w:div w:id="724913139">
          <w:marLeft w:val="0"/>
          <w:marRight w:val="0"/>
          <w:marTop w:val="0"/>
          <w:marBottom w:val="0"/>
          <w:divBdr>
            <w:top w:val="none" w:sz="0" w:space="0" w:color="auto"/>
            <w:left w:val="none" w:sz="0" w:space="0" w:color="auto"/>
            <w:bottom w:val="none" w:sz="0" w:space="0" w:color="auto"/>
            <w:right w:val="none" w:sz="0" w:space="0" w:color="auto"/>
          </w:divBdr>
        </w:div>
        <w:div w:id="736365833">
          <w:marLeft w:val="0"/>
          <w:marRight w:val="0"/>
          <w:marTop w:val="0"/>
          <w:marBottom w:val="0"/>
          <w:divBdr>
            <w:top w:val="none" w:sz="0" w:space="0" w:color="auto"/>
            <w:left w:val="none" w:sz="0" w:space="0" w:color="auto"/>
            <w:bottom w:val="none" w:sz="0" w:space="0" w:color="auto"/>
            <w:right w:val="none" w:sz="0" w:space="0" w:color="auto"/>
          </w:divBdr>
        </w:div>
        <w:div w:id="1408647583">
          <w:marLeft w:val="0"/>
          <w:marRight w:val="0"/>
          <w:marTop w:val="0"/>
          <w:marBottom w:val="0"/>
          <w:divBdr>
            <w:top w:val="none" w:sz="0" w:space="0" w:color="auto"/>
            <w:left w:val="none" w:sz="0" w:space="0" w:color="auto"/>
            <w:bottom w:val="none" w:sz="0" w:space="0" w:color="auto"/>
            <w:right w:val="none" w:sz="0" w:space="0" w:color="auto"/>
          </w:divBdr>
        </w:div>
        <w:div w:id="1663964903">
          <w:marLeft w:val="0"/>
          <w:marRight w:val="0"/>
          <w:marTop w:val="0"/>
          <w:marBottom w:val="0"/>
          <w:divBdr>
            <w:top w:val="none" w:sz="0" w:space="0" w:color="auto"/>
            <w:left w:val="none" w:sz="0" w:space="0" w:color="auto"/>
            <w:bottom w:val="none" w:sz="0" w:space="0" w:color="auto"/>
            <w:right w:val="none" w:sz="0" w:space="0" w:color="auto"/>
          </w:divBdr>
        </w:div>
        <w:div w:id="181170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990</Words>
  <Characters>5706</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6726</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2014-10-23T20:29:00Z</cp:lastPrinted>
  <dcterms:created xsi:type="dcterms:W3CDTF">2014-11-06T19:15:00Z</dcterms:created>
  <dcterms:modified xsi:type="dcterms:W3CDTF">2014-11-06T19:15:00Z</dcterms:modified>
  <cp:category> </cp:category>
  <cp:contentStatus> </cp:contentStatus>
</cp:coreProperties>
</file>