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59" w:rsidRDefault="00322659">
      <w:pPr>
        <w:tabs>
          <w:tab w:val="center" w:pos="4680"/>
        </w:tabs>
        <w:suppressAutoHyphens/>
        <w:spacing w:line="240" w:lineRule="atLeast"/>
        <w:jc w:val="center"/>
        <w:outlineLvl w:val="0"/>
        <w:rPr>
          <w:b/>
        </w:rPr>
      </w:pPr>
      <w:bookmarkStart w:id="0" w:name="_GoBack"/>
      <w:bookmarkEnd w:id="0"/>
      <w:r>
        <w:rPr>
          <w:b/>
        </w:rPr>
        <w:t>Before the</w:t>
      </w:r>
    </w:p>
    <w:p w:rsidR="00322659" w:rsidRDefault="00322659">
      <w:pPr>
        <w:tabs>
          <w:tab w:val="center" w:pos="4680"/>
        </w:tabs>
        <w:suppressAutoHyphens/>
        <w:spacing w:line="240" w:lineRule="atLeast"/>
        <w:jc w:val="both"/>
        <w:outlineLvl w:val="0"/>
        <w:rPr>
          <w:b/>
        </w:rPr>
      </w:pPr>
      <w:r>
        <w:rPr>
          <w:b/>
        </w:rPr>
        <w:tab/>
        <w:t>Federal Communications Commission</w:t>
      </w:r>
    </w:p>
    <w:p w:rsidR="00322659" w:rsidRDefault="00322659">
      <w:pPr>
        <w:tabs>
          <w:tab w:val="center" w:pos="4680"/>
        </w:tabs>
        <w:suppressAutoHyphens/>
        <w:spacing w:line="240" w:lineRule="atLeast"/>
        <w:jc w:val="both"/>
        <w:outlineLvl w:val="0"/>
        <w:rPr>
          <w:b/>
        </w:rPr>
      </w:pPr>
      <w:r>
        <w:rPr>
          <w:b/>
        </w:rPr>
        <w:tab/>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322659" w:rsidRDefault="00322659">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788"/>
        <w:gridCol w:w="270"/>
        <w:gridCol w:w="4374"/>
      </w:tblGrid>
      <w:tr w:rsidR="00322659">
        <w:trPr>
          <w:trHeight w:val="1566"/>
        </w:trPr>
        <w:tc>
          <w:tcPr>
            <w:tcW w:w="4788" w:type="dxa"/>
          </w:tcPr>
          <w:p w:rsidR="00322659" w:rsidRDefault="00322659">
            <w:r>
              <w:rPr>
                <w:spacing w:val="-2"/>
              </w:rPr>
              <w:t>In the Matter of</w:t>
            </w:r>
            <w:r>
              <w:t xml:space="preserve"> </w:t>
            </w:r>
          </w:p>
          <w:p w:rsidR="00322659" w:rsidRDefault="00322659"/>
          <w:p w:rsidR="00937D49" w:rsidRDefault="00780DD6" w:rsidP="00937D49">
            <w:pPr>
              <w:rPr>
                <w:spacing w:val="-2"/>
              </w:rPr>
            </w:pPr>
            <w:r>
              <w:t xml:space="preserve">Skybeam Acquisition Corporation </w:t>
            </w:r>
          </w:p>
          <w:p w:rsidR="00937D49" w:rsidRDefault="00937D49" w:rsidP="00937D49">
            <w:pPr>
              <w:rPr>
                <w:spacing w:val="-2"/>
              </w:rPr>
            </w:pPr>
          </w:p>
          <w:p w:rsidR="00937D49" w:rsidRDefault="00780DD6" w:rsidP="00937D49">
            <w:pPr>
              <w:rPr>
                <w:spacing w:val="-2"/>
              </w:rPr>
            </w:pPr>
            <w:r>
              <w:rPr>
                <w:spacing w:val="-2"/>
              </w:rPr>
              <w:t>Englewood, Colorado</w:t>
            </w:r>
            <w:r w:rsidRPr="00E34AAE">
              <w:rPr>
                <w:spacing w:val="-2"/>
              </w:rPr>
              <w:t xml:space="preserve"> </w:t>
            </w:r>
          </w:p>
          <w:p w:rsidR="00322659" w:rsidRDefault="00322659">
            <w:pPr>
              <w:rPr>
                <w:lang w:val="es-ES"/>
              </w:rPr>
            </w:pPr>
          </w:p>
          <w:p w:rsidR="00322659" w:rsidRDefault="00322659">
            <w:pPr>
              <w:rPr>
                <w:spacing w:val="-2"/>
                <w:lang w:val="es-ES"/>
              </w:rPr>
            </w:pPr>
          </w:p>
        </w:tc>
        <w:tc>
          <w:tcPr>
            <w:tcW w:w="270" w:type="dxa"/>
          </w:tcPr>
          <w:p w:rsidR="00322659" w:rsidRDefault="00322659">
            <w:pPr>
              <w:tabs>
                <w:tab w:val="center" w:pos="4680"/>
              </w:tabs>
              <w:suppressAutoHyphens/>
              <w:spacing w:line="240" w:lineRule="atLeast"/>
              <w:jc w:val="both"/>
              <w:outlineLvl w:val="0"/>
            </w:pPr>
            <w:r>
              <w:t>)</w:t>
            </w:r>
          </w:p>
          <w:p w:rsidR="00322659" w:rsidRDefault="00322659">
            <w:pPr>
              <w:tabs>
                <w:tab w:val="center" w:pos="4680"/>
              </w:tabs>
              <w:suppressAutoHyphens/>
              <w:spacing w:line="240" w:lineRule="atLeast"/>
              <w:jc w:val="both"/>
              <w:outlineLvl w:val="0"/>
            </w:pPr>
            <w:r>
              <w:t>)</w:t>
            </w:r>
          </w:p>
          <w:p w:rsidR="00322659" w:rsidRDefault="00322659">
            <w:pPr>
              <w:tabs>
                <w:tab w:val="center" w:pos="4680"/>
              </w:tabs>
              <w:suppressAutoHyphens/>
              <w:spacing w:line="240" w:lineRule="atLeast"/>
              <w:jc w:val="both"/>
              <w:outlineLvl w:val="0"/>
            </w:pPr>
            <w:r>
              <w:t>)</w:t>
            </w:r>
          </w:p>
          <w:p w:rsidR="00322659" w:rsidRDefault="00322659">
            <w:pPr>
              <w:tabs>
                <w:tab w:val="center" w:pos="4680"/>
              </w:tabs>
              <w:suppressAutoHyphens/>
              <w:spacing w:line="240" w:lineRule="atLeast"/>
              <w:jc w:val="both"/>
              <w:outlineLvl w:val="0"/>
            </w:pPr>
            <w:r>
              <w:t>)</w:t>
            </w:r>
          </w:p>
          <w:p w:rsidR="00322659" w:rsidRDefault="00322659">
            <w:pPr>
              <w:tabs>
                <w:tab w:val="center" w:pos="4680"/>
              </w:tabs>
              <w:suppressAutoHyphens/>
              <w:spacing w:line="240" w:lineRule="atLeast"/>
              <w:jc w:val="both"/>
              <w:outlineLvl w:val="0"/>
            </w:pPr>
            <w:r>
              <w:t>)</w:t>
            </w:r>
          </w:p>
          <w:p w:rsidR="00322659" w:rsidRDefault="00322659">
            <w:pPr>
              <w:tabs>
                <w:tab w:val="center" w:pos="4680"/>
              </w:tabs>
              <w:suppressAutoHyphens/>
              <w:spacing w:line="240" w:lineRule="atLeast"/>
              <w:jc w:val="both"/>
              <w:outlineLvl w:val="0"/>
            </w:pPr>
            <w:r>
              <w:t>)</w:t>
            </w:r>
          </w:p>
          <w:p w:rsidR="00322659" w:rsidRDefault="00322659">
            <w:pPr>
              <w:tabs>
                <w:tab w:val="center" w:pos="4680"/>
              </w:tabs>
              <w:suppressAutoHyphens/>
              <w:spacing w:line="240" w:lineRule="atLeast"/>
              <w:jc w:val="both"/>
              <w:outlineLvl w:val="0"/>
            </w:pPr>
          </w:p>
        </w:tc>
        <w:tc>
          <w:tcPr>
            <w:tcW w:w="4374" w:type="dxa"/>
          </w:tcPr>
          <w:p w:rsidR="00322659" w:rsidRDefault="00322659"/>
          <w:p w:rsidR="00937D49" w:rsidRDefault="00937D49" w:rsidP="00937D49">
            <w:pPr>
              <w:tabs>
                <w:tab w:val="left" w:pos="723"/>
              </w:tabs>
            </w:pPr>
            <w:r>
              <w:t xml:space="preserve">             </w:t>
            </w:r>
          </w:p>
          <w:p w:rsidR="00322659" w:rsidRDefault="00937D49" w:rsidP="00937D49">
            <w:pPr>
              <w:tabs>
                <w:tab w:val="left" w:pos="723"/>
              </w:tabs>
            </w:pPr>
            <w:r>
              <w:t xml:space="preserve">             File No:  </w:t>
            </w:r>
            <w:r w:rsidR="00780DD6">
              <w:rPr>
                <w:spacing w:val="-2"/>
              </w:rPr>
              <w:t>EB-FIELDWR-12-00002769</w:t>
            </w:r>
          </w:p>
          <w:p w:rsidR="00322659" w:rsidRDefault="00937D49">
            <w:r>
              <w:t xml:space="preserve">             NAL/Acct. No.:  </w:t>
            </w:r>
            <w:r w:rsidR="00780DD6">
              <w:rPr>
                <w:spacing w:val="-2"/>
              </w:rPr>
              <w:t>201232800009</w:t>
            </w:r>
          </w:p>
          <w:p w:rsidR="00322659" w:rsidRDefault="00937D49">
            <w:r>
              <w:t xml:space="preserve">             FRN: </w:t>
            </w:r>
            <w:r w:rsidR="00780DD6">
              <w:t xml:space="preserve"> </w:t>
            </w:r>
            <w:r w:rsidR="00780DD6">
              <w:rPr>
                <w:spacing w:val="-2"/>
              </w:rPr>
              <w:t>0021775820</w:t>
            </w:r>
          </w:p>
          <w:p w:rsidR="00322659" w:rsidRDefault="00322659">
            <w:pPr>
              <w:tabs>
                <w:tab w:val="center" w:pos="4680"/>
              </w:tabs>
              <w:suppressAutoHyphens/>
              <w:spacing w:line="240" w:lineRule="atLeast"/>
              <w:outlineLvl w:val="0"/>
              <w:rPr>
                <w:spacing w:val="-2"/>
              </w:rPr>
            </w:pPr>
          </w:p>
        </w:tc>
      </w:tr>
    </w:tbl>
    <w:p w:rsidR="00322659" w:rsidRDefault="00322659"/>
    <w:p w:rsidR="00322659" w:rsidRDefault="00322659">
      <w:pPr>
        <w:pStyle w:val="Heading2"/>
        <w:rPr>
          <w:sz w:val="22"/>
          <w:szCs w:val="22"/>
        </w:rPr>
      </w:pPr>
      <w:r>
        <w:rPr>
          <w:sz w:val="22"/>
          <w:szCs w:val="22"/>
        </w:rPr>
        <w:t>FORFEITURE ORDER</w:t>
      </w:r>
    </w:p>
    <w:p w:rsidR="00322659" w:rsidRDefault="00322659">
      <w:pPr>
        <w:tabs>
          <w:tab w:val="left" w:pos="0"/>
        </w:tabs>
        <w:suppressAutoHyphens/>
        <w:spacing w:line="240" w:lineRule="atLeast"/>
        <w:jc w:val="both"/>
      </w:pPr>
    </w:p>
    <w:p w:rsidR="00322659" w:rsidRDefault="00322659">
      <w:pPr>
        <w:tabs>
          <w:tab w:val="left" w:pos="0"/>
          <w:tab w:val="left" w:pos="720"/>
          <w:tab w:val="left" w:pos="5760"/>
        </w:tabs>
        <w:suppressAutoHyphens/>
        <w:spacing w:line="240" w:lineRule="atLeast"/>
      </w:pPr>
      <w:r>
        <w:rPr>
          <w:b/>
        </w:rPr>
        <w:t xml:space="preserve">Adopted:  </w:t>
      </w:r>
      <w:r w:rsidR="00E974C5">
        <w:rPr>
          <w:b/>
        </w:rPr>
        <w:t>February 7, 2014</w:t>
      </w:r>
      <w:r>
        <w:rPr>
          <w:b/>
        </w:rPr>
        <w:tab/>
      </w:r>
      <w:r>
        <w:rPr>
          <w:b/>
        </w:rPr>
        <w:tab/>
        <w:t xml:space="preserve">Released: </w:t>
      </w:r>
      <w:r w:rsidR="00E974C5">
        <w:rPr>
          <w:b/>
        </w:rPr>
        <w:t xml:space="preserve"> February 7, 2014</w:t>
      </w:r>
    </w:p>
    <w:p w:rsidR="00322659" w:rsidRDefault="00322659">
      <w:pPr>
        <w:tabs>
          <w:tab w:val="left" w:pos="0"/>
          <w:tab w:val="left" w:pos="720"/>
          <w:tab w:val="left" w:pos="5760"/>
        </w:tabs>
        <w:suppressAutoHyphens/>
        <w:spacing w:line="240" w:lineRule="atLeast"/>
        <w:jc w:val="both"/>
      </w:pPr>
    </w:p>
    <w:p w:rsidR="00322659" w:rsidRDefault="00322659">
      <w:pPr>
        <w:tabs>
          <w:tab w:val="left" w:pos="0"/>
          <w:tab w:val="left" w:pos="720"/>
          <w:tab w:val="left" w:pos="5760"/>
        </w:tabs>
        <w:suppressAutoHyphens/>
        <w:spacing w:line="240" w:lineRule="atLeast"/>
        <w:jc w:val="both"/>
      </w:pPr>
      <w:r>
        <w:t xml:space="preserve">By the </w:t>
      </w:r>
      <w:r w:rsidR="00780DD6">
        <w:t>Regional Director, Western Region</w:t>
      </w:r>
      <w:r>
        <w:t>, Enforcement Bureau:</w:t>
      </w:r>
    </w:p>
    <w:p w:rsidR="00322659" w:rsidRDefault="00322659">
      <w:pPr>
        <w:tabs>
          <w:tab w:val="left" w:pos="0"/>
        </w:tabs>
        <w:suppressAutoHyphens/>
        <w:spacing w:line="240" w:lineRule="atLeast"/>
      </w:pPr>
    </w:p>
    <w:p w:rsidR="00322659" w:rsidRDefault="00322659">
      <w:pPr>
        <w:tabs>
          <w:tab w:val="center" w:pos="720"/>
        </w:tabs>
        <w:suppressAutoHyphens/>
        <w:spacing w:line="240" w:lineRule="atLeast"/>
      </w:pPr>
      <w:r>
        <w:rPr>
          <w:b/>
        </w:rPr>
        <w:t xml:space="preserve">I. </w:t>
      </w:r>
      <w:r>
        <w:t xml:space="preserve"> </w:t>
      </w:r>
      <w:r>
        <w:tab/>
        <w:t xml:space="preserve">         </w:t>
      </w:r>
      <w:r>
        <w:rPr>
          <w:b/>
        </w:rPr>
        <w:t>INTRODUCTION</w:t>
      </w:r>
    </w:p>
    <w:p w:rsidR="00322659" w:rsidRDefault="00322659">
      <w:pPr>
        <w:tabs>
          <w:tab w:val="left" w:pos="0"/>
        </w:tabs>
        <w:suppressAutoHyphens/>
        <w:spacing w:line="240" w:lineRule="atLeast"/>
      </w:pPr>
    </w:p>
    <w:p w:rsidR="0065485B" w:rsidRPr="0065485B" w:rsidRDefault="0065485B" w:rsidP="0065485B">
      <w:pPr>
        <w:widowControl w:val="0"/>
        <w:numPr>
          <w:ilvl w:val="0"/>
          <w:numId w:val="1"/>
        </w:numPr>
        <w:tabs>
          <w:tab w:val="clear" w:pos="1080"/>
          <w:tab w:val="left" w:pos="0"/>
          <w:tab w:val="num" w:pos="1440"/>
        </w:tabs>
        <w:suppressAutoHyphens/>
        <w:autoSpaceDE w:val="0"/>
        <w:autoSpaceDN w:val="0"/>
        <w:adjustRightInd w:val="0"/>
        <w:spacing w:line="240" w:lineRule="atLeast"/>
        <w:rPr>
          <w:spacing w:val="-2"/>
        </w:rPr>
      </w:pPr>
      <w:r>
        <w:t xml:space="preserve">   </w:t>
      </w:r>
      <w:r w:rsidR="00322659">
        <w:t xml:space="preserve">In this </w:t>
      </w:r>
      <w:r w:rsidR="00322659" w:rsidRPr="00780DD6">
        <w:rPr>
          <w:spacing w:val="-2"/>
        </w:rPr>
        <w:t>Forfeiture</w:t>
      </w:r>
      <w:r w:rsidR="00322659">
        <w:t xml:space="preserve"> Order (Order), we issue a monetary forfeiture in the amount of twe</w:t>
      </w:r>
      <w:r w:rsidR="00780DD6">
        <w:t xml:space="preserve">lve </w:t>
      </w:r>
      <w:r w:rsidR="00322659">
        <w:t>thousand dollars ($</w:t>
      </w:r>
      <w:r w:rsidR="00780DD6">
        <w:t>12</w:t>
      </w:r>
      <w:r w:rsidR="00322659">
        <w:t xml:space="preserve">,000) to </w:t>
      </w:r>
      <w:r w:rsidR="00780DD6" w:rsidRPr="00780DD6">
        <w:rPr>
          <w:color w:val="000000"/>
          <w:spacing w:val="-2"/>
        </w:rPr>
        <w:t xml:space="preserve">Skybeam Acquisition Corporation (Skybeam), </w:t>
      </w:r>
      <w:r w:rsidR="00780DD6" w:rsidRPr="00780DD6">
        <w:rPr>
          <w:color w:val="000000"/>
        </w:rPr>
        <w:t>operator of an Unlicensed National Information Infrastructure (U-NII) transmission system in Parker, Colorado, for willful and repeated violation of Sections 301 and 302(b) of the Communications Act of 1934, as amended, (Act)</w:t>
      </w:r>
      <w:r w:rsidR="00780DD6" w:rsidRPr="00780DD6">
        <w:rPr>
          <w:color w:val="000000"/>
          <w:vertAlign w:val="superscript"/>
        </w:rPr>
        <w:footnoteReference w:id="1"/>
      </w:r>
      <w:r w:rsidR="00780DD6" w:rsidRPr="00780DD6">
        <w:rPr>
          <w:color w:val="000000"/>
        </w:rPr>
        <w:t xml:space="preserve"> and Sections 15.1(b) and 15.1(c) of the Commission’s rules (Rules).</w:t>
      </w:r>
      <w:r w:rsidR="00780DD6" w:rsidRPr="00780DD6">
        <w:rPr>
          <w:color w:val="000000"/>
          <w:vertAlign w:val="superscript"/>
        </w:rPr>
        <w:footnoteReference w:id="2"/>
      </w:r>
      <w:r w:rsidR="00780DD6" w:rsidRPr="00780DD6">
        <w:rPr>
          <w:color w:val="000000"/>
        </w:rPr>
        <w:t xml:space="preserve">  </w:t>
      </w:r>
      <w:r w:rsidR="00780DD6">
        <w:t>The violations involved Skybeam’s operation of an intentional radiator not in accordance with Part 15 of the Rules</w:t>
      </w:r>
      <w:r w:rsidR="00780DD6">
        <w:rPr>
          <w:rStyle w:val="FootnoteReference"/>
        </w:rPr>
        <w:footnoteReference w:id="3"/>
      </w:r>
      <w:r w:rsidR="00780DD6">
        <w:t xml:space="preserve"> and the device’s Equipment Authorization.</w:t>
      </w:r>
      <w:r w:rsidR="00780DD6">
        <w:rPr>
          <w:rStyle w:val="FootnoteReference"/>
        </w:rPr>
        <w:footnoteReference w:id="4"/>
      </w:r>
    </w:p>
    <w:p w:rsidR="0065485B" w:rsidRDefault="0065485B" w:rsidP="0065485B">
      <w:pPr>
        <w:widowControl w:val="0"/>
        <w:tabs>
          <w:tab w:val="left" w:pos="0"/>
        </w:tabs>
        <w:suppressAutoHyphens/>
        <w:autoSpaceDE w:val="0"/>
        <w:autoSpaceDN w:val="0"/>
        <w:adjustRightInd w:val="0"/>
        <w:spacing w:line="240" w:lineRule="atLeast"/>
        <w:ind w:left="720"/>
      </w:pPr>
    </w:p>
    <w:p w:rsidR="0065485B" w:rsidRPr="0065485B" w:rsidRDefault="0065485B" w:rsidP="0065485B">
      <w:pPr>
        <w:pStyle w:val="ParaNum"/>
        <w:numPr>
          <w:ilvl w:val="0"/>
          <w:numId w:val="0"/>
        </w:numPr>
        <w:rPr>
          <w:b/>
        </w:rPr>
      </w:pPr>
      <w:r>
        <w:rPr>
          <w:b/>
        </w:rPr>
        <w:t xml:space="preserve">II.  </w:t>
      </w:r>
      <w:r>
        <w:rPr>
          <w:b/>
        </w:rPr>
        <w:tab/>
        <w:t>BACKGROUND</w:t>
      </w:r>
    </w:p>
    <w:p w:rsidR="00EF6A34" w:rsidRDefault="00764554" w:rsidP="00507B65">
      <w:pPr>
        <w:widowControl w:val="0"/>
        <w:numPr>
          <w:ilvl w:val="0"/>
          <w:numId w:val="1"/>
        </w:numPr>
        <w:tabs>
          <w:tab w:val="clear" w:pos="1080"/>
          <w:tab w:val="left" w:pos="0"/>
          <w:tab w:val="num" w:pos="1440"/>
        </w:tabs>
        <w:suppressAutoHyphens/>
        <w:autoSpaceDE w:val="0"/>
        <w:autoSpaceDN w:val="0"/>
        <w:adjustRightInd w:val="0"/>
        <w:spacing w:line="240" w:lineRule="atLeast"/>
        <w:rPr>
          <w:spacing w:val="-2"/>
        </w:rPr>
      </w:pPr>
      <w:r w:rsidRPr="0065485B">
        <w:rPr>
          <w:spacing w:val="-2"/>
        </w:rPr>
        <w:t xml:space="preserve">As discussed in detail in the </w:t>
      </w:r>
      <w:r w:rsidR="00EF6A34" w:rsidRPr="0065485B">
        <w:rPr>
          <w:spacing w:val="-2"/>
        </w:rPr>
        <w:t>Notice of Apparent Liability for Forfeiture and Order</w:t>
      </w:r>
      <w:r w:rsidR="00EF6A34" w:rsidRPr="0065485B">
        <w:rPr>
          <w:i/>
          <w:spacing w:val="-2"/>
        </w:rPr>
        <w:t xml:space="preserve"> </w:t>
      </w:r>
      <w:r w:rsidRPr="0065485B">
        <w:rPr>
          <w:spacing w:val="-2"/>
        </w:rPr>
        <w:t>in this case,</w:t>
      </w:r>
      <w:r>
        <w:rPr>
          <w:rStyle w:val="FootnoteReference"/>
          <w:spacing w:val="-2"/>
        </w:rPr>
        <w:footnoteReference w:id="5"/>
      </w:r>
      <w:r w:rsidRPr="0065485B">
        <w:rPr>
          <w:spacing w:val="-2"/>
        </w:rPr>
        <w:t xml:space="preserve"> on </w:t>
      </w:r>
      <w:r w:rsidR="008A5003" w:rsidRPr="0065485B">
        <w:rPr>
          <w:spacing w:val="-2"/>
        </w:rPr>
        <w:t>September 29</w:t>
      </w:r>
      <w:r w:rsidR="003B7337" w:rsidRPr="0065485B">
        <w:rPr>
          <w:spacing w:val="-2"/>
        </w:rPr>
        <w:t>, 2011</w:t>
      </w:r>
      <w:r w:rsidR="00911446" w:rsidRPr="0065485B">
        <w:rPr>
          <w:spacing w:val="-2"/>
        </w:rPr>
        <w:t>,</w:t>
      </w:r>
      <w:r w:rsidRPr="0065485B">
        <w:rPr>
          <w:spacing w:val="-2"/>
        </w:rPr>
        <w:t xml:space="preserve"> while searching for the source of interference to the Federal Aviation Administration’s (FAA) </w:t>
      </w:r>
      <w:r>
        <w:t xml:space="preserve">Terminal Doppler Weather Radar (TDWR) serving the </w:t>
      </w:r>
      <w:r w:rsidR="003B7337">
        <w:t>Denver</w:t>
      </w:r>
      <w:r>
        <w:t xml:space="preserve"> International </w:t>
      </w:r>
      <w:r w:rsidR="00867D11">
        <w:t>A</w:t>
      </w:r>
      <w:r>
        <w:t xml:space="preserve">irport, </w:t>
      </w:r>
      <w:r w:rsidR="003B7337">
        <w:t>ag</w:t>
      </w:r>
      <w:r w:rsidRPr="0065485B">
        <w:rPr>
          <w:spacing w:val="-2"/>
        </w:rPr>
        <w:t xml:space="preserve">ents </w:t>
      </w:r>
      <w:r w:rsidR="00EF6A34">
        <w:rPr>
          <w:spacing w:val="-2"/>
        </w:rPr>
        <w:t xml:space="preserve">from </w:t>
      </w:r>
      <w:r w:rsidR="00EF6A34" w:rsidRPr="0065485B">
        <w:rPr>
          <w:spacing w:val="-2"/>
        </w:rPr>
        <w:t xml:space="preserve">Enforcement Bureau’s Denver Office (Denver Office) </w:t>
      </w:r>
      <w:r w:rsidRPr="0065485B">
        <w:rPr>
          <w:spacing w:val="-2"/>
        </w:rPr>
        <w:t>used direction-finding techniques to determine that radio emissions on frequency 56</w:t>
      </w:r>
      <w:r w:rsidR="003B7337" w:rsidRPr="0065485B">
        <w:rPr>
          <w:spacing w:val="-2"/>
        </w:rPr>
        <w:t>1</w:t>
      </w:r>
      <w:r w:rsidRPr="0065485B">
        <w:rPr>
          <w:spacing w:val="-2"/>
        </w:rPr>
        <w:t xml:space="preserve">0 MHz </w:t>
      </w:r>
      <w:r w:rsidR="00911446" w:rsidRPr="0065485B">
        <w:rPr>
          <w:spacing w:val="-2"/>
        </w:rPr>
        <w:t>were em</w:t>
      </w:r>
      <w:r w:rsidR="00507B65">
        <w:rPr>
          <w:spacing w:val="-2"/>
        </w:rPr>
        <w:t>anat</w:t>
      </w:r>
      <w:r w:rsidR="00911446" w:rsidRPr="0065485B">
        <w:rPr>
          <w:spacing w:val="-2"/>
        </w:rPr>
        <w:t>i</w:t>
      </w:r>
      <w:r w:rsidR="00507B65">
        <w:rPr>
          <w:spacing w:val="-2"/>
        </w:rPr>
        <w:t>n</w:t>
      </w:r>
      <w:r w:rsidR="00911446" w:rsidRPr="0065485B">
        <w:rPr>
          <w:spacing w:val="-2"/>
        </w:rPr>
        <w:t xml:space="preserve">g from the Hilltop Tower communications site in Parker, Colorado.  </w:t>
      </w:r>
    </w:p>
    <w:p w:rsidR="00EF6A34" w:rsidRDefault="00EF6A34" w:rsidP="00E974C5">
      <w:pPr>
        <w:widowControl w:val="0"/>
        <w:tabs>
          <w:tab w:val="left" w:pos="0"/>
        </w:tabs>
        <w:suppressAutoHyphens/>
        <w:autoSpaceDE w:val="0"/>
        <w:autoSpaceDN w:val="0"/>
        <w:adjustRightInd w:val="0"/>
        <w:spacing w:line="240" w:lineRule="atLeast"/>
        <w:rPr>
          <w:spacing w:val="-2"/>
        </w:rPr>
      </w:pPr>
    </w:p>
    <w:p w:rsidR="00EF6A34" w:rsidRPr="00E974C5" w:rsidRDefault="00911446" w:rsidP="00507B65">
      <w:pPr>
        <w:widowControl w:val="0"/>
        <w:numPr>
          <w:ilvl w:val="0"/>
          <w:numId w:val="1"/>
        </w:numPr>
        <w:tabs>
          <w:tab w:val="clear" w:pos="1080"/>
          <w:tab w:val="left" w:pos="0"/>
          <w:tab w:val="num" w:pos="1440"/>
        </w:tabs>
        <w:suppressAutoHyphens/>
        <w:autoSpaceDE w:val="0"/>
        <w:autoSpaceDN w:val="0"/>
        <w:adjustRightInd w:val="0"/>
        <w:spacing w:line="240" w:lineRule="atLeast"/>
        <w:rPr>
          <w:spacing w:val="-2"/>
        </w:rPr>
      </w:pPr>
      <w:r w:rsidRPr="0065485B">
        <w:rPr>
          <w:spacing w:val="-2"/>
        </w:rPr>
        <w:t xml:space="preserve">On September 30, 2011, the </w:t>
      </w:r>
      <w:r w:rsidR="00507B65">
        <w:rPr>
          <w:spacing w:val="-2"/>
        </w:rPr>
        <w:t>a</w:t>
      </w:r>
      <w:r w:rsidRPr="0065485B">
        <w:rPr>
          <w:spacing w:val="-2"/>
        </w:rPr>
        <w:t>g</w:t>
      </w:r>
      <w:r w:rsidR="00507B65">
        <w:rPr>
          <w:spacing w:val="-2"/>
        </w:rPr>
        <w:t>e</w:t>
      </w:r>
      <w:r w:rsidRPr="0065485B">
        <w:rPr>
          <w:spacing w:val="-2"/>
        </w:rPr>
        <w:t>nts used those same techniques</w:t>
      </w:r>
      <w:r w:rsidR="00507B65">
        <w:rPr>
          <w:spacing w:val="-2"/>
        </w:rPr>
        <w:t xml:space="preserve"> </w:t>
      </w:r>
      <w:r w:rsidRPr="0065485B">
        <w:rPr>
          <w:spacing w:val="-2"/>
        </w:rPr>
        <w:t xml:space="preserve">in combination with an on/off test to confirm that </w:t>
      </w:r>
      <w:r w:rsidR="00372012">
        <w:rPr>
          <w:spacing w:val="-2"/>
        </w:rPr>
        <w:t>t</w:t>
      </w:r>
      <w:r w:rsidRPr="0065485B">
        <w:rPr>
          <w:spacing w:val="-2"/>
        </w:rPr>
        <w:t>he interference was emanating from the U-NII transmission system operated by Skybeam</w:t>
      </w:r>
      <w:r w:rsidR="0065485B">
        <w:rPr>
          <w:spacing w:val="-2"/>
        </w:rPr>
        <w:t xml:space="preserve"> and</w:t>
      </w:r>
      <w:r w:rsidRPr="0065485B">
        <w:rPr>
          <w:spacing w:val="-2"/>
        </w:rPr>
        <w:t xml:space="preserve"> determined that Skybeam</w:t>
      </w:r>
      <w:r w:rsidR="00EF6A34">
        <w:rPr>
          <w:spacing w:val="-2"/>
        </w:rPr>
        <w:t>’s</w:t>
      </w:r>
      <w:r w:rsidRPr="0065485B">
        <w:rPr>
          <w:spacing w:val="-2"/>
        </w:rPr>
        <w:t xml:space="preserve"> U-NII system </w:t>
      </w:r>
      <w:r w:rsidRPr="0065485B">
        <w:rPr>
          <w:color w:val="000000"/>
        </w:rPr>
        <w:t>utilized a transceiver module</w:t>
      </w:r>
      <w:r w:rsidR="00EF6A34">
        <w:rPr>
          <w:color w:val="000000"/>
        </w:rPr>
        <w:t xml:space="preserve"> (a Motorola </w:t>
      </w:r>
      <w:r w:rsidRPr="0065485B">
        <w:rPr>
          <w:color w:val="000000"/>
        </w:rPr>
        <w:t>Canopy 5700BH20</w:t>
      </w:r>
      <w:r w:rsidR="00EF6A34">
        <w:rPr>
          <w:color w:val="000000"/>
        </w:rPr>
        <w:t>)</w:t>
      </w:r>
      <w:r w:rsidRPr="0065485B">
        <w:rPr>
          <w:color w:val="000000"/>
        </w:rPr>
        <w:t>, which is an intentional radiator.</w:t>
      </w:r>
      <w:r w:rsidRPr="00911446">
        <w:rPr>
          <w:color w:val="000000"/>
          <w:vertAlign w:val="superscript"/>
        </w:rPr>
        <w:footnoteReference w:id="6"/>
      </w:r>
      <w:r w:rsidRPr="0065485B">
        <w:rPr>
          <w:color w:val="000000"/>
        </w:rPr>
        <w:t xml:space="preserve">  The FCC Equipment Authorization for the Motorola </w:t>
      </w:r>
      <w:r w:rsidRPr="0065485B">
        <w:rPr>
          <w:color w:val="000000"/>
        </w:rPr>
        <w:lastRenderedPageBreak/>
        <w:t>Canopy 5700BH20 transceiver limits the device to operations within a frequency range of 5735 MHz to 5840 MHz.</w:t>
      </w:r>
      <w:r w:rsidRPr="00911446">
        <w:rPr>
          <w:color w:val="000000"/>
          <w:vertAlign w:val="superscript"/>
        </w:rPr>
        <w:footnoteReference w:id="7"/>
      </w:r>
      <w:r w:rsidRPr="0065485B">
        <w:rPr>
          <w:color w:val="000000"/>
        </w:rPr>
        <w:t xml:space="preserve"> </w:t>
      </w:r>
      <w:r w:rsidR="0065485B">
        <w:rPr>
          <w:color w:val="000000"/>
        </w:rPr>
        <w:t xml:space="preserve"> T</w:t>
      </w:r>
      <w:r w:rsidRPr="0065485B">
        <w:rPr>
          <w:color w:val="000000"/>
        </w:rPr>
        <w:t>he agents determined that the transceiver had been operating on 5610 MHz</w:t>
      </w:r>
      <w:r w:rsidR="0065485B">
        <w:rPr>
          <w:color w:val="000000"/>
        </w:rPr>
        <w:t xml:space="preserve"> and that t</w:t>
      </w:r>
      <w:r>
        <w:t>he device also was not operating with Dynamic Frequency Selection (DFS), a functionality which allows U-NII transmitters operating in the 5.25-5.35 GHz and 5.47-5.725 GHz bands to detect the presence of FAA radar systems and avoid co-channel operations with radar systems</w:t>
      </w:r>
      <w:r w:rsidR="00925967">
        <w:t>.  In addition, th</w:t>
      </w:r>
      <w:r w:rsidRPr="0065485B">
        <w:rPr>
          <w:color w:val="000000"/>
        </w:rPr>
        <w:t>e agents determined that Skybeam had adjusted the transceiver’s operating frequency to the frequency 5875 MHz – a frequency also outside the transceiver’s authorized frequency range - in an effort to cease any interference with the Denver TDWR installation.</w:t>
      </w:r>
      <w:r w:rsidR="00925967">
        <w:rPr>
          <w:rStyle w:val="FootnoteReference"/>
          <w:color w:val="000000"/>
        </w:rPr>
        <w:footnoteReference w:id="8"/>
      </w:r>
      <w:r w:rsidRPr="0065485B">
        <w:rPr>
          <w:color w:val="000000"/>
        </w:rPr>
        <w:t xml:space="preserve">  </w:t>
      </w:r>
    </w:p>
    <w:p w:rsidR="00EF6A34" w:rsidRPr="00E974C5" w:rsidRDefault="00EF6A34" w:rsidP="00E974C5">
      <w:pPr>
        <w:widowControl w:val="0"/>
        <w:tabs>
          <w:tab w:val="left" w:pos="0"/>
        </w:tabs>
        <w:suppressAutoHyphens/>
        <w:autoSpaceDE w:val="0"/>
        <w:autoSpaceDN w:val="0"/>
        <w:adjustRightInd w:val="0"/>
        <w:spacing w:line="240" w:lineRule="atLeast"/>
        <w:rPr>
          <w:spacing w:val="-2"/>
        </w:rPr>
      </w:pPr>
    </w:p>
    <w:p w:rsidR="00507B65" w:rsidRPr="00507B65" w:rsidRDefault="00EF6A34" w:rsidP="00507B65">
      <w:pPr>
        <w:widowControl w:val="0"/>
        <w:numPr>
          <w:ilvl w:val="0"/>
          <w:numId w:val="1"/>
        </w:numPr>
        <w:tabs>
          <w:tab w:val="clear" w:pos="1080"/>
          <w:tab w:val="left" w:pos="0"/>
          <w:tab w:val="num" w:pos="1440"/>
        </w:tabs>
        <w:suppressAutoHyphens/>
        <w:autoSpaceDE w:val="0"/>
        <w:autoSpaceDN w:val="0"/>
        <w:adjustRightInd w:val="0"/>
        <w:spacing w:line="240" w:lineRule="atLeast"/>
        <w:rPr>
          <w:spacing w:val="-2"/>
        </w:rPr>
      </w:pPr>
      <w:r w:rsidRPr="0065485B">
        <w:rPr>
          <w:spacing w:val="-2"/>
        </w:rPr>
        <w:t xml:space="preserve">On September 27, 2012, the Denver Office issued </w:t>
      </w:r>
      <w:r w:rsidR="0047044F">
        <w:rPr>
          <w:spacing w:val="-2"/>
        </w:rPr>
        <w:t>the</w:t>
      </w:r>
      <w:r>
        <w:rPr>
          <w:spacing w:val="-2"/>
        </w:rPr>
        <w:t xml:space="preserve"> </w:t>
      </w:r>
      <w:r w:rsidRPr="0065485B">
        <w:rPr>
          <w:i/>
          <w:spacing w:val="-2"/>
        </w:rPr>
        <w:t>NAL</w:t>
      </w:r>
      <w:r w:rsidRPr="0065485B">
        <w:rPr>
          <w:spacing w:val="-2"/>
        </w:rPr>
        <w:t xml:space="preserve"> to Skybeam for its operation of an U-NII device on a frequency for which the device was not authorized and without a license.  </w:t>
      </w:r>
      <w:r w:rsidR="0065485B">
        <w:rPr>
          <w:color w:val="000000"/>
        </w:rPr>
        <w:t>Skybeam</w:t>
      </w:r>
      <w:r w:rsidR="00322659" w:rsidRPr="0065485B">
        <w:rPr>
          <w:spacing w:val="-2"/>
        </w:rPr>
        <w:t xml:space="preserve"> </w:t>
      </w:r>
      <w:r w:rsidR="00322659">
        <w:t xml:space="preserve">submitted a response to the </w:t>
      </w:r>
      <w:r w:rsidR="00322659" w:rsidRPr="0065485B">
        <w:rPr>
          <w:i/>
        </w:rPr>
        <w:t xml:space="preserve">NAL </w:t>
      </w:r>
      <w:r w:rsidR="00322659">
        <w:t>requesting</w:t>
      </w:r>
      <w:r w:rsidR="0065485B">
        <w:t xml:space="preserve"> re</w:t>
      </w:r>
      <w:r w:rsidR="00507B65">
        <w:t>s</w:t>
      </w:r>
      <w:r w:rsidR="0065485B">
        <w:t>cission</w:t>
      </w:r>
      <w:r w:rsidR="00322659">
        <w:t xml:space="preserve"> or reduction of the proposed $</w:t>
      </w:r>
      <w:r w:rsidR="0065485B">
        <w:t>1</w:t>
      </w:r>
      <w:r w:rsidR="00322659">
        <w:t>5,000 forfeiture,</w:t>
      </w:r>
      <w:r w:rsidR="00F56E7E">
        <w:rPr>
          <w:rStyle w:val="FootnoteReference"/>
        </w:rPr>
        <w:footnoteReference w:id="9"/>
      </w:r>
      <w:r w:rsidR="00322659">
        <w:t xml:space="preserve"> because</w:t>
      </w:r>
      <w:r w:rsidR="00B373FD">
        <w:t xml:space="preserve"> Skybeam deactivated the device the day after it was notified by the Denver agents;</w:t>
      </w:r>
      <w:r w:rsidR="00CC2CD1">
        <w:rPr>
          <w:rStyle w:val="FootnoteReference"/>
        </w:rPr>
        <w:footnoteReference w:id="10"/>
      </w:r>
      <w:r w:rsidR="00B373FD">
        <w:t xml:space="preserve"> the device cannot operate o</w:t>
      </w:r>
      <w:r w:rsidR="00507B65">
        <w:t>n</w:t>
      </w:r>
      <w:r w:rsidR="00B373FD">
        <w:t xml:space="preserve"> the frequency 5875 MHZ and ther</w:t>
      </w:r>
      <w:r w:rsidR="00507B65">
        <w:t>e</w:t>
      </w:r>
      <w:r w:rsidR="00B373FD">
        <w:t xml:space="preserve">fore the </w:t>
      </w:r>
      <w:r w:rsidR="00B373FD">
        <w:rPr>
          <w:i/>
        </w:rPr>
        <w:t xml:space="preserve">NAL </w:t>
      </w:r>
      <w:r w:rsidR="00B373FD">
        <w:t xml:space="preserve">is </w:t>
      </w:r>
      <w:r w:rsidR="00507B65">
        <w:t>i</w:t>
      </w:r>
      <w:r w:rsidR="00B373FD">
        <w:t>ncorrect;</w:t>
      </w:r>
      <w:r w:rsidR="00CC2CD1">
        <w:rPr>
          <w:rStyle w:val="FootnoteReference"/>
        </w:rPr>
        <w:footnoteReference w:id="11"/>
      </w:r>
      <w:r w:rsidR="00CC2CD1">
        <w:t xml:space="preserve"> and it</w:t>
      </w:r>
      <w:r w:rsidR="003A39A6">
        <w:t>s</w:t>
      </w:r>
      <w:r w:rsidR="00CC2CD1">
        <w:t xml:space="preserve"> </w:t>
      </w:r>
      <w:r w:rsidR="00F56E7E">
        <w:t>h</w:t>
      </w:r>
      <w:r w:rsidR="00CC2CD1">
        <w:t>istory of no prior offenses.</w:t>
      </w:r>
      <w:r w:rsidR="00CC2CD1">
        <w:rPr>
          <w:rStyle w:val="FootnoteReference"/>
        </w:rPr>
        <w:footnoteReference w:id="12"/>
      </w:r>
      <w:r w:rsidR="00CC2CD1">
        <w:t xml:space="preserve"> </w:t>
      </w:r>
    </w:p>
    <w:p w:rsidR="00507B65" w:rsidRDefault="00507B65" w:rsidP="00507B65">
      <w:pPr>
        <w:widowControl w:val="0"/>
        <w:tabs>
          <w:tab w:val="left" w:pos="0"/>
        </w:tabs>
        <w:suppressAutoHyphens/>
        <w:autoSpaceDE w:val="0"/>
        <w:autoSpaceDN w:val="0"/>
        <w:adjustRightInd w:val="0"/>
        <w:spacing w:line="240" w:lineRule="atLeast"/>
        <w:ind w:left="720"/>
      </w:pPr>
    </w:p>
    <w:p w:rsidR="00507B65" w:rsidRDefault="00507B65" w:rsidP="00507B65">
      <w:pPr>
        <w:numPr>
          <w:ilvl w:val="0"/>
          <w:numId w:val="3"/>
        </w:numPr>
        <w:tabs>
          <w:tab w:val="clear" w:pos="1080"/>
          <w:tab w:val="num" w:pos="450"/>
        </w:tabs>
        <w:suppressAutoHyphens/>
        <w:autoSpaceDE w:val="0"/>
        <w:autoSpaceDN w:val="0"/>
        <w:adjustRightInd w:val="0"/>
        <w:spacing w:line="240" w:lineRule="atLeast"/>
        <w:ind w:left="0" w:firstLine="0"/>
        <w:rPr>
          <w:b/>
        </w:rPr>
      </w:pPr>
      <w:r>
        <w:rPr>
          <w:b/>
        </w:rPr>
        <w:tab/>
        <w:t>DISCUSSION</w:t>
      </w:r>
    </w:p>
    <w:p w:rsidR="00507B65" w:rsidRDefault="00507B65" w:rsidP="00507B65">
      <w:pPr>
        <w:widowControl w:val="0"/>
        <w:tabs>
          <w:tab w:val="left" w:pos="0"/>
        </w:tabs>
        <w:suppressAutoHyphens/>
        <w:autoSpaceDE w:val="0"/>
        <w:autoSpaceDN w:val="0"/>
        <w:adjustRightInd w:val="0"/>
        <w:spacing w:line="240" w:lineRule="atLeast"/>
        <w:ind w:left="720"/>
        <w:rPr>
          <w:spacing w:val="-2"/>
        </w:rPr>
      </w:pPr>
    </w:p>
    <w:p w:rsidR="00507B65" w:rsidRDefault="00322659" w:rsidP="00507B65">
      <w:pPr>
        <w:widowControl w:val="0"/>
        <w:numPr>
          <w:ilvl w:val="0"/>
          <w:numId w:val="1"/>
        </w:numPr>
        <w:tabs>
          <w:tab w:val="clear" w:pos="1080"/>
          <w:tab w:val="left" w:pos="0"/>
          <w:tab w:val="num" w:pos="1440"/>
        </w:tabs>
        <w:suppressAutoHyphens/>
        <w:autoSpaceDE w:val="0"/>
        <w:autoSpaceDN w:val="0"/>
        <w:adjustRightInd w:val="0"/>
        <w:spacing w:line="240" w:lineRule="atLeast"/>
        <w:rPr>
          <w:spacing w:val="-2"/>
        </w:rPr>
      </w:pPr>
      <w:r>
        <w:t>The proposed forfeiture amount in this case was assessed in accordance with Section 503(b) of the Act,</w:t>
      </w:r>
      <w:r>
        <w:rPr>
          <w:rStyle w:val="FootnoteReference"/>
        </w:rPr>
        <w:footnoteReference w:id="13"/>
      </w:r>
      <w:r>
        <w:t xml:space="preserve"> Section 1.80 of the Rules,</w:t>
      </w:r>
      <w:r>
        <w:rPr>
          <w:rStyle w:val="FootnoteReference"/>
        </w:rPr>
        <w:footnoteReference w:id="14"/>
      </w:r>
      <w:r>
        <w:t xml:space="preserve"> and the </w:t>
      </w:r>
      <w:r w:rsidRPr="00507B65">
        <w:rPr>
          <w:i/>
        </w:rPr>
        <w:t>Forfeiture Policy Statement</w:t>
      </w:r>
      <w:r>
        <w:t>.</w:t>
      </w:r>
      <w:r>
        <w:rPr>
          <w:rStyle w:val="FootnoteReference"/>
        </w:rPr>
        <w:footnoteReference w:id="15"/>
      </w:r>
      <w:r>
        <w:t xml:space="preserve">  In examining </w:t>
      </w:r>
      <w:r w:rsidR="00507B65">
        <w:t>Skybeam</w:t>
      </w:r>
      <w:r>
        <w:t>’s response,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Pr>
          <w:rStyle w:val="FootnoteReference"/>
        </w:rPr>
        <w:footnoteReference w:id="16"/>
      </w:r>
      <w:r>
        <w:t xml:space="preserve">  As discussed below, we have considered </w:t>
      </w:r>
      <w:r w:rsidR="00EA2B59">
        <w:t>Skybeam’s</w:t>
      </w:r>
      <w:r>
        <w:t xml:space="preserve"> response in light of these statutory factors, and find that a reduction of the forfeiture based on its history of compliance is justified.  </w:t>
      </w:r>
    </w:p>
    <w:p w:rsidR="00507B65" w:rsidRDefault="00507B65" w:rsidP="00507B65">
      <w:pPr>
        <w:widowControl w:val="0"/>
        <w:tabs>
          <w:tab w:val="left" w:pos="0"/>
        </w:tabs>
        <w:suppressAutoHyphens/>
        <w:autoSpaceDE w:val="0"/>
        <w:autoSpaceDN w:val="0"/>
        <w:adjustRightInd w:val="0"/>
        <w:spacing w:line="240" w:lineRule="atLeast"/>
        <w:ind w:left="720"/>
        <w:rPr>
          <w:spacing w:val="-2"/>
        </w:rPr>
      </w:pPr>
    </w:p>
    <w:p w:rsidR="00EA2B59" w:rsidRPr="00EA2B59" w:rsidRDefault="00322659" w:rsidP="00EA2B59">
      <w:pPr>
        <w:numPr>
          <w:ilvl w:val="0"/>
          <w:numId w:val="1"/>
        </w:numPr>
        <w:tabs>
          <w:tab w:val="clear" w:pos="1080"/>
          <w:tab w:val="left" w:pos="0"/>
          <w:tab w:val="num" w:pos="1440"/>
        </w:tabs>
        <w:suppressAutoHyphens/>
        <w:autoSpaceDE w:val="0"/>
        <w:autoSpaceDN w:val="0"/>
        <w:adjustRightInd w:val="0"/>
        <w:spacing w:line="240" w:lineRule="atLeast"/>
        <w:rPr>
          <w:spacing w:val="-2"/>
        </w:rPr>
      </w:pPr>
      <w:r w:rsidRPr="00507B65">
        <w:rPr>
          <w:spacing w:val="-2"/>
        </w:rPr>
        <w:t xml:space="preserve">We find that the evidence supports the </w:t>
      </w:r>
      <w:r w:rsidR="00507B65">
        <w:rPr>
          <w:spacing w:val="-2"/>
        </w:rPr>
        <w:t>Denver Office</w:t>
      </w:r>
      <w:r w:rsidRPr="00507B65">
        <w:rPr>
          <w:spacing w:val="-2"/>
        </w:rPr>
        <w:t xml:space="preserve">’s findings that, on </w:t>
      </w:r>
      <w:r w:rsidR="00507B65">
        <w:rPr>
          <w:spacing w:val="-2"/>
        </w:rPr>
        <w:t xml:space="preserve">September 29 and September 30, </w:t>
      </w:r>
      <w:r>
        <w:t>201</w:t>
      </w:r>
      <w:r w:rsidR="00507B65">
        <w:t>1</w:t>
      </w:r>
      <w:r>
        <w:t xml:space="preserve">, </w:t>
      </w:r>
      <w:r w:rsidR="00507B65">
        <w:t>Skybeam</w:t>
      </w:r>
      <w:r w:rsidRPr="00507B65">
        <w:rPr>
          <w:spacing w:val="-2"/>
        </w:rPr>
        <w:t xml:space="preserve"> operated </w:t>
      </w:r>
      <w:r w:rsidR="006E60D3">
        <w:rPr>
          <w:spacing w:val="-2"/>
        </w:rPr>
        <w:t xml:space="preserve">its </w:t>
      </w:r>
      <w:r w:rsidR="006E60D3" w:rsidRPr="0065485B">
        <w:rPr>
          <w:color w:val="000000"/>
        </w:rPr>
        <w:t xml:space="preserve">Motorola Canopy 5700BH20 transceiver </w:t>
      </w:r>
      <w:r w:rsidRPr="00507B65">
        <w:rPr>
          <w:spacing w:val="-2"/>
        </w:rPr>
        <w:t>on frequencies for which th</w:t>
      </w:r>
      <w:r w:rsidR="0061119D" w:rsidRPr="00507B65">
        <w:rPr>
          <w:spacing w:val="-2"/>
        </w:rPr>
        <w:t xml:space="preserve">at device </w:t>
      </w:r>
      <w:r w:rsidRPr="00507B65">
        <w:rPr>
          <w:spacing w:val="-2"/>
        </w:rPr>
        <w:t>w</w:t>
      </w:r>
      <w:r w:rsidR="0061119D" w:rsidRPr="00507B65">
        <w:rPr>
          <w:spacing w:val="-2"/>
        </w:rPr>
        <w:t>as</w:t>
      </w:r>
      <w:r w:rsidRPr="00507B65">
        <w:rPr>
          <w:spacing w:val="-2"/>
        </w:rPr>
        <w:t xml:space="preserve"> not certified, </w:t>
      </w:r>
      <w:r w:rsidR="0061119D" w:rsidRPr="00507B65">
        <w:rPr>
          <w:spacing w:val="-2"/>
        </w:rPr>
        <w:t xml:space="preserve">and without DFS functionality.  </w:t>
      </w:r>
      <w:r w:rsidR="006E60D3">
        <w:rPr>
          <w:spacing w:val="-2"/>
        </w:rPr>
        <w:t xml:space="preserve">Skybeam argues that it corrected the violation the day after it was notified by the Denver agents and that it should have received a warning rather than the </w:t>
      </w:r>
      <w:r w:rsidR="006E60D3">
        <w:rPr>
          <w:i/>
          <w:spacing w:val="-2"/>
        </w:rPr>
        <w:t>NAL</w:t>
      </w:r>
      <w:r w:rsidR="008D32B9">
        <w:rPr>
          <w:spacing w:val="-2"/>
        </w:rPr>
        <w:t>.</w:t>
      </w:r>
      <w:r w:rsidR="00D75F63" w:rsidRPr="00D75F63">
        <w:rPr>
          <w:rStyle w:val="FootnoteReference"/>
        </w:rPr>
        <w:t xml:space="preserve"> </w:t>
      </w:r>
      <w:r w:rsidR="00D75F63">
        <w:rPr>
          <w:rStyle w:val="FootnoteReference"/>
        </w:rPr>
        <w:footnoteReference w:id="17"/>
      </w:r>
      <w:r w:rsidR="006E60D3">
        <w:rPr>
          <w:i/>
          <w:spacing w:val="-2"/>
        </w:rPr>
        <w:t xml:space="preserve"> </w:t>
      </w:r>
      <w:r w:rsidR="006E60D3">
        <w:rPr>
          <w:spacing w:val="-2"/>
        </w:rPr>
        <w:t xml:space="preserve"> We find no merit in Skybeam’s argument.  As licensee</w:t>
      </w:r>
      <w:r w:rsidR="00083878">
        <w:rPr>
          <w:spacing w:val="-2"/>
        </w:rPr>
        <w:t>s</w:t>
      </w:r>
      <w:r w:rsidR="006E60D3">
        <w:rPr>
          <w:spacing w:val="-2"/>
        </w:rPr>
        <w:t>,</w:t>
      </w:r>
      <w:r w:rsidR="006E60D3">
        <w:rPr>
          <w:rStyle w:val="FootnoteReference"/>
          <w:spacing w:val="-2"/>
        </w:rPr>
        <w:footnoteReference w:id="18"/>
      </w:r>
      <w:r w:rsidR="006E60D3">
        <w:rPr>
          <w:spacing w:val="-2"/>
        </w:rPr>
        <w:t xml:space="preserve"> Skybeam </w:t>
      </w:r>
      <w:r w:rsidR="00083878">
        <w:rPr>
          <w:spacing w:val="-2"/>
        </w:rPr>
        <w:t>and its affiliated companies are</w:t>
      </w:r>
      <w:r w:rsidR="006E60D3">
        <w:rPr>
          <w:spacing w:val="-2"/>
        </w:rPr>
        <w:t xml:space="preserve"> expected to comply with the Rules</w:t>
      </w:r>
      <w:r w:rsidR="00EA2B59">
        <w:rPr>
          <w:spacing w:val="-2"/>
        </w:rPr>
        <w:t>,</w:t>
      </w:r>
      <w:r w:rsidR="00EA2B59" w:rsidRPr="00EA2B59">
        <w:rPr>
          <w:sz w:val="20"/>
          <w:szCs w:val="20"/>
          <w:vertAlign w:val="superscript"/>
        </w:rPr>
        <w:footnoteReference w:id="19"/>
      </w:r>
      <w:r w:rsidR="00EA2B59" w:rsidRPr="00EA2B59">
        <w:rPr>
          <w:sz w:val="20"/>
          <w:szCs w:val="20"/>
        </w:rPr>
        <w:t xml:space="preserve"> </w:t>
      </w:r>
      <w:r w:rsidR="00EA2B59">
        <w:rPr>
          <w:spacing w:val="-2"/>
        </w:rPr>
        <w:t>a</w:t>
      </w:r>
      <w:r w:rsidR="006E60D3">
        <w:rPr>
          <w:spacing w:val="-2"/>
        </w:rPr>
        <w:t>nd</w:t>
      </w:r>
      <w:r w:rsidR="00426555">
        <w:rPr>
          <w:spacing w:val="-2"/>
        </w:rPr>
        <w:t>, in any event,</w:t>
      </w:r>
      <w:r w:rsidR="006E60D3">
        <w:rPr>
          <w:spacing w:val="-2"/>
        </w:rPr>
        <w:t xml:space="preserve"> the Commission is under no obligation to warn</w:t>
      </w:r>
      <w:r w:rsidR="00426555">
        <w:rPr>
          <w:spacing w:val="-2"/>
        </w:rPr>
        <w:t xml:space="preserve"> any entity, whether a licensee or not, that it is operating without a license as required under Section 301 of the Act</w:t>
      </w:r>
      <w:r w:rsidR="006E60D3">
        <w:rPr>
          <w:spacing w:val="-2"/>
        </w:rPr>
        <w:t xml:space="preserve">, and </w:t>
      </w:r>
      <w:r w:rsidR="00EA2B59">
        <w:rPr>
          <w:spacing w:val="-2"/>
        </w:rPr>
        <w:t>then</w:t>
      </w:r>
      <w:r w:rsidR="006E60D3">
        <w:rPr>
          <w:spacing w:val="-2"/>
        </w:rPr>
        <w:t xml:space="preserve"> </w:t>
      </w:r>
      <w:r w:rsidR="009C2CF3">
        <w:t>wait until the entity</w:t>
      </w:r>
      <w:r w:rsidR="006E60D3">
        <w:t xml:space="preserve"> violate</w:t>
      </w:r>
      <w:r w:rsidR="009C2CF3">
        <w:t>s</w:t>
      </w:r>
      <w:r w:rsidR="006E60D3">
        <w:t xml:space="preserve"> the Act again before pr</w:t>
      </w:r>
      <w:r w:rsidR="00EA1915">
        <w:t>oposing a forfeiture against that entity</w:t>
      </w:r>
      <w:r w:rsidR="006E60D3">
        <w:t>.</w:t>
      </w:r>
      <w:r w:rsidR="00426555">
        <w:rPr>
          <w:rStyle w:val="FootnoteReference"/>
        </w:rPr>
        <w:footnoteReference w:id="20"/>
      </w:r>
      <w:r w:rsidR="006E60D3">
        <w:t xml:space="preserve">  </w:t>
      </w:r>
      <w:r w:rsidR="00EA2B59">
        <w:t>Corrective action taken to come into compliance with the Act or Rules is expected and does not mitigate</w:t>
      </w:r>
      <w:r w:rsidR="00D74A84">
        <w:t xml:space="preserve"> forfeitures assessed or proposed for violations of the Act or Rules</w:t>
      </w:r>
      <w:r w:rsidR="00EA2B59">
        <w:t>.</w:t>
      </w:r>
      <w:r w:rsidR="00EA2B59">
        <w:rPr>
          <w:rStyle w:val="FootnoteReference"/>
        </w:rPr>
        <w:footnoteReference w:id="21"/>
      </w:r>
    </w:p>
    <w:p w:rsidR="00EA2B59" w:rsidRDefault="00EA2B59" w:rsidP="00EA2B59">
      <w:pPr>
        <w:pStyle w:val="ListParagraph"/>
      </w:pPr>
    </w:p>
    <w:p w:rsidR="00EA6283" w:rsidRPr="00EA6283" w:rsidRDefault="00EA2B59" w:rsidP="00EA2B59">
      <w:pPr>
        <w:numPr>
          <w:ilvl w:val="0"/>
          <w:numId w:val="1"/>
        </w:numPr>
        <w:tabs>
          <w:tab w:val="clear" w:pos="1080"/>
          <w:tab w:val="left" w:pos="0"/>
          <w:tab w:val="num" w:pos="1440"/>
        </w:tabs>
        <w:suppressAutoHyphens/>
        <w:autoSpaceDE w:val="0"/>
        <w:autoSpaceDN w:val="0"/>
        <w:adjustRightInd w:val="0"/>
        <w:spacing w:line="240" w:lineRule="atLeast"/>
        <w:rPr>
          <w:spacing w:val="-2"/>
        </w:rPr>
      </w:pPr>
      <w:r>
        <w:t xml:space="preserve">Skybeam also argues that the </w:t>
      </w:r>
      <w:r w:rsidRPr="0065485B">
        <w:rPr>
          <w:color w:val="000000"/>
        </w:rPr>
        <w:t>Motorola Canopy 5700BH20 transceiver</w:t>
      </w:r>
      <w:r>
        <w:rPr>
          <w:color w:val="000000"/>
        </w:rPr>
        <w:t xml:space="preserve"> was </w:t>
      </w:r>
      <w:r w:rsidR="002D33A6">
        <w:rPr>
          <w:color w:val="000000"/>
        </w:rPr>
        <w:t>n</w:t>
      </w:r>
      <w:r>
        <w:rPr>
          <w:color w:val="000000"/>
        </w:rPr>
        <w:t xml:space="preserve">ot capable of operating on </w:t>
      </w:r>
      <w:r w:rsidRPr="0065485B">
        <w:rPr>
          <w:color w:val="000000"/>
        </w:rPr>
        <w:t>frequenc</w:t>
      </w:r>
      <w:r w:rsidR="00761F01">
        <w:rPr>
          <w:color w:val="000000"/>
        </w:rPr>
        <w:t>ies above</w:t>
      </w:r>
      <w:r w:rsidRPr="0065485B">
        <w:rPr>
          <w:color w:val="000000"/>
        </w:rPr>
        <w:t xml:space="preserve"> 58</w:t>
      </w:r>
      <w:r w:rsidR="00C966D3">
        <w:rPr>
          <w:color w:val="000000"/>
        </w:rPr>
        <w:t>50</w:t>
      </w:r>
      <w:r w:rsidRPr="0065485B">
        <w:rPr>
          <w:color w:val="000000"/>
        </w:rPr>
        <w:t xml:space="preserve"> MHz</w:t>
      </w:r>
      <w:r>
        <w:rPr>
          <w:color w:val="000000"/>
        </w:rPr>
        <w:t xml:space="preserve"> and that the </w:t>
      </w:r>
      <w:r>
        <w:rPr>
          <w:i/>
          <w:color w:val="000000"/>
        </w:rPr>
        <w:t>NAL</w:t>
      </w:r>
      <w:r>
        <w:rPr>
          <w:color w:val="000000"/>
        </w:rPr>
        <w:t xml:space="preserve"> is therefor</w:t>
      </w:r>
      <w:r w:rsidR="002D33A6">
        <w:rPr>
          <w:color w:val="000000"/>
        </w:rPr>
        <w:t>e</w:t>
      </w:r>
      <w:r>
        <w:rPr>
          <w:color w:val="000000"/>
        </w:rPr>
        <w:t xml:space="preserve"> factually in</w:t>
      </w:r>
      <w:r w:rsidR="002D33A6">
        <w:rPr>
          <w:color w:val="000000"/>
        </w:rPr>
        <w:t>accurate.</w:t>
      </w:r>
      <w:r w:rsidR="008D32B9">
        <w:rPr>
          <w:rStyle w:val="FootnoteReference"/>
          <w:color w:val="000000"/>
        </w:rPr>
        <w:footnoteReference w:id="22"/>
      </w:r>
      <w:r w:rsidR="008D32B9">
        <w:rPr>
          <w:color w:val="000000"/>
        </w:rPr>
        <w:t xml:space="preserve"> </w:t>
      </w:r>
      <w:r w:rsidR="002D33A6">
        <w:rPr>
          <w:color w:val="000000"/>
        </w:rPr>
        <w:t xml:space="preserve"> We disagree.  Although Skybeam attaches to its </w:t>
      </w:r>
      <w:r w:rsidR="002D33A6">
        <w:rPr>
          <w:i/>
          <w:color w:val="000000"/>
        </w:rPr>
        <w:t>NAL Response</w:t>
      </w:r>
      <w:r w:rsidR="002D33A6">
        <w:rPr>
          <w:color w:val="000000"/>
        </w:rPr>
        <w:t xml:space="preserve"> a screenshot entitled “Device Information” </w:t>
      </w:r>
      <w:r w:rsidR="008D32B9">
        <w:rPr>
          <w:color w:val="000000"/>
        </w:rPr>
        <w:t>showing</w:t>
      </w:r>
      <w:r w:rsidR="002D33A6">
        <w:rPr>
          <w:color w:val="000000"/>
        </w:rPr>
        <w:t xml:space="preserve"> the device’s channel selections, ranging from “5600” to “5850,” we find that this information is not dispositive.</w:t>
      </w:r>
      <w:r w:rsidR="008D32B9">
        <w:rPr>
          <w:rStyle w:val="FootnoteReference"/>
          <w:color w:val="000000"/>
        </w:rPr>
        <w:footnoteReference w:id="23"/>
      </w:r>
      <w:r w:rsidR="002D33A6">
        <w:rPr>
          <w:color w:val="000000"/>
        </w:rPr>
        <w:t xml:space="preserve">  On September 30, 2011, the Denver agents captured on FCC equipment screenshots that showed Skybeam operating on the frequency 587</w:t>
      </w:r>
      <w:r w:rsidR="00761F01">
        <w:rPr>
          <w:color w:val="000000"/>
        </w:rPr>
        <w:t>0</w:t>
      </w:r>
      <w:r w:rsidR="00BD7C63">
        <w:rPr>
          <w:color w:val="000000"/>
        </w:rPr>
        <w:t>/5875</w:t>
      </w:r>
      <w:r w:rsidR="002D33A6">
        <w:rPr>
          <w:color w:val="000000"/>
        </w:rPr>
        <w:t xml:space="preserve"> MHz.</w:t>
      </w:r>
      <w:r w:rsidR="00BD7C63">
        <w:rPr>
          <w:rStyle w:val="FootnoteReference"/>
          <w:color w:val="000000"/>
        </w:rPr>
        <w:footnoteReference w:id="24"/>
      </w:r>
      <w:r w:rsidR="002D33A6">
        <w:rPr>
          <w:color w:val="000000"/>
        </w:rPr>
        <w:t xml:space="preserve">  In addition, on that same day, Skybeam’s </w:t>
      </w:r>
      <w:r w:rsidR="002D33A6" w:rsidRPr="0073399E">
        <w:t>Field Infrastructure Supervisor</w:t>
      </w:r>
      <w:r w:rsidR="002D33A6">
        <w:t xml:space="preserve"> for</w:t>
      </w:r>
      <w:r w:rsidR="002D33A6" w:rsidRPr="0073399E">
        <w:t xml:space="preserve"> Northern Colorado</w:t>
      </w:r>
      <w:r w:rsidR="00C04776">
        <w:t xml:space="preserve"> performed the on/off te</w:t>
      </w:r>
      <w:r w:rsidR="002D33A6">
        <w:t>sts with the Denver agents and</w:t>
      </w:r>
      <w:r w:rsidR="008D32B9">
        <w:t xml:space="preserve"> then</w:t>
      </w:r>
      <w:r w:rsidR="002D33A6">
        <w:t xml:space="preserve"> gave the agents screen captures from his own equipment showing the Motorola Canopy 5700BH20 in operation on frequency 5870</w:t>
      </w:r>
      <w:r w:rsidR="00BD7C63">
        <w:t>/5875</w:t>
      </w:r>
      <w:r w:rsidR="002D33A6">
        <w:t xml:space="preserve"> MHz as well as</w:t>
      </w:r>
      <w:r w:rsidR="008D32B9">
        <w:t xml:space="preserve"> on frequency</w:t>
      </w:r>
      <w:r w:rsidR="002D33A6">
        <w:t xml:space="preserve"> 5610 MHz.  Given that Skybeam’s own contemporaneous evidence contradicts the statements in its </w:t>
      </w:r>
      <w:r w:rsidR="002D33A6">
        <w:rPr>
          <w:i/>
        </w:rPr>
        <w:t xml:space="preserve">NAL </w:t>
      </w:r>
      <w:r w:rsidR="005940E9">
        <w:rPr>
          <w:i/>
        </w:rPr>
        <w:t>R</w:t>
      </w:r>
      <w:r w:rsidR="002D33A6">
        <w:rPr>
          <w:i/>
        </w:rPr>
        <w:t>esponse</w:t>
      </w:r>
      <w:r w:rsidR="002D33A6">
        <w:t xml:space="preserve">, we find </w:t>
      </w:r>
      <w:r w:rsidR="008D32B9">
        <w:t xml:space="preserve">no </w:t>
      </w:r>
      <w:r w:rsidR="002D33A6">
        <w:t xml:space="preserve">merit to </w:t>
      </w:r>
      <w:r w:rsidR="00EA6283">
        <w:t xml:space="preserve">Skybeam’s </w:t>
      </w:r>
      <w:r w:rsidR="008D32B9">
        <w:t>argument</w:t>
      </w:r>
      <w:r w:rsidR="00EA6283">
        <w:t>.</w:t>
      </w:r>
    </w:p>
    <w:p w:rsidR="00EA6283" w:rsidRDefault="00EA6283" w:rsidP="00EA6283">
      <w:pPr>
        <w:pStyle w:val="ListParagraph"/>
        <w:rPr>
          <w:color w:val="000000"/>
        </w:rPr>
      </w:pPr>
    </w:p>
    <w:p w:rsidR="00EA6283" w:rsidRPr="00C04776" w:rsidRDefault="00EA6283" w:rsidP="00EA6283">
      <w:pPr>
        <w:pStyle w:val="ParaNum"/>
        <w:widowControl w:val="0"/>
        <w:numPr>
          <w:ilvl w:val="0"/>
          <w:numId w:val="1"/>
        </w:numPr>
        <w:tabs>
          <w:tab w:val="clear" w:pos="1080"/>
        </w:tabs>
        <w:spacing w:after="0" w:line="240" w:lineRule="atLeast"/>
        <w:rPr>
          <w:b/>
        </w:rPr>
      </w:pPr>
      <w:r>
        <w:rPr>
          <w:color w:val="000000"/>
        </w:rPr>
        <w:t>Skybeam also requests that the proposed forfeiture be reduced based on</w:t>
      </w:r>
      <w:r w:rsidR="00C04776">
        <w:rPr>
          <w:color w:val="000000"/>
        </w:rPr>
        <w:t xml:space="preserve"> </w:t>
      </w:r>
      <w:r w:rsidR="00693986">
        <w:rPr>
          <w:color w:val="000000"/>
        </w:rPr>
        <w:t>its</w:t>
      </w:r>
      <w:r>
        <w:rPr>
          <w:color w:val="000000"/>
        </w:rPr>
        <w:t xml:space="preserve"> history of compliance with the Rules.</w:t>
      </w:r>
      <w:r w:rsidR="008D32B9">
        <w:rPr>
          <w:rStyle w:val="FootnoteReference"/>
          <w:color w:val="000000"/>
        </w:rPr>
        <w:footnoteReference w:id="25"/>
      </w:r>
      <w:r>
        <w:rPr>
          <w:color w:val="000000"/>
        </w:rPr>
        <w:t xml:space="preserve">  </w:t>
      </w:r>
      <w:r w:rsidRPr="00EA6283">
        <w:t xml:space="preserve">We note that prior to this violation, </w:t>
      </w:r>
      <w:r w:rsidR="00C04776">
        <w:t>Skybeam</w:t>
      </w:r>
      <w:r w:rsidRPr="00EA6283">
        <w:t xml:space="preserve"> had no violations of the Act or the Rules and, therefore, consistent with the adjustment factors,</w:t>
      </w:r>
      <w:r w:rsidRPr="00EA6283">
        <w:rPr>
          <w:vertAlign w:val="superscript"/>
        </w:rPr>
        <w:footnoteReference w:id="26"/>
      </w:r>
      <w:r w:rsidRPr="00EA6283">
        <w:t xml:space="preserve"> we find that </w:t>
      </w:r>
      <w:r w:rsidRPr="00EA6283">
        <w:rPr>
          <w:bCs/>
        </w:rPr>
        <w:t>reduction</w:t>
      </w:r>
      <w:r w:rsidRPr="00EA6283">
        <w:t xml:space="preserve"> of the forfeiture based on </w:t>
      </w:r>
      <w:r w:rsidR="008D32B9">
        <w:t>Skybeam</w:t>
      </w:r>
      <w:r w:rsidRPr="00EA6283">
        <w:t xml:space="preserve">’s </w:t>
      </w:r>
      <w:r w:rsidRPr="00EA6283">
        <w:rPr>
          <w:bCs/>
        </w:rPr>
        <w:t>history</w:t>
      </w:r>
      <w:r w:rsidRPr="00EA6283">
        <w:t xml:space="preserve"> of </w:t>
      </w:r>
      <w:r w:rsidRPr="00EA6283">
        <w:rPr>
          <w:bCs/>
        </w:rPr>
        <w:t>compliance</w:t>
      </w:r>
      <w:r w:rsidRPr="00EA6283">
        <w:t xml:space="preserve"> with the Rules is warranted and </w:t>
      </w:r>
      <w:r w:rsidRPr="00EA6283">
        <w:rPr>
          <w:bCs/>
        </w:rPr>
        <w:t>reduce</w:t>
      </w:r>
      <w:r w:rsidRPr="00EA6283">
        <w:t xml:space="preserve"> the forfeiture by $3,</w:t>
      </w:r>
      <w:r w:rsidR="00C04776">
        <w:t>0</w:t>
      </w:r>
      <w:r w:rsidRPr="00EA6283">
        <w:t>00.</w:t>
      </w:r>
      <w:r w:rsidR="002834CD">
        <w:rPr>
          <w:rStyle w:val="FootnoteReference"/>
        </w:rPr>
        <w:footnoteReference w:id="27"/>
      </w:r>
      <w:r w:rsidRPr="00EA6283">
        <w:t xml:space="preserve"> </w:t>
      </w:r>
      <w:r w:rsidRPr="00EA6283">
        <w:rPr>
          <w:b/>
        </w:rPr>
        <w:t xml:space="preserve"> </w:t>
      </w:r>
      <w:r w:rsidRPr="00EA6283">
        <w:rPr>
          <w:spacing w:val="-2"/>
        </w:rPr>
        <w:t xml:space="preserve">Therefore, after consideration of the entire record and the factors listed above, we find that a </w:t>
      </w:r>
      <w:r w:rsidR="00C04776">
        <w:rPr>
          <w:spacing w:val="-2"/>
        </w:rPr>
        <w:t>f</w:t>
      </w:r>
      <w:r w:rsidRPr="00EA6283">
        <w:rPr>
          <w:spacing w:val="-2"/>
        </w:rPr>
        <w:t>orfeiture in the amount of $1</w:t>
      </w:r>
      <w:r w:rsidR="00C04776">
        <w:rPr>
          <w:spacing w:val="-2"/>
        </w:rPr>
        <w:t>2</w:t>
      </w:r>
      <w:r w:rsidRPr="00EA6283">
        <w:rPr>
          <w:spacing w:val="-2"/>
        </w:rPr>
        <w:t>,</w:t>
      </w:r>
      <w:r w:rsidR="00C04776">
        <w:rPr>
          <w:spacing w:val="-2"/>
        </w:rPr>
        <w:t>0</w:t>
      </w:r>
      <w:r w:rsidRPr="00EA6283">
        <w:rPr>
          <w:spacing w:val="-2"/>
        </w:rPr>
        <w:t>00 is warranted.</w:t>
      </w:r>
      <w:r w:rsidR="00F533B1">
        <w:rPr>
          <w:rStyle w:val="FootnoteReference"/>
          <w:spacing w:val="-2"/>
        </w:rPr>
        <w:footnoteReference w:id="28"/>
      </w:r>
    </w:p>
    <w:p w:rsidR="00C04776" w:rsidRDefault="00C04776" w:rsidP="00C04776">
      <w:pPr>
        <w:pStyle w:val="ListParagraph"/>
        <w:rPr>
          <w:b/>
        </w:rPr>
      </w:pPr>
    </w:p>
    <w:p w:rsidR="00C04776" w:rsidRDefault="00C04776" w:rsidP="00E974C5">
      <w:pPr>
        <w:widowControl w:val="0"/>
        <w:numPr>
          <w:ilvl w:val="0"/>
          <w:numId w:val="13"/>
        </w:numPr>
        <w:tabs>
          <w:tab w:val="clear" w:pos="1080"/>
          <w:tab w:val="num" w:pos="720"/>
        </w:tabs>
        <w:suppressAutoHyphens/>
        <w:autoSpaceDE w:val="0"/>
        <w:autoSpaceDN w:val="0"/>
        <w:adjustRightInd w:val="0"/>
        <w:spacing w:line="240" w:lineRule="atLeast"/>
        <w:ind w:left="720"/>
        <w:rPr>
          <w:b/>
        </w:rPr>
      </w:pPr>
      <w:bookmarkStart w:id="1" w:name="_Toc70235218"/>
      <w:r>
        <w:rPr>
          <w:b/>
        </w:rPr>
        <w:t>ORDERING CLAUSES</w:t>
      </w:r>
      <w:bookmarkEnd w:id="1"/>
    </w:p>
    <w:p w:rsidR="00C04776" w:rsidRDefault="00C04776" w:rsidP="00C04776">
      <w:pPr>
        <w:pStyle w:val="ListParagraph"/>
        <w:rPr>
          <w:b/>
        </w:rPr>
      </w:pPr>
    </w:p>
    <w:p w:rsidR="00C04776" w:rsidRPr="00C04776" w:rsidRDefault="00322659" w:rsidP="00C04776">
      <w:pPr>
        <w:pStyle w:val="ParaNum"/>
        <w:widowControl w:val="0"/>
        <w:numPr>
          <w:ilvl w:val="0"/>
          <w:numId w:val="1"/>
        </w:numPr>
        <w:tabs>
          <w:tab w:val="clear" w:pos="1080"/>
        </w:tabs>
        <w:spacing w:after="0" w:line="240" w:lineRule="atLeast"/>
        <w:rPr>
          <w:b/>
        </w:rPr>
      </w:pPr>
      <w:r>
        <w:t xml:space="preserve">Accordingly, </w:t>
      </w:r>
      <w:r w:rsidRPr="00C04776">
        <w:rPr>
          <w:b/>
        </w:rPr>
        <w:t>IT IS ORDERED</w:t>
      </w:r>
      <w:r>
        <w:t xml:space="preserve"> that, pursuant to Section 503(b) of the Communications Act of 1934, as amended, and Sections 0.111, 0.204, 0.311, 0.314, and 1.80(f)(4) of the Commission’s rules,</w:t>
      </w:r>
      <w:r w:rsidR="00CF4CE0" w:rsidRPr="00CF4CE0">
        <w:t xml:space="preserve"> </w:t>
      </w:r>
      <w:r w:rsidR="00CF4CE0">
        <w:t>Skybeam Acquisition Corporation</w:t>
      </w:r>
      <w:r w:rsidR="00D344D9">
        <w:t xml:space="preserve"> </w:t>
      </w:r>
      <w:r w:rsidRPr="00C04776">
        <w:rPr>
          <w:b/>
        </w:rPr>
        <w:t>IS LIABLE FOR A MONETARY FORFEITURE</w:t>
      </w:r>
      <w:r>
        <w:t xml:space="preserve"> in the amount of twe</w:t>
      </w:r>
      <w:r w:rsidR="00CF4CE0">
        <w:t>lve</w:t>
      </w:r>
      <w:r>
        <w:t xml:space="preserve"> thousand dollars ($</w:t>
      </w:r>
      <w:r w:rsidR="00CF4CE0">
        <w:t>12</w:t>
      </w:r>
      <w:r>
        <w:t>,000) for violations of Section</w:t>
      </w:r>
      <w:r w:rsidR="00D344D9">
        <w:t>s</w:t>
      </w:r>
      <w:r>
        <w:t xml:space="preserve"> 301 </w:t>
      </w:r>
      <w:r w:rsidR="00D344D9">
        <w:t xml:space="preserve">and 302(b) </w:t>
      </w:r>
      <w:r>
        <w:t xml:space="preserve">of the Communications Act and Section 15.1(b) </w:t>
      </w:r>
      <w:r w:rsidR="00D344D9">
        <w:t xml:space="preserve">and 15.1(c) </w:t>
      </w:r>
      <w:r>
        <w:t>of the Commission’s rules.</w:t>
      </w:r>
      <w:r>
        <w:rPr>
          <w:rStyle w:val="FootnoteReference"/>
        </w:rPr>
        <w:footnoteReference w:id="29"/>
      </w:r>
      <w:r>
        <w:t xml:space="preserve"> </w:t>
      </w:r>
    </w:p>
    <w:p w:rsidR="00C04776" w:rsidRDefault="00C04776" w:rsidP="00C04776">
      <w:pPr>
        <w:pStyle w:val="ListParagraph"/>
      </w:pPr>
    </w:p>
    <w:p w:rsidR="00C04776" w:rsidRPr="00C04776" w:rsidRDefault="00322659" w:rsidP="00C04776">
      <w:pPr>
        <w:pStyle w:val="ParaNum"/>
        <w:widowControl w:val="0"/>
        <w:numPr>
          <w:ilvl w:val="0"/>
          <w:numId w:val="1"/>
        </w:numPr>
        <w:tabs>
          <w:tab w:val="clear" w:pos="1080"/>
        </w:tabs>
        <w:spacing w:after="0" w:line="240" w:lineRule="atLeast"/>
        <w:rPr>
          <w:b/>
        </w:rPr>
      </w:pPr>
      <w:r>
        <w:t>Payment</w:t>
      </w:r>
      <w:r w:rsidRPr="00C04776">
        <w:rPr>
          <w:rFonts w:eastAsia="MS Mincho"/>
        </w:rPr>
        <w:t xml:space="preserve"> of the forfeiture shall be made in the manner provided for in Section 1.80 of the Rules within thirty (30) calendar days after the release date of this Forfeiture Order.</w:t>
      </w:r>
      <w:r>
        <w:rPr>
          <w:rStyle w:val="FootnoteReference"/>
          <w:rFonts w:eastAsia="MS Mincho"/>
        </w:rPr>
        <w:footnoteReference w:id="30"/>
      </w:r>
      <w:r w:rsidRPr="00C04776">
        <w:rPr>
          <w:rFonts w:eastAsia="MS Mincho"/>
        </w:rPr>
        <w:t xml:space="preserve">  If the forfeiture is not paid within the period specified, the case may be referred to the U.S. Department of Justice for enforcement of the forfeiture pursuant to Section 504(a) of the Act.</w:t>
      </w:r>
      <w:r>
        <w:rPr>
          <w:rStyle w:val="FootnoteReference"/>
          <w:rFonts w:eastAsia="MS Mincho"/>
        </w:rPr>
        <w:footnoteReference w:id="31"/>
      </w:r>
      <w:r w:rsidRPr="00C04776">
        <w:rPr>
          <w:rFonts w:eastAsia="MS Mincho"/>
        </w:rPr>
        <w:t xml:space="preserve">  </w:t>
      </w:r>
      <w:r w:rsidR="00CF4CE0">
        <w:t xml:space="preserve">Skybeam Acquisition Corporation shall </w:t>
      </w:r>
      <w:r w:rsidRPr="00C04776">
        <w:rPr>
          <w:rFonts w:eastAsia="MS Mincho"/>
        </w:rPr>
        <w:t xml:space="preserve">send electronic notification of payment to </w:t>
      </w:r>
      <w:r w:rsidR="000C35B0" w:rsidRPr="00F533B1">
        <w:rPr>
          <w:rFonts w:eastAsia="MS Mincho"/>
        </w:rPr>
        <w:t>WR</w:t>
      </w:r>
      <w:r w:rsidR="000C35B0" w:rsidRPr="00F533B1">
        <w:t>-Response@fcc.gov</w:t>
      </w:r>
      <w:r w:rsidR="000C35B0">
        <w:t xml:space="preserve"> </w:t>
      </w:r>
      <w:r w:rsidRPr="00C04776">
        <w:rPr>
          <w:rFonts w:eastAsia="MS Mincho"/>
        </w:rPr>
        <w:t>on the date said payment is made.</w:t>
      </w:r>
      <w:r>
        <w:t xml:space="preserve">  </w:t>
      </w:r>
      <w:r w:rsidRPr="00C04776">
        <w:rPr>
          <w:rFonts w:eastAsia="MS Mincho"/>
        </w:rPr>
        <w:t>The </w:t>
      </w:r>
      <w:r>
        <w:t>payment</w:t>
      </w:r>
      <w:r w:rsidRPr="00C04776">
        <w:rPr>
          <w:rFonts w:eastAsia="MS Mincho"/>
        </w:rPr>
        <w:t xml:space="preserve"> must be made by check or similar instrument, wire transfer, or credit card, and must include the NAL/Account number and FRN referenced above.  Regardless of the form of payment, a completed FCC Form 159 (Remittance Advice) must be submitted.</w:t>
      </w:r>
      <w:r>
        <w:rPr>
          <w:rStyle w:val="FootnoteReference"/>
          <w:rFonts w:eastAsia="MS Mincho"/>
        </w:rPr>
        <w:footnoteReference w:id="32"/>
      </w:r>
      <w:r w:rsidRPr="00C04776">
        <w:rPr>
          <w:rFonts w:eastAsia="MS Mincho"/>
        </w:rPr>
        <w:t xml:space="preserve">  When completing the FCC Form 159, enter the Account Number in block number 23A (call sign/other ID) and enter the letters “FORF” in block number 24A (payment type code).   </w:t>
      </w:r>
      <w:r w:rsidRPr="00C04776">
        <w:rPr>
          <w:color w:val="000000"/>
        </w:rPr>
        <w:t>Below are additional instructions you should follow based on the form of payment you select:</w:t>
      </w:r>
    </w:p>
    <w:p w:rsidR="00C04776" w:rsidRPr="00C04776" w:rsidRDefault="00C04776" w:rsidP="00C04776">
      <w:pPr>
        <w:pStyle w:val="ParaNum"/>
        <w:widowControl w:val="0"/>
        <w:numPr>
          <w:ilvl w:val="0"/>
          <w:numId w:val="0"/>
        </w:numPr>
        <w:spacing w:after="0" w:line="240" w:lineRule="atLeast"/>
        <w:rPr>
          <w:b/>
        </w:rPr>
      </w:pPr>
    </w:p>
    <w:p w:rsidR="00C04776" w:rsidRDefault="00C04776" w:rsidP="00C04776">
      <w:pPr>
        <w:pStyle w:val="ParaNum"/>
        <w:numPr>
          <w:ilvl w:val="0"/>
          <w:numId w:val="10"/>
        </w:numPr>
        <w:snapToGrid w:val="0"/>
        <w:spacing w:after="120"/>
        <w:rPr>
          <w:rFonts w:eastAsia="MS Mincho"/>
        </w:rPr>
      </w:pPr>
      <w:r>
        <w:rPr>
          <w:rFonts w:eastAsia="MS Mincho"/>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Pr>
              <w:rFonts w:eastAsia="MS Mincho"/>
            </w:rPr>
            <w:t>P.O. Box 979088</w:t>
          </w:r>
        </w:smartTag>
        <w:r>
          <w:rPr>
            <w:rFonts w:eastAsia="MS Mincho"/>
          </w:rPr>
          <w:t xml:space="preserve">, </w:t>
        </w:r>
        <w:smartTag w:uri="urn:schemas-microsoft-com:office:smarttags" w:element="City">
          <w:r>
            <w:rPr>
              <w:rFonts w:eastAsia="MS Mincho"/>
            </w:rPr>
            <w:t>St. Louis</w:t>
          </w:r>
        </w:smartTag>
        <w:r>
          <w:rPr>
            <w:rFonts w:eastAsia="MS Mincho"/>
          </w:rPr>
          <w:t xml:space="preserve">, </w:t>
        </w:r>
        <w:smartTag w:uri="urn:schemas-microsoft-com:office:smarttags" w:element="State">
          <w:r>
            <w:rPr>
              <w:rFonts w:eastAsia="MS Mincho"/>
            </w:rPr>
            <w:t>MO</w:t>
          </w:r>
        </w:smartTag>
        <w:r>
          <w:rPr>
            <w:rFonts w:eastAsia="MS Mincho"/>
          </w:rPr>
          <w:t xml:space="preserve"> </w:t>
        </w:r>
        <w:smartTag w:uri="urn:schemas-microsoft-com:office:smarttags" w:element="PostalCode">
          <w:r>
            <w:rPr>
              <w:rFonts w:eastAsia="MS Mincho"/>
            </w:rPr>
            <w:t>63197-9000</w:t>
          </w:r>
        </w:smartTag>
      </w:smartTag>
      <w:r>
        <w:rPr>
          <w:rFonts w:eastAsia="MS Mincho"/>
        </w:rPr>
        <w:t xml:space="preserve">, or sent via overnight mail to U.S. Bank – Government Lockbox #979088, SL-MO-C2-GL, 1005 </w:t>
      </w:r>
      <w:smartTag w:uri="urn:schemas-microsoft-com:office:smarttags" w:element="PlaceName">
        <w:r>
          <w:rPr>
            <w:rFonts w:eastAsia="MS Mincho"/>
          </w:rPr>
          <w:t>Convention</w:t>
        </w:r>
      </w:smartTag>
      <w:r>
        <w:rPr>
          <w:rFonts w:eastAsia="MS Mincho"/>
        </w:rPr>
        <w:t xml:space="preserve"> </w:t>
      </w:r>
      <w:smartTag w:uri="urn:schemas-microsoft-com:office:smarttags" w:element="PlaceType">
        <w:r>
          <w:rPr>
            <w:rFonts w:eastAsia="MS Mincho"/>
          </w:rPr>
          <w:t>Plaza</w:t>
        </w:r>
      </w:smartTag>
      <w:r>
        <w:rPr>
          <w:rFonts w:eastAsia="MS Mincho"/>
        </w:rPr>
        <w:t xml:space="preserve">, </w:t>
      </w:r>
      <w:smartTag w:uri="urn:schemas-microsoft-com:office:smarttags" w:element="place">
        <w:smartTag w:uri="urn:schemas-microsoft-com:office:smarttags" w:element="City">
          <w:r>
            <w:rPr>
              <w:rFonts w:eastAsia="MS Mincho"/>
            </w:rPr>
            <w:t>St. Louis</w:t>
          </w:r>
        </w:smartTag>
        <w:r>
          <w:rPr>
            <w:rFonts w:eastAsia="MS Mincho"/>
          </w:rPr>
          <w:t xml:space="preserve">, </w:t>
        </w:r>
        <w:smartTag w:uri="urn:schemas-microsoft-com:office:smarttags" w:element="State">
          <w:r>
            <w:rPr>
              <w:rFonts w:eastAsia="MS Mincho"/>
            </w:rPr>
            <w:t>MO</w:t>
          </w:r>
        </w:smartTag>
        <w:r>
          <w:rPr>
            <w:rFonts w:eastAsia="MS Mincho"/>
          </w:rPr>
          <w:t xml:space="preserve"> </w:t>
        </w:r>
        <w:smartTag w:uri="urn:schemas-microsoft-com:office:smarttags" w:element="PostalCode">
          <w:r>
            <w:rPr>
              <w:rFonts w:eastAsia="MS Mincho"/>
            </w:rPr>
            <w:t>63101</w:t>
          </w:r>
        </w:smartTag>
      </w:smartTag>
      <w:r>
        <w:rPr>
          <w:rFonts w:eastAsia="MS Mincho"/>
        </w:rPr>
        <w:t xml:space="preserve">.  </w:t>
      </w:r>
    </w:p>
    <w:p w:rsidR="00C04776" w:rsidRDefault="00C04776" w:rsidP="00C04776">
      <w:pPr>
        <w:pStyle w:val="ParaNum"/>
        <w:numPr>
          <w:ilvl w:val="0"/>
          <w:numId w:val="10"/>
        </w:numPr>
        <w:snapToGrid w:val="0"/>
        <w:spacing w:after="120"/>
        <w:rPr>
          <w:rFonts w:eastAsia="MS Mincho"/>
        </w:rPr>
      </w:pPr>
      <w:r>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C04776" w:rsidRDefault="00C04776" w:rsidP="00C04776">
      <w:pPr>
        <w:pStyle w:val="ParaNum"/>
        <w:numPr>
          <w:ilvl w:val="0"/>
          <w:numId w:val="10"/>
        </w:numPr>
        <w:snapToGrid w:val="0"/>
        <w:spacing w:after="120"/>
        <w:rPr>
          <w:rFonts w:eastAsia="MS Mincho"/>
        </w:rPr>
      </w:pPr>
      <w:r>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w:t>
      </w:r>
      <w:smartTag w:uri="urn:schemas-microsoft-com:office:smarttags" w:element="address">
        <w:smartTag w:uri="urn:schemas-microsoft-com:office:smarttags" w:element="Street">
          <w:r>
            <w:rPr>
              <w:rFonts w:eastAsia="MS Mincho"/>
            </w:rPr>
            <w:t>P.O. Box 979088</w:t>
          </w:r>
        </w:smartTag>
        <w:r>
          <w:rPr>
            <w:rFonts w:eastAsia="MS Mincho"/>
          </w:rPr>
          <w:t xml:space="preserve">, </w:t>
        </w:r>
        <w:smartTag w:uri="urn:schemas-microsoft-com:office:smarttags" w:element="City">
          <w:r>
            <w:rPr>
              <w:rFonts w:eastAsia="MS Mincho"/>
            </w:rPr>
            <w:t>St. Louis</w:t>
          </w:r>
        </w:smartTag>
        <w:r>
          <w:rPr>
            <w:rFonts w:eastAsia="MS Mincho"/>
          </w:rPr>
          <w:t xml:space="preserve">, </w:t>
        </w:r>
        <w:smartTag w:uri="urn:schemas-microsoft-com:office:smarttags" w:element="State">
          <w:r>
            <w:rPr>
              <w:rFonts w:eastAsia="MS Mincho"/>
            </w:rPr>
            <w:t>MO</w:t>
          </w:r>
        </w:smartTag>
        <w:r>
          <w:rPr>
            <w:rFonts w:eastAsia="MS Mincho"/>
          </w:rPr>
          <w:t xml:space="preserve"> </w:t>
        </w:r>
        <w:smartTag w:uri="urn:schemas-microsoft-com:office:smarttags" w:element="PostalCode">
          <w:r>
            <w:rPr>
              <w:rFonts w:eastAsia="MS Mincho"/>
            </w:rPr>
            <w:t>63197-9000</w:t>
          </w:r>
        </w:smartTag>
      </w:smartTag>
      <w:r>
        <w:rPr>
          <w:rFonts w:eastAsia="MS Mincho"/>
        </w:rPr>
        <w:t xml:space="preserve">, or sent via overnight mail to U.S. Bank – Government Lockbox #979088, SL-MO-C2-GL, 1005 </w:t>
      </w:r>
      <w:smartTag w:uri="urn:schemas-microsoft-com:office:smarttags" w:element="PlaceName">
        <w:r>
          <w:rPr>
            <w:rFonts w:eastAsia="MS Mincho"/>
          </w:rPr>
          <w:t>Convention</w:t>
        </w:r>
      </w:smartTag>
      <w:r>
        <w:rPr>
          <w:rFonts w:eastAsia="MS Mincho"/>
        </w:rPr>
        <w:t xml:space="preserve"> </w:t>
      </w:r>
      <w:smartTag w:uri="urn:schemas-microsoft-com:office:smarttags" w:element="PlaceType">
        <w:r>
          <w:rPr>
            <w:rFonts w:eastAsia="MS Mincho"/>
          </w:rPr>
          <w:t>Plaza</w:t>
        </w:r>
      </w:smartTag>
      <w:r>
        <w:rPr>
          <w:rFonts w:eastAsia="MS Mincho"/>
        </w:rPr>
        <w:t xml:space="preserve">, </w:t>
      </w:r>
      <w:smartTag w:uri="urn:schemas-microsoft-com:office:smarttags" w:element="place">
        <w:smartTag w:uri="urn:schemas-microsoft-com:office:smarttags" w:element="City">
          <w:r>
            <w:rPr>
              <w:rFonts w:eastAsia="MS Mincho"/>
            </w:rPr>
            <w:t>St. Louis</w:t>
          </w:r>
        </w:smartTag>
        <w:r>
          <w:rPr>
            <w:rFonts w:eastAsia="MS Mincho"/>
          </w:rPr>
          <w:t xml:space="preserve">, </w:t>
        </w:r>
        <w:smartTag w:uri="urn:schemas-microsoft-com:office:smarttags" w:element="State">
          <w:r>
            <w:rPr>
              <w:rFonts w:eastAsia="MS Mincho"/>
            </w:rPr>
            <w:t>MO</w:t>
          </w:r>
        </w:smartTag>
        <w:r>
          <w:rPr>
            <w:rFonts w:eastAsia="MS Mincho"/>
          </w:rPr>
          <w:t xml:space="preserve"> </w:t>
        </w:r>
        <w:smartTag w:uri="urn:schemas-microsoft-com:office:smarttags" w:element="PostalCode">
          <w:r>
            <w:rPr>
              <w:rFonts w:eastAsia="MS Mincho"/>
            </w:rPr>
            <w:t>63101</w:t>
          </w:r>
        </w:smartTag>
      </w:smartTag>
      <w:r>
        <w:rPr>
          <w:rFonts w:eastAsia="MS Mincho"/>
        </w:rPr>
        <w:t xml:space="preserve">.  </w:t>
      </w:r>
    </w:p>
    <w:p w:rsidR="00C04776" w:rsidRDefault="00C04776" w:rsidP="00C04776">
      <w:pPr>
        <w:pStyle w:val="ListParagraph"/>
      </w:pPr>
    </w:p>
    <w:p w:rsidR="00C04776" w:rsidRPr="00C04776" w:rsidRDefault="00322659" w:rsidP="00C04776">
      <w:pPr>
        <w:pStyle w:val="ParaNum"/>
        <w:widowControl w:val="0"/>
        <w:numPr>
          <w:ilvl w:val="0"/>
          <w:numId w:val="1"/>
        </w:numPr>
        <w:tabs>
          <w:tab w:val="clear" w:pos="1080"/>
        </w:tabs>
        <w:spacing w:after="0" w:line="240" w:lineRule="atLeast"/>
        <w:rPr>
          <w:b/>
        </w:rPr>
      </w:pPr>
      <w:r>
        <w:t>Any</w:t>
      </w:r>
      <w:r w:rsidRPr="00C04776">
        <w:rPr>
          <w:rFonts w:eastAsia="MS Mincho"/>
        </w:rPr>
        <w:t xml:space="preserve"> request for full payment </w:t>
      </w:r>
      <w:r w:rsidR="00C966D3">
        <w:rPr>
          <w:rFonts w:eastAsia="MS Mincho"/>
        </w:rPr>
        <w:t xml:space="preserve">over time </w:t>
      </w:r>
      <w:r w:rsidRPr="00C04776">
        <w:rPr>
          <w:rFonts w:eastAsia="MS Mincho"/>
        </w:rPr>
        <w:t>under an installment plan should be sent to:  Chief Financial Officer—</w:t>
      </w:r>
      <w:r>
        <w:t>Financial</w:t>
      </w:r>
      <w:r w:rsidRPr="00C04776">
        <w:rPr>
          <w:rFonts w:eastAsia="MS Mincho"/>
        </w:rPr>
        <w:t xml:space="preserve"> Operations, Federal Communications Commission, 445 12th Street, S.W., Room 1-A625, Washington, D.C.  20554.</w:t>
      </w:r>
      <w:r>
        <w:rPr>
          <w:rStyle w:val="FootnoteReference"/>
          <w:rFonts w:eastAsia="MS Mincho"/>
        </w:rPr>
        <w:footnoteReference w:id="33"/>
      </w:r>
      <w:r w:rsidRPr="00C04776">
        <w:rPr>
          <w:rFonts w:eastAsia="MS Mincho"/>
        </w:rPr>
        <w:t>  If you have questions regarding payment procedures, please contact the Financial Operations Group Help Desk by phone, 1-877-480-3201, or by e</w:t>
      </w:r>
      <w:r w:rsidRPr="00C04776">
        <w:rPr>
          <w:rFonts w:eastAsia="MS Mincho"/>
        </w:rPr>
        <w:noBreakHyphen/>
        <w:t xml:space="preserve">mail, </w:t>
      </w:r>
      <w:r w:rsidRPr="00562382">
        <w:rPr>
          <w:rFonts w:eastAsia="MS Mincho"/>
        </w:rPr>
        <w:t>ARINQUIRIES@fcc.gov</w:t>
      </w:r>
      <w:r w:rsidRPr="00C04776">
        <w:rPr>
          <w:rFonts w:eastAsia="MS Mincho"/>
        </w:rPr>
        <w:t>.</w:t>
      </w:r>
    </w:p>
    <w:p w:rsidR="00C04776" w:rsidRDefault="00C04776" w:rsidP="00C04776">
      <w:pPr>
        <w:pStyle w:val="ListParagraph"/>
        <w:rPr>
          <w:b/>
        </w:rPr>
      </w:pPr>
    </w:p>
    <w:p w:rsidR="00322659" w:rsidRPr="00C04776" w:rsidRDefault="00322659" w:rsidP="00C04776">
      <w:pPr>
        <w:pStyle w:val="ParaNum"/>
        <w:widowControl w:val="0"/>
        <w:numPr>
          <w:ilvl w:val="0"/>
          <w:numId w:val="1"/>
        </w:numPr>
        <w:tabs>
          <w:tab w:val="clear" w:pos="1080"/>
        </w:tabs>
        <w:spacing w:after="0" w:line="240" w:lineRule="atLeast"/>
        <w:rPr>
          <w:b/>
        </w:rPr>
      </w:pPr>
      <w:r w:rsidRPr="00C04776">
        <w:rPr>
          <w:b/>
        </w:rPr>
        <w:t>IT IS FURTHER ORDERED</w:t>
      </w:r>
      <w:r>
        <w:t xml:space="preserve"> that a copy of this Order shall be sent by both First Class and Certified Mail, Return Receipt Requested, to</w:t>
      </w:r>
      <w:r w:rsidR="00D344D9" w:rsidRPr="00D344D9">
        <w:t xml:space="preserve"> </w:t>
      </w:r>
      <w:r w:rsidR="00CF4CE0">
        <w:t xml:space="preserve">Skybeam Acquisition Corporation, </w:t>
      </w:r>
      <w:r w:rsidR="00CF4CE0" w:rsidRPr="00900B4A">
        <w:rPr>
          <w:color w:val="000000"/>
          <w:spacing w:val="-2"/>
        </w:rPr>
        <w:t>400 Inverness Parkway, Suite 330, Englewood, Colorado 80112</w:t>
      </w:r>
      <w:r w:rsidR="00CF4CE0">
        <w:rPr>
          <w:color w:val="000000"/>
          <w:spacing w:val="-2"/>
        </w:rPr>
        <w:t>, a</w:t>
      </w:r>
      <w:r w:rsidRPr="00D344D9">
        <w:t xml:space="preserve">nd to its counsel, </w:t>
      </w:r>
      <w:r w:rsidR="00CF4CE0">
        <w:t>K.C. Halm,</w:t>
      </w:r>
      <w:r w:rsidR="00FD635B">
        <w:t xml:space="preserve"> Esquire,</w:t>
      </w:r>
      <w:r w:rsidR="00CF4CE0">
        <w:t xml:space="preserve"> Davis Wright Tremaine LLP, 1919 Pennsylvania Avenue, NW, Suite 800</w:t>
      </w:r>
      <w:r w:rsidR="00D344D9">
        <w:t>, Washington, D.C. 200</w:t>
      </w:r>
      <w:r w:rsidR="00CF4CE0">
        <w:t>0</w:t>
      </w:r>
      <w:r w:rsidR="00D344D9">
        <w:t>6.</w:t>
      </w:r>
    </w:p>
    <w:p w:rsidR="00322659" w:rsidRPr="00D344D9" w:rsidRDefault="00322659">
      <w:pPr>
        <w:pStyle w:val="ListParagraph"/>
        <w:rPr>
          <w:color w:val="000000"/>
        </w:rPr>
      </w:pPr>
    </w:p>
    <w:p w:rsidR="00322659" w:rsidRPr="00D344D9" w:rsidRDefault="00322659">
      <w:pPr>
        <w:widowControl w:val="0"/>
        <w:tabs>
          <w:tab w:val="left" w:pos="0"/>
        </w:tabs>
        <w:suppressAutoHyphens/>
        <w:autoSpaceDE w:val="0"/>
        <w:autoSpaceDN w:val="0"/>
        <w:adjustRightInd w:val="0"/>
        <w:spacing w:line="240" w:lineRule="atLeast"/>
        <w:ind w:left="720"/>
        <w:rPr>
          <w:color w:val="000000"/>
        </w:rPr>
      </w:pPr>
    </w:p>
    <w:p w:rsidR="00322659" w:rsidRDefault="00322659">
      <w:pPr>
        <w:pStyle w:val="ParaNum"/>
        <w:numPr>
          <w:ilvl w:val="0"/>
          <w:numId w:val="0"/>
        </w:numPr>
        <w:spacing w:after="0"/>
        <w:ind w:left="4320"/>
      </w:pPr>
      <w:r>
        <w:t>FEDERAL COMMUNICATIONS COMMISSION</w:t>
      </w:r>
    </w:p>
    <w:p w:rsidR="00322659" w:rsidRDefault="00322659">
      <w:pPr>
        <w:pStyle w:val="ParaNum"/>
        <w:numPr>
          <w:ilvl w:val="0"/>
          <w:numId w:val="0"/>
        </w:numPr>
        <w:spacing w:after="0"/>
        <w:ind w:left="4320"/>
      </w:pPr>
    </w:p>
    <w:p w:rsidR="00322659" w:rsidRDefault="00322659">
      <w:pPr>
        <w:pStyle w:val="ParaNum"/>
        <w:numPr>
          <w:ilvl w:val="0"/>
          <w:numId w:val="0"/>
        </w:numPr>
        <w:spacing w:after="0"/>
        <w:ind w:left="4320"/>
      </w:pPr>
    </w:p>
    <w:p w:rsidR="00322659" w:rsidRDefault="00322659">
      <w:pPr>
        <w:pStyle w:val="ParaNum"/>
        <w:numPr>
          <w:ilvl w:val="0"/>
          <w:numId w:val="0"/>
        </w:numPr>
        <w:spacing w:after="0"/>
        <w:ind w:left="4320"/>
      </w:pPr>
    </w:p>
    <w:p w:rsidR="00322659" w:rsidRDefault="00322659">
      <w:pPr>
        <w:pStyle w:val="ParaNum"/>
        <w:numPr>
          <w:ilvl w:val="0"/>
          <w:numId w:val="0"/>
        </w:numPr>
        <w:spacing w:after="0"/>
        <w:ind w:left="4320"/>
      </w:pPr>
    </w:p>
    <w:p w:rsidR="00322659" w:rsidRDefault="00CF4CE0">
      <w:pPr>
        <w:pStyle w:val="ParaNum"/>
        <w:numPr>
          <w:ilvl w:val="0"/>
          <w:numId w:val="0"/>
        </w:numPr>
        <w:spacing w:after="0"/>
        <w:ind w:left="3600" w:firstLine="720"/>
      </w:pPr>
      <w:r>
        <w:t>Rebecca L. Dorch</w:t>
      </w:r>
    </w:p>
    <w:p w:rsidR="00CF4CE0" w:rsidRDefault="00CF4CE0">
      <w:pPr>
        <w:pStyle w:val="ParaNum"/>
        <w:numPr>
          <w:ilvl w:val="0"/>
          <w:numId w:val="0"/>
        </w:numPr>
        <w:spacing w:after="0"/>
        <w:ind w:left="3600" w:firstLine="720"/>
      </w:pPr>
      <w:r>
        <w:t>Regional Director, Western Region</w:t>
      </w:r>
    </w:p>
    <w:p w:rsidR="00322659" w:rsidRDefault="00CF4CE0" w:rsidP="00CF4CE0">
      <w:pPr>
        <w:pStyle w:val="ParaNum"/>
        <w:numPr>
          <w:ilvl w:val="0"/>
          <w:numId w:val="0"/>
        </w:numPr>
        <w:spacing w:after="0"/>
        <w:ind w:firstLine="720"/>
      </w:pPr>
      <w:r>
        <w:t>`</w:t>
      </w:r>
      <w:r>
        <w:tab/>
      </w:r>
      <w:r>
        <w:tab/>
      </w:r>
      <w:r>
        <w:tab/>
      </w:r>
      <w:r>
        <w:tab/>
      </w:r>
      <w:r>
        <w:tab/>
      </w:r>
      <w:r w:rsidR="00D344D9">
        <w:t>En</w:t>
      </w:r>
      <w:r w:rsidR="00322659">
        <w:t>forcement Bureau</w:t>
      </w:r>
    </w:p>
    <w:sectPr w:rsidR="0032265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41" w:rsidRDefault="00474D41">
      <w:r>
        <w:separator/>
      </w:r>
    </w:p>
  </w:endnote>
  <w:endnote w:type="continuationSeparator" w:id="0">
    <w:p w:rsidR="00474D41" w:rsidRDefault="0047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59" w:rsidRDefault="00322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659" w:rsidRDefault="00322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59" w:rsidRDefault="00322659">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562382">
      <w:rPr>
        <w:rStyle w:val="PageNumber"/>
        <w:noProof/>
        <w:sz w:val="20"/>
        <w:szCs w:val="20"/>
      </w:rPr>
      <w:t>5</w:t>
    </w:r>
    <w:r>
      <w:rPr>
        <w:rStyle w:val="PageNumber"/>
        <w:sz w:val="20"/>
        <w:szCs w:val="20"/>
      </w:rPr>
      <w:fldChar w:fldCharType="end"/>
    </w:r>
  </w:p>
  <w:p w:rsidR="00937D49" w:rsidRDefault="00937D49" w:rsidP="00E97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2B" w:rsidRDefault="00916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41" w:rsidRDefault="00474D41">
      <w:r>
        <w:separator/>
      </w:r>
    </w:p>
  </w:footnote>
  <w:footnote w:type="continuationSeparator" w:id="0">
    <w:p w:rsidR="00474D41" w:rsidRDefault="00474D41">
      <w:r>
        <w:continuationSeparator/>
      </w:r>
    </w:p>
  </w:footnote>
  <w:footnote w:id="1">
    <w:p w:rsidR="00780DD6" w:rsidRPr="004A32A2" w:rsidRDefault="00780DD6" w:rsidP="00780DD6">
      <w:pPr>
        <w:pStyle w:val="FootnoteText"/>
        <w:ind w:firstLine="0"/>
        <w:jc w:val="left"/>
        <w:rPr>
          <w:color w:val="000000"/>
        </w:rPr>
      </w:pPr>
      <w:r w:rsidRPr="004A32A2">
        <w:rPr>
          <w:rStyle w:val="FootnoteReference"/>
          <w:color w:val="000000"/>
        </w:rPr>
        <w:footnoteRef/>
      </w:r>
      <w:r w:rsidRPr="004A32A2">
        <w:rPr>
          <w:color w:val="000000"/>
        </w:rPr>
        <w:t xml:space="preserve"> 47 U.S.C. §§ 301, 302a(b).</w:t>
      </w:r>
    </w:p>
  </w:footnote>
  <w:footnote w:id="2">
    <w:p w:rsidR="00780DD6" w:rsidRPr="004A32A2" w:rsidRDefault="00780DD6" w:rsidP="00780DD6">
      <w:pPr>
        <w:pStyle w:val="FootnoteText"/>
        <w:ind w:firstLine="0"/>
        <w:jc w:val="left"/>
        <w:rPr>
          <w:color w:val="000000"/>
        </w:rPr>
      </w:pPr>
      <w:r w:rsidRPr="004A32A2">
        <w:rPr>
          <w:rStyle w:val="FootnoteReference"/>
          <w:color w:val="000000"/>
        </w:rPr>
        <w:footnoteRef/>
      </w:r>
      <w:r w:rsidRPr="004A32A2">
        <w:rPr>
          <w:color w:val="000000"/>
        </w:rPr>
        <w:t xml:space="preserve"> 47 C.F.R. § 15.1(b), (c).</w:t>
      </w:r>
    </w:p>
  </w:footnote>
  <w:footnote w:id="3">
    <w:p w:rsidR="00780DD6" w:rsidRDefault="00780DD6" w:rsidP="00780DD6">
      <w:pPr>
        <w:pStyle w:val="FootnoteText"/>
        <w:ind w:firstLine="0"/>
        <w:jc w:val="left"/>
      </w:pPr>
      <w:r>
        <w:rPr>
          <w:rStyle w:val="FootnoteReference"/>
        </w:rPr>
        <w:footnoteRef/>
      </w:r>
      <w:r>
        <w:t xml:space="preserve"> 47 C.F.R. §§ 15.1 </w:t>
      </w:r>
      <w:r>
        <w:rPr>
          <w:i/>
        </w:rPr>
        <w:t>et seq.</w:t>
      </w:r>
    </w:p>
  </w:footnote>
  <w:footnote w:id="4">
    <w:p w:rsidR="00780DD6" w:rsidRDefault="00780DD6" w:rsidP="00780DD6">
      <w:pPr>
        <w:pStyle w:val="FootnoteText"/>
        <w:ind w:firstLine="0"/>
        <w:jc w:val="left"/>
      </w:pPr>
      <w:r>
        <w:rPr>
          <w:rStyle w:val="FootnoteReference"/>
        </w:rPr>
        <w:footnoteRef/>
      </w:r>
      <w:r>
        <w:t xml:space="preserve"> 47 C.F.R. §§ 15.1, 15.407. </w:t>
      </w:r>
    </w:p>
  </w:footnote>
  <w:footnote w:id="5">
    <w:p w:rsidR="00764554" w:rsidRDefault="00764554" w:rsidP="00764554">
      <w:pPr>
        <w:pStyle w:val="FootnoteText"/>
        <w:widowControl/>
        <w:ind w:firstLine="0"/>
        <w:jc w:val="left"/>
        <w:rPr>
          <w:szCs w:val="20"/>
        </w:rPr>
      </w:pPr>
      <w:r>
        <w:rPr>
          <w:rStyle w:val="FootnoteReference"/>
        </w:rPr>
        <w:footnoteRef/>
      </w:r>
      <w:r>
        <w:t xml:space="preserve"> </w:t>
      </w:r>
      <w:r w:rsidR="00EF6A34">
        <w:rPr>
          <w:i/>
          <w:szCs w:val="20"/>
        </w:rPr>
        <w:t>Skybeam Acquisition Corporation</w:t>
      </w:r>
      <w:r w:rsidR="00EF6A34">
        <w:rPr>
          <w:szCs w:val="20"/>
        </w:rPr>
        <w:t xml:space="preserve">, Notice of Apparent Liability for Forfeiture and Order, 27 FCC Rcd 11337, </w:t>
      </w:r>
      <w:r w:rsidR="00EF6A34">
        <w:t>11338–11339</w:t>
      </w:r>
      <w:r w:rsidR="00EF6A34">
        <w:rPr>
          <w:szCs w:val="20"/>
        </w:rPr>
        <w:t xml:space="preserve"> (Enf. Bur. 2012) (</w:t>
      </w:r>
      <w:r w:rsidR="00EF6A34">
        <w:rPr>
          <w:i/>
          <w:szCs w:val="20"/>
        </w:rPr>
        <w:t>NAL</w:t>
      </w:r>
      <w:r w:rsidR="00EF6A34">
        <w:rPr>
          <w:szCs w:val="20"/>
        </w:rPr>
        <w:t xml:space="preserve">).  A comprehensive recitation of the facts and history of this case can be found in the </w:t>
      </w:r>
      <w:r w:rsidR="00EF6A34">
        <w:rPr>
          <w:i/>
          <w:szCs w:val="20"/>
        </w:rPr>
        <w:t>NAL</w:t>
      </w:r>
      <w:r w:rsidR="00EF6A34">
        <w:rPr>
          <w:szCs w:val="20"/>
        </w:rPr>
        <w:t xml:space="preserve"> and is incorporated herein by reference.</w:t>
      </w:r>
    </w:p>
  </w:footnote>
  <w:footnote w:id="6">
    <w:p w:rsidR="00911446" w:rsidRPr="004A32A2" w:rsidRDefault="00911446" w:rsidP="00911446">
      <w:pPr>
        <w:pStyle w:val="NumberedList"/>
        <w:numPr>
          <w:ilvl w:val="0"/>
          <w:numId w:val="0"/>
        </w:numPr>
        <w:spacing w:after="120"/>
        <w:rPr>
          <w:color w:val="000000"/>
        </w:rPr>
      </w:pPr>
      <w:r w:rsidRPr="004A32A2">
        <w:rPr>
          <w:rStyle w:val="FootnoteReference"/>
          <w:color w:val="000000"/>
        </w:rPr>
        <w:footnoteRef/>
      </w:r>
      <w:r w:rsidRPr="004A32A2">
        <w:rPr>
          <w:color w:val="000000"/>
        </w:rPr>
        <w:t xml:space="preserve"> The device was a Motorola Canopy model # BH5700BH20, FCC ID ABZ89FC5804 (Model 5700xx Canopy radio (Wireless Ethernet)).  </w:t>
      </w:r>
      <w:r w:rsidR="00EF6A34">
        <w:rPr>
          <w:color w:val="000000"/>
        </w:rPr>
        <w:t>O</w:t>
      </w:r>
      <w:r w:rsidR="00EF6A34" w:rsidRPr="004A32A2">
        <w:rPr>
          <w:color w:val="000000"/>
        </w:rPr>
        <w:t>n June 4, 2003</w:t>
      </w:r>
      <w:r w:rsidR="00EF6A34">
        <w:rPr>
          <w:color w:val="000000"/>
        </w:rPr>
        <w:t xml:space="preserve">, </w:t>
      </w:r>
      <w:r w:rsidRPr="004A32A2">
        <w:rPr>
          <w:color w:val="000000"/>
        </w:rPr>
        <w:t>Motorola Solutions, Inc</w:t>
      </w:r>
      <w:r w:rsidR="00EF6A34">
        <w:rPr>
          <w:color w:val="000000"/>
        </w:rPr>
        <w:t>. received</w:t>
      </w:r>
      <w:r w:rsidRPr="004A32A2">
        <w:rPr>
          <w:color w:val="000000"/>
        </w:rPr>
        <w:t xml:space="preserve"> a Grant of Equipment Authorization for the Motorola 5700xx Canopy radio </w:t>
      </w:r>
      <w:r w:rsidR="00EF6A34">
        <w:rPr>
          <w:color w:val="000000"/>
        </w:rPr>
        <w:t xml:space="preserve">from </w:t>
      </w:r>
      <w:r w:rsidRPr="004A32A2">
        <w:rPr>
          <w:color w:val="000000"/>
        </w:rPr>
        <w:t>Elite Electronic Engineering, Inc. under the authority of the FCC.</w:t>
      </w:r>
    </w:p>
  </w:footnote>
  <w:footnote w:id="7">
    <w:p w:rsidR="00911446" w:rsidRPr="004A32A2" w:rsidRDefault="00911446" w:rsidP="00925967">
      <w:pPr>
        <w:pStyle w:val="FootnoteText"/>
        <w:ind w:firstLine="0"/>
        <w:jc w:val="left"/>
        <w:rPr>
          <w:color w:val="000000"/>
        </w:rPr>
      </w:pPr>
      <w:r w:rsidRPr="004A32A2">
        <w:rPr>
          <w:rStyle w:val="FootnoteReference"/>
          <w:color w:val="000000"/>
        </w:rPr>
        <w:footnoteRef/>
      </w:r>
      <w:r w:rsidRPr="004A32A2">
        <w:rPr>
          <w:color w:val="000000"/>
        </w:rPr>
        <w:t xml:space="preserve"> The Equipment Authorization for the Motorola Canopy 5700BH20 transceiver states that the device is certified for use pursuant to Part 15, Subpart C of the Rules (Intentional Radiators).  </w:t>
      </w:r>
    </w:p>
  </w:footnote>
  <w:footnote w:id="8">
    <w:p w:rsidR="00925967" w:rsidRDefault="00925967" w:rsidP="00B373FD">
      <w:pPr>
        <w:pStyle w:val="NumberedList"/>
        <w:widowControl/>
        <w:numPr>
          <w:ilvl w:val="0"/>
          <w:numId w:val="0"/>
        </w:numPr>
        <w:spacing w:after="120"/>
      </w:pPr>
      <w:r>
        <w:rPr>
          <w:rStyle w:val="FootnoteReference"/>
        </w:rPr>
        <w:footnoteRef/>
      </w:r>
      <w:r>
        <w:t xml:space="preserve"> </w:t>
      </w:r>
      <w:r w:rsidRPr="00911446">
        <w:rPr>
          <w:color w:val="000000"/>
        </w:rPr>
        <w:t>The interference to the Denver TDWR ceased as a result of Skybeam’s adjustment to the transceiver’s operating frequency.</w:t>
      </w:r>
    </w:p>
  </w:footnote>
  <w:footnote w:id="9">
    <w:p w:rsidR="00F56E7E" w:rsidRPr="00507B65" w:rsidRDefault="00F56E7E" w:rsidP="00F56E7E">
      <w:pPr>
        <w:pStyle w:val="FootnoteText"/>
        <w:ind w:firstLine="0"/>
        <w:jc w:val="left"/>
        <w:rPr>
          <w:szCs w:val="20"/>
        </w:rPr>
      </w:pPr>
      <w:r>
        <w:rPr>
          <w:rStyle w:val="FootnoteReference"/>
        </w:rPr>
        <w:footnoteRef/>
      </w:r>
      <w:r>
        <w:t xml:space="preserve"> </w:t>
      </w:r>
      <w:r w:rsidRPr="00507B65">
        <w:rPr>
          <w:szCs w:val="20"/>
        </w:rPr>
        <w:t xml:space="preserve">Response of </w:t>
      </w:r>
      <w:r w:rsidR="00B373FD" w:rsidRPr="00507B65">
        <w:rPr>
          <w:szCs w:val="20"/>
        </w:rPr>
        <w:t>Skybeam</w:t>
      </w:r>
      <w:r w:rsidRPr="00507B65">
        <w:rPr>
          <w:szCs w:val="20"/>
        </w:rPr>
        <w:t xml:space="preserve"> </w:t>
      </w:r>
      <w:r w:rsidR="00B373FD" w:rsidRPr="00507B65">
        <w:rPr>
          <w:szCs w:val="20"/>
        </w:rPr>
        <w:t>Acquisition Corporation</w:t>
      </w:r>
      <w:r w:rsidR="00A37673">
        <w:rPr>
          <w:szCs w:val="20"/>
        </w:rPr>
        <w:t xml:space="preserve"> and LP Broadband</w:t>
      </w:r>
      <w:r w:rsidR="00B373FD" w:rsidRPr="00507B65">
        <w:rPr>
          <w:szCs w:val="20"/>
        </w:rPr>
        <w:t xml:space="preserve"> </w:t>
      </w:r>
      <w:r w:rsidRPr="00507B65">
        <w:rPr>
          <w:szCs w:val="20"/>
        </w:rPr>
        <w:t>(</w:t>
      </w:r>
      <w:r w:rsidR="00B373FD" w:rsidRPr="00507B65">
        <w:rPr>
          <w:szCs w:val="20"/>
        </w:rPr>
        <w:t>Oct. 26</w:t>
      </w:r>
      <w:r w:rsidRPr="00507B65">
        <w:rPr>
          <w:szCs w:val="20"/>
        </w:rPr>
        <w:t>, 201</w:t>
      </w:r>
      <w:r w:rsidR="00B373FD" w:rsidRPr="00507B65">
        <w:rPr>
          <w:szCs w:val="20"/>
        </w:rPr>
        <w:t>2</w:t>
      </w:r>
      <w:r w:rsidRPr="00507B65">
        <w:rPr>
          <w:szCs w:val="20"/>
        </w:rPr>
        <w:t xml:space="preserve">) (on file in </w:t>
      </w:r>
      <w:r w:rsidR="00B373FD" w:rsidRPr="00507B65">
        <w:rPr>
          <w:spacing w:val="-2"/>
          <w:szCs w:val="20"/>
        </w:rPr>
        <w:t>EB-FIELDWR-12-00002769</w:t>
      </w:r>
      <w:r w:rsidRPr="00507B65">
        <w:rPr>
          <w:szCs w:val="20"/>
        </w:rPr>
        <w:t>) (</w:t>
      </w:r>
      <w:r w:rsidR="00096300">
        <w:rPr>
          <w:i/>
          <w:szCs w:val="20"/>
        </w:rPr>
        <w:t xml:space="preserve">NAL </w:t>
      </w:r>
      <w:r w:rsidRPr="00507B65">
        <w:rPr>
          <w:i/>
          <w:szCs w:val="20"/>
        </w:rPr>
        <w:t>Response</w:t>
      </w:r>
      <w:r w:rsidRPr="00507B65">
        <w:rPr>
          <w:szCs w:val="20"/>
        </w:rPr>
        <w:t>).</w:t>
      </w:r>
      <w:r w:rsidR="000C6EBA" w:rsidRPr="00507B65">
        <w:rPr>
          <w:szCs w:val="20"/>
        </w:rPr>
        <w:t xml:space="preserve">  </w:t>
      </w:r>
      <w:r w:rsidR="00994B48" w:rsidRPr="00507B65">
        <w:rPr>
          <w:szCs w:val="20"/>
        </w:rPr>
        <w:t xml:space="preserve">We note that </w:t>
      </w:r>
      <w:r w:rsidR="00B373FD" w:rsidRPr="00507B65">
        <w:rPr>
          <w:szCs w:val="20"/>
        </w:rPr>
        <w:t>Skybeam</w:t>
      </w:r>
      <w:r w:rsidR="00994B48" w:rsidRPr="00507B65">
        <w:rPr>
          <w:szCs w:val="20"/>
        </w:rPr>
        <w:t xml:space="preserve"> does not object to, and has complied with, the directive in the </w:t>
      </w:r>
      <w:r w:rsidR="00994B48" w:rsidRPr="00507B65">
        <w:rPr>
          <w:i/>
          <w:szCs w:val="20"/>
        </w:rPr>
        <w:t>NAL</w:t>
      </w:r>
      <w:r w:rsidR="00994B48" w:rsidRPr="00507B65">
        <w:rPr>
          <w:szCs w:val="20"/>
        </w:rPr>
        <w:t xml:space="preserve"> ordering submi</w:t>
      </w:r>
      <w:r w:rsidR="004C3B5E">
        <w:rPr>
          <w:szCs w:val="20"/>
        </w:rPr>
        <w:t>ssion of</w:t>
      </w:r>
      <w:r w:rsidR="00994B48" w:rsidRPr="00507B65">
        <w:rPr>
          <w:szCs w:val="20"/>
        </w:rPr>
        <w:t xml:space="preserve"> a written statement, under penalty of perjury, stating that </w:t>
      </w:r>
      <w:r w:rsidR="004C3B5E">
        <w:rPr>
          <w:szCs w:val="20"/>
        </w:rPr>
        <w:t xml:space="preserve"> the </w:t>
      </w:r>
      <w:r w:rsidR="00994B48" w:rsidRPr="00507B65">
        <w:rPr>
          <w:szCs w:val="20"/>
        </w:rPr>
        <w:t>U-NII</w:t>
      </w:r>
      <w:r w:rsidR="00507B65">
        <w:rPr>
          <w:szCs w:val="20"/>
        </w:rPr>
        <w:t xml:space="preserve"> system </w:t>
      </w:r>
      <w:r w:rsidR="00994B48" w:rsidRPr="00507B65">
        <w:rPr>
          <w:szCs w:val="20"/>
        </w:rPr>
        <w:t>i</w:t>
      </w:r>
      <w:r w:rsidR="00045787">
        <w:rPr>
          <w:szCs w:val="20"/>
        </w:rPr>
        <w:t>s</w:t>
      </w:r>
      <w:r w:rsidR="00994B48" w:rsidRPr="00507B65">
        <w:rPr>
          <w:szCs w:val="20"/>
        </w:rPr>
        <w:t xml:space="preserve"> </w:t>
      </w:r>
      <w:r w:rsidR="004C3B5E">
        <w:rPr>
          <w:szCs w:val="20"/>
        </w:rPr>
        <w:t xml:space="preserve">operating in </w:t>
      </w:r>
      <w:r w:rsidR="00994B48" w:rsidRPr="00507B65">
        <w:rPr>
          <w:szCs w:val="20"/>
        </w:rPr>
        <w:t xml:space="preserve">compliance with </w:t>
      </w:r>
      <w:r w:rsidR="00507B65">
        <w:rPr>
          <w:szCs w:val="20"/>
        </w:rPr>
        <w:t>FCC rules and applicable authorizations</w:t>
      </w:r>
      <w:r w:rsidR="00994B48" w:rsidRPr="00507B65">
        <w:rPr>
          <w:szCs w:val="20"/>
        </w:rPr>
        <w:t xml:space="preserve">.  </w:t>
      </w:r>
      <w:r w:rsidR="009E5C54" w:rsidRPr="00507B65">
        <w:rPr>
          <w:i/>
          <w:szCs w:val="20"/>
        </w:rPr>
        <w:t>See</w:t>
      </w:r>
      <w:r w:rsidR="009E5C54" w:rsidRPr="00507B65">
        <w:rPr>
          <w:szCs w:val="20"/>
        </w:rPr>
        <w:t xml:space="preserve"> </w:t>
      </w:r>
      <w:r w:rsidR="009E5C54" w:rsidRPr="00507B65">
        <w:rPr>
          <w:i/>
          <w:szCs w:val="20"/>
        </w:rPr>
        <w:t>NAL,</w:t>
      </w:r>
      <w:r w:rsidR="009E5C54" w:rsidRPr="00507B65">
        <w:rPr>
          <w:szCs w:val="20"/>
        </w:rPr>
        <w:t xml:space="preserve"> </w:t>
      </w:r>
      <w:r w:rsidR="00507B65" w:rsidRPr="00507B65">
        <w:rPr>
          <w:szCs w:val="20"/>
        </w:rPr>
        <w:t>27</w:t>
      </w:r>
      <w:r w:rsidR="00994B48" w:rsidRPr="00507B65">
        <w:rPr>
          <w:szCs w:val="20"/>
        </w:rPr>
        <w:t xml:space="preserve"> FCC Rcd at 1</w:t>
      </w:r>
      <w:r w:rsidR="00507B65">
        <w:rPr>
          <w:szCs w:val="20"/>
        </w:rPr>
        <w:t>1341</w:t>
      </w:r>
      <w:r w:rsidR="004C3B5E">
        <w:rPr>
          <w:szCs w:val="20"/>
        </w:rPr>
        <w:t xml:space="preserve">, and </w:t>
      </w:r>
      <w:r w:rsidR="004C3B5E" w:rsidRPr="003832F7">
        <w:rPr>
          <w:i/>
          <w:szCs w:val="20"/>
        </w:rPr>
        <w:t>NAL Response</w:t>
      </w:r>
      <w:r w:rsidR="004C3B5E">
        <w:rPr>
          <w:szCs w:val="20"/>
        </w:rPr>
        <w:t xml:space="preserve"> at 3 and 5</w:t>
      </w:r>
      <w:r w:rsidR="00994B48" w:rsidRPr="00507B65">
        <w:rPr>
          <w:szCs w:val="20"/>
        </w:rPr>
        <w:t>.</w:t>
      </w:r>
      <w:r w:rsidR="004C3B5E">
        <w:rPr>
          <w:szCs w:val="20"/>
        </w:rPr>
        <w:t xml:space="preserve">  </w:t>
      </w:r>
      <w:r w:rsidR="002834CD" w:rsidRPr="002834CD">
        <w:rPr>
          <w:szCs w:val="20"/>
        </w:rPr>
        <w:t xml:space="preserve">LP Broadband, Inc., a corporation affiliated with Skybeam, holds numerous FCC licenses, including Common Carrier Fixed Point to Point Microwave (149 call signs), Microwave Industrial/Business Pool (five call signs), Industrial/Business Pool, Conventional (two call signs), Millimeter Wave 70/80/90 GHz Service (one call sign), and 3650-3700 MHz (three call signs).  </w:t>
      </w:r>
    </w:p>
  </w:footnote>
  <w:footnote w:id="10">
    <w:p w:rsidR="00CC2CD1" w:rsidRPr="00CC2CD1" w:rsidRDefault="00CC2CD1" w:rsidP="00F56E7E">
      <w:pPr>
        <w:pStyle w:val="FootnoteText"/>
        <w:ind w:firstLine="0"/>
        <w:rPr>
          <w:i/>
        </w:rPr>
      </w:pPr>
      <w:r>
        <w:rPr>
          <w:rStyle w:val="FootnoteReference"/>
        </w:rPr>
        <w:footnoteRef/>
      </w:r>
      <w:r>
        <w:t xml:space="preserve"> </w:t>
      </w:r>
      <w:r w:rsidR="00F56E7E">
        <w:rPr>
          <w:i/>
        </w:rPr>
        <w:t>See</w:t>
      </w:r>
      <w:r w:rsidR="003A39A6">
        <w:rPr>
          <w:i/>
        </w:rPr>
        <w:t xml:space="preserve"> </w:t>
      </w:r>
      <w:r w:rsidR="00096300">
        <w:rPr>
          <w:i/>
        </w:rPr>
        <w:t xml:space="preserve">NAL </w:t>
      </w:r>
      <w:r w:rsidR="003A39A6">
        <w:rPr>
          <w:i/>
        </w:rPr>
        <w:t xml:space="preserve">Response </w:t>
      </w:r>
      <w:r w:rsidR="00F56E7E">
        <w:t xml:space="preserve">at </w:t>
      </w:r>
      <w:r w:rsidR="00096300">
        <w:t>2</w:t>
      </w:r>
      <w:r w:rsidR="00F56E7E">
        <w:t>.</w:t>
      </w:r>
    </w:p>
  </w:footnote>
  <w:footnote w:id="11">
    <w:p w:rsidR="00CC2CD1" w:rsidRDefault="00CC2CD1" w:rsidP="00F56E7E">
      <w:pPr>
        <w:pStyle w:val="FootnoteText"/>
        <w:ind w:firstLine="0"/>
      </w:pPr>
      <w:r>
        <w:rPr>
          <w:rStyle w:val="FootnoteReference"/>
        </w:rPr>
        <w:footnoteRef/>
      </w:r>
      <w:r>
        <w:t xml:space="preserve"> </w:t>
      </w:r>
      <w:r w:rsidR="00F56E7E">
        <w:rPr>
          <w:i/>
        </w:rPr>
        <w:t xml:space="preserve">See id. </w:t>
      </w:r>
      <w:r w:rsidR="00F56E7E">
        <w:t xml:space="preserve">at </w:t>
      </w:r>
      <w:r w:rsidR="00096300">
        <w:t>2–3</w:t>
      </w:r>
      <w:r w:rsidR="00F56E7E">
        <w:t>.</w:t>
      </w:r>
    </w:p>
  </w:footnote>
  <w:footnote w:id="12">
    <w:p w:rsidR="00CC2CD1" w:rsidRPr="00096300" w:rsidRDefault="00CC2CD1" w:rsidP="00F56E7E">
      <w:pPr>
        <w:pStyle w:val="FootnoteText"/>
        <w:ind w:firstLine="0"/>
      </w:pPr>
      <w:r>
        <w:rPr>
          <w:rStyle w:val="FootnoteReference"/>
        </w:rPr>
        <w:footnoteRef/>
      </w:r>
      <w:r>
        <w:t xml:space="preserve"> </w:t>
      </w:r>
      <w:r w:rsidR="003A39A6">
        <w:rPr>
          <w:i/>
        </w:rPr>
        <w:t>See id</w:t>
      </w:r>
      <w:r w:rsidR="00E14012">
        <w:rPr>
          <w:i/>
        </w:rPr>
        <w:t>.</w:t>
      </w:r>
      <w:r w:rsidR="00096300">
        <w:rPr>
          <w:i/>
        </w:rPr>
        <w:t xml:space="preserve"> </w:t>
      </w:r>
      <w:r w:rsidR="00096300">
        <w:t xml:space="preserve">at 3–4. </w:t>
      </w:r>
    </w:p>
  </w:footnote>
  <w:footnote w:id="13">
    <w:p w:rsidR="00322659" w:rsidRDefault="00322659">
      <w:pPr>
        <w:pStyle w:val="FootnoteText"/>
        <w:ind w:firstLine="0"/>
        <w:jc w:val="left"/>
        <w:rPr>
          <w:szCs w:val="20"/>
        </w:rPr>
      </w:pPr>
      <w:r>
        <w:rPr>
          <w:rStyle w:val="FootnoteReference"/>
        </w:rPr>
        <w:footnoteRef/>
      </w:r>
      <w:r>
        <w:rPr>
          <w:szCs w:val="20"/>
        </w:rPr>
        <w:t xml:space="preserve"> 47 U.S.C. § 503(b).</w:t>
      </w:r>
    </w:p>
  </w:footnote>
  <w:footnote w:id="14">
    <w:p w:rsidR="00322659" w:rsidRDefault="00322659">
      <w:pPr>
        <w:pStyle w:val="FootnoteText"/>
        <w:ind w:firstLine="0"/>
        <w:jc w:val="left"/>
        <w:rPr>
          <w:szCs w:val="20"/>
        </w:rPr>
      </w:pPr>
      <w:r>
        <w:rPr>
          <w:rStyle w:val="FootnoteReference"/>
        </w:rPr>
        <w:footnoteRef/>
      </w:r>
      <w:r>
        <w:rPr>
          <w:szCs w:val="20"/>
        </w:rPr>
        <w:t xml:space="preserve"> 47 C.F.R. § 1.80.</w:t>
      </w:r>
    </w:p>
  </w:footnote>
  <w:footnote w:id="15">
    <w:p w:rsidR="00322659" w:rsidRDefault="00322659">
      <w:pPr>
        <w:pStyle w:val="FootnoteText"/>
        <w:ind w:firstLine="0"/>
        <w:jc w:val="left"/>
        <w:rPr>
          <w:szCs w:val="20"/>
        </w:rPr>
      </w:pPr>
      <w:r>
        <w:rPr>
          <w:rStyle w:val="FootnoteReference"/>
        </w:rPr>
        <w:footnoteRef/>
      </w:r>
      <w:r>
        <w:rPr>
          <w:szCs w:val="20"/>
        </w:rPr>
        <w:t xml:space="preserve"> </w:t>
      </w:r>
      <w:r>
        <w:rPr>
          <w:i/>
          <w:szCs w:val="20"/>
        </w:rPr>
        <w:t>The Commission’s Forfeiture Policy Statement and Amendment of Section 1.80 of the Rules to Incorporate the Forfeiture Guidelines</w:t>
      </w:r>
      <w:r>
        <w:rPr>
          <w:szCs w:val="20"/>
        </w:rPr>
        <w:t xml:space="preserve">, Report and Order, 12 FCC Rcd 17087 (1997), </w:t>
      </w:r>
      <w:r>
        <w:rPr>
          <w:i/>
          <w:szCs w:val="20"/>
        </w:rPr>
        <w:t>recons. denied</w:t>
      </w:r>
      <w:r>
        <w:rPr>
          <w:szCs w:val="20"/>
        </w:rPr>
        <w:t>, 15 FCC Rcd 303 (1999) (</w:t>
      </w:r>
      <w:r>
        <w:rPr>
          <w:i/>
          <w:szCs w:val="20"/>
        </w:rPr>
        <w:t>Forfeiture Policy Statement</w:t>
      </w:r>
      <w:r>
        <w:rPr>
          <w:szCs w:val="20"/>
        </w:rPr>
        <w:t xml:space="preserve">).  </w:t>
      </w:r>
    </w:p>
  </w:footnote>
  <w:footnote w:id="16">
    <w:p w:rsidR="00322659" w:rsidRDefault="00322659">
      <w:pPr>
        <w:pStyle w:val="FootnoteText"/>
        <w:ind w:firstLine="0"/>
        <w:jc w:val="left"/>
        <w:rPr>
          <w:szCs w:val="20"/>
        </w:rPr>
      </w:pPr>
      <w:r>
        <w:rPr>
          <w:rStyle w:val="FootnoteReference"/>
        </w:rPr>
        <w:footnoteRef/>
      </w:r>
      <w:r>
        <w:rPr>
          <w:szCs w:val="20"/>
        </w:rPr>
        <w:t xml:space="preserve"> 47 U.S.C. § 503(b)(2)(E).</w:t>
      </w:r>
    </w:p>
  </w:footnote>
  <w:footnote w:id="17">
    <w:p w:rsidR="00D75F63" w:rsidRDefault="00D75F63" w:rsidP="00D75F63">
      <w:pPr>
        <w:pStyle w:val="FootnoteText"/>
        <w:ind w:firstLine="0"/>
        <w:jc w:val="left"/>
      </w:pPr>
      <w:r>
        <w:rPr>
          <w:rStyle w:val="FootnoteReference"/>
        </w:rPr>
        <w:footnoteRef/>
      </w:r>
      <w:r>
        <w:t xml:space="preserve"> </w:t>
      </w:r>
      <w:r w:rsidR="008D32B9">
        <w:rPr>
          <w:i/>
        </w:rPr>
        <w:t xml:space="preserve">NAL Response </w:t>
      </w:r>
      <w:r w:rsidR="008D32B9">
        <w:t xml:space="preserve">at 2.  </w:t>
      </w:r>
      <w:r>
        <w:t>Skybeam also alleges that “LP Broadband employees were prepared to deactivate the U-NII equipment on the same day they received notice from the FCC [but] the FCC’s field agents direct</w:t>
      </w:r>
      <w:r w:rsidR="00D74A84">
        <w:t>ed</w:t>
      </w:r>
      <w:r>
        <w:t xml:space="preserve"> LP Broadband’s employees not to deactivate the equipment until the following day</w:t>
      </w:r>
      <w:r w:rsidR="00094428">
        <w:t xml:space="preserve"> when additional inspections and testing would occur</w:t>
      </w:r>
      <w:r>
        <w:t xml:space="preserve">.” </w:t>
      </w:r>
      <w:r w:rsidR="008D32B9">
        <w:t xml:space="preserve"> </w:t>
      </w:r>
      <w:r w:rsidR="008D32B9">
        <w:rPr>
          <w:i/>
        </w:rPr>
        <w:t>Id.</w:t>
      </w:r>
      <w:r>
        <w:t xml:space="preserve"> at 2 n.2.  </w:t>
      </w:r>
      <w:r w:rsidR="005D75C4">
        <w:t xml:space="preserve">There is no evidence, other than this allegation, that the Denver agents directed Skybeam’s illegal operation. </w:t>
      </w:r>
      <w:r w:rsidR="00C62EA6">
        <w:t xml:space="preserve"> </w:t>
      </w:r>
      <w:r w:rsidR="00BD7C63">
        <w:t>Despite repeated attempts, the Denver agents were unable to contact the Skybeam personnel by phone on September 29, 2011, and had to leave them repeated messages about the interference and request for inspection.</w:t>
      </w:r>
      <w:r w:rsidR="00EF6A34">
        <w:t xml:space="preserve"> </w:t>
      </w:r>
      <w:r w:rsidR="005D75C4">
        <w:t xml:space="preserve"> </w:t>
      </w:r>
      <w:r>
        <w:t>Skybeam and its associated companies</w:t>
      </w:r>
      <w:r w:rsidR="00C62EA6">
        <w:t>,</w:t>
      </w:r>
      <w:r>
        <w:t xml:space="preserve"> </w:t>
      </w:r>
      <w:r w:rsidR="005D75C4">
        <w:t>on the other hand</w:t>
      </w:r>
      <w:r w:rsidR="00C62EA6">
        <w:t>,</w:t>
      </w:r>
      <w:r w:rsidR="005D75C4">
        <w:t xml:space="preserve"> </w:t>
      </w:r>
      <w:r>
        <w:t xml:space="preserve">were obviously in control of the device, </w:t>
      </w:r>
      <w:r w:rsidR="00094428">
        <w:t xml:space="preserve">had willfully installed the device as a temporary backhaul when a link </w:t>
      </w:r>
      <w:r w:rsidR="00C62EA6">
        <w:t xml:space="preserve">in their operations </w:t>
      </w:r>
      <w:r w:rsidR="00094428">
        <w:t xml:space="preserve">had gone down the prior weekend, </w:t>
      </w:r>
      <w:r>
        <w:t>willfully operat</w:t>
      </w:r>
      <w:r w:rsidR="00094428">
        <w:t>ed</w:t>
      </w:r>
      <w:r w:rsidR="008D32B9">
        <w:t xml:space="preserve"> the device</w:t>
      </w:r>
      <w:r>
        <w:t xml:space="preserve"> on a frequency </w:t>
      </w:r>
      <w:r w:rsidR="008D32B9">
        <w:t>the device</w:t>
      </w:r>
      <w:r>
        <w:t xml:space="preserve"> had no authority to operate on</w:t>
      </w:r>
      <w:r w:rsidR="005D75C4">
        <w:t xml:space="preserve">, willfully operated on that frequency </w:t>
      </w:r>
      <w:r w:rsidR="00094428">
        <w:t>without notching out the TDWR frequencies</w:t>
      </w:r>
      <w:r w:rsidR="00D74A84">
        <w:t xml:space="preserve">, willfully changed the </w:t>
      </w:r>
      <w:r w:rsidR="00094428">
        <w:t xml:space="preserve">operating </w:t>
      </w:r>
      <w:r w:rsidR="00D74A84">
        <w:t xml:space="preserve">frequency of the device </w:t>
      </w:r>
      <w:r w:rsidR="00094428">
        <w:t>to 587</w:t>
      </w:r>
      <w:r w:rsidR="00BF355D">
        <w:t>5</w:t>
      </w:r>
      <w:r w:rsidR="00094428">
        <w:t xml:space="preserve"> MHz </w:t>
      </w:r>
      <w:r w:rsidR="005D75C4">
        <w:t xml:space="preserve">the day after receiving notice of the interference and on </w:t>
      </w:r>
      <w:r w:rsidR="00094428">
        <w:t xml:space="preserve">the morning of the scheduled inspection </w:t>
      </w:r>
      <w:r w:rsidR="005D75C4">
        <w:t xml:space="preserve">which </w:t>
      </w:r>
      <w:r w:rsidR="00D74A84">
        <w:t>eliminate</w:t>
      </w:r>
      <w:r w:rsidR="005D75C4">
        <w:t>d</w:t>
      </w:r>
      <w:r w:rsidR="00D74A84">
        <w:t xml:space="preserve"> the interference to the Denver </w:t>
      </w:r>
      <w:r w:rsidR="00867D11">
        <w:t xml:space="preserve">International </w:t>
      </w:r>
      <w:r w:rsidR="00C62EA6">
        <w:t xml:space="preserve">Airport </w:t>
      </w:r>
      <w:r w:rsidR="00D74A84">
        <w:t>TDWR while maintaining service to customers</w:t>
      </w:r>
      <w:r w:rsidR="00BF355D">
        <w:t>, and willfully changed the operating frequency of the device during the inspection pending replacement of the Motorola device</w:t>
      </w:r>
      <w:r>
        <w:t xml:space="preserve">.  </w:t>
      </w:r>
    </w:p>
  </w:footnote>
  <w:footnote w:id="18">
    <w:p w:rsidR="006E60D3" w:rsidRPr="00EA2B59" w:rsidRDefault="006E60D3" w:rsidP="00045787">
      <w:pPr>
        <w:pStyle w:val="FootnoteText"/>
        <w:ind w:firstLine="0"/>
        <w:jc w:val="left"/>
      </w:pPr>
      <w:r>
        <w:rPr>
          <w:rStyle w:val="FootnoteReference"/>
        </w:rPr>
        <w:footnoteRef/>
      </w:r>
      <w:r>
        <w:t xml:space="preserve"> </w:t>
      </w:r>
      <w:r w:rsidR="00EA2B59">
        <w:rPr>
          <w:i/>
        </w:rPr>
        <w:t xml:space="preserve">See supra </w:t>
      </w:r>
      <w:r w:rsidR="0047044F">
        <w:t>note 9</w:t>
      </w:r>
      <w:r w:rsidR="00EA2B59">
        <w:t>.</w:t>
      </w:r>
      <w:r w:rsidR="00083878">
        <w:t xml:space="preserve">  </w:t>
      </w:r>
      <w:r w:rsidR="00083878" w:rsidRPr="00083878">
        <w:t xml:space="preserve">Skybeam also alleges that although LP Broadband and Skybeam are affiliated, LP Broadband, not Skybeam, was the actual operator of the U-NII device and, therefore, requests that Skybeam be removed from the proceeding. </w:t>
      </w:r>
      <w:r w:rsidR="00661946">
        <w:t xml:space="preserve"> </w:t>
      </w:r>
      <w:r w:rsidR="00083878" w:rsidRPr="00083878">
        <w:rPr>
          <w:i/>
        </w:rPr>
        <w:t xml:space="preserve">NAL Response </w:t>
      </w:r>
      <w:r w:rsidR="00083878" w:rsidRPr="00083878">
        <w:t>at 1 n.1.  Because the operator of the device</w:t>
      </w:r>
      <w:r w:rsidR="00661946">
        <w:t xml:space="preserve"> (</w:t>
      </w:r>
      <w:r w:rsidR="00083878" w:rsidRPr="00083878">
        <w:t>the Field Infrastructure Supervisor for Northern Colorado</w:t>
      </w:r>
      <w:r w:rsidR="00661946">
        <w:t>)</w:t>
      </w:r>
      <w:r w:rsidR="00083878" w:rsidRPr="00083878">
        <w:t xml:space="preserve"> identified himself, with credentials, as being employed by Skybeam, we decline to remove Skybeam from this proceeding.  We note that Skybeam and LP Broadband are affiliated, and that according to a recent filing made with the Commission, JAB Wireless, Inc., currently controls 100 percent of each entity.  </w:t>
      </w:r>
      <w:r w:rsidR="00083878" w:rsidRPr="00083878">
        <w:rPr>
          <w:i/>
        </w:rPr>
        <w:t>See</w:t>
      </w:r>
      <w:r w:rsidR="00083878" w:rsidRPr="00083878">
        <w:t xml:space="preserve"> </w:t>
      </w:r>
      <w:r w:rsidR="00083878" w:rsidRPr="00083878">
        <w:rPr>
          <w:i/>
        </w:rPr>
        <w:t xml:space="preserve">FCC Ownership Disclosure Information For The Wireless Telecommunications Services, </w:t>
      </w:r>
      <w:r w:rsidR="00083878" w:rsidRPr="00083878">
        <w:t>File No. 0005696269 (filed March 18, 2013).</w:t>
      </w:r>
    </w:p>
  </w:footnote>
  <w:footnote w:id="19">
    <w:p w:rsidR="00EA2B59" w:rsidRPr="006B50D2" w:rsidRDefault="00EA2B59" w:rsidP="00045787">
      <w:pPr>
        <w:pStyle w:val="FootnoteText"/>
        <w:ind w:firstLine="0"/>
        <w:jc w:val="left"/>
      </w:pPr>
      <w:r>
        <w:rPr>
          <w:rStyle w:val="FootnoteReference"/>
        </w:rPr>
        <w:footnoteRef/>
      </w:r>
      <w:r>
        <w:t xml:space="preserve"> </w:t>
      </w:r>
      <w:r>
        <w:rPr>
          <w:i/>
        </w:rPr>
        <w:t xml:space="preserve">See </w:t>
      </w:r>
      <w:r>
        <w:rPr>
          <w:i/>
          <w:iCs/>
        </w:rPr>
        <w:t>Discussion Radio Incorporated</w:t>
      </w:r>
      <w:r>
        <w:t xml:space="preserve">, Memorandum Opinion and Order and Notice of Apparent Liability for Forfeiture, 19 FCC Rcd 7433 (2004) (a Commission licensee is charged with knowledge of the full range of its obligations pursuant to the Act, the Rules and its authorization).  </w:t>
      </w:r>
    </w:p>
  </w:footnote>
  <w:footnote w:id="20">
    <w:p w:rsidR="00426555" w:rsidRDefault="00426555" w:rsidP="00045787">
      <w:pPr>
        <w:pStyle w:val="FootnoteText"/>
        <w:ind w:firstLine="0"/>
        <w:jc w:val="left"/>
      </w:pPr>
      <w:r>
        <w:rPr>
          <w:rStyle w:val="FootnoteReference"/>
        </w:rPr>
        <w:footnoteRef/>
      </w:r>
      <w:r>
        <w:t xml:space="preserve"> </w:t>
      </w:r>
      <w:r>
        <w:rPr>
          <w:i/>
        </w:rPr>
        <w:t>See</w:t>
      </w:r>
      <w:r>
        <w:t xml:space="preserve"> Section 1.80(d) of the Rules,  </w:t>
      </w:r>
      <w:r w:rsidRPr="00426555">
        <w:t>47 C.F.R. § 1.80</w:t>
      </w:r>
      <w:r>
        <w:t>(d) (</w:t>
      </w:r>
      <w:r w:rsidR="00045787">
        <w:t xml:space="preserve">the Commission is not required to issue </w:t>
      </w:r>
      <w:r>
        <w:t xml:space="preserve">a citation prior to the issuance of a NAL if  the non-licensee “is engaged in (and the violation relates to) activities for which a license, permit, certificate, or other authorization is required”).  </w:t>
      </w:r>
      <w:r>
        <w:rPr>
          <w:i/>
        </w:rPr>
        <w:t>See also</w:t>
      </w:r>
      <w:r w:rsidRPr="00426555">
        <w:rPr>
          <w:snapToGrid/>
          <w:sz w:val="22"/>
          <w:szCs w:val="20"/>
        </w:rPr>
        <w:t xml:space="preserve"> </w:t>
      </w:r>
      <w:r w:rsidRPr="00426555">
        <w:t>47 U.S.C. § 503(b)</w:t>
      </w:r>
      <w:r>
        <w:t>(5)</w:t>
      </w:r>
      <w:r w:rsidRPr="00426555">
        <w:t>.</w:t>
      </w:r>
    </w:p>
  </w:footnote>
  <w:footnote w:id="21">
    <w:p w:rsidR="00EA2B59" w:rsidRPr="00EA2B59" w:rsidRDefault="00EA2B59" w:rsidP="00045787">
      <w:pPr>
        <w:pStyle w:val="FootnoteText"/>
        <w:widowControl/>
        <w:ind w:firstLine="0"/>
        <w:jc w:val="left"/>
      </w:pPr>
      <w:r>
        <w:rPr>
          <w:rStyle w:val="FootnoteReference"/>
        </w:rPr>
        <w:footnoteRef/>
      </w:r>
      <w:r>
        <w:t xml:space="preserve"> </w:t>
      </w:r>
      <w:r>
        <w:rPr>
          <w:i/>
        </w:rPr>
        <w:t>See</w:t>
      </w:r>
      <w:r>
        <w:t xml:space="preserve"> </w:t>
      </w:r>
      <w:r>
        <w:rPr>
          <w:i/>
        </w:rPr>
        <w:t>Seawest Yacht Brokers</w:t>
      </w:r>
      <w:r>
        <w:t>, Forfeiture Order, 9 FCC Rcd 6099 (1994) (declining to mitigate a forfeiture based on subsequent compliance efforts).</w:t>
      </w:r>
    </w:p>
  </w:footnote>
  <w:footnote w:id="22">
    <w:p w:rsidR="008D32B9" w:rsidRDefault="008D32B9" w:rsidP="008D32B9">
      <w:pPr>
        <w:pStyle w:val="FootnoteText"/>
        <w:ind w:firstLine="0"/>
      </w:pPr>
      <w:r>
        <w:rPr>
          <w:rStyle w:val="FootnoteReference"/>
        </w:rPr>
        <w:footnoteRef/>
      </w:r>
      <w:r>
        <w:t xml:space="preserve"> </w:t>
      </w:r>
      <w:r>
        <w:rPr>
          <w:i/>
        </w:rPr>
        <w:t xml:space="preserve">NAL Response </w:t>
      </w:r>
      <w:r>
        <w:t xml:space="preserve">at 2–3. </w:t>
      </w:r>
    </w:p>
  </w:footnote>
  <w:footnote w:id="23">
    <w:p w:rsidR="008D32B9" w:rsidRPr="008D32B9" w:rsidRDefault="008D32B9" w:rsidP="008D32B9">
      <w:pPr>
        <w:pStyle w:val="FootnoteText"/>
        <w:ind w:firstLine="0"/>
        <w:jc w:val="left"/>
      </w:pPr>
      <w:r>
        <w:rPr>
          <w:rStyle w:val="FootnoteReference"/>
        </w:rPr>
        <w:footnoteRef/>
      </w:r>
      <w:r>
        <w:t xml:space="preserve"> </w:t>
      </w:r>
      <w:r>
        <w:rPr>
          <w:i/>
        </w:rPr>
        <w:t>Id.</w:t>
      </w:r>
      <w:r w:rsidR="00E14012">
        <w:rPr>
          <w:i/>
        </w:rPr>
        <w:t xml:space="preserve"> </w:t>
      </w:r>
      <w:r w:rsidRPr="00E14012">
        <w:t>a</w:t>
      </w:r>
      <w:r>
        <w:t>t Attachment 1.</w:t>
      </w:r>
    </w:p>
  </w:footnote>
  <w:footnote w:id="24">
    <w:p w:rsidR="00BD7C63" w:rsidRDefault="00BD7C63" w:rsidP="003832F7">
      <w:pPr>
        <w:pStyle w:val="FootnoteText"/>
        <w:ind w:firstLine="0"/>
        <w:jc w:val="left"/>
      </w:pPr>
      <w:r>
        <w:rPr>
          <w:rStyle w:val="FootnoteReference"/>
        </w:rPr>
        <w:footnoteRef/>
      </w:r>
      <w:r>
        <w:t xml:space="preserve"> The reference to frequency 5870/5875 MHz refers to the same observation.  Frequency 5870 MHz refers to the lower edge to the spectrum capture, while frequency 5875 MHz refers to the center frequency. </w:t>
      </w:r>
    </w:p>
  </w:footnote>
  <w:footnote w:id="25">
    <w:p w:rsidR="008D32B9" w:rsidRDefault="008D32B9" w:rsidP="008D32B9">
      <w:pPr>
        <w:pStyle w:val="FootnoteText"/>
        <w:ind w:firstLine="0"/>
      </w:pPr>
      <w:r>
        <w:rPr>
          <w:rStyle w:val="FootnoteReference"/>
        </w:rPr>
        <w:footnoteRef/>
      </w:r>
      <w:r>
        <w:t xml:space="preserve"> </w:t>
      </w:r>
      <w:r>
        <w:rPr>
          <w:i/>
        </w:rPr>
        <w:t xml:space="preserve">NAL Response </w:t>
      </w:r>
      <w:r>
        <w:t>at 3–4.</w:t>
      </w:r>
    </w:p>
  </w:footnote>
  <w:footnote w:id="26">
    <w:p w:rsidR="00EA6283" w:rsidRDefault="00EA6283" w:rsidP="00EA6283">
      <w:pPr>
        <w:pStyle w:val="FootnoteText"/>
        <w:ind w:firstLine="0"/>
        <w:jc w:val="left"/>
      </w:pPr>
      <w:r>
        <w:rPr>
          <w:rStyle w:val="FootnoteReference"/>
        </w:rPr>
        <w:footnoteRef/>
      </w:r>
      <w:r>
        <w:t xml:space="preserve"> 47 C.F.R. § 1.80(b)(5), Note: Guidelines for Assessing Forfeitures, Section II, Adjustment Criteria for Section 503 Forfeitures (f</w:t>
      </w:r>
      <w:r w:rsidRPr="008B664C">
        <w:t>or forfeitures proposed and assessed under Section 503(b) of the Act, as this one is, the adjustment factors included by the Commission in i</w:t>
      </w:r>
      <w:r>
        <w:t>ts downward adjustment criteria in Section 1.80</w:t>
      </w:r>
      <w:r w:rsidRPr="008B664C">
        <w:t xml:space="preserve"> are: </w:t>
      </w:r>
      <w:r>
        <w:t xml:space="preserve"> </w:t>
      </w:r>
      <w:r w:rsidRPr="008B664C">
        <w:t>(1) minor violation; (2) good faith or voluntary disclosure; (3) history of compliance; and (4) inability to pay</w:t>
      </w:r>
      <w:r>
        <w:t>).</w:t>
      </w:r>
    </w:p>
  </w:footnote>
  <w:footnote w:id="27">
    <w:p w:rsidR="002834CD" w:rsidRDefault="002834CD" w:rsidP="00693986">
      <w:pPr>
        <w:pStyle w:val="FootnoteText"/>
        <w:ind w:firstLine="0"/>
        <w:jc w:val="left"/>
      </w:pPr>
      <w:r>
        <w:rPr>
          <w:rStyle w:val="FootnoteReference"/>
        </w:rPr>
        <w:footnoteRef/>
      </w:r>
      <w:r>
        <w:t xml:space="preserve"> We note that both JAB Wir</w:t>
      </w:r>
      <w:r w:rsidR="0083389E">
        <w:t>e</w:t>
      </w:r>
      <w:r>
        <w:t>less</w:t>
      </w:r>
      <w:r w:rsidR="00693986">
        <w:t>, Inc.,</w:t>
      </w:r>
      <w:r>
        <w:t xml:space="preserve"> and LP Broadband </w:t>
      </w:r>
      <w:r w:rsidR="0083389E">
        <w:t>also</w:t>
      </w:r>
      <w:r>
        <w:t xml:space="preserve"> have a history of compliance with the </w:t>
      </w:r>
      <w:r w:rsidR="00693986">
        <w:t xml:space="preserve">Act and the </w:t>
      </w:r>
      <w:r>
        <w:t xml:space="preserve">Rules as well. </w:t>
      </w:r>
      <w:r>
        <w:rPr>
          <w:i/>
        </w:rPr>
        <w:t xml:space="preserve">See supra </w:t>
      </w:r>
      <w:r w:rsidR="0047044F">
        <w:t>note 18</w:t>
      </w:r>
      <w:r>
        <w:t xml:space="preserve">. </w:t>
      </w:r>
    </w:p>
  </w:footnote>
  <w:footnote w:id="28">
    <w:p w:rsidR="00F533B1" w:rsidRPr="00F533B1" w:rsidRDefault="00F533B1" w:rsidP="000C4DED">
      <w:pPr>
        <w:pStyle w:val="FootnoteText"/>
        <w:ind w:firstLine="0"/>
        <w:jc w:val="left"/>
      </w:pPr>
      <w:r>
        <w:rPr>
          <w:rStyle w:val="FootnoteReference"/>
        </w:rPr>
        <w:footnoteRef/>
      </w:r>
      <w:r>
        <w:t xml:space="preserve"> We note that subsequent to the release of this </w:t>
      </w:r>
      <w:r>
        <w:rPr>
          <w:i/>
        </w:rPr>
        <w:t>NAL</w:t>
      </w:r>
      <w:r>
        <w:t>, the Enforcement Bureau released a</w:t>
      </w:r>
      <w:r w:rsidR="00C40C8C">
        <w:t xml:space="preserve"> Notice of Apparent </w:t>
      </w:r>
      <w:r>
        <w:t xml:space="preserve"> </w:t>
      </w:r>
      <w:r w:rsidR="00C40C8C">
        <w:t>L</w:t>
      </w:r>
      <w:r>
        <w:t>iab</w:t>
      </w:r>
      <w:r w:rsidR="00C40C8C">
        <w:t>i</w:t>
      </w:r>
      <w:r>
        <w:t xml:space="preserve">lity for Forfeiture and Order to Directlink, LLC, </w:t>
      </w:r>
      <w:r w:rsidR="00C40C8C">
        <w:t>in the amount of $25,000</w:t>
      </w:r>
      <w:r w:rsidR="000C4DED">
        <w:t>,</w:t>
      </w:r>
      <w:r w:rsidR="00C40C8C">
        <w:t xml:space="preserve"> </w:t>
      </w:r>
      <w:r>
        <w:t>for operation</w:t>
      </w:r>
      <w:r w:rsidR="00C40C8C">
        <w:t xml:space="preserve"> of a</w:t>
      </w:r>
      <w:r w:rsidR="007B2235">
        <w:t>n intentional radiator</w:t>
      </w:r>
      <w:r w:rsidR="00C40C8C">
        <w:t xml:space="preserve"> </w:t>
      </w:r>
      <w:r w:rsidR="007B2235">
        <w:t>without a license</w:t>
      </w:r>
      <w:r w:rsidR="00C40C8C">
        <w:t xml:space="preserve"> and for operation i</w:t>
      </w:r>
      <w:r w:rsidR="00C40C8C" w:rsidRPr="00C40C8C">
        <w:t>nconsistent with Part 15 of the Rules</w:t>
      </w:r>
      <w:r w:rsidR="000C4DED">
        <w:t>, when the operation resulted in interference to a TDWR installation</w:t>
      </w:r>
      <w:r w:rsidR="00C40C8C">
        <w:t xml:space="preserve">.  </w:t>
      </w:r>
      <w:r w:rsidR="00C40C8C" w:rsidRPr="000C4DED">
        <w:rPr>
          <w:i/>
        </w:rPr>
        <w:t>See Directlink, LLC</w:t>
      </w:r>
      <w:r w:rsidR="00C40C8C" w:rsidRPr="00C40C8C">
        <w:t>, Notice of Apparent Liability for Forfeiture and Order, 28 FCC Rcd 37 (Enf. Bur. 201</w:t>
      </w:r>
      <w:r w:rsidR="00B70F37">
        <w:t>3</w:t>
      </w:r>
      <w:r w:rsidR="00C40C8C" w:rsidRPr="00C40C8C">
        <w:t>)</w:t>
      </w:r>
      <w:r w:rsidR="00C40C8C">
        <w:t xml:space="preserve">.  The Commission then issued a </w:t>
      </w:r>
      <w:r w:rsidR="00C40C8C" w:rsidRPr="00C40C8C">
        <w:t xml:space="preserve">Notice of Apparent Liability for Forfeiture and Order </w:t>
      </w:r>
      <w:r w:rsidR="00C40C8C">
        <w:t>in the amount of $202,000</w:t>
      </w:r>
      <w:r w:rsidR="00C40C8C" w:rsidRPr="00C40C8C">
        <w:t xml:space="preserve"> </w:t>
      </w:r>
      <w:r w:rsidR="00C40C8C">
        <w:t>to Towerstream Corporation for operating</w:t>
      </w:r>
      <w:r w:rsidR="007B2235">
        <w:t xml:space="preserve"> radio transmitters</w:t>
      </w:r>
      <w:r w:rsidR="00C40C8C">
        <w:t xml:space="preserve"> without a license and causing</w:t>
      </w:r>
      <w:r w:rsidR="00C40C8C" w:rsidRPr="00C40C8C">
        <w:t xml:space="preserve"> harmful interference</w:t>
      </w:r>
      <w:r w:rsidR="000C4DED">
        <w:t xml:space="preserve"> to TDWR installations</w:t>
      </w:r>
      <w:r w:rsidR="00C40C8C">
        <w:t xml:space="preserve">. </w:t>
      </w:r>
      <w:r w:rsidR="000C4DED">
        <w:t xml:space="preserve"> </w:t>
      </w:r>
      <w:r w:rsidR="00C40C8C" w:rsidRPr="000C4DED">
        <w:rPr>
          <w:i/>
        </w:rPr>
        <w:t>See Towerstream Corporation</w:t>
      </w:r>
      <w:r w:rsidR="00C40C8C" w:rsidRPr="00C40C8C">
        <w:t>, Notice of Apparent Liability for Forfeiture and Order, 28 FCC Rcd 11604 (2013)</w:t>
      </w:r>
      <w:r w:rsidR="00C40C8C">
        <w:t>.  With these sanctions, the Commiss</w:t>
      </w:r>
      <w:r w:rsidR="000C4DED">
        <w:t>i</w:t>
      </w:r>
      <w:r w:rsidR="00C40C8C">
        <w:t>on</w:t>
      </w:r>
      <w:r w:rsidR="000C4DED">
        <w:t xml:space="preserve"> and the Bureau have emphasized the critical nature of these violations and have </w:t>
      </w:r>
      <w:r w:rsidR="00C40C8C">
        <w:t>put U-NII operators on notice that operation that deviates from the requirements of the Rules and results in interference to TDWR installations will result in forfeitures of at least $25,000.</w:t>
      </w:r>
    </w:p>
  </w:footnote>
  <w:footnote w:id="29">
    <w:p w:rsidR="00322659" w:rsidRDefault="00322659">
      <w:pPr>
        <w:pStyle w:val="FootnoteText"/>
        <w:ind w:firstLine="0"/>
        <w:jc w:val="left"/>
      </w:pPr>
      <w:r>
        <w:rPr>
          <w:rStyle w:val="FootnoteReference"/>
        </w:rPr>
        <w:footnoteRef/>
      </w:r>
      <w:r>
        <w:rPr>
          <w:szCs w:val="20"/>
        </w:rPr>
        <w:t xml:space="preserve"> 47 U.S.C. §§ 301,</w:t>
      </w:r>
      <w:r w:rsidR="003A39A6">
        <w:rPr>
          <w:szCs w:val="20"/>
        </w:rPr>
        <w:t xml:space="preserve"> 302a(b),</w:t>
      </w:r>
      <w:r>
        <w:rPr>
          <w:szCs w:val="20"/>
        </w:rPr>
        <w:t xml:space="preserve"> 503(b); 47 C.F.R. §§ 0.111, 0.204, 0.311, 0.314, 1.80(f)(4), 15.1(b)</w:t>
      </w:r>
      <w:r w:rsidR="003A39A6">
        <w:rPr>
          <w:szCs w:val="20"/>
        </w:rPr>
        <w:t>, 15.1(c)</w:t>
      </w:r>
      <w:r>
        <w:rPr>
          <w:szCs w:val="20"/>
        </w:rPr>
        <w:t>.</w:t>
      </w:r>
    </w:p>
  </w:footnote>
  <w:footnote w:id="30">
    <w:p w:rsidR="00322659" w:rsidRDefault="00322659">
      <w:pPr>
        <w:pStyle w:val="FootnoteText"/>
        <w:ind w:firstLine="0"/>
        <w:jc w:val="left"/>
      </w:pPr>
      <w:r>
        <w:rPr>
          <w:rStyle w:val="FootnoteReference"/>
        </w:rPr>
        <w:footnoteRef/>
      </w:r>
      <w:r>
        <w:t xml:space="preserve"> 47 C.F.R. § 1.80.</w:t>
      </w:r>
    </w:p>
  </w:footnote>
  <w:footnote w:id="31">
    <w:p w:rsidR="00322659" w:rsidRDefault="00322659">
      <w:pPr>
        <w:pStyle w:val="FootnoteText"/>
        <w:ind w:firstLine="0"/>
        <w:jc w:val="left"/>
      </w:pPr>
      <w:r>
        <w:rPr>
          <w:rStyle w:val="FootnoteReference"/>
        </w:rPr>
        <w:footnoteRef/>
      </w:r>
      <w:r>
        <w:t xml:space="preserve"> 47 U.S.C. § 504(a).</w:t>
      </w:r>
    </w:p>
  </w:footnote>
  <w:footnote w:id="32">
    <w:p w:rsidR="00322659" w:rsidRDefault="00322659">
      <w:pPr>
        <w:pStyle w:val="FootnoteText"/>
        <w:ind w:firstLine="0"/>
        <w:jc w:val="lef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33">
    <w:p w:rsidR="00322659" w:rsidRDefault="00322659">
      <w:pPr>
        <w:pStyle w:val="FootnoteText"/>
        <w:ind w:firstLine="0"/>
        <w:jc w:val="lef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2B" w:rsidRDefault="00916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59" w:rsidRDefault="00322659">
    <w:pPr>
      <w:tabs>
        <w:tab w:val="center" w:pos="4680"/>
        <w:tab w:val="right" w:pos="9360"/>
      </w:tabs>
      <w:suppressAutoHyphens/>
      <w:spacing w:line="227" w:lineRule="auto"/>
      <w:jc w:val="both"/>
      <w:rPr>
        <w:b/>
      </w:rPr>
    </w:pPr>
    <w:r>
      <w:rPr>
        <w:b/>
      </w:rPr>
      <w:tab/>
      <w:t>Federal Communi</w:t>
    </w:r>
    <w:r w:rsidR="00937D49">
      <w:rPr>
        <w:b/>
      </w:rPr>
      <w:t>cations Commission</w:t>
    </w:r>
    <w:r w:rsidR="00937D49">
      <w:rPr>
        <w:b/>
      </w:rPr>
      <w:tab/>
      <w:t>DA 1</w:t>
    </w:r>
    <w:r w:rsidR="009F1DBC">
      <w:rPr>
        <w:b/>
      </w:rPr>
      <w:t>4</w:t>
    </w:r>
    <w:r w:rsidR="00937D49">
      <w:rPr>
        <w:b/>
      </w:rPr>
      <w:t>-</w:t>
    </w:r>
    <w:r w:rsidR="009F1DBC">
      <w:rPr>
        <w:b/>
      </w:rPr>
      <w:t>161</w:t>
    </w:r>
  </w:p>
  <w:p w:rsidR="00322659" w:rsidRDefault="00925967">
    <w:pPr>
      <w:pStyle w:val="Header"/>
      <w:jc w:val="both"/>
      <w:rPr>
        <w:b/>
      </w:rPr>
    </w:pPr>
    <w:r>
      <w:rPr>
        <w:b/>
        <w:noProof/>
      </w:rPr>
      <mc:AlternateContent>
        <mc:Choice Requires="wps">
          <w:drawing>
            <wp:anchor distT="0" distB="0" distL="114300" distR="114300" simplePos="0" relativeHeight="251657216" behindDoc="1" locked="0" layoutInCell="0" allowOverlap="1" wp14:anchorId="537A7678" wp14:editId="1C1FA9CA">
              <wp:simplePos x="0" y="0"/>
              <wp:positionH relativeFrom="margin">
                <wp:posOffset>0</wp:posOffset>
              </wp:positionH>
              <wp:positionV relativeFrom="paragraph">
                <wp:posOffset>-8890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2659" w:rsidRDefault="00322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Ue7AIAAD4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" o:allowincell="f" fillcolor="black" stroked="f" strokeweight=".05pt">
              <v:textbox>
                <w:txbxContent>
                  <w:p w:rsidR="00322659" w:rsidRDefault="00322659"/>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59" w:rsidRDefault="00322659">
    <w:pPr>
      <w:tabs>
        <w:tab w:val="center" w:pos="4680"/>
        <w:tab w:val="right" w:pos="9360"/>
      </w:tabs>
      <w:suppressAutoHyphens/>
      <w:spacing w:line="227" w:lineRule="auto"/>
      <w:jc w:val="both"/>
      <w:rPr>
        <w:spacing w:val="-2"/>
      </w:rPr>
    </w:pPr>
    <w:r>
      <w:rPr>
        <w:b/>
        <w:spacing w:val="-2"/>
      </w:rPr>
      <w:tab/>
      <w:t>Federal Communications Commission</w:t>
    </w:r>
    <w:r>
      <w:rPr>
        <w:b/>
        <w:spacing w:val="-2"/>
      </w:rPr>
      <w:tab/>
      <w:t>DA 1</w:t>
    </w:r>
    <w:r w:rsidR="009F1DBC">
      <w:rPr>
        <w:b/>
        <w:spacing w:val="-2"/>
      </w:rPr>
      <w:t>4</w:t>
    </w:r>
    <w:r>
      <w:rPr>
        <w:b/>
        <w:spacing w:val="-2"/>
      </w:rPr>
      <w:t>-</w:t>
    </w:r>
    <w:r w:rsidR="009F1DBC">
      <w:rPr>
        <w:b/>
        <w:spacing w:val="-2"/>
      </w:rPr>
      <w:t>161</w:t>
    </w:r>
  </w:p>
  <w:p w:rsidR="00322659" w:rsidRDefault="00925967">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2659" w:rsidRDefault="00322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a7wIAAEU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BGlKUa7wIAAEUGAAAOAAAA&#10;AAAAAAAAAAAAAC4CAABkcnMvZTJvRG9jLnhtbFBLAQItABQABgAIAAAAIQAiPO7R1wAAAAMBAAAP&#10;AAAAAAAAAAAAAAAAAEkFAABkcnMvZG93bnJldi54bWxQSwUGAAAAAAQABADzAAAATQYAAAAA&#10;" o:allowincell="f" fillcolor="black" stroked="f" strokeweight=".05pt">
              <v:textbox>
                <w:txbxContent>
                  <w:p w:rsidR="00322659" w:rsidRDefault="00322659"/>
                </w:txbxContent>
              </v:textbox>
              <w10:wrap anchorx="margin"/>
            </v:rect>
          </w:pict>
        </mc:Fallback>
      </mc:AlternateContent>
    </w:r>
  </w:p>
  <w:p w:rsidR="00322659" w:rsidRDefault="00322659">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9B4"/>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5">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EC00A8A"/>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7">
    <w:nsid w:val="41127E7E"/>
    <w:multiLevelType w:val="hybridMultilevel"/>
    <w:tmpl w:val="EDD0E9C6"/>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
      <w:numFmt w:val="lowerLetter"/>
      <w:lvlText w:val="%2."/>
      <w:lvlJc w:val="left"/>
      <w:pPr>
        <w:tabs>
          <w:tab w:val="num" w:pos="0"/>
        </w:tabs>
        <w:ind w:left="0" w:hanging="360"/>
      </w:pPr>
    </w:lvl>
    <w:lvl w:ilvl="2" w:tplc="FFFFFFFF">
      <w:start w:val="1"/>
      <w:numFmt w:val="lowerRoman"/>
      <w:lvlText w:val="%3."/>
      <w:lvlJc w:val="right"/>
      <w:pPr>
        <w:tabs>
          <w:tab w:val="num" w:pos="720"/>
        </w:tabs>
        <w:ind w:left="720" w:hanging="180"/>
      </w:pPr>
    </w:lvl>
    <w:lvl w:ilvl="3" w:tplc="FFFFFFFF">
      <w:start w:val="1"/>
      <w:numFmt w:val="decimal"/>
      <w:lvlText w:val="%4."/>
      <w:lvlJc w:val="left"/>
      <w:pPr>
        <w:tabs>
          <w:tab w:val="num" w:pos="1440"/>
        </w:tabs>
        <w:ind w:left="144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right"/>
      <w:pPr>
        <w:tabs>
          <w:tab w:val="num" w:pos="2880"/>
        </w:tabs>
        <w:ind w:left="2880" w:hanging="180"/>
      </w:pPr>
    </w:lvl>
    <w:lvl w:ilvl="6" w:tplc="FFFFFFFF">
      <w:start w:val="1"/>
      <w:numFmt w:val="decimal"/>
      <w:lvlText w:val="%7."/>
      <w:lvlJc w:val="left"/>
      <w:pPr>
        <w:tabs>
          <w:tab w:val="num" w:pos="3600"/>
        </w:tabs>
        <w:ind w:left="3600" w:hanging="360"/>
      </w:pPr>
    </w:lvl>
    <w:lvl w:ilvl="7" w:tplc="FFFFFFFF">
      <w:start w:val="1"/>
      <w:numFmt w:val="lowerLetter"/>
      <w:lvlText w:val="%8."/>
      <w:lvlJc w:val="left"/>
      <w:pPr>
        <w:tabs>
          <w:tab w:val="num" w:pos="4320"/>
        </w:tabs>
        <w:ind w:left="4320" w:hanging="360"/>
      </w:pPr>
    </w:lvl>
    <w:lvl w:ilvl="8" w:tplc="FFFFFFFF">
      <w:start w:val="1"/>
      <w:numFmt w:val="lowerRoman"/>
      <w:lvlText w:val="%9."/>
      <w:lvlJc w:val="right"/>
      <w:pPr>
        <w:tabs>
          <w:tab w:val="num" w:pos="5040"/>
        </w:tabs>
        <w:ind w:left="5040" w:hanging="180"/>
      </w:pPr>
    </w:lvl>
  </w:abstractNum>
  <w:abstractNum w:abstractNumId="8">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1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5"/>
  </w:num>
  <w:num w:numId="3">
    <w:abstractNumId w:val="3"/>
  </w:num>
  <w:num w:numId="4">
    <w:abstractNumId w:val="11"/>
  </w:num>
  <w:num w:numId="5">
    <w:abstractNumId w:val="2"/>
  </w:num>
  <w:num w:numId="6">
    <w:abstractNumId w:val="4"/>
  </w:num>
  <w:num w:numId="7">
    <w:abstractNumId w:val="1"/>
  </w:num>
  <w:num w:numId="8">
    <w:abstractNumId w:val="12"/>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59"/>
    <w:rsid w:val="00011318"/>
    <w:rsid w:val="00045787"/>
    <w:rsid w:val="00083878"/>
    <w:rsid w:val="00094428"/>
    <w:rsid w:val="00096300"/>
    <w:rsid w:val="000B3182"/>
    <w:rsid w:val="000C35B0"/>
    <w:rsid w:val="000C4DED"/>
    <w:rsid w:val="000C6EBA"/>
    <w:rsid w:val="000F5E4C"/>
    <w:rsid w:val="0010073B"/>
    <w:rsid w:val="001660FB"/>
    <w:rsid w:val="00182A54"/>
    <w:rsid w:val="001B0676"/>
    <w:rsid w:val="0023023D"/>
    <w:rsid w:val="00243C3B"/>
    <w:rsid w:val="00276DF7"/>
    <w:rsid w:val="002834CD"/>
    <w:rsid w:val="002D33A6"/>
    <w:rsid w:val="00311F6C"/>
    <w:rsid w:val="00322659"/>
    <w:rsid w:val="00365C86"/>
    <w:rsid w:val="00372012"/>
    <w:rsid w:val="00375A0D"/>
    <w:rsid w:val="003832F7"/>
    <w:rsid w:val="003A39A6"/>
    <w:rsid w:val="003A7126"/>
    <w:rsid w:val="003B7337"/>
    <w:rsid w:val="003C5FBE"/>
    <w:rsid w:val="00426555"/>
    <w:rsid w:val="0042776F"/>
    <w:rsid w:val="00465BC8"/>
    <w:rsid w:val="0047044F"/>
    <w:rsid w:val="00474D41"/>
    <w:rsid w:val="004851E7"/>
    <w:rsid w:val="004957D5"/>
    <w:rsid w:val="004B7D27"/>
    <w:rsid w:val="004C3B5E"/>
    <w:rsid w:val="004D4E99"/>
    <w:rsid w:val="00504749"/>
    <w:rsid w:val="00507B65"/>
    <w:rsid w:val="005110A5"/>
    <w:rsid w:val="00514B9E"/>
    <w:rsid w:val="00541E7B"/>
    <w:rsid w:val="00562382"/>
    <w:rsid w:val="00570F97"/>
    <w:rsid w:val="005808CF"/>
    <w:rsid w:val="00581924"/>
    <w:rsid w:val="005940E9"/>
    <w:rsid w:val="005B730C"/>
    <w:rsid w:val="005C3EDB"/>
    <w:rsid w:val="005C7199"/>
    <w:rsid w:val="005D75C4"/>
    <w:rsid w:val="0061119D"/>
    <w:rsid w:val="006153DD"/>
    <w:rsid w:val="0062008E"/>
    <w:rsid w:val="00634985"/>
    <w:rsid w:val="006403AF"/>
    <w:rsid w:val="00645DBB"/>
    <w:rsid w:val="0065485B"/>
    <w:rsid w:val="00661946"/>
    <w:rsid w:val="00693986"/>
    <w:rsid w:val="006B5F9C"/>
    <w:rsid w:val="006E60D3"/>
    <w:rsid w:val="0071302F"/>
    <w:rsid w:val="00742C26"/>
    <w:rsid w:val="00755E7D"/>
    <w:rsid w:val="00761F01"/>
    <w:rsid w:val="00764554"/>
    <w:rsid w:val="00780DD6"/>
    <w:rsid w:val="007A2235"/>
    <w:rsid w:val="007B2235"/>
    <w:rsid w:val="007C2754"/>
    <w:rsid w:val="007E57B2"/>
    <w:rsid w:val="008056AB"/>
    <w:rsid w:val="008115A3"/>
    <w:rsid w:val="0083389E"/>
    <w:rsid w:val="00837D51"/>
    <w:rsid w:val="00857151"/>
    <w:rsid w:val="00867D11"/>
    <w:rsid w:val="00880247"/>
    <w:rsid w:val="008A5003"/>
    <w:rsid w:val="008B62AB"/>
    <w:rsid w:val="008D32B9"/>
    <w:rsid w:val="00911446"/>
    <w:rsid w:val="00915497"/>
    <w:rsid w:val="0091682B"/>
    <w:rsid w:val="00925967"/>
    <w:rsid w:val="00937D49"/>
    <w:rsid w:val="00992C8C"/>
    <w:rsid w:val="00994B48"/>
    <w:rsid w:val="009B5F2B"/>
    <w:rsid w:val="009C2CF3"/>
    <w:rsid w:val="009E5C54"/>
    <w:rsid w:val="009F1DBC"/>
    <w:rsid w:val="00A37673"/>
    <w:rsid w:val="00A47462"/>
    <w:rsid w:val="00A93BE6"/>
    <w:rsid w:val="00AE3EC6"/>
    <w:rsid w:val="00B373FD"/>
    <w:rsid w:val="00B70F37"/>
    <w:rsid w:val="00BC1815"/>
    <w:rsid w:val="00BD7C63"/>
    <w:rsid w:val="00BF355D"/>
    <w:rsid w:val="00C04776"/>
    <w:rsid w:val="00C16717"/>
    <w:rsid w:val="00C40C8C"/>
    <w:rsid w:val="00C40E2C"/>
    <w:rsid w:val="00C62EA6"/>
    <w:rsid w:val="00C83326"/>
    <w:rsid w:val="00C966D3"/>
    <w:rsid w:val="00CA6915"/>
    <w:rsid w:val="00CB4EEB"/>
    <w:rsid w:val="00CC2CD1"/>
    <w:rsid w:val="00CC5570"/>
    <w:rsid w:val="00CF36E3"/>
    <w:rsid w:val="00CF4CE0"/>
    <w:rsid w:val="00D05271"/>
    <w:rsid w:val="00D200CE"/>
    <w:rsid w:val="00D344D9"/>
    <w:rsid w:val="00D35309"/>
    <w:rsid w:val="00D40D02"/>
    <w:rsid w:val="00D74A84"/>
    <w:rsid w:val="00D75F63"/>
    <w:rsid w:val="00D91E88"/>
    <w:rsid w:val="00DA29B6"/>
    <w:rsid w:val="00DB13F3"/>
    <w:rsid w:val="00DB22A2"/>
    <w:rsid w:val="00DE63C9"/>
    <w:rsid w:val="00E14012"/>
    <w:rsid w:val="00E24143"/>
    <w:rsid w:val="00E57317"/>
    <w:rsid w:val="00E730C4"/>
    <w:rsid w:val="00E81F36"/>
    <w:rsid w:val="00E974C5"/>
    <w:rsid w:val="00EA1915"/>
    <w:rsid w:val="00EA2B59"/>
    <w:rsid w:val="00EA3078"/>
    <w:rsid w:val="00EA6283"/>
    <w:rsid w:val="00EF6A34"/>
    <w:rsid w:val="00F03BC9"/>
    <w:rsid w:val="00F31374"/>
    <w:rsid w:val="00F337AF"/>
    <w:rsid w:val="00F372F4"/>
    <w:rsid w:val="00F51DD3"/>
    <w:rsid w:val="00F533B1"/>
    <w:rsid w:val="00F56E7E"/>
    <w:rsid w:val="00F73B8A"/>
    <w:rsid w:val="00FD5832"/>
    <w:rsid w:val="00FD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
    <w:rPr>
      <w:lang w:val="en-US" w:eastAsia="en-US" w:bidi="ar-SA"/>
    </w:rPr>
  </w:style>
  <w:style w:type="character" w:customStyle="1" w:styleId="rrfootnoteCharCharCharCharChar">
    <w:name w:val="rrfootnote Char Char Char Char Char"/>
    <w:aliases w:val="Footnote Text Char Char Char Char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Strong">
    <w:name w:val="Strong"/>
    <w:qFormat/>
    <w:rsid w:val="00764554"/>
    <w:rPr>
      <w:b/>
      <w:bCs/>
    </w:rPr>
  </w:style>
  <w:style w:type="paragraph" w:customStyle="1" w:styleId="NumberedList">
    <w:name w:val="Numbered List"/>
    <w:basedOn w:val="Normal"/>
    <w:rsid w:val="00CC5570"/>
    <w:pPr>
      <w:widowControl w:val="0"/>
      <w:numPr>
        <w:numId w:val="11"/>
      </w:numPr>
      <w:autoSpaceDE w:val="0"/>
      <w:autoSpaceDN w:val="0"/>
      <w:adjustRightInd w:val="0"/>
      <w:spacing w:after="2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
    <w:rPr>
      <w:lang w:val="en-US" w:eastAsia="en-US" w:bidi="ar-SA"/>
    </w:rPr>
  </w:style>
  <w:style w:type="character" w:customStyle="1" w:styleId="rrfootnoteCharCharCharCharChar">
    <w:name w:val="rrfootnote Char Char Char Char Char"/>
    <w:aliases w:val="Footnote Text Char Char Char Char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Strong">
    <w:name w:val="Strong"/>
    <w:qFormat/>
    <w:rsid w:val="00764554"/>
    <w:rPr>
      <w:b/>
      <w:bCs/>
    </w:rPr>
  </w:style>
  <w:style w:type="paragraph" w:customStyle="1" w:styleId="NumberedList">
    <w:name w:val="Numbered List"/>
    <w:basedOn w:val="Normal"/>
    <w:rsid w:val="00CC5570"/>
    <w:pPr>
      <w:widowControl w:val="0"/>
      <w:numPr>
        <w:numId w:val="11"/>
      </w:numPr>
      <w:autoSpaceDE w:val="0"/>
      <w:autoSpaceDN w:val="0"/>
      <w:adjustRightInd w:val="0"/>
      <w:spacing w:after="2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1545</Words>
  <Characters>8424</Characters>
  <Application>Microsoft Office Word</Application>
  <DocSecurity>0</DocSecurity>
  <Lines>165</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10061</CharactersWithSpaces>
  <SharedDoc>false</SharedDoc>
  <HyperlinkBase> </HyperlinkBase>
  <HLinks>
    <vt:vector size="18" baseType="variant">
      <vt:variant>
        <vt:i4>8126550</vt:i4>
      </vt:variant>
      <vt:variant>
        <vt:i4>3</vt:i4>
      </vt:variant>
      <vt:variant>
        <vt:i4>0</vt:i4>
      </vt:variant>
      <vt:variant>
        <vt:i4>5</vt:i4>
      </vt:variant>
      <vt:variant>
        <vt:lpwstr>mailto:ARINQUIRIES@fcc.gov</vt:lpwstr>
      </vt:variant>
      <vt:variant>
        <vt:lpwstr/>
      </vt:variant>
      <vt:variant>
        <vt:i4>3276871</vt:i4>
      </vt:variant>
      <vt:variant>
        <vt:i4>0</vt:i4>
      </vt:variant>
      <vt:variant>
        <vt:i4>0</vt:i4>
      </vt:variant>
      <vt:variant>
        <vt:i4>5</vt:i4>
      </vt:variant>
      <vt:variant>
        <vt:lpwstr>mailto:WR-Response@fcc.gov</vt:lpwstr>
      </vt:variant>
      <vt:variant>
        <vt:lpwstr/>
      </vt:variant>
      <vt:variant>
        <vt:i4>7536763</vt:i4>
      </vt:variant>
      <vt:variant>
        <vt:i4>0</vt:i4>
      </vt:variant>
      <vt:variant>
        <vt:i4>0</vt:i4>
      </vt:variant>
      <vt:variant>
        <vt:i4>5</vt:i4>
      </vt:variant>
      <vt:variant>
        <vt:lpwstr>http://www.fcc.gov/encyclopedia/weather-radar-interference-enforcement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2013-05-21T21:40:00Z</cp:lastPrinted>
  <dcterms:created xsi:type="dcterms:W3CDTF">2014-02-07T17:45:00Z</dcterms:created>
  <dcterms:modified xsi:type="dcterms:W3CDTF">2014-02-07T17:45:00Z</dcterms:modified>
  <cp:category> </cp:category>
  <cp:contentStatus> </cp:contentStatus>
</cp:coreProperties>
</file>