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F8D" w:rsidRDefault="0056031D">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33FC" w:rsidRDefault="004133FC">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rsidR="004133FC" w:rsidRDefault="004133FC">
                      <w:pPr>
                        <w:tabs>
                          <w:tab w:val="left" w:pos="1440"/>
                          <w:tab w:val="left" w:pos="5040"/>
                        </w:tabs>
                        <w:suppressAutoHyphens/>
                        <w:jc w:val="both"/>
                        <w:rPr>
                          <w:sz w:val="2"/>
                        </w:rPr>
                      </w:pPr>
                    </w:p>
                  </w:txbxContent>
                </v:textbox>
                <w10:wrap anchorx="margin" anchory="page"/>
              </v:rect>
            </w:pict>
          </mc:Fallback>
        </mc:AlternateContent>
      </w:r>
      <w:r w:rsidR="00677F8D">
        <w:rPr>
          <w:spacing w:val="-10"/>
          <w:sz w:val="86"/>
        </w:rPr>
        <w:t>PUBLIC NOTICE</w:t>
      </w:r>
    </w:p>
    <w:p w:rsidR="00677F8D" w:rsidRDefault="00677F8D">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677F8D" w:rsidRDefault="00677F8D">
      <w:pPr>
        <w:tabs>
          <w:tab w:val="left" w:pos="1440"/>
          <w:tab w:val="left" w:pos="5040"/>
        </w:tabs>
        <w:suppressAutoHyphens/>
        <w:spacing w:line="227" w:lineRule="auto"/>
        <w:jc w:val="both"/>
        <w:rPr>
          <w:spacing w:val="-2"/>
          <w:sz w:val="22"/>
        </w:rPr>
      </w:pPr>
      <w:r>
        <w:rPr>
          <w:spacing w:val="-2"/>
          <w:sz w:val="22"/>
        </w:rPr>
        <w:t>445 TWELFTH STREET, S.W.</w:t>
      </w:r>
    </w:p>
    <w:p w:rsidR="00677F8D" w:rsidRDefault="00677F8D">
      <w:pPr>
        <w:tabs>
          <w:tab w:val="right" w:pos="9360"/>
        </w:tabs>
        <w:suppressAutoHyphens/>
        <w:spacing w:line="227" w:lineRule="auto"/>
        <w:jc w:val="both"/>
        <w:rPr>
          <w:spacing w:val="-2"/>
          <w:sz w:val="22"/>
        </w:rPr>
      </w:pPr>
      <w:r>
        <w:rPr>
          <w:spacing w:val="-2"/>
          <w:sz w:val="22"/>
        </w:rPr>
        <w:t>WASHINGTON, D.C. 20554</w:t>
      </w:r>
      <w:r>
        <w:rPr>
          <w:b/>
          <w:spacing w:val="-2"/>
          <w:sz w:val="22"/>
        </w:rPr>
        <w:tab/>
      </w:r>
    </w:p>
    <w:p w:rsidR="00677F8D" w:rsidRDefault="0056031D">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677F8D" w:rsidRDefault="00677F8D">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677F8D" w:rsidRDefault="00677F8D">
      <w:pPr>
        <w:tabs>
          <w:tab w:val="left" w:pos="-1440"/>
          <w:tab w:val="left" w:pos="-720"/>
        </w:tabs>
        <w:suppressAutoHyphens/>
        <w:spacing w:line="227" w:lineRule="auto"/>
        <w:jc w:val="both"/>
        <w:rPr>
          <w:spacing w:val="-2"/>
          <w:sz w:val="22"/>
          <w:szCs w:val="22"/>
        </w:rPr>
      </w:pPr>
    </w:p>
    <w:p w:rsidR="005679E0" w:rsidRPr="00E510F9" w:rsidRDefault="005679E0" w:rsidP="005679E0">
      <w:pPr>
        <w:tabs>
          <w:tab w:val="right" w:pos="9360"/>
        </w:tabs>
        <w:suppressAutoHyphens/>
        <w:spacing w:line="227" w:lineRule="auto"/>
        <w:jc w:val="right"/>
        <w:outlineLvl w:val="0"/>
        <w:rPr>
          <w:spacing w:val="-2"/>
          <w:sz w:val="24"/>
          <w:szCs w:val="24"/>
        </w:rPr>
      </w:pPr>
      <w:r>
        <w:rPr>
          <w:b/>
          <w:spacing w:val="-2"/>
          <w:sz w:val="22"/>
        </w:rPr>
        <w:t xml:space="preserve">DA </w:t>
      </w:r>
      <w:r w:rsidR="00F25DB1">
        <w:rPr>
          <w:b/>
          <w:spacing w:val="-2"/>
          <w:sz w:val="22"/>
        </w:rPr>
        <w:t>14</w:t>
      </w:r>
      <w:r w:rsidR="00A60C92" w:rsidRPr="00A60C92">
        <w:rPr>
          <w:b/>
          <w:spacing w:val="-2"/>
          <w:sz w:val="22"/>
        </w:rPr>
        <w:t>-</w:t>
      </w:r>
      <w:r w:rsidR="00817E94">
        <w:rPr>
          <w:b/>
          <w:spacing w:val="-2"/>
          <w:sz w:val="22"/>
        </w:rPr>
        <w:t>1620</w:t>
      </w:r>
    </w:p>
    <w:p w:rsidR="005679E0" w:rsidRDefault="004E207A" w:rsidP="005679E0">
      <w:pPr>
        <w:tabs>
          <w:tab w:val="right" w:pos="9360"/>
        </w:tabs>
        <w:suppressAutoHyphens/>
        <w:spacing w:line="227" w:lineRule="auto"/>
        <w:jc w:val="right"/>
        <w:outlineLvl w:val="0"/>
        <w:rPr>
          <w:b/>
          <w:spacing w:val="-2"/>
          <w:sz w:val="22"/>
          <w:szCs w:val="22"/>
        </w:rPr>
      </w:pPr>
      <w:r>
        <w:rPr>
          <w:b/>
          <w:spacing w:val="-2"/>
          <w:sz w:val="22"/>
          <w:szCs w:val="22"/>
        </w:rPr>
        <w:t xml:space="preserve">Released:  </w:t>
      </w:r>
      <w:r w:rsidR="004014E5">
        <w:rPr>
          <w:b/>
          <w:spacing w:val="-2"/>
          <w:sz w:val="22"/>
          <w:szCs w:val="22"/>
        </w:rPr>
        <w:t>November</w:t>
      </w:r>
      <w:r w:rsidR="0057338C">
        <w:rPr>
          <w:b/>
          <w:spacing w:val="-2"/>
          <w:sz w:val="22"/>
          <w:szCs w:val="22"/>
        </w:rPr>
        <w:t xml:space="preserve"> </w:t>
      </w:r>
      <w:r w:rsidR="00DD4D2F">
        <w:rPr>
          <w:b/>
          <w:spacing w:val="-2"/>
          <w:sz w:val="22"/>
          <w:szCs w:val="22"/>
        </w:rPr>
        <w:t>7</w:t>
      </w:r>
      <w:r w:rsidR="00873985">
        <w:rPr>
          <w:b/>
          <w:spacing w:val="-2"/>
          <w:sz w:val="22"/>
          <w:szCs w:val="22"/>
        </w:rPr>
        <w:t>, 201</w:t>
      </w:r>
      <w:r w:rsidR="00F25DB1">
        <w:rPr>
          <w:b/>
          <w:spacing w:val="-2"/>
          <w:sz w:val="22"/>
          <w:szCs w:val="22"/>
        </w:rPr>
        <w:t>4</w:t>
      </w:r>
    </w:p>
    <w:p w:rsidR="00677F8D" w:rsidRDefault="00677F8D">
      <w:pPr>
        <w:tabs>
          <w:tab w:val="right" w:pos="9360"/>
        </w:tabs>
        <w:suppressAutoHyphens/>
        <w:spacing w:line="227" w:lineRule="auto"/>
        <w:jc w:val="both"/>
        <w:outlineLvl w:val="0"/>
        <w:rPr>
          <w:b/>
          <w:spacing w:val="-2"/>
          <w:sz w:val="22"/>
          <w:szCs w:val="22"/>
        </w:rPr>
      </w:pPr>
    </w:p>
    <w:p w:rsidR="001421C0" w:rsidRDefault="001421C0" w:rsidP="00F80958">
      <w:pPr>
        <w:jc w:val="center"/>
        <w:outlineLvl w:val="0"/>
        <w:rPr>
          <w:b/>
          <w:sz w:val="22"/>
          <w:szCs w:val="22"/>
        </w:rPr>
      </w:pPr>
      <w:r>
        <w:rPr>
          <w:b/>
          <w:sz w:val="22"/>
          <w:szCs w:val="22"/>
        </w:rPr>
        <w:t>PIONEER TELEPHONE COOPERATIVE, INC.</w:t>
      </w:r>
      <w:r w:rsidR="00881B4E" w:rsidRPr="00881B4E">
        <w:rPr>
          <w:b/>
          <w:sz w:val="22"/>
          <w:szCs w:val="22"/>
        </w:rPr>
        <w:t xml:space="preserve"> AND </w:t>
      </w:r>
      <w:r w:rsidR="00323887">
        <w:rPr>
          <w:b/>
          <w:sz w:val="22"/>
          <w:szCs w:val="22"/>
        </w:rPr>
        <w:t>KANOKLA TELEPHONE ASSOCIATION</w:t>
      </w:r>
      <w:r w:rsidR="00813303">
        <w:rPr>
          <w:b/>
          <w:sz w:val="22"/>
          <w:szCs w:val="22"/>
        </w:rPr>
        <w:t xml:space="preserve"> </w:t>
      </w:r>
      <w:r w:rsidR="00881B4E" w:rsidRPr="00881B4E">
        <w:rPr>
          <w:b/>
          <w:sz w:val="22"/>
          <w:szCs w:val="22"/>
        </w:rPr>
        <w:t>SEEK</w:t>
      </w:r>
      <w:r w:rsidR="00EB5171" w:rsidRPr="00881B4E">
        <w:rPr>
          <w:b/>
          <w:sz w:val="22"/>
          <w:szCs w:val="22"/>
        </w:rPr>
        <w:t xml:space="preserve"> </w:t>
      </w:r>
      <w:r w:rsidR="00D519C7" w:rsidRPr="00881B4E">
        <w:rPr>
          <w:b/>
          <w:sz w:val="22"/>
          <w:szCs w:val="22"/>
        </w:rPr>
        <w:t>FCC CONSENT</w:t>
      </w:r>
      <w:r w:rsidR="00B1028A" w:rsidRPr="00881B4E">
        <w:rPr>
          <w:b/>
          <w:sz w:val="22"/>
          <w:szCs w:val="22"/>
        </w:rPr>
        <w:t xml:space="preserve"> </w:t>
      </w:r>
      <w:r w:rsidR="0052101B" w:rsidRPr="00881B4E">
        <w:rPr>
          <w:b/>
          <w:sz w:val="22"/>
          <w:szCs w:val="22"/>
        </w:rPr>
        <w:t>TO THE</w:t>
      </w:r>
      <w:r w:rsidR="006133DB" w:rsidRPr="00881B4E">
        <w:rPr>
          <w:b/>
          <w:sz w:val="22"/>
          <w:szCs w:val="22"/>
        </w:rPr>
        <w:t xml:space="preserve"> </w:t>
      </w:r>
      <w:r w:rsidR="00536820" w:rsidRPr="00881B4E">
        <w:rPr>
          <w:b/>
          <w:sz w:val="22"/>
          <w:szCs w:val="22"/>
        </w:rPr>
        <w:t>ASSIGNMENT</w:t>
      </w:r>
      <w:r w:rsidR="0052101B" w:rsidRPr="00881B4E">
        <w:rPr>
          <w:b/>
          <w:sz w:val="22"/>
          <w:szCs w:val="22"/>
        </w:rPr>
        <w:t xml:space="preserve"> </w:t>
      </w:r>
      <w:r w:rsidR="00FD11C1" w:rsidRPr="00881B4E">
        <w:rPr>
          <w:b/>
          <w:sz w:val="22"/>
          <w:szCs w:val="22"/>
        </w:rPr>
        <w:t>OF</w:t>
      </w:r>
    </w:p>
    <w:p w:rsidR="0087382C" w:rsidRDefault="001421C0" w:rsidP="00F80958">
      <w:pPr>
        <w:jc w:val="center"/>
        <w:outlineLvl w:val="0"/>
        <w:rPr>
          <w:b/>
          <w:sz w:val="22"/>
          <w:szCs w:val="22"/>
        </w:rPr>
      </w:pPr>
      <w:r>
        <w:rPr>
          <w:b/>
          <w:sz w:val="22"/>
          <w:szCs w:val="22"/>
        </w:rPr>
        <w:t>THREE</w:t>
      </w:r>
      <w:r w:rsidR="005E7BA0">
        <w:rPr>
          <w:b/>
          <w:sz w:val="22"/>
          <w:szCs w:val="22"/>
        </w:rPr>
        <w:t xml:space="preserve"> LOWER 700 MHZ</w:t>
      </w:r>
      <w:r w:rsidR="006133DB" w:rsidRPr="00881B4E">
        <w:rPr>
          <w:b/>
          <w:sz w:val="22"/>
          <w:szCs w:val="22"/>
        </w:rPr>
        <w:t xml:space="preserve"> </w:t>
      </w:r>
      <w:r w:rsidR="001A15F0" w:rsidRPr="00881B4E">
        <w:rPr>
          <w:b/>
          <w:sz w:val="22"/>
          <w:szCs w:val="22"/>
        </w:rPr>
        <w:t>LICENSES</w:t>
      </w:r>
      <w:r w:rsidR="00813303">
        <w:rPr>
          <w:b/>
          <w:sz w:val="22"/>
          <w:szCs w:val="22"/>
        </w:rPr>
        <w:t xml:space="preserve"> </w:t>
      </w:r>
      <w:r w:rsidR="00323887">
        <w:rPr>
          <w:b/>
          <w:sz w:val="22"/>
          <w:szCs w:val="22"/>
        </w:rPr>
        <w:t>IN OKLAHOMA</w:t>
      </w:r>
    </w:p>
    <w:p w:rsidR="00677F8D" w:rsidRDefault="00677F8D">
      <w:pPr>
        <w:jc w:val="center"/>
        <w:rPr>
          <w:b/>
          <w:sz w:val="22"/>
          <w:szCs w:val="22"/>
        </w:rPr>
      </w:pPr>
    </w:p>
    <w:p w:rsidR="00677F8D" w:rsidRPr="00235756" w:rsidRDefault="00235756">
      <w:pPr>
        <w:jc w:val="center"/>
        <w:outlineLvl w:val="0"/>
        <w:rPr>
          <w:b/>
          <w:color w:val="000000"/>
          <w:sz w:val="22"/>
          <w:szCs w:val="22"/>
        </w:rPr>
      </w:pPr>
      <w:r w:rsidRPr="00235756">
        <w:rPr>
          <w:b/>
          <w:color w:val="000000"/>
          <w:sz w:val="22"/>
          <w:szCs w:val="22"/>
        </w:rPr>
        <w:t>WT Docket No. 14-</w:t>
      </w:r>
      <w:r w:rsidR="00332857">
        <w:rPr>
          <w:b/>
          <w:color w:val="000000"/>
          <w:sz w:val="22"/>
          <w:szCs w:val="22"/>
        </w:rPr>
        <w:t>197</w:t>
      </w:r>
    </w:p>
    <w:p w:rsidR="00677F8D" w:rsidRDefault="00677F8D">
      <w:pPr>
        <w:rPr>
          <w:b/>
          <w:sz w:val="22"/>
          <w:szCs w:val="22"/>
        </w:rPr>
      </w:pPr>
    </w:p>
    <w:p w:rsidR="00677F8D" w:rsidRDefault="00677F8D">
      <w:pPr>
        <w:jc w:val="center"/>
        <w:outlineLvl w:val="0"/>
        <w:rPr>
          <w:b/>
          <w:sz w:val="22"/>
          <w:szCs w:val="22"/>
        </w:rPr>
      </w:pPr>
      <w:r>
        <w:rPr>
          <w:b/>
          <w:sz w:val="22"/>
          <w:szCs w:val="22"/>
        </w:rPr>
        <w:t>PLEADING CYCLE ESTABLISHED</w:t>
      </w:r>
    </w:p>
    <w:p w:rsidR="00677F8D" w:rsidRDefault="00677F8D">
      <w:pPr>
        <w:rPr>
          <w:b/>
          <w:sz w:val="22"/>
          <w:szCs w:val="22"/>
        </w:rPr>
      </w:pPr>
    </w:p>
    <w:p w:rsidR="00333720" w:rsidRDefault="00333720" w:rsidP="00333720">
      <w:pPr>
        <w:widowControl/>
        <w:outlineLvl w:val="0"/>
        <w:rPr>
          <w:b/>
          <w:sz w:val="22"/>
          <w:szCs w:val="22"/>
        </w:rPr>
      </w:pPr>
      <w:r>
        <w:rPr>
          <w:b/>
          <w:sz w:val="22"/>
          <w:szCs w:val="22"/>
        </w:rPr>
        <w:t>Petitions to Deny Due:</w:t>
      </w:r>
      <w:r>
        <w:rPr>
          <w:b/>
          <w:sz w:val="22"/>
          <w:szCs w:val="22"/>
        </w:rPr>
        <w:tab/>
      </w:r>
      <w:r>
        <w:rPr>
          <w:b/>
          <w:sz w:val="22"/>
          <w:szCs w:val="22"/>
        </w:rPr>
        <w:tab/>
      </w:r>
      <w:r w:rsidR="00DD4D2F">
        <w:rPr>
          <w:b/>
          <w:spacing w:val="-2"/>
          <w:sz w:val="22"/>
          <w:szCs w:val="22"/>
        </w:rPr>
        <w:t>December 8, 2014</w:t>
      </w:r>
    </w:p>
    <w:p w:rsidR="00333720" w:rsidRDefault="00333720" w:rsidP="00333720">
      <w:pPr>
        <w:widowControl/>
        <w:rPr>
          <w:b/>
          <w:sz w:val="22"/>
          <w:szCs w:val="22"/>
        </w:rPr>
      </w:pPr>
      <w:r>
        <w:rPr>
          <w:b/>
          <w:sz w:val="22"/>
          <w:szCs w:val="22"/>
        </w:rPr>
        <w:t>Oppositions Due:</w:t>
      </w:r>
      <w:r>
        <w:rPr>
          <w:b/>
          <w:sz w:val="22"/>
          <w:szCs w:val="22"/>
        </w:rPr>
        <w:tab/>
      </w:r>
      <w:r>
        <w:rPr>
          <w:b/>
          <w:sz w:val="22"/>
          <w:szCs w:val="22"/>
        </w:rPr>
        <w:tab/>
      </w:r>
      <w:r w:rsidR="00DD4D2F">
        <w:rPr>
          <w:b/>
          <w:spacing w:val="-2"/>
          <w:sz w:val="22"/>
          <w:szCs w:val="22"/>
        </w:rPr>
        <w:t>December 18, 2014</w:t>
      </w:r>
    </w:p>
    <w:p w:rsidR="00333720" w:rsidRDefault="00333720" w:rsidP="00333720">
      <w:pPr>
        <w:widowControl/>
        <w:rPr>
          <w:b/>
          <w:sz w:val="22"/>
          <w:szCs w:val="22"/>
        </w:rPr>
      </w:pPr>
      <w:r>
        <w:rPr>
          <w:b/>
          <w:sz w:val="22"/>
          <w:szCs w:val="22"/>
        </w:rPr>
        <w:t>Replies Due:</w:t>
      </w:r>
      <w:r>
        <w:rPr>
          <w:b/>
          <w:sz w:val="22"/>
          <w:szCs w:val="22"/>
        </w:rPr>
        <w:tab/>
      </w:r>
      <w:r>
        <w:rPr>
          <w:b/>
          <w:sz w:val="22"/>
          <w:szCs w:val="22"/>
        </w:rPr>
        <w:tab/>
      </w:r>
      <w:r>
        <w:rPr>
          <w:b/>
          <w:sz w:val="22"/>
          <w:szCs w:val="22"/>
        </w:rPr>
        <w:tab/>
      </w:r>
      <w:r w:rsidR="00DD4D2F">
        <w:rPr>
          <w:b/>
          <w:sz w:val="22"/>
          <w:szCs w:val="22"/>
        </w:rPr>
        <w:t>December 26, 2014</w:t>
      </w:r>
    </w:p>
    <w:p w:rsidR="00677F8D" w:rsidRDefault="00677F8D">
      <w:pPr>
        <w:rPr>
          <w:b/>
          <w:sz w:val="22"/>
          <w:szCs w:val="22"/>
        </w:rPr>
      </w:pPr>
    </w:p>
    <w:p w:rsidR="00677F8D" w:rsidRDefault="00677F8D">
      <w:pPr>
        <w:outlineLvl w:val="0"/>
        <w:rPr>
          <w:b/>
          <w:sz w:val="22"/>
          <w:szCs w:val="22"/>
        </w:rPr>
      </w:pPr>
      <w:r>
        <w:rPr>
          <w:b/>
          <w:sz w:val="22"/>
          <w:szCs w:val="22"/>
        </w:rPr>
        <w:t>I.</w:t>
      </w:r>
      <w:r>
        <w:rPr>
          <w:b/>
          <w:sz w:val="22"/>
          <w:szCs w:val="22"/>
        </w:rPr>
        <w:tab/>
        <w:t>INTRODUCTION</w:t>
      </w:r>
    </w:p>
    <w:p w:rsidR="00677F8D" w:rsidRDefault="00677F8D">
      <w:pPr>
        <w:rPr>
          <w:b/>
          <w:sz w:val="22"/>
          <w:szCs w:val="22"/>
        </w:rPr>
      </w:pPr>
      <w:r>
        <w:rPr>
          <w:b/>
          <w:sz w:val="22"/>
          <w:szCs w:val="22"/>
        </w:rPr>
        <w:tab/>
      </w:r>
    </w:p>
    <w:p w:rsidR="00AA5F47" w:rsidRDefault="001421C0" w:rsidP="00AB3DF2">
      <w:pPr>
        <w:spacing w:after="220"/>
        <w:ind w:firstLine="720"/>
        <w:rPr>
          <w:sz w:val="22"/>
          <w:szCs w:val="22"/>
        </w:rPr>
      </w:pPr>
      <w:r>
        <w:rPr>
          <w:sz w:val="22"/>
          <w:szCs w:val="22"/>
        </w:rPr>
        <w:t>Pioneer Telephone Cooperative, Inc. (</w:t>
      </w:r>
      <w:r w:rsidR="00813303">
        <w:rPr>
          <w:sz w:val="22"/>
          <w:szCs w:val="22"/>
        </w:rPr>
        <w:t>“</w:t>
      </w:r>
      <w:r>
        <w:rPr>
          <w:sz w:val="22"/>
          <w:szCs w:val="22"/>
        </w:rPr>
        <w:t>Pioneer</w:t>
      </w:r>
      <w:r w:rsidR="00813303">
        <w:rPr>
          <w:sz w:val="22"/>
          <w:szCs w:val="22"/>
        </w:rPr>
        <w:t xml:space="preserve">”), </w:t>
      </w:r>
      <w:r w:rsidR="00E6770B">
        <w:rPr>
          <w:sz w:val="22"/>
          <w:szCs w:val="22"/>
        </w:rPr>
        <w:t>and KanOkla Telephone Association</w:t>
      </w:r>
      <w:r w:rsidR="00030F87" w:rsidRPr="00030F87">
        <w:rPr>
          <w:sz w:val="22"/>
          <w:szCs w:val="22"/>
        </w:rPr>
        <w:t xml:space="preserve"> (“</w:t>
      </w:r>
      <w:r w:rsidR="00E6770B">
        <w:rPr>
          <w:sz w:val="22"/>
          <w:szCs w:val="22"/>
        </w:rPr>
        <w:t>KanOkla,”</w:t>
      </w:r>
      <w:r w:rsidR="00030F87" w:rsidRPr="00030F87">
        <w:rPr>
          <w:sz w:val="22"/>
          <w:szCs w:val="22"/>
        </w:rPr>
        <w:t xml:space="preserve"> </w:t>
      </w:r>
      <w:r w:rsidR="00536820" w:rsidRPr="00030F87">
        <w:rPr>
          <w:sz w:val="22"/>
          <w:szCs w:val="22"/>
        </w:rPr>
        <w:t xml:space="preserve">and </w:t>
      </w:r>
      <w:r w:rsidR="00030F87" w:rsidRPr="00030F87">
        <w:rPr>
          <w:sz w:val="22"/>
          <w:szCs w:val="22"/>
        </w:rPr>
        <w:t>toget</w:t>
      </w:r>
      <w:r w:rsidR="00673859">
        <w:rPr>
          <w:sz w:val="22"/>
          <w:szCs w:val="22"/>
        </w:rPr>
        <w:t>her with Pioneer</w:t>
      </w:r>
      <w:r w:rsidR="00030F87" w:rsidRPr="00030F87">
        <w:rPr>
          <w:sz w:val="22"/>
          <w:szCs w:val="22"/>
        </w:rPr>
        <w:t xml:space="preserve">, the “Applicants”) </w:t>
      </w:r>
      <w:r w:rsidR="00677F8D" w:rsidRPr="00030F87">
        <w:rPr>
          <w:sz w:val="22"/>
          <w:szCs w:val="22"/>
        </w:rPr>
        <w:t>have filed application</w:t>
      </w:r>
      <w:r w:rsidR="00401995" w:rsidRPr="00030F87">
        <w:rPr>
          <w:sz w:val="22"/>
          <w:szCs w:val="22"/>
        </w:rPr>
        <w:t>s</w:t>
      </w:r>
      <w:r w:rsidR="00F80958" w:rsidRPr="00030F87">
        <w:rPr>
          <w:sz w:val="22"/>
          <w:szCs w:val="22"/>
        </w:rPr>
        <w:t xml:space="preserve"> pursuant to s</w:t>
      </w:r>
      <w:r w:rsidR="00677F8D" w:rsidRPr="00030F87">
        <w:rPr>
          <w:sz w:val="22"/>
          <w:szCs w:val="22"/>
        </w:rPr>
        <w:t>ection</w:t>
      </w:r>
      <w:r w:rsidR="00F80958" w:rsidRPr="00030F87">
        <w:rPr>
          <w:sz w:val="22"/>
          <w:szCs w:val="22"/>
        </w:rPr>
        <w:t xml:space="preserve"> </w:t>
      </w:r>
      <w:r w:rsidR="00677F8D" w:rsidRPr="00030F87">
        <w:rPr>
          <w:sz w:val="22"/>
          <w:szCs w:val="22"/>
        </w:rPr>
        <w:t>310(d) of the Communications Act of 1934, as amended</w:t>
      </w:r>
      <w:r w:rsidR="00F700D7" w:rsidRPr="00030F87">
        <w:rPr>
          <w:sz w:val="22"/>
          <w:szCs w:val="22"/>
        </w:rPr>
        <w:t>,</w:t>
      </w:r>
      <w:r w:rsidR="00677F8D" w:rsidRPr="00030F87">
        <w:rPr>
          <w:rStyle w:val="FootnoteReference"/>
          <w:sz w:val="22"/>
          <w:szCs w:val="22"/>
        </w:rPr>
        <w:footnoteReference w:id="1"/>
      </w:r>
      <w:r w:rsidR="00E6770B">
        <w:rPr>
          <w:sz w:val="22"/>
          <w:szCs w:val="22"/>
        </w:rPr>
        <w:t xml:space="preserve"> seeking the full </w:t>
      </w:r>
      <w:r w:rsidR="00677F8D" w:rsidRPr="00030F87">
        <w:rPr>
          <w:sz w:val="22"/>
          <w:szCs w:val="22"/>
        </w:rPr>
        <w:t>assign</w:t>
      </w:r>
      <w:r w:rsidR="00E6770B">
        <w:rPr>
          <w:sz w:val="22"/>
          <w:szCs w:val="22"/>
        </w:rPr>
        <w:t xml:space="preserve">ment of </w:t>
      </w:r>
      <w:r w:rsidR="00673859">
        <w:rPr>
          <w:sz w:val="22"/>
          <w:szCs w:val="22"/>
        </w:rPr>
        <w:t>two</w:t>
      </w:r>
      <w:r w:rsidR="00030F87" w:rsidRPr="00030F87">
        <w:rPr>
          <w:sz w:val="22"/>
          <w:szCs w:val="22"/>
        </w:rPr>
        <w:t xml:space="preserve"> </w:t>
      </w:r>
      <w:r w:rsidR="00C77D76">
        <w:rPr>
          <w:sz w:val="22"/>
          <w:szCs w:val="22"/>
        </w:rPr>
        <w:t>Lower 700</w:t>
      </w:r>
      <w:r w:rsidR="00AA5F47">
        <w:rPr>
          <w:sz w:val="22"/>
          <w:szCs w:val="22"/>
        </w:rPr>
        <w:t xml:space="preserve"> </w:t>
      </w:r>
      <w:r w:rsidR="00030F87" w:rsidRPr="00030F87">
        <w:rPr>
          <w:sz w:val="22"/>
          <w:szCs w:val="22"/>
        </w:rPr>
        <w:t xml:space="preserve">MHz </w:t>
      </w:r>
      <w:r w:rsidR="00C77D76">
        <w:rPr>
          <w:sz w:val="22"/>
          <w:szCs w:val="22"/>
        </w:rPr>
        <w:t xml:space="preserve">C Block </w:t>
      </w:r>
      <w:r w:rsidR="00E6770B">
        <w:rPr>
          <w:sz w:val="22"/>
          <w:szCs w:val="22"/>
        </w:rPr>
        <w:t>license</w:t>
      </w:r>
      <w:r w:rsidR="00673859">
        <w:rPr>
          <w:sz w:val="22"/>
          <w:szCs w:val="22"/>
        </w:rPr>
        <w:t>s</w:t>
      </w:r>
      <w:r w:rsidR="00E6770B">
        <w:rPr>
          <w:sz w:val="22"/>
          <w:szCs w:val="22"/>
        </w:rPr>
        <w:t xml:space="preserve"> and the </w:t>
      </w:r>
      <w:r w:rsidR="000C5C0A">
        <w:rPr>
          <w:sz w:val="22"/>
          <w:szCs w:val="22"/>
        </w:rPr>
        <w:t>partitioned</w:t>
      </w:r>
      <w:r w:rsidR="00E6770B">
        <w:rPr>
          <w:sz w:val="22"/>
          <w:szCs w:val="22"/>
        </w:rPr>
        <w:t xml:space="preserve"> assignment of </w:t>
      </w:r>
      <w:r w:rsidR="00097E54">
        <w:rPr>
          <w:sz w:val="22"/>
          <w:szCs w:val="22"/>
        </w:rPr>
        <w:t xml:space="preserve">a third </w:t>
      </w:r>
      <w:r w:rsidR="00240457">
        <w:rPr>
          <w:sz w:val="22"/>
          <w:szCs w:val="22"/>
        </w:rPr>
        <w:t xml:space="preserve">Lower 700 MHz C Block license </w:t>
      </w:r>
      <w:r w:rsidR="00097E54">
        <w:rPr>
          <w:sz w:val="22"/>
          <w:szCs w:val="22"/>
        </w:rPr>
        <w:t xml:space="preserve">from KanOkla </w:t>
      </w:r>
      <w:r w:rsidR="00C77D76">
        <w:rPr>
          <w:sz w:val="22"/>
          <w:szCs w:val="22"/>
        </w:rPr>
        <w:t xml:space="preserve">to </w:t>
      </w:r>
      <w:r w:rsidR="00673859">
        <w:rPr>
          <w:sz w:val="22"/>
          <w:szCs w:val="22"/>
        </w:rPr>
        <w:t>Pioneer</w:t>
      </w:r>
      <w:r w:rsidR="00C77D76">
        <w:rPr>
          <w:sz w:val="22"/>
          <w:szCs w:val="22"/>
        </w:rPr>
        <w:t>.</w:t>
      </w:r>
      <w:r w:rsidR="00030F87" w:rsidRPr="00030F87">
        <w:rPr>
          <w:sz w:val="22"/>
          <w:szCs w:val="22"/>
        </w:rPr>
        <w:t xml:space="preserve">  </w:t>
      </w:r>
      <w:r w:rsidR="00472431" w:rsidRPr="00677644">
        <w:rPr>
          <w:sz w:val="22"/>
          <w:szCs w:val="22"/>
        </w:rPr>
        <w:t xml:space="preserve">The subject licenses </w:t>
      </w:r>
      <w:r w:rsidR="00BB1AA0">
        <w:rPr>
          <w:sz w:val="22"/>
          <w:szCs w:val="22"/>
        </w:rPr>
        <w:t>cover</w:t>
      </w:r>
      <w:r w:rsidR="00BB1AA0" w:rsidRPr="00677644">
        <w:rPr>
          <w:sz w:val="22"/>
          <w:szCs w:val="22"/>
        </w:rPr>
        <w:t xml:space="preserve"> </w:t>
      </w:r>
      <w:r w:rsidR="00AA5F47" w:rsidRPr="00677644">
        <w:rPr>
          <w:sz w:val="22"/>
          <w:szCs w:val="22"/>
        </w:rPr>
        <w:t xml:space="preserve">parts </w:t>
      </w:r>
      <w:r w:rsidR="00472431" w:rsidRPr="00677644">
        <w:rPr>
          <w:sz w:val="22"/>
          <w:szCs w:val="22"/>
        </w:rPr>
        <w:t xml:space="preserve">of </w:t>
      </w:r>
      <w:r w:rsidR="00E6770B" w:rsidRPr="00677644">
        <w:rPr>
          <w:sz w:val="22"/>
          <w:szCs w:val="22"/>
        </w:rPr>
        <w:t>Oklahoma</w:t>
      </w:r>
      <w:r w:rsidR="00472431" w:rsidRPr="00677644">
        <w:rPr>
          <w:sz w:val="22"/>
          <w:szCs w:val="22"/>
        </w:rPr>
        <w:t xml:space="preserve">.  </w:t>
      </w:r>
      <w:r w:rsidR="00677644" w:rsidRPr="00677644">
        <w:rPr>
          <w:sz w:val="22"/>
          <w:szCs w:val="22"/>
        </w:rPr>
        <w:t>The proposed transaction involves only the assignment of spectrum; no customers or networks would be transferred.</w:t>
      </w:r>
      <w:r w:rsidR="00677644">
        <w:rPr>
          <w:sz w:val="22"/>
          <w:szCs w:val="22"/>
        </w:rPr>
        <w:t xml:space="preserve">  </w:t>
      </w:r>
    </w:p>
    <w:p w:rsidR="00EC6F48" w:rsidRDefault="00EC6F48" w:rsidP="00AB3DF2">
      <w:pPr>
        <w:spacing w:after="220"/>
        <w:ind w:firstLine="720"/>
        <w:rPr>
          <w:sz w:val="22"/>
          <w:szCs w:val="22"/>
        </w:rPr>
      </w:pPr>
      <w:r>
        <w:rPr>
          <w:sz w:val="22"/>
          <w:szCs w:val="22"/>
        </w:rPr>
        <w:t xml:space="preserve">The Applicants </w:t>
      </w:r>
      <w:r w:rsidR="00BB1AA0">
        <w:rPr>
          <w:sz w:val="22"/>
          <w:szCs w:val="22"/>
        </w:rPr>
        <w:t xml:space="preserve">contend </w:t>
      </w:r>
      <w:r>
        <w:rPr>
          <w:sz w:val="22"/>
          <w:szCs w:val="22"/>
        </w:rPr>
        <w:t xml:space="preserve">that the proposed transaction would provide Pioneer with additional spectrum that would </w:t>
      </w:r>
      <w:r w:rsidR="00F673F1">
        <w:rPr>
          <w:sz w:val="22"/>
          <w:szCs w:val="22"/>
        </w:rPr>
        <w:t>allow for</w:t>
      </w:r>
      <w:r>
        <w:rPr>
          <w:sz w:val="22"/>
          <w:szCs w:val="22"/>
        </w:rPr>
        <w:t xml:space="preserve"> improve</w:t>
      </w:r>
      <w:r w:rsidR="00F673F1">
        <w:rPr>
          <w:sz w:val="22"/>
          <w:szCs w:val="22"/>
        </w:rPr>
        <w:t>d</w:t>
      </w:r>
      <w:r>
        <w:rPr>
          <w:sz w:val="22"/>
          <w:szCs w:val="22"/>
        </w:rPr>
        <w:t xml:space="preserve"> wireless service offerings, capacity, and data throughput speeds in the rural </w:t>
      </w:r>
      <w:r w:rsidR="00F673F1">
        <w:rPr>
          <w:sz w:val="22"/>
          <w:szCs w:val="22"/>
        </w:rPr>
        <w:t xml:space="preserve">markets </w:t>
      </w:r>
      <w:r w:rsidR="00BB1AA0">
        <w:rPr>
          <w:sz w:val="22"/>
          <w:szCs w:val="22"/>
        </w:rPr>
        <w:t xml:space="preserve">impacted by </w:t>
      </w:r>
      <w:r w:rsidR="00F673F1">
        <w:rPr>
          <w:sz w:val="22"/>
          <w:szCs w:val="22"/>
        </w:rPr>
        <w:t>the transaction.</w:t>
      </w:r>
    </w:p>
    <w:p w:rsidR="00AA5F47" w:rsidRPr="006900DC" w:rsidRDefault="00AA5F47" w:rsidP="006900DC">
      <w:pPr>
        <w:spacing w:after="220"/>
        <w:ind w:firstLine="720"/>
        <w:rPr>
          <w:sz w:val="22"/>
          <w:szCs w:val="22"/>
        </w:rPr>
      </w:pPr>
      <w:r w:rsidRPr="001A2BFD">
        <w:rPr>
          <w:sz w:val="22"/>
          <w:szCs w:val="22"/>
        </w:rPr>
        <w:t xml:space="preserve">Our preliminary review indicates that </w:t>
      </w:r>
      <w:r w:rsidR="00D5610C">
        <w:rPr>
          <w:sz w:val="22"/>
          <w:szCs w:val="22"/>
        </w:rPr>
        <w:t>Pioneer</w:t>
      </w:r>
      <w:r w:rsidRPr="001A2BFD">
        <w:rPr>
          <w:sz w:val="22"/>
          <w:szCs w:val="22"/>
        </w:rPr>
        <w:t xml:space="preserve"> would be assigned </w:t>
      </w:r>
      <w:r w:rsidR="001A2BFD" w:rsidRPr="001A2BFD">
        <w:rPr>
          <w:sz w:val="22"/>
          <w:szCs w:val="22"/>
        </w:rPr>
        <w:t>12</w:t>
      </w:r>
      <w:r w:rsidRPr="001A2BFD">
        <w:rPr>
          <w:sz w:val="22"/>
          <w:szCs w:val="22"/>
        </w:rPr>
        <w:t xml:space="preserve"> megahertz of </w:t>
      </w:r>
      <w:r w:rsidR="00BB1AA0">
        <w:rPr>
          <w:sz w:val="22"/>
          <w:szCs w:val="22"/>
        </w:rPr>
        <w:t xml:space="preserve">Lower 700 MHz C Block </w:t>
      </w:r>
      <w:r w:rsidRPr="001A2BFD">
        <w:rPr>
          <w:sz w:val="22"/>
          <w:szCs w:val="22"/>
        </w:rPr>
        <w:t xml:space="preserve">spectrum in </w:t>
      </w:r>
      <w:r w:rsidR="00D5610C">
        <w:rPr>
          <w:sz w:val="22"/>
          <w:szCs w:val="22"/>
        </w:rPr>
        <w:t>eight</w:t>
      </w:r>
      <w:r w:rsidRPr="001A2BFD">
        <w:rPr>
          <w:sz w:val="22"/>
          <w:szCs w:val="22"/>
        </w:rPr>
        <w:t xml:space="preserve"> counties covering </w:t>
      </w:r>
      <w:r w:rsidR="00D5610C">
        <w:rPr>
          <w:sz w:val="22"/>
          <w:szCs w:val="22"/>
        </w:rPr>
        <w:t>all or portions of three Cellular Market Areas (“</w:t>
      </w:r>
      <w:r w:rsidRPr="001A2BFD">
        <w:rPr>
          <w:sz w:val="22"/>
          <w:szCs w:val="22"/>
        </w:rPr>
        <w:t>CMAs</w:t>
      </w:r>
      <w:r w:rsidR="00D5610C">
        <w:rPr>
          <w:sz w:val="22"/>
          <w:szCs w:val="22"/>
        </w:rPr>
        <w:t>”) – CMA 302 (Enid, Oklahoma), CMA 597 (Oklahoma 2-Harper), and CMA 598 (Oklahoma 3-Grant).  Post-transaction, Pioneer</w:t>
      </w:r>
      <w:r w:rsidRPr="001A2BFD">
        <w:rPr>
          <w:sz w:val="22"/>
          <w:szCs w:val="22"/>
        </w:rPr>
        <w:t xml:space="preserve"> would </w:t>
      </w:r>
      <w:r w:rsidR="00BB1AA0">
        <w:rPr>
          <w:sz w:val="22"/>
          <w:szCs w:val="22"/>
        </w:rPr>
        <w:t xml:space="preserve">be attributed with </w:t>
      </w:r>
      <w:r w:rsidR="00D5610C">
        <w:rPr>
          <w:sz w:val="22"/>
          <w:szCs w:val="22"/>
        </w:rPr>
        <w:t>47 to 91</w:t>
      </w:r>
      <w:r w:rsidRPr="001A2BFD">
        <w:rPr>
          <w:sz w:val="22"/>
          <w:szCs w:val="22"/>
        </w:rPr>
        <w:t xml:space="preserve"> megahe</w:t>
      </w:r>
      <w:r w:rsidR="00D5610C">
        <w:rPr>
          <w:sz w:val="22"/>
          <w:szCs w:val="22"/>
        </w:rPr>
        <w:t>rtz of spectrum in total, and 37 to 71</w:t>
      </w:r>
      <w:r w:rsidRPr="001A2BFD">
        <w:rPr>
          <w:sz w:val="22"/>
          <w:szCs w:val="22"/>
        </w:rPr>
        <w:t xml:space="preserve"> megahertz of below-1-GHz spectrum, in these </w:t>
      </w:r>
      <w:r w:rsidR="00D5610C">
        <w:rPr>
          <w:sz w:val="22"/>
          <w:szCs w:val="22"/>
        </w:rPr>
        <w:t>three</w:t>
      </w:r>
      <w:r w:rsidRPr="001A2BFD">
        <w:rPr>
          <w:sz w:val="22"/>
          <w:szCs w:val="22"/>
        </w:rPr>
        <w:t xml:space="preserve"> CMAs.</w:t>
      </w:r>
    </w:p>
    <w:p w:rsidR="00A16257" w:rsidRPr="006900DC" w:rsidRDefault="00A16257" w:rsidP="00F7584C">
      <w:pPr>
        <w:spacing w:after="220"/>
        <w:ind w:firstLine="720"/>
        <w:rPr>
          <w:sz w:val="22"/>
          <w:szCs w:val="22"/>
        </w:rPr>
      </w:pPr>
      <w:r w:rsidRPr="00A16257">
        <w:rPr>
          <w:snapToGrid/>
          <w:sz w:val="22"/>
          <w:szCs w:val="22"/>
        </w:rPr>
        <w:t xml:space="preserve">The </w:t>
      </w:r>
      <w:r w:rsidRPr="00A16257">
        <w:rPr>
          <w:i/>
          <w:snapToGrid/>
          <w:sz w:val="22"/>
          <w:szCs w:val="22"/>
        </w:rPr>
        <w:t>Mobile Spectrum Holdings Report and Order</w:t>
      </w:r>
      <w:r w:rsidRPr="00A16257">
        <w:rPr>
          <w:snapToGrid/>
          <w:sz w:val="22"/>
          <w:szCs w:val="22"/>
        </w:rPr>
        <w:t xml:space="preserve"> requires, where the entity acquiring below-1-GHz spectrum already holds approximately one-third or more of the below-1-GHz spectrum in a particular market, that the demonstration of the public interest benefits of the proposed transaction will need to clearly outweigh the potential public interest harms.</w:t>
      </w:r>
      <w:r w:rsidRPr="00A16257">
        <w:rPr>
          <w:snapToGrid/>
          <w:sz w:val="22"/>
          <w:szCs w:val="22"/>
          <w:vertAlign w:val="superscript"/>
          <w:specVanish/>
        </w:rPr>
        <w:footnoteReference w:id="2"/>
      </w:r>
      <w:r w:rsidRPr="00A16257">
        <w:rPr>
          <w:snapToGrid/>
          <w:sz w:val="22"/>
          <w:szCs w:val="22"/>
        </w:rPr>
        <w:t xml:space="preserve">  </w:t>
      </w:r>
      <w:r w:rsidR="00BB1AA0">
        <w:rPr>
          <w:snapToGrid/>
          <w:sz w:val="22"/>
          <w:szCs w:val="22"/>
        </w:rPr>
        <w:t xml:space="preserve">This is the case for two of the three CMAs </w:t>
      </w:r>
      <w:r w:rsidR="00BB1AA0">
        <w:rPr>
          <w:snapToGrid/>
          <w:sz w:val="22"/>
          <w:szCs w:val="22"/>
        </w:rPr>
        <w:lastRenderedPageBreak/>
        <w:t xml:space="preserve">implicated by the proposed transaction:  </w:t>
      </w:r>
      <w:r w:rsidRPr="00A16257">
        <w:rPr>
          <w:snapToGrid/>
          <w:sz w:val="22"/>
          <w:szCs w:val="22"/>
        </w:rPr>
        <w:t xml:space="preserve">In </w:t>
      </w:r>
      <w:r w:rsidR="00296492">
        <w:rPr>
          <w:sz w:val="22"/>
          <w:szCs w:val="22"/>
        </w:rPr>
        <w:t>CMA 302 (Enid, Oklahoma)</w:t>
      </w:r>
      <w:r w:rsidR="00296492">
        <w:rPr>
          <w:snapToGrid/>
          <w:sz w:val="22"/>
          <w:szCs w:val="22"/>
        </w:rPr>
        <w:t>, Pioneer</w:t>
      </w:r>
      <w:r w:rsidRPr="00A16257">
        <w:rPr>
          <w:snapToGrid/>
          <w:sz w:val="22"/>
          <w:szCs w:val="22"/>
        </w:rPr>
        <w:t xml:space="preserve"> </w:t>
      </w:r>
      <w:r w:rsidR="00C46B3F">
        <w:rPr>
          <w:snapToGrid/>
          <w:sz w:val="22"/>
          <w:szCs w:val="22"/>
        </w:rPr>
        <w:t>already is attributed with</w:t>
      </w:r>
      <w:r w:rsidR="00296492">
        <w:rPr>
          <w:snapToGrid/>
          <w:sz w:val="22"/>
          <w:szCs w:val="22"/>
        </w:rPr>
        <w:t xml:space="preserve"> 47</w:t>
      </w:r>
      <w:r w:rsidRPr="00A16257">
        <w:rPr>
          <w:snapToGrid/>
          <w:sz w:val="22"/>
          <w:szCs w:val="22"/>
        </w:rPr>
        <w:t xml:space="preserve"> megahertz of below-1-GHz spectrum and, as a result of this transaction, would increase its holdings to </w:t>
      </w:r>
      <w:r w:rsidR="00296492">
        <w:rPr>
          <w:snapToGrid/>
          <w:sz w:val="22"/>
          <w:szCs w:val="22"/>
        </w:rPr>
        <w:t>59</w:t>
      </w:r>
      <w:r w:rsidRPr="00A16257">
        <w:rPr>
          <w:snapToGrid/>
          <w:sz w:val="22"/>
          <w:szCs w:val="22"/>
        </w:rPr>
        <w:t xml:space="preserve"> megahertz</w:t>
      </w:r>
      <w:r w:rsidR="00C46B3F">
        <w:rPr>
          <w:snapToGrid/>
          <w:sz w:val="22"/>
          <w:szCs w:val="22"/>
        </w:rPr>
        <w:t xml:space="preserve">; </w:t>
      </w:r>
      <w:r w:rsidR="008A67B1">
        <w:rPr>
          <w:snapToGrid/>
          <w:sz w:val="22"/>
          <w:szCs w:val="22"/>
        </w:rPr>
        <w:t>and</w:t>
      </w:r>
      <w:r w:rsidR="00C46B3F">
        <w:rPr>
          <w:snapToGrid/>
          <w:sz w:val="22"/>
          <w:szCs w:val="22"/>
        </w:rPr>
        <w:t xml:space="preserve"> i</w:t>
      </w:r>
      <w:r w:rsidR="00296492" w:rsidRPr="00A16257">
        <w:rPr>
          <w:snapToGrid/>
          <w:sz w:val="22"/>
          <w:szCs w:val="22"/>
        </w:rPr>
        <w:t xml:space="preserve">n </w:t>
      </w:r>
      <w:r w:rsidR="00F7584C">
        <w:rPr>
          <w:sz w:val="22"/>
          <w:szCs w:val="22"/>
        </w:rPr>
        <w:t xml:space="preserve">CMA 597 (Oklahoma 2-Harper), </w:t>
      </w:r>
      <w:r w:rsidR="00296492">
        <w:rPr>
          <w:snapToGrid/>
          <w:sz w:val="22"/>
          <w:szCs w:val="22"/>
        </w:rPr>
        <w:t>Pioneer</w:t>
      </w:r>
      <w:r w:rsidR="00296492" w:rsidRPr="00A16257">
        <w:rPr>
          <w:snapToGrid/>
          <w:sz w:val="22"/>
          <w:szCs w:val="22"/>
        </w:rPr>
        <w:t xml:space="preserve"> </w:t>
      </w:r>
      <w:r w:rsidR="00C46B3F">
        <w:rPr>
          <w:snapToGrid/>
          <w:sz w:val="22"/>
          <w:szCs w:val="22"/>
        </w:rPr>
        <w:t>already is attributed with</w:t>
      </w:r>
      <w:r w:rsidR="00296492">
        <w:rPr>
          <w:snapToGrid/>
          <w:sz w:val="22"/>
          <w:szCs w:val="22"/>
        </w:rPr>
        <w:t xml:space="preserve"> 47</w:t>
      </w:r>
      <w:r w:rsidR="00F7584C">
        <w:rPr>
          <w:snapToGrid/>
          <w:sz w:val="22"/>
          <w:szCs w:val="22"/>
        </w:rPr>
        <w:t xml:space="preserve"> to 59</w:t>
      </w:r>
      <w:r w:rsidR="00296492" w:rsidRPr="00A16257">
        <w:rPr>
          <w:snapToGrid/>
          <w:sz w:val="22"/>
          <w:szCs w:val="22"/>
        </w:rPr>
        <w:t xml:space="preserve"> megahertz of below-1-GHz spectrum and, as a result of this transaction, would increase its holdings </w:t>
      </w:r>
      <w:r w:rsidR="008A67B1">
        <w:rPr>
          <w:snapToGrid/>
          <w:sz w:val="22"/>
          <w:szCs w:val="22"/>
        </w:rPr>
        <w:t xml:space="preserve">to </w:t>
      </w:r>
      <w:r w:rsidR="00296492">
        <w:rPr>
          <w:snapToGrid/>
          <w:sz w:val="22"/>
          <w:szCs w:val="22"/>
        </w:rPr>
        <w:t>59</w:t>
      </w:r>
      <w:r w:rsidR="00F7584C">
        <w:rPr>
          <w:snapToGrid/>
          <w:sz w:val="22"/>
          <w:szCs w:val="22"/>
        </w:rPr>
        <w:t xml:space="preserve"> to 71</w:t>
      </w:r>
      <w:r w:rsidR="00296492" w:rsidRPr="00A16257">
        <w:rPr>
          <w:snapToGrid/>
          <w:sz w:val="22"/>
          <w:szCs w:val="22"/>
        </w:rPr>
        <w:t xml:space="preserve"> megahertz.</w:t>
      </w:r>
    </w:p>
    <w:p w:rsidR="00677F8D" w:rsidRPr="0089192F" w:rsidRDefault="00677F8D" w:rsidP="006900DC">
      <w:pPr>
        <w:keepNext/>
        <w:spacing w:before="220" w:after="220"/>
        <w:outlineLvl w:val="0"/>
        <w:rPr>
          <w:rStyle w:val="Normal1"/>
          <w:b/>
          <w:sz w:val="22"/>
          <w:szCs w:val="22"/>
        </w:rPr>
      </w:pPr>
      <w:r>
        <w:rPr>
          <w:rStyle w:val="StyleTimesNewRomanBold11ptBold"/>
          <w:rFonts w:hAnsi="Times New Roman"/>
        </w:rPr>
        <w:t>ii.</w:t>
      </w:r>
      <w:r>
        <w:rPr>
          <w:rStyle w:val="StyleTimesNewRomanBold11ptBold"/>
          <w:rFonts w:hAnsi="Times New Roman"/>
        </w:rPr>
        <w:tab/>
        <w:t>Section 310(</w:t>
      </w:r>
      <w:r>
        <w:rPr>
          <w:b/>
          <w:sz w:val="22"/>
          <w:szCs w:val="22"/>
        </w:rPr>
        <w:t>d) APPLICATION</w:t>
      </w:r>
      <w:r w:rsidR="009515A8">
        <w:rPr>
          <w:b/>
          <w:sz w:val="22"/>
          <w:szCs w:val="22"/>
        </w:rPr>
        <w:t>S</w:t>
      </w:r>
    </w:p>
    <w:p w:rsidR="00677F8D" w:rsidRPr="00FB3631" w:rsidRDefault="00677F8D" w:rsidP="00E870B9">
      <w:pPr>
        <w:keepNext/>
        <w:spacing w:after="220"/>
        <w:ind w:firstLine="720"/>
        <w:rPr>
          <w:rStyle w:val="Normal1"/>
          <w:sz w:val="22"/>
          <w:szCs w:val="22"/>
        </w:rPr>
      </w:pPr>
      <w:r w:rsidRPr="00AB3DF2">
        <w:rPr>
          <w:sz w:val="22"/>
          <w:szCs w:val="22"/>
        </w:rPr>
        <w:t>T</w:t>
      </w:r>
      <w:r w:rsidRPr="00AB3DF2">
        <w:rPr>
          <w:rStyle w:val="Normal1"/>
          <w:sz w:val="22"/>
          <w:szCs w:val="22"/>
        </w:rPr>
        <w:t>he application</w:t>
      </w:r>
      <w:r w:rsidR="008815DB" w:rsidRPr="00AB3DF2">
        <w:rPr>
          <w:rStyle w:val="Normal1"/>
          <w:sz w:val="22"/>
          <w:szCs w:val="22"/>
        </w:rPr>
        <w:t>s</w:t>
      </w:r>
      <w:r w:rsidRPr="00AB3DF2">
        <w:rPr>
          <w:rStyle w:val="Normal1"/>
          <w:sz w:val="22"/>
          <w:szCs w:val="22"/>
        </w:rPr>
        <w:t xml:space="preserve"> for</w:t>
      </w:r>
      <w:r w:rsidR="00F0664E" w:rsidRPr="00AB3DF2">
        <w:rPr>
          <w:rStyle w:val="Normal1"/>
          <w:sz w:val="22"/>
          <w:szCs w:val="22"/>
        </w:rPr>
        <w:t xml:space="preserve"> the</w:t>
      </w:r>
      <w:r w:rsidRPr="00AB3DF2">
        <w:rPr>
          <w:rStyle w:val="Normal1"/>
          <w:sz w:val="22"/>
          <w:szCs w:val="22"/>
        </w:rPr>
        <w:t xml:space="preserve"> assignment of </w:t>
      </w:r>
      <w:r w:rsidR="00DE5A5E" w:rsidRPr="00AB3DF2">
        <w:rPr>
          <w:sz w:val="22"/>
          <w:szCs w:val="22"/>
        </w:rPr>
        <w:t>license</w:t>
      </w:r>
      <w:r w:rsidR="008815DB" w:rsidRPr="00AB3DF2">
        <w:rPr>
          <w:sz w:val="22"/>
          <w:szCs w:val="22"/>
        </w:rPr>
        <w:t>s</w:t>
      </w:r>
      <w:r w:rsidRPr="00AB3DF2">
        <w:rPr>
          <w:sz w:val="22"/>
          <w:szCs w:val="22"/>
        </w:rPr>
        <w:t xml:space="preserve"> from </w:t>
      </w:r>
      <w:r w:rsidR="001431FF">
        <w:rPr>
          <w:sz w:val="22"/>
          <w:szCs w:val="22"/>
        </w:rPr>
        <w:t>KanOkla</w:t>
      </w:r>
      <w:r w:rsidR="00FB3631" w:rsidRPr="00AB3DF2">
        <w:rPr>
          <w:sz w:val="22"/>
          <w:szCs w:val="22"/>
        </w:rPr>
        <w:t xml:space="preserve"> to </w:t>
      </w:r>
      <w:r w:rsidR="009547D4">
        <w:rPr>
          <w:sz w:val="22"/>
          <w:szCs w:val="22"/>
        </w:rPr>
        <w:t>Pioneer</w:t>
      </w:r>
      <w:r w:rsidR="00FB3631" w:rsidRPr="00AB3DF2">
        <w:rPr>
          <w:sz w:val="22"/>
          <w:szCs w:val="22"/>
        </w:rPr>
        <w:t xml:space="preserve"> </w:t>
      </w:r>
      <w:r w:rsidRPr="00AB3DF2">
        <w:rPr>
          <w:rStyle w:val="Normal1"/>
          <w:sz w:val="22"/>
          <w:szCs w:val="22"/>
        </w:rPr>
        <w:t>ha</w:t>
      </w:r>
      <w:r w:rsidR="0089192F" w:rsidRPr="00AB3DF2">
        <w:rPr>
          <w:rStyle w:val="Normal1"/>
          <w:sz w:val="22"/>
          <w:szCs w:val="22"/>
        </w:rPr>
        <w:t>ve</w:t>
      </w:r>
      <w:r w:rsidRPr="00AB3DF2">
        <w:rPr>
          <w:rStyle w:val="Normal1"/>
          <w:sz w:val="22"/>
          <w:szCs w:val="22"/>
        </w:rPr>
        <w:t xml:space="preserve"> the following file number</w:t>
      </w:r>
      <w:r w:rsidR="008815DB" w:rsidRPr="00AB3DF2">
        <w:rPr>
          <w:rStyle w:val="Normal1"/>
          <w:sz w:val="22"/>
          <w:szCs w:val="22"/>
        </w:rPr>
        <w:t>s</w:t>
      </w:r>
      <w:r w:rsidRPr="00AB3DF2">
        <w:rPr>
          <w:rStyle w:val="Normal1"/>
          <w:sz w:val="22"/>
          <w:szCs w:val="22"/>
        </w:rPr>
        <w:t>:</w:t>
      </w:r>
    </w:p>
    <w:tbl>
      <w:tblPr>
        <w:tblW w:w="4979" w:type="pct"/>
        <w:tblCellMar>
          <w:left w:w="40" w:type="dxa"/>
          <w:right w:w="40" w:type="dxa"/>
        </w:tblCellMar>
        <w:tblLook w:val="0000" w:firstRow="0" w:lastRow="0" w:firstColumn="0" w:lastColumn="0" w:noHBand="0" w:noVBand="0"/>
      </w:tblPr>
      <w:tblGrid>
        <w:gridCol w:w="1481"/>
        <w:gridCol w:w="3059"/>
        <w:gridCol w:w="3420"/>
        <w:gridCol w:w="1440"/>
      </w:tblGrid>
      <w:tr w:rsidR="00677F8D" w:rsidTr="009547D4">
        <w:trPr>
          <w:cantSplit/>
          <w:trHeight w:val="173"/>
          <w:tblHeader/>
        </w:trPr>
        <w:tc>
          <w:tcPr>
            <w:tcW w:w="788" w:type="pct"/>
            <w:shd w:val="clear" w:color="C0C0C0" w:fill="auto"/>
          </w:tcPr>
          <w:p w:rsidR="00677F8D" w:rsidRDefault="00677F8D">
            <w:pPr>
              <w:keepNext/>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677F8D" w:rsidRDefault="00677F8D">
            <w:pPr>
              <w:autoSpaceDE w:val="0"/>
              <w:autoSpaceDN w:val="0"/>
              <w:adjustRightInd w:val="0"/>
              <w:rPr>
                <w:b/>
                <w:color w:val="000000"/>
                <w:sz w:val="22"/>
                <w:szCs w:val="22"/>
                <w:u w:val="single"/>
              </w:rPr>
            </w:pPr>
          </w:p>
        </w:tc>
        <w:tc>
          <w:tcPr>
            <w:tcW w:w="1627" w:type="pct"/>
            <w:shd w:val="clear" w:color="C0C0C0" w:fill="auto"/>
          </w:tcPr>
          <w:p w:rsidR="00677F8D" w:rsidRDefault="00FA28E6" w:rsidP="00AB3DF2">
            <w:pPr>
              <w:autoSpaceDE w:val="0"/>
              <w:autoSpaceDN w:val="0"/>
              <w:adjustRightInd w:val="0"/>
              <w:ind w:left="-41"/>
              <w:rPr>
                <w:b/>
                <w:color w:val="000000"/>
                <w:sz w:val="22"/>
                <w:szCs w:val="22"/>
                <w:u w:val="single"/>
              </w:rPr>
            </w:pPr>
            <w:r>
              <w:rPr>
                <w:b/>
                <w:color w:val="000000"/>
                <w:sz w:val="22"/>
                <w:szCs w:val="22"/>
                <w:u w:val="single"/>
              </w:rPr>
              <w:t>Licensee/</w:t>
            </w:r>
            <w:r w:rsidR="00AB3DF2">
              <w:rPr>
                <w:b/>
                <w:color w:val="000000"/>
                <w:sz w:val="22"/>
                <w:szCs w:val="22"/>
                <w:u w:val="single"/>
              </w:rPr>
              <w:t>Assignor</w:t>
            </w:r>
          </w:p>
        </w:tc>
        <w:tc>
          <w:tcPr>
            <w:tcW w:w="1819" w:type="pct"/>
            <w:shd w:val="clear" w:color="C0C0C0" w:fill="auto"/>
          </w:tcPr>
          <w:p w:rsidR="00677F8D" w:rsidRDefault="00AB3DF2">
            <w:pPr>
              <w:autoSpaceDE w:val="0"/>
              <w:autoSpaceDN w:val="0"/>
              <w:adjustRightInd w:val="0"/>
              <w:ind w:hanging="40"/>
              <w:rPr>
                <w:b/>
                <w:color w:val="000000"/>
                <w:sz w:val="22"/>
                <w:szCs w:val="22"/>
                <w:u w:val="single"/>
              </w:rPr>
            </w:pPr>
            <w:r>
              <w:rPr>
                <w:b/>
                <w:color w:val="000000"/>
                <w:sz w:val="22"/>
                <w:szCs w:val="22"/>
                <w:u w:val="single"/>
              </w:rPr>
              <w:t>Assignee</w:t>
            </w:r>
          </w:p>
        </w:tc>
        <w:tc>
          <w:tcPr>
            <w:tcW w:w="766" w:type="pct"/>
            <w:shd w:val="clear" w:color="C0C0C0" w:fill="auto"/>
          </w:tcPr>
          <w:p w:rsidR="00677F8D" w:rsidRDefault="00677F8D">
            <w:pPr>
              <w:autoSpaceDE w:val="0"/>
              <w:autoSpaceDN w:val="0"/>
              <w:adjustRightInd w:val="0"/>
              <w:ind w:hanging="40"/>
              <w:rPr>
                <w:b/>
                <w:color w:val="000000"/>
                <w:sz w:val="22"/>
                <w:szCs w:val="22"/>
                <w:u w:val="single"/>
              </w:rPr>
            </w:pPr>
            <w:r>
              <w:rPr>
                <w:b/>
                <w:color w:val="000000"/>
                <w:sz w:val="22"/>
                <w:szCs w:val="22"/>
                <w:u w:val="single"/>
              </w:rPr>
              <w:t>Lead Call Sign</w:t>
            </w:r>
          </w:p>
        </w:tc>
      </w:tr>
      <w:tr w:rsidR="00677F8D" w:rsidTr="009547D4">
        <w:trPr>
          <w:cantSplit/>
          <w:trHeight w:val="152"/>
        </w:trPr>
        <w:tc>
          <w:tcPr>
            <w:tcW w:w="788" w:type="pct"/>
            <w:shd w:val="clear" w:color="C0C0C0" w:fill="auto"/>
          </w:tcPr>
          <w:p w:rsidR="00677F8D" w:rsidRPr="00FA28E6" w:rsidRDefault="009547D4" w:rsidP="002B7C53">
            <w:pPr>
              <w:keepNext/>
              <w:tabs>
                <w:tab w:val="left" w:pos="720"/>
              </w:tabs>
              <w:rPr>
                <w:sz w:val="22"/>
                <w:szCs w:val="22"/>
              </w:rPr>
            </w:pPr>
            <w:r>
              <w:rPr>
                <w:color w:val="000000"/>
                <w:sz w:val="22"/>
                <w:szCs w:val="22"/>
              </w:rPr>
              <w:t>0006426984</w:t>
            </w:r>
            <w:r w:rsidR="00240457">
              <w:rPr>
                <w:rStyle w:val="FootnoteReference"/>
                <w:color w:val="000000"/>
                <w:szCs w:val="22"/>
              </w:rPr>
              <w:footnoteReference w:id="3"/>
            </w:r>
          </w:p>
        </w:tc>
        <w:tc>
          <w:tcPr>
            <w:tcW w:w="1627" w:type="pct"/>
            <w:shd w:val="clear" w:color="C0C0C0" w:fill="auto"/>
          </w:tcPr>
          <w:p w:rsidR="00677F8D" w:rsidRPr="00000509" w:rsidRDefault="00066A7D" w:rsidP="000B3C8B">
            <w:pPr>
              <w:ind w:left="-41"/>
              <w:rPr>
                <w:sz w:val="22"/>
                <w:szCs w:val="22"/>
              </w:rPr>
            </w:pPr>
            <w:r>
              <w:rPr>
                <w:sz w:val="22"/>
                <w:szCs w:val="22"/>
              </w:rPr>
              <w:t>KanOkla Telephone Association</w:t>
            </w:r>
          </w:p>
        </w:tc>
        <w:tc>
          <w:tcPr>
            <w:tcW w:w="1819" w:type="pct"/>
            <w:shd w:val="clear" w:color="C0C0C0" w:fill="auto"/>
          </w:tcPr>
          <w:p w:rsidR="00677F8D" w:rsidRPr="00530B3B" w:rsidRDefault="009547D4" w:rsidP="000B3C8B">
            <w:pPr>
              <w:ind w:hanging="40"/>
              <w:rPr>
                <w:sz w:val="22"/>
                <w:szCs w:val="22"/>
              </w:rPr>
            </w:pPr>
            <w:r>
              <w:rPr>
                <w:sz w:val="22"/>
                <w:szCs w:val="22"/>
              </w:rPr>
              <w:t>Pioneer Telephone Cooperative, Inc.</w:t>
            </w:r>
          </w:p>
        </w:tc>
        <w:tc>
          <w:tcPr>
            <w:tcW w:w="766" w:type="pct"/>
            <w:shd w:val="clear" w:color="C0C0C0" w:fill="auto"/>
          </w:tcPr>
          <w:p w:rsidR="00677F8D" w:rsidRDefault="00081A05">
            <w:pPr>
              <w:ind w:hanging="40"/>
              <w:rPr>
                <w:sz w:val="22"/>
                <w:szCs w:val="22"/>
              </w:rPr>
            </w:pPr>
            <w:r>
              <w:rPr>
                <w:sz w:val="22"/>
                <w:szCs w:val="22"/>
              </w:rPr>
              <w:t>WPWV</w:t>
            </w:r>
            <w:r w:rsidR="00066A7D">
              <w:rPr>
                <w:sz w:val="22"/>
                <w:szCs w:val="22"/>
              </w:rPr>
              <w:t>33</w:t>
            </w:r>
            <w:r w:rsidR="009547D4">
              <w:rPr>
                <w:sz w:val="22"/>
                <w:szCs w:val="22"/>
              </w:rPr>
              <w:t>6</w:t>
            </w:r>
          </w:p>
        </w:tc>
      </w:tr>
      <w:tr w:rsidR="008815DB" w:rsidTr="009547D4">
        <w:trPr>
          <w:cantSplit/>
          <w:trHeight w:hRule="exact" w:val="144"/>
        </w:trPr>
        <w:tc>
          <w:tcPr>
            <w:tcW w:w="788" w:type="pct"/>
            <w:shd w:val="clear" w:color="C0C0C0" w:fill="auto"/>
            <w:vAlign w:val="center"/>
          </w:tcPr>
          <w:p w:rsidR="008815DB" w:rsidRPr="002B7C53" w:rsidRDefault="008815DB" w:rsidP="0089192F">
            <w:pPr>
              <w:keepNext/>
              <w:tabs>
                <w:tab w:val="left" w:pos="720"/>
              </w:tabs>
              <w:rPr>
                <w:sz w:val="22"/>
                <w:szCs w:val="22"/>
              </w:rPr>
            </w:pPr>
          </w:p>
        </w:tc>
        <w:tc>
          <w:tcPr>
            <w:tcW w:w="1627" w:type="pct"/>
            <w:shd w:val="clear" w:color="C0C0C0" w:fill="auto"/>
            <w:vAlign w:val="center"/>
          </w:tcPr>
          <w:p w:rsidR="008815DB" w:rsidRPr="00401995" w:rsidRDefault="008815DB">
            <w:pPr>
              <w:ind w:left="-41"/>
              <w:rPr>
                <w:sz w:val="22"/>
                <w:szCs w:val="22"/>
              </w:rPr>
            </w:pPr>
          </w:p>
        </w:tc>
        <w:tc>
          <w:tcPr>
            <w:tcW w:w="1819" w:type="pct"/>
            <w:shd w:val="clear" w:color="C0C0C0" w:fill="auto"/>
          </w:tcPr>
          <w:p w:rsidR="008815DB" w:rsidRDefault="008815DB">
            <w:pPr>
              <w:ind w:hanging="40"/>
              <w:rPr>
                <w:sz w:val="22"/>
                <w:szCs w:val="22"/>
              </w:rPr>
            </w:pPr>
          </w:p>
        </w:tc>
        <w:tc>
          <w:tcPr>
            <w:tcW w:w="766" w:type="pct"/>
            <w:shd w:val="clear" w:color="C0C0C0" w:fill="auto"/>
            <w:vAlign w:val="center"/>
          </w:tcPr>
          <w:p w:rsidR="008815DB" w:rsidRDefault="008815DB">
            <w:pPr>
              <w:ind w:hanging="40"/>
              <w:rPr>
                <w:sz w:val="22"/>
                <w:szCs w:val="22"/>
              </w:rPr>
            </w:pPr>
          </w:p>
        </w:tc>
      </w:tr>
      <w:tr w:rsidR="008815DB" w:rsidTr="009547D4">
        <w:trPr>
          <w:cantSplit/>
          <w:trHeight w:val="152"/>
        </w:trPr>
        <w:tc>
          <w:tcPr>
            <w:tcW w:w="788" w:type="pct"/>
            <w:shd w:val="clear" w:color="C0C0C0" w:fill="auto"/>
          </w:tcPr>
          <w:p w:rsidR="008815DB" w:rsidRPr="00FA28E6" w:rsidRDefault="009547D4" w:rsidP="000B3C8B">
            <w:pPr>
              <w:tabs>
                <w:tab w:val="left" w:pos="720"/>
              </w:tabs>
              <w:rPr>
                <w:sz w:val="22"/>
                <w:szCs w:val="22"/>
              </w:rPr>
            </w:pPr>
            <w:r>
              <w:rPr>
                <w:color w:val="000000"/>
                <w:sz w:val="22"/>
                <w:szCs w:val="22"/>
              </w:rPr>
              <w:t>0006426988</w:t>
            </w:r>
            <w:r w:rsidR="000C5C0A" w:rsidRPr="000C5C0A">
              <w:rPr>
                <w:rStyle w:val="FootnoteReference"/>
                <w:color w:val="000000"/>
                <w:sz w:val="22"/>
                <w:szCs w:val="22"/>
              </w:rPr>
              <w:footnoteReference w:id="4"/>
            </w:r>
          </w:p>
        </w:tc>
        <w:tc>
          <w:tcPr>
            <w:tcW w:w="1627" w:type="pct"/>
            <w:shd w:val="clear" w:color="C0C0C0" w:fill="auto"/>
          </w:tcPr>
          <w:p w:rsidR="008815DB" w:rsidRPr="00530B3B" w:rsidRDefault="00066A7D" w:rsidP="000B3C8B">
            <w:pPr>
              <w:ind w:left="-41"/>
              <w:rPr>
                <w:sz w:val="22"/>
                <w:szCs w:val="22"/>
              </w:rPr>
            </w:pPr>
            <w:r>
              <w:rPr>
                <w:sz w:val="22"/>
                <w:szCs w:val="22"/>
              </w:rPr>
              <w:t>KanOkla Telephone Association</w:t>
            </w:r>
          </w:p>
        </w:tc>
        <w:tc>
          <w:tcPr>
            <w:tcW w:w="1819" w:type="pct"/>
            <w:shd w:val="clear" w:color="C0C0C0" w:fill="auto"/>
          </w:tcPr>
          <w:p w:rsidR="008815DB" w:rsidRPr="00530B3B" w:rsidRDefault="009547D4" w:rsidP="000B3C8B">
            <w:pPr>
              <w:ind w:hanging="40"/>
              <w:rPr>
                <w:sz w:val="22"/>
                <w:szCs w:val="22"/>
              </w:rPr>
            </w:pPr>
            <w:r>
              <w:rPr>
                <w:sz w:val="22"/>
                <w:szCs w:val="22"/>
              </w:rPr>
              <w:t>Pioneer Telephone Cooperative, Inc.</w:t>
            </w:r>
          </w:p>
        </w:tc>
        <w:tc>
          <w:tcPr>
            <w:tcW w:w="766" w:type="pct"/>
            <w:shd w:val="clear" w:color="C0C0C0" w:fill="auto"/>
          </w:tcPr>
          <w:p w:rsidR="008815DB" w:rsidRPr="00A37D5D" w:rsidRDefault="00066A7D">
            <w:pPr>
              <w:ind w:hanging="40"/>
              <w:rPr>
                <w:sz w:val="22"/>
                <w:szCs w:val="22"/>
              </w:rPr>
            </w:pPr>
            <w:r>
              <w:rPr>
                <w:sz w:val="22"/>
                <w:szCs w:val="22"/>
              </w:rPr>
              <w:t>WPWV339</w:t>
            </w:r>
          </w:p>
        </w:tc>
      </w:tr>
    </w:tbl>
    <w:p w:rsidR="00677F8D" w:rsidRDefault="001431FF" w:rsidP="00235756">
      <w:pPr>
        <w:keepNext/>
        <w:spacing w:before="440" w:after="220"/>
        <w:outlineLvl w:val="0"/>
        <w:rPr>
          <w:rStyle w:val="Normal1"/>
          <w:b/>
          <w:sz w:val="22"/>
          <w:szCs w:val="22"/>
        </w:rPr>
      </w:pPr>
      <w:r>
        <w:rPr>
          <w:rStyle w:val="StyleTimesNewRomanBold11ptBold"/>
          <w:rFonts w:hAnsi="Times New Roman"/>
        </w:rPr>
        <w:t>III</w:t>
      </w:r>
      <w:r w:rsidR="00771442">
        <w:rPr>
          <w:rStyle w:val="StyleTimesNewRomanBold11ptBold"/>
          <w:rFonts w:hAnsi="Times New Roman"/>
        </w:rPr>
        <w:t>.</w:t>
      </w:r>
      <w:r w:rsidR="00771442">
        <w:rPr>
          <w:rStyle w:val="StyleTimesNewRomanBold11ptBold"/>
          <w:rFonts w:hAnsi="Times New Roman"/>
        </w:rPr>
        <w:tab/>
      </w:r>
      <w:r w:rsidR="00677F8D">
        <w:rPr>
          <w:rStyle w:val="Normal1"/>
          <w:b/>
          <w:i/>
          <w:sz w:val="22"/>
          <w:szCs w:val="22"/>
        </w:rPr>
        <w:t>EX PARTE</w:t>
      </w:r>
      <w:r w:rsidR="00677F8D">
        <w:rPr>
          <w:rStyle w:val="Normal1"/>
          <w:b/>
          <w:sz w:val="22"/>
          <w:szCs w:val="22"/>
        </w:rPr>
        <w:t xml:space="preserve"> STATUS OF THIS PROCEEDING</w:t>
      </w:r>
    </w:p>
    <w:p w:rsidR="00677F8D" w:rsidRDefault="00677F8D">
      <w:pPr>
        <w:widowControl/>
        <w:rPr>
          <w:rStyle w:val="Normal1"/>
          <w:b/>
          <w:sz w:val="22"/>
          <w:szCs w:val="22"/>
        </w:rPr>
      </w:pPr>
      <w:r>
        <w:rPr>
          <w:rStyle w:val="Normal1"/>
          <w:b/>
          <w:sz w:val="22"/>
          <w:szCs w:val="22"/>
        </w:rPr>
        <w:tab/>
      </w:r>
      <w:r w:rsidR="00D408DD">
        <w:rPr>
          <w:rStyle w:val="Normal1"/>
          <w:sz w:val="22"/>
          <w:szCs w:val="22"/>
        </w:rPr>
        <w:t>Pursuant to s</w:t>
      </w:r>
      <w:r>
        <w:rPr>
          <w:rStyle w:val="Normal1"/>
          <w:sz w:val="22"/>
          <w:szCs w:val="22"/>
        </w:rPr>
        <w:t>ection 1.1200(a) of the Commission’s rules,</w:t>
      </w:r>
      <w:r>
        <w:rPr>
          <w:rStyle w:val="FootnoteReference"/>
          <w:sz w:val="22"/>
          <w:szCs w:val="22"/>
        </w:rPr>
        <w:footnoteReference w:id="5"/>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w:t>
      </w:r>
      <w:r w:rsidR="00047287">
        <w:rPr>
          <w:rStyle w:val="Normal1"/>
          <w:sz w:val="22"/>
          <w:szCs w:val="22"/>
        </w:rPr>
        <w:t>restricted proceedings under s</w:t>
      </w:r>
      <w:r>
        <w:rPr>
          <w:rStyle w:val="Normal1"/>
          <w:sz w:val="22"/>
          <w:szCs w:val="22"/>
        </w:rPr>
        <w:t>ection 1.1206 of the Commission’s rules.</w:t>
      </w:r>
      <w:r>
        <w:rPr>
          <w:rStyle w:val="FootnoteReference"/>
          <w:sz w:val="22"/>
          <w:szCs w:val="22"/>
        </w:rPr>
        <w:footnoteReference w:id="6"/>
      </w:r>
    </w:p>
    <w:p w:rsidR="00677F8D" w:rsidRDefault="00677F8D">
      <w:pPr>
        <w:rPr>
          <w:rStyle w:val="Normal1"/>
          <w:b/>
          <w:sz w:val="22"/>
          <w:szCs w:val="22"/>
        </w:rPr>
      </w:pPr>
    </w:p>
    <w:p w:rsidR="00677F8D" w:rsidRDefault="00677F8D" w:rsidP="00FA28E6">
      <w:pPr>
        <w:widowControl/>
        <w:spacing w:after="22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7"/>
      </w:r>
      <w:r>
        <w:rPr>
          <w:rStyle w:val="Normal1"/>
          <w:sz w:val="22"/>
          <w:szCs w:val="22"/>
        </w:rPr>
        <w:t xml:space="preserve">  More than a one- or two-sentence description of the views and arguments presented is generally required.</w:t>
      </w:r>
      <w:r>
        <w:rPr>
          <w:rStyle w:val="FootnoteReference"/>
          <w:sz w:val="22"/>
          <w:szCs w:val="22"/>
        </w:rPr>
        <w:footnoteReference w:id="8"/>
      </w:r>
      <w:r>
        <w:rPr>
          <w:rStyle w:val="Normal1"/>
          <w:sz w:val="22"/>
          <w:szCs w:val="22"/>
        </w:rPr>
        <w:t xml:space="preserve">  Other rules pertaining to oral and written </w:t>
      </w:r>
      <w:r w:rsidR="00D408DD">
        <w:rPr>
          <w:rStyle w:val="Normal1"/>
          <w:sz w:val="22"/>
          <w:szCs w:val="22"/>
        </w:rPr>
        <w:t>presentations are set forth in s</w:t>
      </w:r>
      <w:r>
        <w:rPr>
          <w:rStyle w:val="Normal1"/>
          <w:sz w:val="22"/>
          <w:szCs w:val="22"/>
        </w:rPr>
        <w:t>ection 1.1206(b) as well.</w:t>
      </w:r>
      <w:r>
        <w:rPr>
          <w:rStyle w:val="FootnoteReference"/>
          <w:sz w:val="22"/>
          <w:szCs w:val="22"/>
        </w:rPr>
        <w:footnoteReference w:id="9"/>
      </w:r>
    </w:p>
    <w:p w:rsidR="00677F8D" w:rsidRDefault="007507ED" w:rsidP="00FA28E6">
      <w:pPr>
        <w:keepNext/>
        <w:spacing w:after="220"/>
        <w:outlineLvl w:val="0"/>
        <w:rPr>
          <w:b/>
          <w:sz w:val="22"/>
          <w:szCs w:val="22"/>
        </w:rPr>
      </w:pPr>
      <w:r>
        <w:rPr>
          <w:b/>
          <w:sz w:val="22"/>
          <w:szCs w:val="22"/>
        </w:rPr>
        <w:t>I</w:t>
      </w:r>
      <w:r w:rsidR="00677F8D">
        <w:rPr>
          <w:b/>
          <w:sz w:val="22"/>
          <w:szCs w:val="22"/>
        </w:rPr>
        <w:t>V.</w:t>
      </w:r>
      <w:r w:rsidR="00677F8D">
        <w:rPr>
          <w:b/>
          <w:sz w:val="22"/>
          <w:szCs w:val="22"/>
        </w:rPr>
        <w:tab/>
        <w:t>GENERAL INFORMATION</w:t>
      </w:r>
    </w:p>
    <w:p w:rsidR="00677F8D" w:rsidRDefault="00677F8D">
      <w:pPr>
        <w:widowControl/>
        <w:ind w:firstLine="720"/>
        <w:rPr>
          <w:sz w:val="22"/>
          <w:szCs w:val="22"/>
        </w:rPr>
      </w:pPr>
      <w:r>
        <w:rPr>
          <w:sz w:val="22"/>
          <w:szCs w:val="22"/>
        </w:rPr>
        <w:t>The assignment application</w:t>
      </w:r>
      <w:r w:rsidR="0089192F">
        <w:rPr>
          <w:sz w:val="22"/>
          <w:szCs w:val="22"/>
        </w:rPr>
        <w:t>s</w:t>
      </w:r>
      <w:r>
        <w:rPr>
          <w:sz w:val="22"/>
          <w:szCs w:val="22"/>
        </w:rPr>
        <w:t xml:space="preserve"> </w:t>
      </w:r>
      <w:r w:rsidR="0089192F">
        <w:rPr>
          <w:sz w:val="22"/>
          <w:szCs w:val="22"/>
        </w:rPr>
        <w:t>have</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677F8D" w:rsidRDefault="00677F8D">
      <w:pPr>
        <w:rPr>
          <w:sz w:val="22"/>
          <w:szCs w:val="22"/>
        </w:rPr>
      </w:pPr>
    </w:p>
    <w:p w:rsidR="00677F8D" w:rsidRDefault="00677F8D" w:rsidP="00240457">
      <w:pPr>
        <w:widowControl/>
        <w:spacing w:after="220"/>
        <w:rPr>
          <w:sz w:val="22"/>
          <w:szCs w:val="22"/>
        </w:rPr>
      </w:pPr>
      <w:r>
        <w:rPr>
          <w:sz w:val="22"/>
          <w:szCs w:val="22"/>
        </w:rPr>
        <w:tab/>
        <w:t xml:space="preserve">Interested parties must file petitions to deny no later than </w:t>
      </w:r>
      <w:r w:rsidR="00DD4D2F">
        <w:rPr>
          <w:b/>
          <w:spacing w:val="-2"/>
          <w:sz w:val="22"/>
          <w:szCs w:val="22"/>
        </w:rPr>
        <w:t>December 8</w:t>
      </w:r>
      <w:r w:rsidR="003649CF">
        <w:rPr>
          <w:b/>
          <w:spacing w:val="-2"/>
          <w:sz w:val="22"/>
          <w:szCs w:val="22"/>
        </w:rPr>
        <w:t>, 201</w:t>
      </w:r>
      <w:r w:rsidR="00DF089E">
        <w:rPr>
          <w:b/>
          <w:spacing w:val="-2"/>
          <w:sz w:val="22"/>
          <w:szCs w:val="22"/>
        </w:rPr>
        <w:t>4</w:t>
      </w:r>
      <w:r>
        <w:rPr>
          <w:sz w:val="22"/>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DD4D2F">
        <w:rPr>
          <w:b/>
          <w:spacing w:val="-2"/>
          <w:sz w:val="22"/>
          <w:szCs w:val="22"/>
        </w:rPr>
        <w:t>December 18</w:t>
      </w:r>
      <w:r w:rsidR="00D408DD">
        <w:rPr>
          <w:b/>
          <w:spacing w:val="-2"/>
          <w:sz w:val="22"/>
          <w:szCs w:val="22"/>
        </w:rPr>
        <w:t>,</w:t>
      </w:r>
      <w:r w:rsidR="003649CF">
        <w:rPr>
          <w:b/>
          <w:spacing w:val="-2"/>
          <w:sz w:val="22"/>
          <w:szCs w:val="22"/>
        </w:rPr>
        <w:t xml:space="preserve"> 201</w:t>
      </w:r>
      <w:r w:rsidR="00DF089E">
        <w:rPr>
          <w:b/>
          <w:spacing w:val="-2"/>
          <w:sz w:val="22"/>
          <w:szCs w:val="22"/>
        </w:rPr>
        <w:t>4</w:t>
      </w:r>
      <w:r>
        <w:rPr>
          <w:sz w:val="22"/>
          <w:szCs w:val="22"/>
        </w:rPr>
        <w:t xml:space="preserve">.  Replies to such pleadings must be filed no later than </w:t>
      </w:r>
      <w:r w:rsidR="00DD4D2F">
        <w:rPr>
          <w:b/>
          <w:spacing w:val="-2"/>
          <w:sz w:val="22"/>
          <w:szCs w:val="22"/>
        </w:rPr>
        <w:t>December 26</w:t>
      </w:r>
      <w:r w:rsidR="003649CF">
        <w:rPr>
          <w:b/>
          <w:sz w:val="22"/>
          <w:szCs w:val="22"/>
        </w:rPr>
        <w:t>, 201</w:t>
      </w:r>
      <w:r w:rsidR="007866D0">
        <w:rPr>
          <w:b/>
          <w:sz w:val="22"/>
          <w:szCs w:val="22"/>
        </w:rPr>
        <w:t>4</w:t>
      </w:r>
      <w:r>
        <w:rPr>
          <w:sz w:val="22"/>
          <w:szCs w:val="22"/>
        </w:rPr>
        <w:t xml:space="preserve">.  All filings concerning matters referenced in this Public Notice should refer to </w:t>
      </w:r>
      <w:r w:rsidR="00235756">
        <w:rPr>
          <w:sz w:val="22"/>
          <w:szCs w:val="22"/>
        </w:rPr>
        <w:t>WT Docket No. 14-</w:t>
      </w:r>
      <w:r w:rsidR="00DD4D2F">
        <w:rPr>
          <w:sz w:val="22"/>
          <w:szCs w:val="22"/>
        </w:rPr>
        <w:t>197</w:t>
      </w:r>
      <w:r w:rsidR="0089192F">
        <w:rPr>
          <w:b/>
          <w:sz w:val="22"/>
          <w:szCs w:val="22"/>
        </w:rPr>
        <w:t>.</w:t>
      </w:r>
    </w:p>
    <w:p w:rsidR="00677F8D" w:rsidRDefault="00677F8D">
      <w:pPr>
        <w:widowControl/>
        <w:ind w:firstLine="720"/>
        <w:rPr>
          <w:sz w:val="22"/>
          <w:szCs w:val="22"/>
        </w:rPr>
      </w:pPr>
      <w:r>
        <w:rPr>
          <w:b/>
          <w:spacing w:val="-2"/>
          <w:sz w:val="22"/>
          <w:szCs w:val="22"/>
        </w:rPr>
        <w:t xml:space="preserve">To allow the Commission to consider fully all substantive issues regarding the </w:t>
      </w:r>
      <w:r w:rsidR="00DC0594">
        <w:rPr>
          <w:b/>
          <w:spacing w:val="-2"/>
          <w:sz w:val="22"/>
          <w:szCs w:val="22"/>
        </w:rPr>
        <w:t>a</w:t>
      </w:r>
      <w:r>
        <w:rPr>
          <w:b/>
          <w:spacing w:val="-2"/>
          <w:sz w:val="22"/>
          <w:szCs w:val="22"/>
        </w:rPr>
        <w:t xml:space="preserve">pplications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10"/>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77F8D" w:rsidRDefault="00677F8D">
      <w:pPr>
        <w:rPr>
          <w:sz w:val="22"/>
          <w:szCs w:val="22"/>
        </w:rPr>
      </w:pPr>
    </w:p>
    <w:p w:rsidR="00677F8D" w:rsidRDefault="00677F8D" w:rsidP="00E870B9">
      <w:pPr>
        <w:spacing w:after="220"/>
        <w:ind w:firstLine="720"/>
        <w:rPr>
          <w:sz w:val="22"/>
          <w:szCs w:val="22"/>
        </w:rPr>
      </w:pPr>
      <w:r>
        <w:rPr>
          <w:sz w:val="22"/>
          <w:szCs w:val="22"/>
        </w:rPr>
        <w:t>Under the Commission’s current procedures for the submission of filings and other documents,</w:t>
      </w:r>
      <w:r>
        <w:rPr>
          <w:rStyle w:val="FootnoteReference"/>
          <w:sz w:val="22"/>
          <w:szCs w:val="22"/>
        </w:rPr>
        <w:footnoteReference w:id="11"/>
      </w:r>
      <w:r>
        <w:rPr>
          <w:sz w:val="22"/>
          <w:szCs w:val="22"/>
        </w:rPr>
        <w:t xml:space="preserve"> submissions in this matter may be filed electronically th</w:t>
      </w:r>
      <w:r w:rsidR="008301E0">
        <w:rPr>
          <w:sz w:val="22"/>
          <w:szCs w:val="22"/>
        </w:rPr>
        <w:t>r</w:t>
      </w:r>
      <w:r>
        <w:rPr>
          <w:sz w:val="22"/>
          <w:szCs w:val="22"/>
        </w:rPr>
        <w:t xml:space="preserve">ough the Commission’s </w:t>
      </w:r>
      <w:r w:rsidR="00235756">
        <w:rPr>
          <w:sz w:val="22"/>
          <w:szCs w:val="22"/>
        </w:rPr>
        <w:t>Electronic Comment Filing System (“ECFS</w:t>
      </w:r>
      <w:r w:rsidR="00C24B82">
        <w:rPr>
          <w:sz w:val="22"/>
          <w:szCs w:val="22"/>
        </w:rPr>
        <w:t>”)</w:t>
      </w:r>
      <w:r>
        <w:rPr>
          <w:sz w:val="22"/>
          <w:szCs w:val="22"/>
        </w:rPr>
        <w:t xml:space="preserve"> or by ha</w:t>
      </w:r>
      <w:r w:rsidR="00235756">
        <w:rPr>
          <w:sz w:val="22"/>
          <w:szCs w:val="22"/>
        </w:rPr>
        <w:t>nd delivery to the Commission.</w:t>
      </w:r>
    </w:p>
    <w:p w:rsidR="00677F8D" w:rsidRDefault="00F0664E">
      <w:pPr>
        <w:widowControl/>
        <w:numPr>
          <w:ilvl w:val="0"/>
          <w:numId w:val="2"/>
        </w:numPr>
        <w:autoSpaceDE w:val="0"/>
        <w:autoSpaceDN w:val="0"/>
        <w:adjustRightInd w:val="0"/>
        <w:rPr>
          <w:sz w:val="22"/>
          <w:szCs w:val="22"/>
        </w:rPr>
      </w:pPr>
      <w:r w:rsidRPr="007D6670">
        <w:rPr>
          <w:b/>
          <w:sz w:val="22"/>
          <w:szCs w:val="22"/>
        </w:rPr>
        <w:t>To file electronically</w:t>
      </w:r>
      <w:r w:rsidRPr="007D6670">
        <w:rPr>
          <w:sz w:val="22"/>
          <w:szCs w:val="22"/>
        </w:rPr>
        <w:t>,</w:t>
      </w:r>
      <w:r w:rsidR="00235756" w:rsidRPr="00F05ADC">
        <w:rPr>
          <w:rStyle w:val="FootnoteReference"/>
          <w:sz w:val="22"/>
          <w:szCs w:val="22"/>
        </w:rPr>
        <w:footnoteReference w:id="12"/>
      </w:r>
      <w:r w:rsidR="00235756" w:rsidRPr="00F05ADC">
        <w:rPr>
          <w:b/>
          <w:sz w:val="22"/>
          <w:szCs w:val="22"/>
        </w:rPr>
        <w:t xml:space="preserve"> </w:t>
      </w:r>
      <w:r w:rsidR="00235756">
        <w:rPr>
          <w:sz w:val="22"/>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r w:rsidRPr="007D6670">
        <w:rPr>
          <w:sz w:val="22"/>
          <w:szCs w:val="22"/>
        </w:rPr>
        <w:t>.</w:t>
      </w:r>
    </w:p>
    <w:p w:rsidR="00677F8D" w:rsidRDefault="00677F8D">
      <w:pPr>
        <w:autoSpaceDE w:val="0"/>
        <w:autoSpaceDN w:val="0"/>
        <w:adjustRightInd w:val="0"/>
        <w:rPr>
          <w:sz w:val="22"/>
          <w:szCs w:val="22"/>
        </w:rPr>
      </w:pPr>
    </w:p>
    <w:p w:rsidR="00677F8D" w:rsidRDefault="00F0664E" w:rsidP="0053119F">
      <w:pPr>
        <w:widowControl/>
        <w:numPr>
          <w:ilvl w:val="0"/>
          <w:numId w:val="2"/>
        </w:numPr>
        <w:autoSpaceDE w:val="0"/>
        <w:autoSpaceDN w:val="0"/>
        <w:adjustRightInd w:val="0"/>
        <w:spacing w:after="220"/>
        <w:rPr>
          <w:sz w:val="22"/>
          <w:szCs w:val="22"/>
        </w:rPr>
      </w:pPr>
      <w:r>
        <w:rPr>
          <w:rFonts w:cs="TmsRmn"/>
          <w:b/>
          <w:bCs/>
          <w:color w:val="000000"/>
          <w:sz w:val="22"/>
          <w:szCs w:val="22"/>
        </w:rPr>
        <w:t>To file</w:t>
      </w:r>
      <w:r w:rsidR="00677F8D">
        <w:rPr>
          <w:rFonts w:cs="TmsRmn"/>
          <w:b/>
          <w:bCs/>
          <w:color w:val="000000"/>
          <w:sz w:val="22"/>
          <w:szCs w:val="22"/>
        </w:rPr>
        <w:t xml:space="preserve"> by paper</w:t>
      </w:r>
      <w:r w:rsidR="00677F8D">
        <w:rPr>
          <w:rFonts w:cs="TmsRmn"/>
          <w:color w:val="000000"/>
          <w:sz w:val="22"/>
          <w:szCs w:val="22"/>
        </w:rPr>
        <w:t xml:space="preserve">, the original and four copies of each filing must be filed by hand or messenger delivery, by commercial overnight courier, or by first-class or overnight U.S. Postal Service mail.  </w:t>
      </w:r>
      <w:r w:rsidR="00677F8D">
        <w:rPr>
          <w:sz w:val="22"/>
          <w:szCs w:val="22"/>
        </w:rPr>
        <w:t>All hand-delivered or messenger-delivered paper filings for the Commission’s Secretary must be delivered to FCC Headquarters at 445 12th St., S</w:t>
      </w:r>
      <w:r>
        <w:rPr>
          <w:sz w:val="22"/>
          <w:szCs w:val="22"/>
        </w:rPr>
        <w:t>.</w:t>
      </w:r>
      <w:r w:rsidR="00677F8D">
        <w:rPr>
          <w:sz w:val="22"/>
          <w:szCs w:val="22"/>
        </w:rPr>
        <w:t>W</w:t>
      </w:r>
      <w:r>
        <w:rPr>
          <w:sz w:val="22"/>
          <w:szCs w:val="22"/>
        </w:rPr>
        <w:t>.</w:t>
      </w:r>
      <w:r w:rsidR="00677F8D">
        <w:rPr>
          <w:sz w:val="22"/>
          <w:szCs w:val="22"/>
        </w:rPr>
        <w:t xml:space="preserve">, Room TW-A325, Washington, D.C. 20554.  The filing hours at this location are 8:00 a.m. to 7:00 p.m.  All hand deliveries must be held together with rubber bands or fasteners.  Any envelopes must be disposed of </w:t>
      </w:r>
      <w:r w:rsidR="00677F8D">
        <w:rPr>
          <w:sz w:val="22"/>
          <w:szCs w:val="22"/>
          <w:u w:val="single"/>
        </w:rPr>
        <w:t>before</w:t>
      </w:r>
      <w:r w:rsidR="00677F8D">
        <w:rPr>
          <w:sz w:val="22"/>
          <w:szCs w:val="22"/>
        </w:rPr>
        <w:t xml:space="preserve"> entering the building.  </w:t>
      </w:r>
      <w:r w:rsidR="00677F8D">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677F8D" w:rsidRDefault="00677F8D" w:rsidP="00E870B9">
      <w:pPr>
        <w:pStyle w:val="BodyText"/>
        <w:widowControl/>
        <w:spacing w:after="220"/>
        <w:rPr>
          <w:szCs w:val="22"/>
        </w:rPr>
      </w:pPr>
      <w:r>
        <w:rPr>
          <w:color w:val="000000"/>
          <w:szCs w:val="22"/>
        </w:rPr>
        <w:t>One copy of each pleading must be</w:t>
      </w:r>
      <w:r w:rsidR="00235756">
        <w:rPr>
          <w:color w:val="000000"/>
          <w:szCs w:val="22"/>
        </w:rPr>
        <w:t xml:space="preserve"> delivered electronically, by e</w:t>
      </w:r>
      <w:r>
        <w:rPr>
          <w:color w:val="000000"/>
          <w:szCs w:val="22"/>
        </w:rPr>
        <w:t>mail or facsimile, or if delivered as paper copy, by hand or messenger delivery, by commercial overnight courier, or by first-class or overnight U.S. Postal Service mail (according to the procedures set forth above for paper filings), to:  (1)</w:t>
      </w:r>
      <w:r w:rsidR="000F32D1">
        <w:rPr>
          <w:color w:val="000000"/>
          <w:szCs w:val="22"/>
        </w:rPr>
        <w:t> </w:t>
      </w:r>
      <w:r>
        <w:rPr>
          <w:color w:val="000000"/>
          <w:szCs w:val="22"/>
        </w:rPr>
        <w:t xml:space="preserve">the Commission’s duplicating </w:t>
      </w:r>
      <w:r>
        <w:rPr>
          <w:szCs w:val="22"/>
        </w:rPr>
        <w:t xml:space="preserve">contractor, Best Copy and Printing, Inc., at FCC@BCPIWEB.COM or (202) 488-5563 (facsimile); (2) </w:t>
      </w:r>
      <w:r w:rsidR="006A740A">
        <w:rPr>
          <w:rFonts w:cs="TmsRmn"/>
          <w:szCs w:val="22"/>
        </w:rPr>
        <w:t>Scott Patrick</w:t>
      </w:r>
      <w:r>
        <w:rPr>
          <w:rFonts w:cs="TmsRmn"/>
          <w:szCs w:val="22"/>
        </w:rPr>
        <w:t xml:space="preserve">, </w:t>
      </w:r>
      <w:r>
        <w:rPr>
          <w:szCs w:val="22"/>
        </w:rPr>
        <w:t xml:space="preserve">Mobility Division, </w:t>
      </w:r>
      <w:r>
        <w:rPr>
          <w:rFonts w:cs="TmsRmn"/>
          <w:szCs w:val="22"/>
        </w:rPr>
        <w:t xml:space="preserve">Wireless Telecommunications Bureau, at </w:t>
      </w:r>
      <w:r w:rsidR="006A740A">
        <w:rPr>
          <w:rFonts w:cs="TmsRmn"/>
          <w:szCs w:val="22"/>
        </w:rPr>
        <w:t>scott</w:t>
      </w:r>
      <w:r>
        <w:rPr>
          <w:rFonts w:cs="TmsRmn"/>
          <w:szCs w:val="22"/>
        </w:rPr>
        <w:t>.</w:t>
      </w:r>
      <w:r w:rsidR="006A740A">
        <w:rPr>
          <w:rFonts w:cs="TmsRmn"/>
          <w:szCs w:val="22"/>
        </w:rPr>
        <w:t>patrick</w:t>
      </w:r>
      <w:r>
        <w:rPr>
          <w:rFonts w:cs="TmsRmn"/>
          <w:szCs w:val="22"/>
        </w:rPr>
        <w:t>@fcc.gov or (202) 418-7447 (facsimile);</w:t>
      </w:r>
      <w:r>
        <w:rPr>
          <w:szCs w:val="22"/>
        </w:rPr>
        <w:t xml:space="preserve"> </w:t>
      </w:r>
      <w:r w:rsidR="00773C82">
        <w:rPr>
          <w:szCs w:val="22"/>
        </w:rPr>
        <w:t xml:space="preserve">(3) </w:t>
      </w:r>
      <w:r>
        <w:rPr>
          <w:szCs w:val="22"/>
        </w:rPr>
        <w:t>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sidR="00773C82">
        <w:rPr>
          <w:color w:val="000000"/>
          <w:szCs w:val="22"/>
        </w:rPr>
        <w:t>(</w:t>
      </w:r>
      <w:r w:rsidR="00066A7D">
        <w:rPr>
          <w:color w:val="000000"/>
          <w:szCs w:val="22"/>
        </w:rPr>
        <w:t>4</w:t>
      </w:r>
      <w:r>
        <w:rPr>
          <w:color w:val="000000"/>
          <w:szCs w:val="22"/>
        </w:rPr>
        <w:t xml:space="preserve">) Jim Bird, Office of General Counsel, at </w:t>
      </w:r>
      <w:r w:rsidR="00984C82">
        <w:rPr>
          <w:color w:val="000000"/>
          <w:szCs w:val="22"/>
        </w:rPr>
        <w:t>TransactionTeam</w:t>
      </w:r>
      <w:r>
        <w:rPr>
          <w:color w:val="000000"/>
          <w:szCs w:val="22"/>
        </w:rPr>
        <w:t>@fcc.gov or (202) 418-1234 (facsimile)</w:t>
      </w:r>
      <w:r>
        <w:rPr>
          <w:szCs w:val="22"/>
        </w:rPr>
        <w:t>.</w:t>
      </w:r>
    </w:p>
    <w:p w:rsidR="00677F8D" w:rsidRDefault="00677F8D" w:rsidP="00E870B9">
      <w:pPr>
        <w:pStyle w:val="BodyText"/>
        <w:widowControl/>
        <w:spacing w:after="220"/>
        <w:rPr>
          <w:color w:val="000000"/>
          <w:szCs w:val="22"/>
        </w:rPr>
      </w:pPr>
      <w:r>
        <w:rPr>
          <w:color w:val="000000"/>
          <w:szCs w:val="22"/>
        </w:rPr>
        <w:t xml:space="preserve">Copies of the applications and any subsequently-filed documents in this matter may be obtained from Best Copy and Printing, Inc. in person at </w:t>
      </w:r>
      <w:smartTag w:uri="urn:schemas-microsoft-com:office:smarttags" w:element="Street">
        <w:smartTag w:uri="urn:schemas-microsoft-com:office:smarttags" w:element="address">
          <w:r>
            <w:rPr>
              <w:color w:val="000000"/>
              <w:szCs w:val="22"/>
            </w:rPr>
            <w:t>445 12th Street, S.W.</w:t>
          </w:r>
        </w:smartTag>
      </w:smartTag>
      <w:r>
        <w:rPr>
          <w:color w:val="000000"/>
          <w:szCs w:val="22"/>
        </w:rPr>
        <w:t xml:space="preserve">, Room CY-B402, </w:t>
      </w:r>
      <w:smartTag w:uri="urn:schemas-microsoft-com:office:smarttags" w:element="place">
        <w:smartTag w:uri="urn:schemas-microsoft-com:office:smarttags" w:element="City">
          <w:r>
            <w:rPr>
              <w:color w:val="000000"/>
              <w:szCs w:val="22"/>
            </w:rPr>
            <w:t>Washington</w:t>
          </w:r>
        </w:smartTag>
        <w:r>
          <w:rPr>
            <w:color w:val="000000"/>
            <w:szCs w:val="22"/>
          </w:rPr>
          <w:t xml:space="preserve">, </w:t>
        </w:r>
        <w:smartTag w:uri="urn:schemas-microsoft-com:office:smarttags" w:element="State">
          <w:r>
            <w:rPr>
              <w:color w:val="000000"/>
              <w:szCs w:val="22"/>
            </w:rPr>
            <w:t>D.C.</w:t>
          </w:r>
        </w:smartTag>
        <w:r>
          <w:rPr>
            <w:color w:val="000000"/>
            <w:szCs w:val="22"/>
          </w:rPr>
          <w:t xml:space="preserve"> </w:t>
        </w:r>
        <w:smartTag w:uri="urn:schemas-microsoft-com:office:smarttags" w:element="PostalCode">
          <w:r>
            <w:rPr>
              <w:color w:val="000000"/>
              <w:szCs w:val="22"/>
            </w:rPr>
            <w:t>20554</w:t>
          </w:r>
        </w:smartTag>
      </w:smartTag>
      <w:r>
        <w:rPr>
          <w:color w:val="000000"/>
          <w:szCs w:val="22"/>
        </w:rPr>
        <w:t>, via telephone at (202) 488-5300, via facsim</w:t>
      </w:r>
      <w:r w:rsidR="006C046B">
        <w:rPr>
          <w:color w:val="000000"/>
          <w:szCs w:val="22"/>
        </w:rPr>
        <w:t>ile at (202) 488-5563, or via e</w:t>
      </w:r>
      <w:r>
        <w:rPr>
          <w:color w:val="000000"/>
          <w:szCs w:val="22"/>
        </w:rPr>
        <w:t xml:space="preserve">mail at FCC@BCPIWEB.COM.  The applications and any associated documents are also available for public inspection and copying during normal reference room hours at the following Commission office:  FCC Reference Information Center, 445 12th Street, S.W., Room CY-A257, Washington, D.C. 20554.  The applications are also available electronically through ULS, which may be accessed on the Commission’s Internet website.  </w:t>
      </w:r>
      <w:r>
        <w:t xml:space="preserve">To request materials in accessible formats for people with disabilities (Braille, large print, electronic </w:t>
      </w:r>
      <w:r w:rsidR="006C046B">
        <w:t>files, audio format), send an e</w:t>
      </w:r>
      <w:r>
        <w:t>mail to fcc504@fcc.gov or call the Consumer and Governmental Affairs Bureau at (202) 418-0530 (voice) or (202) 418-0432 (TTY).  Contact the FCC to request reasonable accommodations for filing comments (accessible format documents, sign language</w:t>
      </w:r>
      <w:r w:rsidR="006C046B">
        <w:t xml:space="preserve"> interpreters, CART, etc.) by e</w:t>
      </w:r>
      <w:r w:rsidR="00264B92">
        <w:t xml:space="preserve">mail:  FCC504@fcc.gov; phone: </w:t>
      </w:r>
      <w:r>
        <w:t>(202) 418-0530</w:t>
      </w:r>
      <w:r w:rsidR="00264B92">
        <w:t xml:space="preserve">; or TTY: </w:t>
      </w:r>
      <w:r>
        <w:t>(202) 418-0432.</w:t>
      </w:r>
    </w:p>
    <w:p w:rsidR="00677F8D" w:rsidRDefault="00677F8D" w:rsidP="00E870B9">
      <w:pPr>
        <w:spacing w:after="220"/>
        <w:ind w:firstLine="720"/>
        <w:rPr>
          <w:rStyle w:val="Normal1"/>
          <w:sz w:val="22"/>
          <w:szCs w:val="22"/>
        </w:rPr>
      </w:pPr>
      <w:r>
        <w:rPr>
          <w:sz w:val="22"/>
          <w:szCs w:val="22"/>
        </w:rPr>
        <w:t xml:space="preserve">For further information, contact </w:t>
      </w:r>
      <w:r w:rsidR="0074198F">
        <w:rPr>
          <w:rFonts w:cs="TmsRmn"/>
          <w:sz w:val="22"/>
          <w:szCs w:val="22"/>
        </w:rPr>
        <w:t>Scott Patrick</w:t>
      </w:r>
      <w:r>
        <w:rPr>
          <w:rFonts w:cs="TmsRmn"/>
          <w:sz w:val="22"/>
          <w:szCs w:val="22"/>
        </w:rPr>
        <w:t xml:space="preserve">, </w:t>
      </w:r>
      <w:r>
        <w:rPr>
          <w:sz w:val="22"/>
          <w:szCs w:val="22"/>
        </w:rPr>
        <w:t>Mobility Division, Wireless Telecommunications Bureau, at (202) 418-</w:t>
      </w:r>
      <w:r w:rsidR="0074198F">
        <w:rPr>
          <w:sz w:val="22"/>
          <w:szCs w:val="22"/>
        </w:rPr>
        <w:t>2853</w:t>
      </w:r>
      <w:r>
        <w:rPr>
          <w:sz w:val="22"/>
          <w:szCs w:val="22"/>
        </w:rPr>
        <w:t xml:space="preserve">, or Kate Matraves, Spectrum and Competition Policy Division, Wireless Telecommunications Bureau, at (202) </w:t>
      </w:r>
      <w:r w:rsidR="00984C82">
        <w:rPr>
          <w:sz w:val="22"/>
          <w:szCs w:val="22"/>
        </w:rPr>
        <w:t>391-6272</w:t>
      </w:r>
      <w:r>
        <w:rPr>
          <w:sz w:val="22"/>
          <w:szCs w:val="22"/>
        </w:rPr>
        <w:t>.</w:t>
      </w:r>
    </w:p>
    <w:p w:rsidR="00677F8D" w:rsidRDefault="00677F8D">
      <w:pPr>
        <w:widowControl/>
        <w:jc w:val="center"/>
        <w:rPr>
          <w:rStyle w:val="Normal1"/>
          <w:b/>
          <w:sz w:val="22"/>
          <w:szCs w:val="22"/>
        </w:rPr>
      </w:pPr>
      <w:r>
        <w:rPr>
          <w:rStyle w:val="Normal1"/>
          <w:b/>
          <w:sz w:val="22"/>
          <w:szCs w:val="22"/>
        </w:rPr>
        <w:t>-FCC-</w:t>
      </w:r>
    </w:p>
    <w:sectPr w:rsidR="00677F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CF" w:rsidRDefault="00F252CF">
      <w:r>
        <w:separator/>
      </w:r>
    </w:p>
  </w:endnote>
  <w:endnote w:type="continuationSeparator" w:id="0">
    <w:p w:rsidR="00F252CF" w:rsidRDefault="00F2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B6" w:rsidRDefault="0090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4133FC" w:rsidRDefault="004133FC">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9062B6">
      <w:rPr>
        <w:noProof/>
        <w:sz w:val="22"/>
        <w:szCs w:val="22"/>
      </w:rPr>
      <w:t>2</w:t>
    </w:r>
    <w:r>
      <w:rPr>
        <w:sz w:val="22"/>
        <w:szCs w:val="22"/>
      </w:rPr>
      <w:fldChar w:fldCharType="end"/>
    </w:r>
  </w:p>
  <w:bookmarkEnd w:id="9"/>
  <w:p w:rsidR="004133FC" w:rsidRDefault="00413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B6" w:rsidRDefault="0090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CF" w:rsidRDefault="00F252CF">
      <w:r>
        <w:separator/>
      </w:r>
    </w:p>
  </w:footnote>
  <w:footnote w:type="continuationSeparator" w:id="0">
    <w:p w:rsidR="00F252CF" w:rsidRDefault="00F252CF">
      <w:r>
        <w:continuationSeparator/>
      </w:r>
    </w:p>
  </w:footnote>
  <w:footnote w:id="1">
    <w:p w:rsidR="004133FC" w:rsidRDefault="004133FC">
      <w:pPr>
        <w:pStyle w:val="FootnoteText"/>
      </w:pPr>
      <w:r>
        <w:rPr>
          <w:rStyle w:val="FootnoteReference"/>
          <w:sz w:val="20"/>
        </w:rPr>
        <w:footnoteRef/>
      </w:r>
      <w:r>
        <w:t xml:space="preserve"> 47 U.S.C. § 310(d).  </w:t>
      </w:r>
    </w:p>
  </w:footnote>
  <w:footnote w:id="2">
    <w:p w:rsidR="00A16257" w:rsidRDefault="00A16257" w:rsidP="00A16257">
      <w:pPr>
        <w:pStyle w:val="FootnoteText"/>
      </w:pPr>
      <w:r w:rsidRPr="006900DC">
        <w:rPr>
          <w:rStyle w:val="FootnoteReference"/>
          <w:sz w:val="20"/>
        </w:rPr>
        <w:footnoteRef/>
      </w:r>
      <w:r w:rsidRPr="006900DC">
        <w:t xml:space="preserve"> </w:t>
      </w:r>
      <w:r w:rsidRPr="006900DC">
        <w:rPr>
          <w:i/>
        </w:rPr>
        <w:t>See</w:t>
      </w:r>
      <w:r w:rsidRPr="006900DC">
        <w:t xml:space="preserve"> Policies Regarding Mobile Spectrum Holdings; Expanding the Economic and Innovation Opportunities of Spectrum Through Incentive Auctions, WT Docket No. 12-269, GN Docket No. 12-268, </w:t>
      </w:r>
      <w:r w:rsidRPr="006900DC">
        <w:rPr>
          <w:i/>
        </w:rPr>
        <w:t>Report and Order</w:t>
      </w:r>
      <w:r w:rsidRPr="006900DC">
        <w:t xml:space="preserve">, </w:t>
      </w:r>
      <w:r>
        <w:t>29 FCC 6133, 6240 ¶¶ 287</w:t>
      </w:r>
      <w:r w:rsidRPr="006900DC">
        <w:t xml:space="preserve"> (rel. June 2, 2014) (“</w:t>
      </w:r>
      <w:r w:rsidRPr="006900DC">
        <w:rPr>
          <w:i/>
        </w:rPr>
        <w:t>Mobile Spectrum Holdings Report and Order</w:t>
      </w:r>
      <w:r w:rsidRPr="00F7584C">
        <w:t>”)</w:t>
      </w:r>
      <w:r w:rsidRPr="006900DC">
        <w:t>.</w:t>
      </w:r>
    </w:p>
  </w:footnote>
  <w:footnote w:id="3">
    <w:p w:rsidR="00240457" w:rsidRPr="00240457" w:rsidRDefault="00240457">
      <w:pPr>
        <w:pStyle w:val="FootnoteText"/>
      </w:pPr>
      <w:r w:rsidRPr="00240457">
        <w:rPr>
          <w:rStyle w:val="FootnoteReference"/>
          <w:sz w:val="20"/>
        </w:rPr>
        <w:footnoteRef/>
      </w:r>
      <w:r w:rsidRPr="00240457">
        <w:t xml:space="preserve"> </w:t>
      </w:r>
      <w:r>
        <w:t>The applicants have designated this application as the lead application for this transaction.</w:t>
      </w:r>
    </w:p>
  </w:footnote>
  <w:footnote w:id="4">
    <w:p w:rsidR="000C5C0A" w:rsidRPr="000C5C0A" w:rsidRDefault="000C5C0A">
      <w:pPr>
        <w:pStyle w:val="FootnoteText"/>
      </w:pPr>
      <w:r w:rsidRPr="000C5C0A">
        <w:rPr>
          <w:rStyle w:val="FootnoteReference"/>
          <w:sz w:val="20"/>
        </w:rPr>
        <w:footnoteRef/>
      </w:r>
      <w:r w:rsidRPr="000C5C0A">
        <w:t xml:space="preserve"> This application is for the partitioned assignment.</w:t>
      </w:r>
    </w:p>
  </w:footnote>
  <w:footnote w:id="5">
    <w:p w:rsidR="004133FC" w:rsidRDefault="004133FC">
      <w:pPr>
        <w:spacing w:after="120"/>
        <w:rPr>
          <w:lang w:val="pt-BR"/>
        </w:rPr>
      </w:pPr>
      <w:r>
        <w:rPr>
          <w:rStyle w:val="FootnoteReference"/>
          <w:sz w:val="20"/>
        </w:rPr>
        <w:footnoteRef/>
      </w:r>
      <w:r>
        <w:rPr>
          <w:lang w:val="pt-BR"/>
        </w:rPr>
        <w:t xml:space="preserve"> 47 C.F.R. § 1.1200(a).  </w:t>
      </w:r>
    </w:p>
  </w:footnote>
  <w:footnote w:id="6">
    <w:p w:rsidR="004133FC" w:rsidRDefault="004133FC">
      <w:pPr>
        <w:pStyle w:val="FootnoteText"/>
      </w:pPr>
      <w:r>
        <w:rPr>
          <w:rStyle w:val="FootnoteReference"/>
          <w:sz w:val="20"/>
        </w:rPr>
        <w:footnoteRef/>
      </w:r>
      <w:r>
        <w:t xml:space="preserve"> 47 C.F.R. § 1.1206.</w:t>
      </w:r>
    </w:p>
  </w:footnote>
  <w:footnote w:id="7">
    <w:p w:rsidR="004133FC" w:rsidRDefault="004133FC">
      <w:pPr>
        <w:pStyle w:val="FootnoteText"/>
      </w:pPr>
      <w:r>
        <w:rPr>
          <w:rStyle w:val="FootnoteReference"/>
          <w:sz w:val="20"/>
        </w:rPr>
        <w:footnoteRef/>
      </w:r>
      <w:r>
        <w:t xml:space="preserve"> </w:t>
      </w:r>
      <w:r>
        <w:rPr>
          <w:i/>
        </w:rPr>
        <w:t xml:space="preserve">See </w:t>
      </w:r>
      <w:r>
        <w:t>47 C.F.R. § 1.1206(b)(1).</w:t>
      </w:r>
    </w:p>
  </w:footnote>
  <w:footnote w:id="8">
    <w:p w:rsidR="004133FC" w:rsidRDefault="004133FC">
      <w:pPr>
        <w:pStyle w:val="FootnoteText"/>
      </w:pPr>
      <w:r>
        <w:rPr>
          <w:rStyle w:val="FootnoteReference"/>
          <w:sz w:val="20"/>
        </w:rPr>
        <w:footnoteRef/>
      </w:r>
      <w:r>
        <w:t xml:space="preserve"> </w:t>
      </w:r>
      <w:r>
        <w:rPr>
          <w:i/>
        </w:rPr>
        <w:t>See id</w:t>
      </w:r>
      <w:r>
        <w:t>.</w:t>
      </w:r>
    </w:p>
  </w:footnote>
  <w:footnote w:id="9">
    <w:p w:rsidR="004133FC" w:rsidRDefault="004133FC">
      <w:pPr>
        <w:pStyle w:val="FootnoteText"/>
      </w:pPr>
      <w:r>
        <w:rPr>
          <w:rStyle w:val="FootnoteReference"/>
          <w:sz w:val="20"/>
        </w:rPr>
        <w:footnoteRef/>
      </w:r>
      <w:r>
        <w:t xml:space="preserve"> </w:t>
      </w:r>
      <w:r w:rsidRPr="00984C82">
        <w:t>47</w:t>
      </w:r>
      <w:r>
        <w:t xml:space="preserve"> C.F.R. § 1.1206(b).</w:t>
      </w:r>
    </w:p>
  </w:footnote>
  <w:footnote w:id="10">
    <w:p w:rsidR="004133FC" w:rsidRDefault="004133FC">
      <w:pPr>
        <w:pStyle w:val="FootnoteText"/>
      </w:pPr>
      <w:r>
        <w:rPr>
          <w:rStyle w:val="FootnoteReference"/>
          <w:sz w:val="20"/>
        </w:rPr>
        <w:footnoteRef/>
      </w:r>
      <w:r>
        <w:t xml:space="preserve"> </w:t>
      </w:r>
      <w:r>
        <w:rPr>
          <w:i/>
        </w:rPr>
        <w:t>See</w:t>
      </w:r>
      <w:r>
        <w:t xml:space="preserve"> 47 C.F.R. § 1.45(c).</w:t>
      </w:r>
    </w:p>
  </w:footnote>
  <w:footnote w:id="11">
    <w:p w:rsidR="004133FC" w:rsidRDefault="004133FC">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2">
    <w:p w:rsidR="00235756" w:rsidRDefault="00235756" w:rsidP="00235756">
      <w:pPr>
        <w:pStyle w:val="FootnoteText"/>
      </w:pPr>
      <w:r w:rsidRPr="00F05ADC">
        <w:rPr>
          <w:rStyle w:val="FootnoteReference"/>
          <w:sz w:val="20"/>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B6" w:rsidRDefault="00906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B6" w:rsidRDefault="009062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B6" w:rsidRDefault="00906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D"/>
    <w:rsid w:val="00000509"/>
    <w:rsid w:val="0001102C"/>
    <w:rsid w:val="000110C9"/>
    <w:rsid w:val="00023AA2"/>
    <w:rsid w:val="0002745F"/>
    <w:rsid w:val="00030F87"/>
    <w:rsid w:val="00047287"/>
    <w:rsid w:val="000507EA"/>
    <w:rsid w:val="00063431"/>
    <w:rsid w:val="00066A7D"/>
    <w:rsid w:val="00081A05"/>
    <w:rsid w:val="00082953"/>
    <w:rsid w:val="00086FA9"/>
    <w:rsid w:val="00097E54"/>
    <w:rsid w:val="000A63DF"/>
    <w:rsid w:val="000B2AC5"/>
    <w:rsid w:val="000B2CC0"/>
    <w:rsid w:val="000B3C8B"/>
    <w:rsid w:val="000C5C0A"/>
    <w:rsid w:val="000D0F6F"/>
    <w:rsid w:val="000E05F4"/>
    <w:rsid w:val="000F32D1"/>
    <w:rsid w:val="000F4082"/>
    <w:rsid w:val="0012564E"/>
    <w:rsid w:val="00130356"/>
    <w:rsid w:val="00134241"/>
    <w:rsid w:val="00136C69"/>
    <w:rsid w:val="001421C0"/>
    <w:rsid w:val="001431FF"/>
    <w:rsid w:val="00151131"/>
    <w:rsid w:val="00157667"/>
    <w:rsid w:val="0018560F"/>
    <w:rsid w:val="001A15F0"/>
    <w:rsid w:val="001A1E3B"/>
    <w:rsid w:val="001A2BFD"/>
    <w:rsid w:val="001C30B1"/>
    <w:rsid w:val="001C62EF"/>
    <w:rsid w:val="001C7231"/>
    <w:rsid w:val="001D6577"/>
    <w:rsid w:val="001D755A"/>
    <w:rsid w:val="00206039"/>
    <w:rsid w:val="00210FAD"/>
    <w:rsid w:val="00235756"/>
    <w:rsid w:val="00235D9B"/>
    <w:rsid w:val="00240457"/>
    <w:rsid w:val="002448C6"/>
    <w:rsid w:val="00264B92"/>
    <w:rsid w:val="002751A8"/>
    <w:rsid w:val="00277DCE"/>
    <w:rsid w:val="00285273"/>
    <w:rsid w:val="00286EEA"/>
    <w:rsid w:val="00291A59"/>
    <w:rsid w:val="00292AC0"/>
    <w:rsid w:val="00296492"/>
    <w:rsid w:val="002A1765"/>
    <w:rsid w:val="002A3612"/>
    <w:rsid w:val="002A5B87"/>
    <w:rsid w:val="002B07D7"/>
    <w:rsid w:val="002B14E3"/>
    <w:rsid w:val="002B7C53"/>
    <w:rsid w:val="002C5840"/>
    <w:rsid w:val="002C7EC3"/>
    <w:rsid w:val="002F726C"/>
    <w:rsid w:val="00323887"/>
    <w:rsid w:val="00326C7B"/>
    <w:rsid w:val="00332857"/>
    <w:rsid w:val="00333720"/>
    <w:rsid w:val="003372ED"/>
    <w:rsid w:val="00351E77"/>
    <w:rsid w:val="00355221"/>
    <w:rsid w:val="00355A34"/>
    <w:rsid w:val="00356C15"/>
    <w:rsid w:val="003649CF"/>
    <w:rsid w:val="00383EAA"/>
    <w:rsid w:val="00386E10"/>
    <w:rsid w:val="00391355"/>
    <w:rsid w:val="00391741"/>
    <w:rsid w:val="00392C63"/>
    <w:rsid w:val="0039326C"/>
    <w:rsid w:val="003C2A4F"/>
    <w:rsid w:val="003E57CB"/>
    <w:rsid w:val="003E61A5"/>
    <w:rsid w:val="003E6E77"/>
    <w:rsid w:val="004014E5"/>
    <w:rsid w:val="00401995"/>
    <w:rsid w:val="004133FC"/>
    <w:rsid w:val="004214AC"/>
    <w:rsid w:val="00421DD3"/>
    <w:rsid w:val="00423520"/>
    <w:rsid w:val="00425BC1"/>
    <w:rsid w:val="00447701"/>
    <w:rsid w:val="004545FF"/>
    <w:rsid w:val="00464358"/>
    <w:rsid w:val="00464392"/>
    <w:rsid w:val="0046657D"/>
    <w:rsid w:val="00472431"/>
    <w:rsid w:val="00477A8C"/>
    <w:rsid w:val="004C4D46"/>
    <w:rsid w:val="004C65DB"/>
    <w:rsid w:val="004D0318"/>
    <w:rsid w:val="004E207A"/>
    <w:rsid w:val="004F2B93"/>
    <w:rsid w:val="00503D66"/>
    <w:rsid w:val="00504995"/>
    <w:rsid w:val="00515B31"/>
    <w:rsid w:val="00515CEC"/>
    <w:rsid w:val="0052101B"/>
    <w:rsid w:val="00530B3B"/>
    <w:rsid w:val="0053119F"/>
    <w:rsid w:val="00536820"/>
    <w:rsid w:val="0054160E"/>
    <w:rsid w:val="005448D6"/>
    <w:rsid w:val="005453E8"/>
    <w:rsid w:val="0056031D"/>
    <w:rsid w:val="00566B9C"/>
    <w:rsid w:val="005679E0"/>
    <w:rsid w:val="0057338C"/>
    <w:rsid w:val="00586237"/>
    <w:rsid w:val="0059400D"/>
    <w:rsid w:val="005A7837"/>
    <w:rsid w:val="005B0C21"/>
    <w:rsid w:val="005C1E8C"/>
    <w:rsid w:val="005C2259"/>
    <w:rsid w:val="005D0AF1"/>
    <w:rsid w:val="005E4AA2"/>
    <w:rsid w:val="005E7BA0"/>
    <w:rsid w:val="005F10B7"/>
    <w:rsid w:val="005F510C"/>
    <w:rsid w:val="00612AA4"/>
    <w:rsid w:val="00612C7A"/>
    <w:rsid w:val="006133DB"/>
    <w:rsid w:val="006428F9"/>
    <w:rsid w:val="00645EBF"/>
    <w:rsid w:val="006471A5"/>
    <w:rsid w:val="00663125"/>
    <w:rsid w:val="0066652A"/>
    <w:rsid w:val="00667AD7"/>
    <w:rsid w:val="006723F6"/>
    <w:rsid w:val="00673859"/>
    <w:rsid w:val="00677644"/>
    <w:rsid w:val="00677F8D"/>
    <w:rsid w:val="0068151F"/>
    <w:rsid w:val="00681725"/>
    <w:rsid w:val="006900DC"/>
    <w:rsid w:val="00692CF3"/>
    <w:rsid w:val="00694B33"/>
    <w:rsid w:val="006A12E5"/>
    <w:rsid w:val="006A71FB"/>
    <w:rsid w:val="006A740A"/>
    <w:rsid w:val="006B39F6"/>
    <w:rsid w:val="006B46C4"/>
    <w:rsid w:val="006C046B"/>
    <w:rsid w:val="006C27D1"/>
    <w:rsid w:val="006C3B87"/>
    <w:rsid w:val="006E2BAF"/>
    <w:rsid w:val="006E3609"/>
    <w:rsid w:val="007350D2"/>
    <w:rsid w:val="0074198F"/>
    <w:rsid w:val="007507ED"/>
    <w:rsid w:val="00752D16"/>
    <w:rsid w:val="0076694F"/>
    <w:rsid w:val="00771442"/>
    <w:rsid w:val="00773C82"/>
    <w:rsid w:val="00775C36"/>
    <w:rsid w:val="00781D33"/>
    <w:rsid w:val="007866D0"/>
    <w:rsid w:val="007922BB"/>
    <w:rsid w:val="007A4848"/>
    <w:rsid w:val="007B5BA3"/>
    <w:rsid w:val="007C09B3"/>
    <w:rsid w:val="007D7D95"/>
    <w:rsid w:val="007F771A"/>
    <w:rsid w:val="00803E33"/>
    <w:rsid w:val="00813303"/>
    <w:rsid w:val="00817E94"/>
    <w:rsid w:val="008225BA"/>
    <w:rsid w:val="008301E0"/>
    <w:rsid w:val="00831716"/>
    <w:rsid w:val="00863C62"/>
    <w:rsid w:val="00865626"/>
    <w:rsid w:val="0087382C"/>
    <w:rsid w:val="00873985"/>
    <w:rsid w:val="008815DB"/>
    <w:rsid w:val="00881B4E"/>
    <w:rsid w:val="00883BA2"/>
    <w:rsid w:val="0089192F"/>
    <w:rsid w:val="008A1203"/>
    <w:rsid w:val="008A162E"/>
    <w:rsid w:val="008A67B1"/>
    <w:rsid w:val="008F6D85"/>
    <w:rsid w:val="00903DBB"/>
    <w:rsid w:val="009062B6"/>
    <w:rsid w:val="00933D70"/>
    <w:rsid w:val="00934298"/>
    <w:rsid w:val="00945D08"/>
    <w:rsid w:val="0095021B"/>
    <w:rsid w:val="009515A8"/>
    <w:rsid w:val="009547D4"/>
    <w:rsid w:val="009553D8"/>
    <w:rsid w:val="009562BB"/>
    <w:rsid w:val="0096138E"/>
    <w:rsid w:val="009739FC"/>
    <w:rsid w:val="00982888"/>
    <w:rsid w:val="009842C5"/>
    <w:rsid w:val="00984C82"/>
    <w:rsid w:val="00991DC8"/>
    <w:rsid w:val="009957B2"/>
    <w:rsid w:val="00995DAA"/>
    <w:rsid w:val="009A6D5B"/>
    <w:rsid w:val="009B19CE"/>
    <w:rsid w:val="009C28B8"/>
    <w:rsid w:val="00A136B1"/>
    <w:rsid w:val="00A16257"/>
    <w:rsid w:val="00A22548"/>
    <w:rsid w:val="00A22A66"/>
    <w:rsid w:val="00A37D5D"/>
    <w:rsid w:val="00A535DC"/>
    <w:rsid w:val="00A60C92"/>
    <w:rsid w:val="00A60DEB"/>
    <w:rsid w:val="00A670EB"/>
    <w:rsid w:val="00A72230"/>
    <w:rsid w:val="00A83B3C"/>
    <w:rsid w:val="00A86C8A"/>
    <w:rsid w:val="00A90DBD"/>
    <w:rsid w:val="00AA5EAE"/>
    <w:rsid w:val="00AA5F47"/>
    <w:rsid w:val="00AB3DF2"/>
    <w:rsid w:val="00AB5B23"/>
    <w:rsid w:val="00AC01CE"/>
    <w:rsid w:val="00AC0E5E"/>
    <w:rsid w:val="00AC66B0"/>
    <w:rsid w:val="00AD2FF7"/>
    <w:rsid w:val="00AE50F6"/>
    <w:rsid w:val="00B1028A"/>
    <w:rsid w:val="00B40D0B"/>
    <w:rsid w:val="00B41B48"/>
    <w:rsid w:val="00B52A76"/>
    <w:rsid w:val="00B54122"/>
    <w:rsid w:val="00B76B3E"/>
    <w:rsid w:val="00B90FDB"/>
    <w:rsid w:val="00BB15FE"/>
    <w:rsid w:val="00BB1AA0"/>
    <w:rsid w:val="00BD17BA"/>
    <w:rsid w:val="00BD6AC1"/>
    <w:rsid w:val="00BE11E5"/>
    <w:rsid w:val="00BF05A5"/>
    <w:rsid w:val="00BF7867"/>
    <w:rsid w:val="00C11FB7"/>
    <w:rsid w:val="00C13E61"/>
    <w:rsid w:val="00C24B82"/>
    <w:rsid w:val="00C31250"/>
    <w:rsid w:val="00C31724"/>
    <w:rsid w:val="00C33CF3"/>
    <w:rsid w:val="00C41DDA"/>
    <w:rsid w:val="00C46B3F"/>
    <w:rsid w:val="00C567EA"/>
    <w:rsid w:val="00C61351"/>
    <w:rsid w:val="00C77420"/>
    <w:rsid w:val="00C77D76"/>
    <w:rsid w:val="00C82BF9"/>
    <w:rsid w:val="00CC6FAF"/>
    <w:rsid w:val="00CD5540"/>
    <w:rsid w:val="00CD6DCF"/>
    <w:rsid w:val="00CF049C"/>
    <w:rsid w:val="00CF0B04"/>
    <w:rsid w:val="00D12F81"/>
    <w:rsid w:val="00D313D0"/>
    <w:rsid w:val="00D31F30"/>
    <w:rsid w:val="00D408DD"/>
    <w:rsid w:val="00D41944"/>
    <w:rsid w:val="00D43250"/>
    <w:rsid w:val="00D43BC1"/>
    <w:rsid w:val="00D45262"/>
    <w:rsid w:val="00D519C7"/>
    <w:rsid w:val="00D54C6E"/>
    <w:rsid w:val="00D5610C"/>
    <w:rsid w:val="00D60517"/>
    <w:rsid w:val="00D70CB0"/>
    <w:rsid w:val="00D74C38"/>
    <w:rsid w:val="00D76632"/>
    <w:rsid w:val="00D81E48"/>
    <w:rsid w:val="00D84F07"/>
    <w:rsid w:val="00DA440B"/>
    <w:rsid w:val="00DA5024"/>
    <w:rsid w:val="00DA7B54"/>
    <w:rsid w:val="00DB293C"/>
    <w:rsid w:val="00DC0594"/>
    <w:rsid w:val="00DD45C0"/>
    <w:rsid w:val="00DD4D2F"/>
    <w:rsid w:val="00DE5A5E"/>
    <w:rsid w:val="00DF089E"/>
    <w:rsid w:val="00DF192C"/>
    <w:rsid w:val="00DF19E4"/>
    <w:rsid w:val="00E062B3"/>
    <w:rsid w:val="00E147ED"/>
    <w:rsid w:val="00E26571"/>
    <w:rsid w:val="00E2795E"/>
    <w:rsid w:val="00E302C0"/>
    <w:rsid w:val="00E32546"/>
    <w:rsid w:val="00E35CC6"/>
    <w:rsid w:val="00E45524"/>
    <w:rsid w:val="00E61F3B"/>
    <w:rsid w:val="00E651F6"/>
    <w:rsid w:val="00E6770B"/>
    <w:rsid w:val="00E71D1D"/>
    <w:rsid w:val="00E725DB"/>
    <w:rsid w:val="00E870B9"/>
    <w:rsid w:val="00EB3859"/>
    <w:rsid w:val="00EB3B9E"/>
    <w:rsid w:val="00EB5171"/>
    <w:rsid w:val="00EC6F48"/>
    <w:rsid w:val="00EE06B5"/>
    <w:rsid w:val="00EE4CEC"/>
    <w:rsid w:val="00EF3295"/>
    <w:rsid w:val="00EF4141"/>
    <w:rsid w:val="00F031BD"/>
    <w:rsid w:val="00F05ADC"/>
    <w:rsid w:val="00F0664E"/>
    <w:rsid w:val="00F13904"/>
    <w:rsid w:val="00F17815"/>
    <w:rsid w:val="00F23481"/>
    <w:rsid w:val="00F252CF"/>
    <w:rsid w:val="00F25812"/>
    <w:rsid w:val="00F25DB1"/>
    <w:rsid w:val="00F3123D"/>
    <w:rsid w:val="00F353CC"/>
    <w:rsid w:val="00F51843"/>
    <w:rsid w:val="00F56845"/>
    <w:rsid w:val="00F673F1"/>
    <w:rsid w:val="00F700D7"/>
    <w:rsid w:val="00F7584C"/>
    <w:rsid w:val="00F80958"/>
    <w:rsid w:val="00F933C4"/>
    <w:rsid w:val="00FA28E6"/>
    <w:rsid w:val="00FB0C57"/>
    <w:rsid w:val="00FB1437"/>
    <w:rsid w:val="00FB3631"/>
    <w:rsid w:val="00FB6F13"/>
    <w:rsid w:val="00FD11C1"/>
    <w:rsid w:val="00FD4CC8"/>
    <w:rsid w:val="00FE2520"/>
    <w:rsid w:val="00FE39D7"/>
    <w:rsid w:val="00FF247B"/>
    <w:rsid w:val="00FF3F1D"/>
    <w:rsid w:val="00FF4B21"/>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uiPriority w:val="99"/>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CommentTextChar">
    <w:name w:val="Comment Text Char"/>
    <w:link w:val="CommentText"/>
    <w:uiPriority w:val="99"/>
    <w:semiHidden/>
    <w:rsid w:val="00AA5F47"/>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uiPriority w:val="99"/>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CommentTextChar">
    <w:name w:val="Comment Text Char"/>
    <w:link w:val="CommentText"/>
    <w:uiPriority w:val="99"/>
    <w:semiHidden/>
    <w:rsid w:val="00AA5F47"/>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270">
      <w:bodyDiv w:val="1"/>
      <w:marLeft w:val="0"/>
      <w:marRight w:val="0"/>
      <w:marTop w:val="0"/>
      <w:marBottom w:val="0"/>
      <w:divBdr>
        <w:top w:val="none" w:sz="0" w:space="0" w:color="auto"/>
        <w:left w:val="none" w:sz="0" w:space="0" w:color="auto"/>
        <w:bottom w:val="none" w:sz="0" w:space="0" w:color="auto"/>
        <w:right w:val="none" w:sz="0" w:space="0" w:color="auto"/>
      </w:divBdr>
    </w:div>
    <w:div w:id="11367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1379</Words>
  <Characters>7998</Characters>
  <Application>Microsoft Office Word</Application>
  <DocSecurity>0</DocSecurity>
  <Lines>143</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2012-10-09T18:02:00Z</cp:lastPrinted>
  <dcterms:created xsi:type="dcterms:W3CDTF">2014-11-07T16:21:00Z</dcterms:created>
  <dcterms:modified xsi:type="dcterms:W3CDTF">2014-11-07T16:21:00Z</dcterms:modified>
  <cp:category> </cp:category>
  <cp:contentStatus> </cp:contentStatus>
</cp:coreProperties>
</file>