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07" w:rsidRDefault="00AE4207">
      <w:pPr>
        <w:jc w:val="center"/>
        <w:rPr>
          <w:b/>
        </w:rPr>
      </w:pPr>
      <w:bookmarkStart w:id="0" w:name="_GoBack"/>
      <w:bookmarkEnd w:id="0"/>
      <w:r>
        <w:rPr>
          <w:b/>
        </w:rPr>
        <w:t>Before the</w:t>
      </w:r>
    </w:p>
    <w:p w:rsidR="00AE4207" w:rsidRDefault="00AE4207">
      <w:pPr>
        <w:jc w:val="center"/>
        <w:rPr>
          <w:b/>
        </w:rPr>
      </w:pPr>
      <w:r>
        <w:rPr>
          <w:b/>
        </w:rPr>
        <w:t>Federal Communications Commission</w:t>
      </w:r>
    </w:p>
    <w:p w:rsidR="00AE4207" w:rsidRDefault="00AE4207">
      <w:pPr>
        <w:jc w:val="center"/>
        <w:rPr>
          <w:b/>
        </w:rPr>
      </w:pPr>
      <w:r>
        <w:rPr>
          <w:b/>
        </w:rPr>
        <w:t>Washington, D.C.  20554</w:t>
      </w:r>
    </w:p>
    <w:p w:rsidR="00AE4207" w:rsidRDefault="00AE4207"/>
    <w:tbl>
      <w:tblPr>
        <w:tblW w:w="0" w:type="auto"/>
        <w:tblLayout w:type="fixed"/>
        <w:tblLook w:val="0000" w:firstRow="0" w:lastRow="0" w:firstColumn="0" w:lastColumn="0" w:noHBand="0" w:noVBand="0"/>
      </w:tblPr>
      <w:tblGrid>
        <w:gridCol w:w="4698"/>
        <w:gridCol w:w="720"/>
        <w:gridCol w:w="4230"/>
      </w:tblGrid>
      <w:tr w:rsidR="00AE4207">
        <w:tc>
          <w:tcPr>
            <w:tcW w:w="4698" w:type="dxa"/>
          </w:tcPr>
          <w:p w:rsidR="00AE4207" w:rsidRDefault="00AE4207">
            <w:pPr>
              <w:rPr>
                <w:szCs w:val="22"/>
              </w:rPr>
            </w:pPr>
            <w:r>
              <w:rPr>
                <w:szCs w:val="22"/>
              </w:rPr>
              <w:t>In the Matter of</w:t>
            </w:r>
          </w:p>
          <w:p w:rsidR="00AE4207" w:rsidRDefault="00AE4207">
            <w:pPr>
              <w:rPr>
                <w:szCs w:val="22"/>
              </w:rPr>
            </w:pPr>
          </w:p>
          <w:p w:rsidR="00AE4207" w:rsidRDefault="00AE4207">
            <w:pPr>
              <w:snapToGrid w:val="0"/>
            </w:pPr>
            <w:r>
              <w:t>Petition of CenturyLink for Forbearance</w:t>
            </w:r>
          </w:p>
          <w:p w:rsidR="00AE4207" w:rsidRDefault="00AE4207">
            <w:pPr>
              <w:snapToGrid w:val="0"/>
            </w:pPr>
            <w:r>
              <w:t xml:space="preserve">Pursuant to 47 U.S.C. § 160(c) from </w:t>
            </w:r>
          </w:p>
          <w:p w:rsidR="00AE4207" w:rsidRDefault="00AE4207">
            <w:pPr>
              <w:snapToGrid w:val="0"/>
            </w:pPr>
            <w:r>
              <w:t xml:space="preserve">Dominant Carrier and Certain Computer </w:t>
            </w:r>
          </w:p>
          <w:p w:rsidR="00AE4207" w:rsidRDefault="00AE4207">
            <w:pPr>
              <w:snapToGrid w:val="0"/>
            </w:pPr>
            <w:r>
              <w:t xml:space="preserve">Inquiry Requirements on Enterprise </w:t>
            </w:r>
          </w:p>
          <w:p w:rsidR="00AE4207" w:rsidRDefault="00AE4207">
            <w:r>
              <w:t>Broadband Services</w:t>
            </w:r>
          </w:p>
          <w:p w:rsidR="00AE4207" w:rsidRDefault="00AE4207">
            <w:pPr>
              <w:rPr>
                <w:szCs w:val="22"/>
              </w:rPr>
            </w:pPr>
          </w:p>
        </w:tc>
        <w:tc>
          <w:tcPr>
            <w:tcW w:w="720" w:type="dxa"/>
          </w:tcPr>
          <w:p w:rsidR="00AE4207" w:rsidRDefault="00AE4207">
            <w:pPr>
              <w:rPr>
                <w:b/>
              </w:rPr>
            </w:pPr>
            <w:r>
              <w:rPr>
                <w:b/>
              </w:rPr>
              <w:t>)</w:t>
            </w:r>
          </w:p>
          <w:p w:rsidR="00AE4207" w:rsidRDefault="00AE4207">
            <w:pPr>
              <w:rPr>
                <w:b/>
              </w:rPr>
            </w:pPr>
            <w:r>
              <w:rPr>
                <w:b/>
              </w:rPr>
              <w:t>)</w:t>
            </w:r>
          </w:p>
          <w:p w:rsidR="00AE4207" w:rsidRDefault="00AE4207">
            <w:pPr>
              <w:rPr>
                <w:b/>
              </w:rPr>
            </w:pPr>
            <w:r>
              <w:rPr>
                <w:b/>
              </w:rPr>
              <w:t>)</w:t>
            </w:r>
          </w:p>
          <w:p w:rsidR="00AE4207" w:rsidRDefault="00AE4207">
            <w:pPr>
              <w:rPr>
                <w:b/>
              </w:rPr>
            </w:pPr>
            <w:r>
              <w:rPr>
                <w:b/>
              </w:rPr>
              <w:t>)</w:t>
            </w:r>
          </w:p>
          <w:p w:rsidR="00AE4207" w:rsidRDefault="00AE4207">
            <w:pPr>
              <w:rPr>
                <w:b/>
              </w:rPr>
            </w:pPr>
            <w:r>
              <w:rPr>
                <w:b/>
              </w:rPr>
              <w:t>)</w:t>
            </w:r>
          </w:p>
          <w:p w:rsidR="00AE4207" w:rsidRDefault="00AE4207">
            <w:pPr>
              <w:rPr>
                <w:b/>
              </w:rPr>
            </w:pPr>
            <w:r>
              <w:rPr>
                <w:b/>
              </w:rPr>
              <w:t>)</w:t>
            </w:r>
          </w:p>
          <w:p w:rsidR="00AE4207" w:rsidRDefault="00AE4207">
            <w:pPr>
              <w:rPr>
                <w:b/>
              </w:rPr>
            </w:pPr>
            <w:r>
              <w:rPr>
                <w:b/>
              </w:rPr>
              <w:t>)</w:t>
            </w:r>
          </w:p>
          <w:p w:rsidR="00565B83" w:rsidRDefault="00565B83">
            <w:pPr>
              <w:rPr>
                <w:b/>
              </w:rPr>
            </w:pPr>
          </w:p>
          <w:p w:rsidR="00565B83" w:rsidRDefault="00565B83">
            <w:pPr>
              <w:rPr>
                <w:b/>
              </w:rPr>
            </w:pPr>
          </w:p>
        </w:tc>
        <w:tc>
          <w:tcPr>
            <w:tcW w:w="4230" w:type="dxa"/>
          </w:tcPr>
          <w:p w:rsidR="00AE4207" w:rsidRDefault="00AE4207"/>
          <w:p w:rsidR="00AE4207" w:rsidRDefault="00AE4207"/>
          <w:p w:rsidR="00AE4207" w:rsidRDefault="00AE4207">
            <w:r>
              <w:t xml:space="preserve">WC Docket No. </w:t>
            </w:r>
            <w:r w:rsidR="00F95114">
              <w:t>14-9</w:t>
            </w:r>
          </w:p>
          <w:p w:rsidR="00AE4207" w:rsidRDefault="00AE4207"/>
        </w:tc>
      </w:tr>
    </w:tbl>
    <w:p w:rsidR="00AE4207" w:rsidRDefault="00AE4207">
      <w:pPr>
        <w:jc w:val="center"/>
        <w:rPr>
          <w:b/>
          <w:bCs/>
        </w:rPr>
      </w:pPr>
      <w:r>
        <w:rPr>
          <w:b/>
          <w:bCs/>
        </w:rPr>
        <w:t>ORDER</w:t>
      </w:r>
    </w:p>
    <w:p w:rsidR="00AE4207" w:rsidRDefault="00AE4207"/>
    <w:p w:rsidR="00AE4207" w:rsidRDefault="00AE4207">
      <w:pPr>
        <w:tabs>
          <w:tab w:val="right" w:pos="9360"/>
        </w:tabs>
        <w:rPr>
          <w:b/>
        </w:rPr>
      </w:pPr>
      <w:r>
        <w:rPr>
          <w:b/>
        </w:rPr>
        <w:t xml:space="preserve">Adopted:  </w:t>
      </w:r>
      <w:r w:rsidR="00565B83">
        <w:rPr>
          <w:b/>
        </w:rPr>
        <w:t>November 7, 2014</w:t>
      </w:r>
      <w:r>
        <w:rPr>
          <w:b/>
        </w:rPr>
        <w:tab/>
        <w:t xml:space="preserve">Released:  </w:t>
      </w:r>
      <w:r w:rsidR="00565B83">
        <w:rPr>
          <w:b/>
        </w:rPr>
        <w:t>November 7, 2014</w:t>
      </w:r>
    </w:p>
    <w:p w:rsidR="00AE4207" w:rsidRDefault="00AE4207"/>
    <w:p w:rsidR="00AE4207" w:rsidRDefault="00AE4207">
      <w:pPr>
        <w:tabs>
          <w:tab w:val="left" w:pos="5760"/>
        </w:tabs>
      </w:pPr>
      <w:r>
        <w:t xml:space="preserve">By the </w:t>
      </w:r>
      <w:r w:rsidR="00565B83">
        <w:t xml:space="preserve">Deputy </w:t>
      </w:r>
      <w:r>
        <w:t>Chief, Wireline Competition Bureau:</w:t>
      </w:r>
    </w:p>
    <w:p w:rsidR="00AE4207" w:rsidRDefault="00AE4207"/>
    <w:p w:rsidR="00AE4207" w:rsidRDefault="00AE4207">
      <w:pPr>
        <w:pStyle w:val="ParaNum"/>
        <w:widowControl/>
      </w:pPr>
      <w:r>
        <w:t xml:space="preserve">In this </w:t>
      </w:r>
      <w:r w:rsidR="00FC057D">
        <w:t>O</w:t>
      </w:r>
      <w:r>
        <w:t xml:space="preserve">rder, pursuant to section 10(c) of the Communications Act of 1934, as amended (the Act), we extend by 90 days the date by which </w:t>
      </w:r>
      <w:r w:rsidR="00A767A9">
        <w:t xml:space="preserve">CenturyLink’s </w:t>
      </w:r>
      <w:r>
        <w:t>petition requesting forbearance shall be deemed granted in the absence of a Commission decision that the petition fails to meet the standards for forbearance under section 10(a) of the Act.</w:t>
      </w:r>
      <w:r>
        <w:rPr>
          <w:rStyle w:val="FootnoteReference"/>
        </w:rPr>
        <w:footnoteReference w:id="1"/>
      </w:r>
    </w:p>
    <w:p w:rsidR="00AE4207" w:rsidRDefault="00AE4207">
      <w:pPr>
        <w:pStyle w:val="ParaNum"/>
        <w:widowControl/>
        <w:rPr>
          <w:szCs w:val="22"/>
        </w:rPr>
      </w:pPr>
      <w:r>
        <w:t xml:space="preserve">On </w:t>
      </w:r>
      <w:r w:rsidR="009539FC">
        <w:t>December 13, 2013</w:t>
      </w:r>
      <w:r>
        <w:t xml:space="preserve">, CenturyLink filed a petition requesting that the Commission forbear from “dominant carrier regulation and the </w:t>
      </w:r>
      <w:r>
        <w:rPr>
          <w:i/>
        </w:rPr>
        <w:t>Computer Inquiry</w:t>
      </w:r>
      <w:r>
        <w:t xml:space="preserve"> tariffing requirement with respect to </w:t>
      </w:r>
      <w:r w:rsidR="009539FC">
        <w:t>all of its packet-switched and optical transmission services</w:t>
      </w:r>
      <w:r>
        <w:t xml:space="preserve">” </w:t>
      </w:r>
      <w:r w:rsidR="009539FC">
        <w:t>that are</w:t>
      </w:r>
      <w:r>
        <w:t xml:space="preserve"> subject to th</w:t>
      </w:r>
      <w:r w:rsidR="00FC057D">
        <w:t>os</w:t>
      </w:r>
      <w:r>
        <w:t>e r</w:t>
      </w:r>
      <w:r w:rsidR="00FC057D">
        <w:t>ule</w:t>
      </w:r>
      <w:r>
        <w:t>s.</w:t>
      </w:r>
      <w:r>
        <w:rPr>
          <w:rStyle w:val="FootnoteReference"/>
        </w:rPr>
        <w:footnoteReference w:id="2"/>
      </w:r>
      <w:r>
        <w:rPr>
          <w:szCs w:val="22"/>
        </w:rPr>
        <w:t xml:space="preserve">  </w:t>
      </w:r>
      <w:r w:rsidR="002109B2">
        <w:rPr>
          <w:szCs w:val="22"/>
        </w:rPr>
        <w:t xml:space="preserve">The </w:t>
      </w:r>
      <w:r w:rsidR="00FC057D">
        <w:rPr>
          <w:szCs w:val="22"/>
        </w:rPr>
        <w:t>Bureau</w:t>
      </w:r>
      <w:r w:rsidR="002109B2">
        <w:rPr>
          <w:szCs w:val="22"/>
        </w:rPr>
        <w:t xml:space="preserve"> sought comment on CenturyLink’</w:t>
      </w:r>
      <w:r w:rsidR="004B68F3">
        <w:rPr>
          <w:szCs w:val="22"/>
        </w:rPr>
        <w:t>s petition on January 14, 2014</w:t>
      </w:r>
      <w:r w:rsidR="002109B2">
        <w:rPr>
          <w:szCs w:val="22"/>
        </w:rPr>
        <w:t>.</w:t>
      </w:r>
      <w:r w:rsidR="004B68F3">
        <w:rPr>
          <w:rStyle w:val="FootnoteReference"/>
          <w:szCs w:val="22"/>
        </w:rPr>
        <w:footnoteReference w:id="3"/>
      </w:r>
      <w:r w:rsidR="002109B2">
        <w:rPr>
          <w:szCs w:val="22"/>
        </w:rPr>
        <w:t xml:space="preserve">  </w:t>
      </w:r>
      <w:r>
        <w:rPr>
          <w:szCs w:val="22"/>
        </w:rPr>
        <w:t>Section 10(c) of the Act states that a petition for forbearance shall be deemed granted if the Commission does not deny the petition for failure to meet the requirements for forbearance under subsection 10(a) within one year after the Commission receives it, unless the one-year period is extended by the Commission.</w:t>
      </w:r>
      <w:r>
        <w:rPr>
          <w:rStyle w:val="FootnoteReference"/>
          <w:szCs w:val="22"/>
        </w:rPr>
        <w:footnoteReference w:id="4"/>
      </w:r>
      <w:r>
        <w:rPr>
          <w:szCs w:val="22"/>
        </w:rPr>
        <w:t xml:space="preserve">  The Commission may extend the </w:t>
      </w:r>
      <w:r>
        <w:rPr>
          <w:szCs w:val="22"/>
        </w:rPr>
        <w:lastRenderedPageBreak/>
        <w:t>initial one-year period by an additional 90 days if the Commission finds that an extension is necessary to meet the requirements of subsection 10(a).</w:t>
      </w:r>
      <w:r>
        <w:rPr>
          <w:rStyle w:val="FootnoteReference"/>
          <w:szCs w:val="22"/>
        </w:rPr>
        <w:footnoteReference w:id="5"/>
      </w:r>
    </w:p>
    <w:p w:rsidR="00AE4207" w:rsidRDefault="00AE4207">
      <w:pPr>
        <w:pStyle w:val="ParaNum"/>
        <w:widowControl/>
        <w:rPr>
          <w:szCs w:val="22"/>
        </w:rPr>
      </w:pPr>
      <w:r>
        <w:rPr>
          <w:szCs w:val="22"/>
        </w:rPr>
        <w:t>The CenturyLink Petition raises significant questions regarding whether forbearance from application of certain statutory and regulatory requirements for CenturyLink’s provision of telecommunications services meets the statutory requirements set forth in section 10(a)</w:t>
      </w:r>
      <w:r w:rsidR="00D4412E">
        <w:rPr>
          <w:szCs w:val="22"/>
        </w:rPr>
        <w:t xml:space="preserve"> of the Act</w:t>
      </w:r>
      <w:r>
        <w:rPr>
          <w:szCs w:val="22"/>
        </w:rPr>
        <w:t xml:space="preserve">.  Further, on </w:t>
      </w:r>
      <w:r w:rsidR="00DD1C56">
        <w:rPr>
          <w:szCs w:val="22"/>
        </w:rPr>
        <w:t>October 3 and October 14, 2014</w:t>
      </w:r>
      <w:r>
        <w:rPr>
          <w:szCs w:val="22"/>
        </w:rPr>
        <w:t xml:space="preserve">, CenturyLink filed </w:t>
      </w:r>
      <w:r>
        <w:rPr>
          <w:i/>
          <w:szCs w:val="22"/>
        </w:rPr>
        <w:t xml:space="preserve">ex parte </w:t>
      </w:r>
      <w:r>
        <w:rPr>
          <w:szCs w:val="22"/>
        </w:rPr>
        <w:t>letter</w:t>
      </w:r>
      <w:r w:rsidR="00167730">
        <w:rPr>
          <w:szCs w:val="22"/>
        </w:rPr>
        <w:t>s</w:t>
      </w:r>
      <w:r>
        <w:rPr>
          <w:szCs w:val="22"/>
        </w:rPr>
        <w:t xml:space="preserve"> with the Commission providing new data </w:t>
      </w:r>
      <w:r w:rsidR="00547ACE">
        <w:rPr>
          <w:szCs w:val="22"/>
        </w:rPr>
        <w:t>in response to an Information, Data, and Document Request issued by the Bureau</w:t>
      </w:r>
      <w:r>
        <w:rPr>
          <w:szCs w:val="22"/>
        </w:rPr>
        <w:t>.</w:t>
      </w:r>
      <w:r>
        <w:rPr>
          <w:rStyle w:val="FootnoteReference"/>
          <w:szCs w:val="22"/>
        </w:rPr>
        <w:footnoteReference w:id="6"/>
      </w:r>
      <w:r>
        <w:rPr>
          <w:szCs w:val="22"/>
        </w:rPr>
        <w:t xml:space="preserve">  We conclude that additional time is required to fully examine whether the forbearance requested by CenturyLink meets the statutory requirements set forth in section 10(a) of the Act.  A 90-day extension is therefore necessary under section 10(c) of the Act.</w:t>
      </w:r>
      <w:r>
        <w:rPr>
          <w:rStyle w:val="FootnoteReference"/>
          <w:szCs w:val="22"/>
        </w:rPr>
        <w:footnoteReference w:id="7"/>
      </w:r>
    </w:p>
    <w:p w:rsidR="00AE4207" w:rsidRDefault="00AE4207">
      <w:pPr>
        <w:pStyle w:val="ParaNum"/>
        <w:widowControl/>
        <w:rPr>
          <w:szCs w:val="22"/>
        </w:rPr>
      </w:pPr>
      <w:r>
        <w:t xml:space="preserve">ACCORDINGLY, IT IS ORDERED, pursuant to section 10 of the Communications Act of 1934, as amended, 47 U.S.C. § 160, and sections 0.91 and 0.291 of the Commission’s rules, 47 C.F.R. §§ 0.91 and 0.291, that </w:t>
      </w:r>
      <w:r>
        <w:rPr>
          <w:szCs w:val="22"/>
        </w:rPr>
        <w:t xml:space="preserve">the date on which the petition seeking forbearance filed by CenturyLink shall be deemed granted, in the absence of a Commission denial of the petition for failure to meet the statutory standards for forbearance, IS EXTENDED to </w:t>
      </w:r>
      <w:r w:rsidR="00F444A7">
        <w:rPr>
          <w:szCs w:val="22"/>
        </w:rPr>
        <w:t>March 13</w:t>
      </w:r>
      <w:r w:rsidR="007F5564">
        <w:rPr>
          <w:szCs w:val="22"/>
        </w:rPr>
        <w:t>, 2015</w:t>
      </w:r>
      <w:r>
        <w:rPr>
          <w:szCs w:val="22"/>
        </w:rPr>
        <w:t>.</w:t>
      </w:r>
    </w:p>
    <w:p w:rsidR="00AE4207" w:rsidRDefault="00AE4207">
      <w:pPr>
        <w:pStyle w:val="ParaNum"/>
        <w:keepNext/>
        <w:widowControl/>
      </w:pPr>
      <w:r>
        <w:t xml:space="preserve">IT IS FURTHER ORDERED that, pursuant to section 1.102(b)(1) of the Commission’s rules, 47 C.F.R. § 1.102(b)(1), this </w:t>
      </w:r>
      <w:r w:rsidR="00D4412E">
        <w:t>O</w:t>
      </w:r>
      <w:r>
        <w:t xml:space="preserve">rder SHALL BE </w:t>
      </w:r>
      <w:r w:rsidR="00D4412E">
        <w:t>EFFECTIVE</w:t>
      </w:r>
      <w:r>
        <w:t xml:space="preserve"> upon release.</w:t>
      </w:r>
    </w:p>
    <w:p w:rsidR="00AE4207" w:rsidRDefault="00AE4207">
      <w:pPr>
        <w:keepNext/>
      </w:pPr>
    </w:p>
    <w:p w:rsidR="00AE4207" w:rsidRDefault="00AE4207">
      <w:pPr>
        <w:keepNext/>
        <w:ind w:left="4320"/>
      </w:pPr>
      <w:r>
        <w:t>FEDERAL COMMUNICATIONS COMMISSION</w:t>
      </w:r>
    </w:p>
    <w:p w:rsidR="00AE4207" w:rsidRDefault="00AE4207">
      <w:pPr>
        <w:keepNext/>
        <w:ind w:left="4320"/>
      </w:pPr>
    </w:p>
    <w:p w:rsidR="00AE4207" w:rsidRDefault="00AE4207">
      <w:pPr>
        <w:keepNext/>
        <w:ind w:left="4320"/>
      </w:pPr>
    </w:p>
    <w:p w:rsidR="00AE4207" w:rsidRDefault="00AE4207">
      <w:pPr>
        <w:keepNext/>
        <w:ind w:left="4320"/>
      </w:pPr>
    </w:p>
    <w:p w:rsidR="00D4412E" w:rsidRDefault="00D4412E">
      <w:pPr>
        <w:keepNext/>
        <w:ind w:left="4320"/>
      </w:pPr>
    </w:p>
    <w:p w:rsidR="00AE4207" w:rsidRDefault="008D560D">
      <w:pPr>
        <w:keepNext/>
        <w:ind w:left="4320"/>
      </w:pPr>
      <w:r>
        <w:t>Lisa S. Gelb</w:t>
      </w:r>
    </w:p>
    <w:p w:rsidR="00AE4207" w:rsidRDefault="008D560D">
      <w:pPr>
        <w:keepNext/>
        <w:ind w:left="4320"/>
      </w:pPr>
      <w:r>
        <w:t xml:space="preserve">Deputy </w:t>
      </w:r>
      <w:r w:rsidR="00AE4207">
        <w:t>Chief</w:t>
      </w:r>
    </w:p>
    <w:p w:rsidR="00AE4207" w:rsidRDefault="00AE4207">
      <w:pPr>
        <w:ind w:left="4320"/>
      </w:pPr>
      <w:r>
        <w:t>Wireline Competition Bureau</w:t>
      </w:r>
    </w:p>
    <w:sectPr w:rsidR="00AE42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44" w:rsidRDefault="00D62B44">
      <w:r>
        <w:separator/>
      </w:r>
    </w:p>
  </w:endnote>
  <w:endnote w:type="continuationSeparator" w:id="0">
    <w:p w:rsidR="00D62B44" w:rsidRDefault="00D6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07" w:rsidRDefault="00AE4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207" w:rsidRDefault="00AE4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07" w:rsidRDefault="00AE4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18C">
      <w:rPr>
        <w:rStyle w:val="PageNumber"/>
        <w:noProof/>
      </w:rPr>
      <w:t>2</w:t>
    </w:r>
    <w:r>
      <w:rPr>
        <w:rStyle w:val="PageNumber"/>
      </w:rPr>
      <w:fldChar w:fldCharType="end"/>
    </w:r>
  </w:p>
  <w:p w:rsidR="00AE4207" w:rsidRDefault="00AE4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3" w:rsidRDefault="00F26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44" w:rsidRDefault="00D62B44">
      <w:r>
        <w:separator/>
      </w:r>
    </w:p>
  </w:footnote>
  <w:footnote w:type="continuationSeparator" w:id="0">
    <w:p w:rsidR="00D62B44" w:rsidRDefault="00D62B44">
      <w:r>
        <w:continuationSeparator/>
      </w:r>
    </w:p>
  </w:footnote>
  <w:footnote w:id="1">
    <w:p w:rsidR="00AE4207" w:rsidRPr="00D7195A" w:rsidRDefault="00AE4207" w:rsidP="00D7195A">
      <w:pPr>
        <w:widowControl/>
        <w:autoSpaceDE w:val="0"/>
        <w:autoSpaceDN w:val="0"/>
        <w:adjustRightInd w:val="0"/>
        <w:spacing w:after="120"/>
        <w:rPr>
          <w:snapToGrid/>
          <w:kern w:val="0"/>
          <w:sz w:val="20"/>
        </w:rPr>
      </w:pPr>
      <w:r>
        <w:rPr>
          <w:rStyle w:val="FootnoteReference"/>
        </w:rPr>
        <w:footnoteRef/>
      </w:r>
      <w:r>
        <w:t xml:space="preserve"> </w:t>
      </w:r>
      <w:r w:rsidR="0083798B" w:rsidRPr="0083798B">
        <w:rPr>
          <w:sz w:val="20"/>
        </w:rPr>
        <w:t>47 U.S.C. § 160(a), (c).</w:t>
      </w:r>
    </w:p>
  </w:footnote>
  <w:footnote w:id="2">
    <w:p w:rsidR="002109B2" w:rsidRDefault="00AE4207" w:rsidP="002109B2">
      <w:pPr>
        <w:widowControl/>
        <w:autoSpaceDE w:val="0"/>
        <w:autoSpaceDN w:val="0"/>
        <w:adjustRightInd w:val="0"/>
        <w:rPr>
          <w:snapToGrid/>
          <w:kern w:val="0"/>
          <w:sz w:val="20"/>
        </w:rPr>
      </w:pPr>
      <w:r>
        <w:rPr>
          <w:rStyle w:val="FootnoteReference"/>
        </w:rPr>
        <w:footnoteRef/>
      </w:r>
      <w:r>
        <w:t xml:space="preserve"> </w:t>
      </w:r>
      <w:r w:rsidR="00CD6164" w:rsidRPr="0083798B">
        <w:rPr>
          <w:sz w:val="20"/>
        </w:rPr>
        <w:t>CenturyLink</w:t>
      </w:r>
      <w:r w:rsidR="00FC057D">
        <w:rPr>
          <w:sz w:val="20"/>
        </w:rPr>
        <w:t>’s Petition</w:t>
      </w:r>
      <w:r w:rsidR="00CD6164" w:rsidRPr="0083798B">
        <w:rPr>
          <w:sz w:val="20"/>
        </w:rPr>
        <w:t xml:space="preserve"> for Forbearance Pursuant to 47 U.S.C. § 160</w:t>
      </w:r>
      <w:r w:rsidR="00FC057D">
        <w:rPr>
          <w:sz w:val="20"/>
        </w:rPr>
        <w:t>(c)</w:t>
      </w:r>
      <w:r w:rsidR="00CD6164" w:rsidRPr="0083798B">
        <w:rPr>
          <w:sz w:val="20"/>
        </w:rPr>
        <w:t xml:space="preserve"> from Dominant Carrier Regulation and </w:t>
      </w:r>
      <w:r w:rsidR="00CD6164" w:rsidRPr="0083798B">
        <w:rPr>
          <w:i/>
          <w:sz w:val="20"/>
        </w:rPr>
        <w:t>Computer Inquiry</w:t>
      </w:r>
      <w:r w:rsidR="00CD6164" w:rsidRPr="0083798B">
        <w:rPr>
          <w:sz w:val="20"/>
        </w:rPr>
        <w:t xml:space="preserve"> Tariffing Requirements on Enterprise Broadband Services, WC Docket No. 14-9</w:t>
      </w:r>
      <w:r w:rsidR="00CD6164" w:rsidRPr="00F00D92">
        <w:rPr>
          <w:sz w:val="20"/>
        </w:rPr>
        <w:t>, at v</w:t>
      </w:r>
      <w:r w:rsidR="00CD6164" w:rsidRPr="0083798B">
        <w:rPr>
          <w:sz w:val="20"/>
        </w:rPr>
        <w:t xml:space="preserve"> (filed Dec. 13</w:t>
      </w:r>
      <w:r w:rsidR="00862189">
        <w:rPr>
          <w:sz w:val="20"/>
        </w:rPr>
        <w:t xml:space="preserve">, 2013) (CenturyLink </w:t>
      </w:r>
      <w:r w:rsidR="0083798B">
        <w:rPr>
          <w:sz w:val="20"/>
        </w:rPr>
        <w:t>Petition</w:t>
      </w:r>
      <w:r w:rsidR="00CD6164" w:rsidRPr="0083798B">
        <w:rPr>
          <w:sz w:val="20"/>
        </w:rPr>
        <w:t xml:space="preserve">).  </w:t>
      </w:r>
      <w:r w:rsidR="00CD6164" w:rsidRPr="0083798B">
        <w:rPr>
          <w:snapToGrid/>
          <w:kern w:val="0"/>
          <w:sz w:val="20"/>
        </w:rPr>
        <w:t xml:space="preserve">CenturyLink also submitted an alternative petition for interim waiver in this docket. </w:t>
      </w:r>
      <w:r w:rsidR="002109B2">
        <w:rPr>
          <w:snapToGrid/>
          <w:kern w:val="0"/>
          <w:sz w:val="20"/>
        </w:rPr>
        <w:t xml:space="preserve"> </w:t>
      </w:r>
      <w:r w:rsidR="00CD6164" w:rsidRPr="0083798B">
        <w:rPr>
          <w:snapToGrid/>
          <w:kern w:val="0"/>
          <w:sz w:val="20"/>
        </w:rPr>
        <w:t xml:space="preserve">CenturyLink's Alternative Petition for Interim Waiver of Dominant Carrier Regulation and </w:t>
      </w:r>
      <w:r w:rsidR="00CD6164" w:rsidRPr="0083798B">
        <w:rPr>
          <w:i/>
          <w:iCs/>
          <w:snapToGrid/>
          <w:kern w:val="0"/>
          <w:sz w:val="20"/>
        </w:rPr>
        <w:t xml:space="preserve">Computer Inquiry </w:t>
      </w:r>
      <w:r w:rsidR="00CD6164" w:rsidRPr="0083798B">
        <w:rPr>
          <w:snapToGrid/>
          <w:kern w:val="0"/>
          <w:sz w:val="20"/>
        </w:rPr>
        <w:t>Tariffing Requirements Imposed on Enterprise Broadband Services, WC Docket No. 14-9 (filed Dec. 13, 2013).</w:t>
      </w:r>
      <w:r w:rsidR="002109B2">
        <w:rPr>
          <w:snapToGrid/>
          <w:kern w:val="0"/>
          <w:sz w:val="20"/>
        </w:rPr>
        <w:t xml:space="preserve"> </w:t>
      </w:r>
      <w:r w:rsidR="0083798B" w:rsidRPr="0083798B">
        <w:rPr>
          <w:sz w:val="20"/>
        </w:rPr>
        <w:t xml:space="preserve"> </w:t>
      </w:r>
      <w:r w:rsidR="002109B2">
        <w:rPr>
          <w:snapToGrid/>
          <w:kern w:val="0"/>
          <w:sz w:val="20"/>
        </w:rPr>
        <w:t>In 2012, CenturyLink submitted a similar forbearance petition to the Commission.</w:t>
      </w:r>
      <w:r w:rsidR="00B407DB">
        <w:rPr>
          <w:snapToGrid/>
          <w:kern w:val="0"/>
          <w:sz w:val="20"/>
        </w:rPr>
        <w:t xml:space="preserve"> </w:t>
      </w:r>
      <w:r w:rsidR="002109B2">
        <w:rPr>
          <w:snapToGrid/>
          <w:kern w:val="0"/>
          <w:sz w:val="20"/>
        </w:rPr>
        <w:t xml:space="preserve"> Petition of</w:t>
      </w:r>
    </w:p>
    <w:p w:rsidR="002109B2" w:rsidRDefault="002109B2" w:rsidP="002109B2">
      <w:pPr>
        <w:widowControl/>
        <w:autoSpaceDE w:val="0"/>
        <w:autoSpaceDN w:val="0"/>
        <w:adjustRightInd w:val="0"/>
        <w:rPr>
          <w:i/>
          <w:iCs/>
          <w:snapToGrid/>
          <w:kern w:val="0"/>
          <w:sz w:val="20"/>
        </w:rPr>
      </w:pPr>
      <w:r>
        <w:rPr>
          <w:snapToGrid/>
          <w:kern w:val="0"/>
          <w:sz w:val="20"/>
        </w:rPr>
        <w:t xml:space="preserve">CenturyLink for Forbearance Pursuant to 47 U.S.C. § 160(c) from Dominant Carrier and Certain </w:t>
      </w:r>
      <w:r>
        <w:rPr>
          <w:i/>
          <w:iCs/>
          <w:snapToGrid/>
          <w:kern w:val="0"/>
          <w:sz w:val="20"/>
        </w:rPr>
        <w:t>Computer Inquiry</w:t>
      </w:r>
    </w:p>
    <w:p w:rsidR="00AE4207" w:rsidRPr="0083798B" w:rsidRDefault="002109B2" w:rsidP="00FC057D">
      <w:pPr>
        <w:widowControl/>
        <w:autoSpaceDE w:val="0"/>
        <w:autoSpaceDN w:val="0"/>
        <w:adjustRightInd w:val="0"/>
        <w:spacing w:after="120"/>
        <w:rPr>
          <w:snapToGrid/>
          <w:kern w:val="0"/>
          <w:sz w:val="20"/>
        </w:rPr>
      </w:pPr>
      <w:r>
        <w:rPr>
          <w:snapToGrid/>
          <w:kern w:val="0"/>
          <w:sz w:val="20"/>
        </w:rPr>
        <w:t xml:space="preserve">Requirements on Enterprise Broadband Services, WC Docket No. 12-60 (filed Feb. 23, 2012).  </w:t>
      </w:r>
      <w:r w:rsidR="00AD2D6E">
        <w:rPr>
          <w:snapToGrid/>
          <w:kern w:val="0"/>
          <w:sz w:val="20"/>
        </w:rPr>
        <w:t>The Wireline Competition Bureau (Bureau)</w:t>
      </w:r>
      <w:r w:rsidR="0083798B" w:rsidRPr="0083798B">
        <w:rPr>
          <w:snapToGrid/>
          <w:kern w:val="0"/>
          <w:sz w:val="20"/>
        </w:rPr>
        <w:t xml:space="preserve"> subsequently granted CenturyLink's</w:t>
      </w:r>
      <w:r w:rsidR="0083798B">
        <w:rPr>
          <w:snapToGrid/>
          <w:kern w:val="0"/>
          <w:sz w:val="20"/>
        </w:rPr>
        <w:t xml:space="preserve"> </w:t>
      </w:r>
      <w:r w:rsidR="0083798B" w:rsidRPr="0083798B">
        <w:rPr>
          <w:snapToGrid/>
          <w:kern w:val="0"/>
          <w:sz w:val="20"/>
        </w:rPr>
        <w:t xml:space="preserve">request to withdraw its petition.  </w:t>
      </w:r>
      <w:r w:rsidR="0083798B" w:rsidRPr="0083798B">
        <w:rPr>
          <w:i/>
          <w:iCs/>
          <w:snapToGrid/>
          <w:kern w:val="0"/>
          <w:sz w:val="20"/>
        </w:rPr>
        <w:t>Petition of CenturyLink for Forbearance</w:t>
      </w:r>
      <w:r w:rsidR="0083798B">
        <w:rPr>
          <w:i/>
          <w:iCs/>
          <w:snapToGrid/>
          <w:kern w:val="0"/>
          <w:sz w:val="20"/>
        </w:rPr>
        <w:t xml:space="preserve"> </w:t>
      </w:r>
      <w:r w:rsidR="0083798B" w:rsidRPr="0083798B">
        <w:rPr>
          <w:i/>
          <w:iCs/>
          <w:snapToGrid/>
          <w:kern w:val="0"/>
          <w:sz w:val="20"/>
        </w:rPr>
        <w:t xml:space="preserve">Pursuant to 47 U.S.C. </w:t>
      </w:r>
      <w:r w:rsidR="0083798B" w:rsidRPr="0083798B">
        <w:rPr>
          <w:snapToGrid/>
          <w:kern w:val="0"/>
          <w:sz w:val="20"/>
        </w:rPr>
        <w:t xml:space="preserve">§ </w:t>
      </w:r>
      <w:r w:rsidR="0083798B" w:rsidRPr="0083798B">
        <w:rPr>
          <w:i/>
          <w:iCs/>
          <w:snapToGrid/>
          <w:kern w:val="0"/>
          <w:sz w:val="20"/>
        </w:rPr>
        <w:t>160(c) from Dominant Carrier and Certain Computer Inquiry Requirements on Enterprise</w:t>
      </w:r>
      <w:r w:rsidR="0083798B">
        <w:rPr>
          <w:i/>
          <w:iCs/>
          <w:snapToGrid/>
          <w:kern w:val="0"/>
          <w:sz w:val="20"/>
        </w:rPr>
        <w:t xml:space="preserve"> </w:t>
      </w:r>
      <w:r w:rsidR="0083798B" w:rsidRPr="00B407DB">
        <w:rPr>
          <w:i/>
          <w:snapToGrid/>
          <w:kern w:val="0"/>
          <w:sz w:val="20"/>
        </w:rPr>
        <w:t>Broadband Services</w:t>
      </w:r>
      <w:r w:rsidR="0083798B" w:rsidRPr="0083798B">
        <w:rPr>
          <w:snapToGrid/>
          <w:kern w:val="0"/>
          <w:sz w:val="20"/>
        </w:rPr>
        <w:t>, WC Docket No. 12-60, Order, 28 FCC Rcd 3075 (Wireline Comp. Bur. 2013).</w:t>
      </w:r>
    </w:p>
  </w:footnote>
  <w:footnote w:id="3">
    <w:p w:rsidR="004B68F3" w:rsidRPr="004B68F3" w:rsidRDefault="004B68F3">
      <w:pPr>
        <w:pStyle w:val="FootnoteText"/>
      </w:pPr>
      <w:r>
        <w:rPr>
          <w:rStyle w:val="FootnoteReference"/>
        </w:rPr>
        <w:footnoteRef/>
      </w:r>
      <w:r>
        <w:t xml:space="preserve"> </w:t>
      </w:r>
      <w:r w:rsidRPr="00B0383B">
        <w:rPr>
          <w:i/>
        </w:rPr>
        <w:t>Pleading Cycle Established for Comments on CenturyLink Petitions for Forbearance from or Interim Waiver of Dominant Carrier and Computer Inquiry Tariffing Requirements on Enterprise Broadband Services</w:t>
      </w:r>
      <w:r>
        <w:t xml:space="preserve">, </w:t>
      </w:r>
      <w:r w:rsidR="00D0029C">
        <w:t>WC Docket No. 14-9, Public Notice, 29 FCC Rcd 254 (Wireline Comp. Bur. 2014).</w:t>
      </w:r>
    </w:p>
  </w:footnote>
  <w:footnote w:id="4">
    <w:p w:rsidR="00AE4207" w:rsidRDefault="00AE4207">
      <w:pPr>
        <w:pStyle w:val="FootnoteText"/>
      </w:pPr>
      <w:r>
        <w:rPr>
          <w:rStyle w:val="FootnoteReference"/>
        </w:rPr>
        <w:footnoteRef/>
      </w:r>
      <w:r>
        <w:t xml:space="preserve"> 47 U.S.C. § 160(c).</w:t>
      </w:r>
    </w:p>
  </w:footnote>
  <w:footnote w:id="5">
    <w:p w:rsidR="00AE4207" w:rsidRDefault="00AE4207">
      <w:pPr>
        <w:pStyle w:val="FootnoteText"/>
      </w:pPr>
      <w:r>
        <w:rPr>
          <w:rStyle w:val="FootnoteReference"/>
        </w:rPr>
        <w:footnoteRef/>
      </w:r>
      <w:r>
        <w:t xml:space="preserve"> </w:t>
      </w:r>
      <w:r>
        <w:rPr>
          <w:i/>
        </w:rPr>
        <w:t>Id.</w:t>
      </w:r>
      <w:r>
        <w:t xml:space="preserve">; </w:t>
      </w:r>
      <w:r>
        <w:rPr>
          <w:i/>
        </w:rPr>
        <w:t>see, e.g</w:t>
      </w:r>
      <w:r>
        <w:t xml:space="preserve">., </w:t>
      </w:r>
      <w:r>
        <w:rPr>
          <w:i/>
        </w:rPr>
        <w:t>Petition of Ameritech Corporation for Forbearance from Enforcement of Section 275(a) of the Communications Act of 1934, As Amended</w:t>
      </w:r>
      <w:r>
        <w:t>, CC Docket No. 98-65, Order, 14 FCC Rcd 6415 (Com. Car. Bur. 1999).</w:t>
      </w:r>
    </w:p>
  </w:footnote>
  <w:footnote w:id="6">
    <w:p w:rsidR="00AE4207" w:rsidRDefault="00AE4207">
      <w:pPr>
        <w:pStyle w:val="FootnoteText"/>
      </w:pPr>
      <w:r>
        <w:rPr>
          <w:rStyle w:val="FootnoteReference"/>
        </w:rPr>
        <w:footnoteRef/>
      </w:r>
      <w:r>
        <w:t xml:space="preserve"> </w:t>
      </w:r>
      <w:r>
        <w:rPr>
          <w:i/>
        </w:rPr>
        <w:t xml:space="preserve">See </w:t>
      </w:r>
      <w:r w:rsidR="003E46E3">
        <w:rPr>
          <w:rStyle w:val="documentbody"/>
        </w:rPr>
        <w:t>Letter from Julie A. Veach, Chief, Wireline Competition Bureau, F</w:t>
      </w:r>
      <w:r w:rsidR="00D4412E">
        <w:rPr>
          <w:rStyle w:val="documentbody"/>
        </w:rPr>
        <w:t>CC</w:t>
      </w:r>
      <w:r w:rsidR="003E46E3">
        <w:rPr>
          <w:rStyle w:val="documentbody"/>
        </w:rPr>
        <w:t xml:space="preserve">, to Craig J. Brown, Senior Associate General Counsel, CenturyLink, WC Docket No. 14-9, </w:t>
      </w:r>
      <w:bookmarkStart w:id="1" w:name="SR;272"/>
      <w:bookmarkStart w:id="2" w:name="SearchTerm"/>
      <w:bookmarkEnd w:id="1"/>
      <w:bookmarkEnd w:id="2"/>
      <w:r w:rsidR="00D4412E">
        <w:rPr>
          <w:rStyle w:val="searchterm"/>
        </w:rPr>
        <w:t>29 FCC Rcd 10631</w:t>
      </w:r>
      <w:r w:rsidR="003E46E3">
        <w:rPr>
          <w:rStyle w:val="documentbody"/>
        </w:rPr>
        <w:t xml:space="preserve"> (Wireline Comp. Bur. 2014) (Information, Data, and Document Request); </w:t>
      </w:r>
      <w:r w:rsidR="003E46E3">
        <w:t>Letter from Craig J. Brown, Senior Associate General Counsel, CenturyLink, to Marlene H. Dortch, Secretary, F</w:t>
      </w:r>
      <w:r w:rsidR="00D4412E">
        <w:t>CC</w:t>
      </w:r>
      <w:r w:rsidR="003E46E3">
        <w:t>, WC Docket No. 14-9 (filed Oct. 3 2014) (responses to Information, Data, and Document Request question numbers 1 and 14);</w:t>
      </w:r>
      <w:r w:rsidR="003E46E3" w:rsidRPr="003E46E3">
        <w:t xml:space="preserve"> </w:t>
      </w:r>
      <w:r w:rsidR="003E46E3">
        <w:t>Letter from Craig J. Brown, Senior Associate General Counsel, CenturyLink, to Marlene H. Dortch, Secretary, F</w:t>
      </w:r>
      <w:r w:rsidR="00D4412E">
        <w:t>CC</w:t>
      </w:r>
      <w:r w:rsidR="003E46E3">
        <w:t>, WC Docket No. 14-9 (filed Oct. 14, 2014) (responses to Information, Data, and Document Request question numbers 2-13).</w:t>
      </w:r>
    </w:p>
  </w:footnote>
  <w:footnote w:id="7">
    <w:p w:rsidR="00AE4207" w:rsidRDefault="00AE4207">
      <w:pPr>
        <w:pStyle w:val="FootnoteText"/>
      </w:pPr>
      <w:r>
        <w:rPr>
          <w:rStyle w:val="FootnoteReference"/>
        </w:rPr>
        <w:footnoteRef/>
      </w:r>
      <w:r>
        <w:t xml:space="preserve"> 47 U.S.C. § 160(c).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3" w:rsidRDefault="00F26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D5" w:rsidRDefault="00AE4207" w:rsidP="002443D5">
    <w:pPr>
      <w:pStyle w:val="Header"/>
      <w:rPr>
        <w:b w:val="0"/>
      </w:rPr>
    </w:pPr>
    <w:r>
      <w:tab/>
    </w:r>
    <w:r w:rsidR="002443D5">
      <w:rPr>
        <w:noProof/>
        <w:snapToGrid/>
      </w:rPr>
      <mc:AlternateContent>
        <mc:Choice Requires="wps">
          <w:drawing>
            <wp:anchor distT="0" distB="0" distL="114300" distR="114300" simplePos="0" relativeHeight="251661312" behindDoc="1" locked="0" layoutInCell="0" allowOverlap="1" wp14:anchorId="03768392" wp14:editId="74A22990">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2443D5">
      <w:t>Federal Communications Commission</w:t>
    </w:r>
    <w:r w:rsidR="002443D5">
      <w:tab/>
    </w:r>
    <w:r w:rsidR="002443D5">
      <w:rPr>
        <w:spacing w:val="-2"/>
      </w:rPr>
      <w:t>DA 14-</w:t>
    </w:r>
    <w:r w:rsidR="008C5428">
      <w:rPr>
        <w:spacing w:val="-2"/>
      </w:rPr>
      <w:t>1630</w:t>
    </w:r>
  </w:p>
  <w:p w:rsidR="00AE4207" w:rsidRDefault="00AE4207" w:rsidP="00AD1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D5" w:rsidRDefault="00AD167B" w:rsidP="002443D5">
    <w:pPr>
      <w:pStyle w:val="Header"/>
      <w:rPr>
        <w:b w:val="0"/>
      </w:rPr>
    </w:pPr>
    <w:r>
      <w:tab/>
    </w:r>
    <w:r w:rsidR="002443D5">
      <w:rPr>
        <w:noProof/>
        <w:snapToGrid/>
      </w:rPr>
      <mc:AlternateContent>
        <mc:Choice Requires="wps">
          <w:drawing>
            <wp:anchor distT="0" distB="0" distL="114300" distR="114300" simplePos="0" relativeHeight="251659264" behindDoc="1" locked="0" layoutInCell="0" allowOverlap="1" wp14:anchorId="0C217BFE" wp14:editId="7B9E6A5B">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2443D5">
      <w:t>Federal Communications Commission</w:t>
    </w:r>
    <w:r w:rsidR="002443D5">
      <w:tab/>
    </w:r>
    <w:r w:rsidR="002443D5">
      <w:rPr>
        <w:spacing w:val="-2"/>
      </w:rPr>
      <w:t>DA 14-</w:t>
    </w:r>
    <w:r w:rsidR="008C5428">
      <w:rPr>
        <w:spacing w:val="-2"/>
      </w:rPr>
      <w:t>1630</w:t>
    </w:r>
  </w:p>
  <w:p w:rsidR="00AE4207" w:rsidRPr="008C1DD9" w:rsidRDefault="00AE4207" w:rsidP="00AD1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51BAA74C"/>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8E764C8"/>
    <w:multiLevelType w:val="hybridMultilevel"/>
    <w:tmpl w:val="F4203194"/>
    <w:lvl w:ilvl="0" w:tplc="31AAB3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8"/>
  </w:num>
  <w:num w:numId="3">
    <w:abstractNumId w:val="4"/>
  </w:num>
  <w:num w:numId="4">
    <w:abstractNumId w:val="4"/>
  </w:num>
  <w:num w:numId="5">
    <w:abstractNumId w:val="1"/>
  </w:num>
  <w:num w:numId="6">
    <w:abstractNumId w:val="7"/>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2E"/>
    <w:rsid w:val="00167730"/>
    <w:rsid w:val="001906A1"/>
    <w:rsid w:val="001B72BF"/>
    <w:rsid w:val="002109B2"/>
    <w:rsid w:val="002443D5"/>
    <w:rsid w:val="002A304A"/>
    <w:rsid w:val="003E46E3"/>
    <w:rsid w:val="003F595F"/>
    <w:rsid w:val="0041452E"/>
    <w:rsid w:val="004A7FF2"/>
    <w:rsid w:val="004B68F3"/>
    <w:rsid w:val="0052423E"/>
    <w:rsid w:val="00547ACE"/>
    <w:rsid w:val="00565B83"/>
    <w:rsid w:val="006D79B0"/>
    <w:rsid w:val="007F5564"/>
    <w:rsid w:val="0081369E"/>
    <w:rsid w:val="0083798B"/>
    <w:rsid w:val="00862189"/>
    <w:rsid w:val="00892854"/>
    <w:rsid w:val="008C1DD9"/>
    <w:rsid w:val="008C5428"/>
    <w:rsid w:val="008D560D"/>
    <w:rsid w:val="009539FC"/>
    <w:rsid w:val="009C0257"/>
    <w:rsid w:val="009C2132"/>
    <w:rsid w:val="00A767A9"/>
    <w:rsid w:val="00AD167B"/>
    <w:rsid w:val="00AD2D6E"/>
    <w:rsid w:val="00AE4207"/>
    <w:rsid w:val="00B0383B"/>
    <w:rsid w:val="00B407DB"/>
    <w:rsid w:val="00B40AD3"/>
    <w:rsid w:val="00CD6164"/>
    <w:rsid w:val="00D0029C"/>
    <w:rsid w:val="00D4412E"/>
    <w:rsid w:val="00D62B44"/>
    <w:rsid w:val="00D7195A"/>
    <w:rsid w:val="00D805AE"/>
    <w:rsid w:val="00DD1C56"/>
    <w:rsid w:val="00ED1869"/>
    <w:rsid w:val="00ED718C"/>
    <w:rsid w:val="00F00D92"/>
    <w:rsid w:val="00F26513"/>
    <w:rsid w:val="00F444A7"/>
    <w:rsid w:val="00F95114"/>
    <w:rsid w:val="00FB2FD2"/>
    <w:rsid w:val="00FC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18C"/>
    <w:pPr>
      <w:widowControl w:val="0"/>
    </w:pPr>
    <w:rPr>
      <w:snapToGrid w:val="0"/>
      <w:kern w:val="28"/>
      <w:sz w:val="22"/>
    </w:rPr>
  </w:style>
  <w:style w:type="paragraph" w:styleId="Heading1">
    <w:name w:val="heading 1"/>
    <w:basedOn w:val="Normal"/>
    <w:next w:val="ParaNum"/>
    <w:qFormat/>
    <w:rsid w:val="00ED718C"/>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D718C"/>
    <w:pPr>
      <w:keepNext/>
      <w:numPr>
        <w:ilvl w:val="1"/>
        <w:numId w:val="7"/>
      </w:numPr>
      <w:spacing w:after="120"/>
      <w:outlineLvl w:val="1"/>
    </w:pPr>
    <w:rPr>
      <w:b/>
    </w:rPr>
  </w:style>
  <w:style w:type="paragraph" w:styleId="Heading3">
    <w:name w:val="heading 3"/>
    <w:basedOn w:val="Normal"/>
    <w:next w:val="ParaNum"/>
    <w:link w:val="Heading3Char"/>
    <w:qFormat/>
    <w:rsid w:val="00ED718C"/>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ED718C"/>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ED718C"/>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ED718C"/>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ED718C"/>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ED718C"/>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D718C"/>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71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18C"/>
  </w:style>
  <w:style w:type="paragraph" w:styleId="FootnoteText">
    <w:name w:val="footnote text"/>
    <w:aliases w:val="Footnote Text Char2,Footnote Text Char1 Char,Footnote Text Char Char Char,ALTS FOOTNOTE Char Char Char,fn Char Char Char,Footnote Text Char1 Char Char Char,Footnote Text Char Char Char Char Char,ALTS FOOTNOTE Char Char Char Char Char,fn,f"/>
    <w:link w:val="FootnoteTextChar"/>
    <w:rsid w:val="00ED718C"/>
    <w:pPr>
      <w:spacing w:after="120"/>
    </w:pPr>
  </w:style>
  <w:style w:type="character" w:styleId="FootnoteReference">
    <w:name w:val="footnote reference"/>
    <w:aliases w:val="Style 12,(NECG) Footnote Reference,Appel note de bas de p,Style 124,o,fr,Style 3,Style 13,FR"/>
    <w:rsid w:val="00ED718C"/>
    <w:rPr>
      <w:rFonts w:ascii="Times New Roman" w:hAnsi="Times New Roman"/>
      <w:dstrike w:val="0"/>
      <w:color w:val="auto"/>
      <w:sz w:val="20"/>
      <w:vertAlign w:val="superscript"/>
    </w:rPr>
  </w:style>
  <w:style w:type="paragraph" w:styleId="Header">
    <w:name w:val="header"/>
    <w:basedOn w:val="Normal"/>
    <w:link w:val="HeaderChar"/>
    <w:autoRedefine/>
    <w:rsid w:val="00ED718C"/>
    <w:pPr>
      <w:tabs>
        <w:tab w:val="center" w:pos="4680"/>
        <w:tab w:val="right" w:pos="9360"/>
      </w:tabs>
    </w:pPr>
    <w:rPr>
      <w:b/>
    </w:rPr>
  </w:style>
  <w:style w:type="paragraph" w:styleId="Footer">
    <w:name w:val="footer"/>
    <w:basedOn w:val="Normal"/>
    <w:rsid w:val="00ED718C"/>
    <w:pPr>
      <w:tabs>
        <w:tab w:val="center" w:pos="4320"/>
        <w:tab w:val="right" w:pos="8640"/>
      </w:tabs>
    </w:pPr>
  </w:style>
  <w:style w:type="character" w:customStyle="1" w:styleId="FootnoteTextChar">
    <w:name w:val="Footnote Text Char"/>
    <w:aliases w:val="Footnote Text Char2 Char,Footnote Text Char1 Char Char,Footnote Text Char Char Char Char,ALTS FOOTNOTE Char Char Char Char,fn Char Char Char Char,Footnote Text Char1 Char Char Char Char,Footnote Text Char Char Char Char Char Char"/>
    <w:link w:val="FootnoteText"/>
  </w:style>
  <w:style w:type="paragraph" w:customStyle="1" w:styleId="ParaNum">
    <w:name w:val="ParaNum"/>
    <w:basedOn w:val="Normal"/>
    <w:link w:val="ParaNumChar"/>
    <w:rsid w:val="00ED718C"/>
    <w:pPr>
      <w:numPr>
        <w:numId w:val="6"/>
      </w:numPr>
      <w:tabs>
        <w:tab w:val="clear" w:pos="1080"/>
        <w:tab w:val="num" w:pos="1440"/>
      </w:tabs>
      <w:spacing w:after="120"/>
    </w:pPr>
  </w:style>
  <w:style w:type="character" w:styleId="PageNumber">
    <w:name w:val="page number"/>
    <w:basedOn w:val="DefaultParagraphFont"/>
    <w:rsid w:val="00ED718C"/>
  </w:style>
  <w:style w:type="paragraph" w:styleId="BalloonText">
    <w:name w:val="Balloon Text"/>
    <w:basedOn w:val="Normal"/>
    <w:semiHidden/>
    <w:rPr>
      <w:rFonts w:ascii="Tahoma" w:hAnsi="Tahoma" w:cs="Tahoma"/>
      <w:sz w:val="16"/>
      <w:szCs w:val="16"/>
    </w:rPr>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n Char Char"/>
    <w:rPr>
      <w:lang w:val="en-US" w:eastAsia="en-US" w:bidi="ar-SA"/>
    </w:rPr>
  </w:style>
  <w:style w:type="character" w:customStyle="1" w:styleId="Heading2Char">
    <w:name w:val="Heading 2 Char"/>
    <w:basedOn w:val="DefaultParagraphFont"/>
    <w:link w:val="Heading2"/>
    <w:rsid w:val="00F95114"/>
    <w:rPr>
      <w:b/>
      <w:snapToGrid w:val="0"/>
      <w:kern w:val="28"/>
      <w:sz w:val="22"/>
    </w:rPr>
  </w:style>
  <w:style w:type="character" w:customStyle="1" w:styleId="Heading3Char">
    <w:name w:val="Heading 3 Char"/>
    <w:basedOn w:val="DefaultParagraphFont"/>
    <w:link w:val="Heading3"/>
    <w:rsid w:val="00F95114"/>
    <w:rPr>
      <w:b/>
      <w:snapToGrid w:val="0"/>
      <w:kern w:val="28"/>
      <w:sz w:val="22"/>
    </w:rPr>
  </w:style>
  <w:style w:type="character" w:customStyle="1" w:styleId="Heading4Char">
    <w:name w:val="Heading 4 Char"/>
    <w:basedOn w:val="DefaultParagraphFont"/>
    <w:link w:val="Heading4"/>
    <w:rsid w:val="00F95114"/>
    <w:rPr>
      <w:b/>
      <w:snapToGrid w:val="0"/>
      <w:kern w:val="28"/>
      <w:sz w:val="22"/>
    </w:rPr>
  </w:style>
  <w:style w:type="character" w:customStyle="1" w:styleId="Heading5Char">
    <w:name w:val="Heading 5 Char"/>
    <w:basedOn w:val="DefaultParagraphFont"/>
    <w:link w:val="Heading5"/>
    <w:rsid w:val="00F95114"/>
    <w:rPr>
      <w:b/>
      <w:snapToGrid w:val="0"/>
      <w:kern w:val="28"/>
      <w:sz w:val="22"/>
    </w:rPr>
  </w:style>
  <w:style w:type="character" w:customStyle="1" w:styleId="Heading6Char">
    <w:name w:val="Heading 6 Char"/>
    <w:basedOn w:val="DefaultParagraphFont"/>
    <w:link w:val="Heading6"/>
    <w:rsid w:val="00F95114"/>
    <w:rPr>
      <w:b/>
      <w:snapToGrid w:val="0"/>
      <w:kern w:val="28"/>
      <w:sz w:val="22"/>
    </w:rPr>
  </w:style>
  <w:style w:type="character" w:customStyle="1" w:styleId="Heading7Char">
    <w:name w:val="Heading 7 Char"/>
    <w:basedOn w:val="DefaultParagraphFont"/>
    <w:link w:val="Heading7"/>
    <w:rsid w:val="00F95114"/>
    <w:rPr>
      <w:b/>
      <w:snapToGrid w:val="0"/>
      <w:kern w:val="28"/>
      <w:sz w:val="22"/>
    </w:rPr>
  </w:style>
  <w:style w:type="character" w:customStyle="1" w:styleId="Heading8Char">
    <w:name w:val="Heading 8 Char"/>
    <w:basedOn w:val="DefaultParagraphFont"/>
    <w:link w:val="Heading8"/>
    <w:rsid w:val="00F95114"/>
    <w:rPr>
      <w:b/>
      <w:snapToGrid w:val="0"/>
      <w:kern w:val="28"/>
      <w:sz w:val="22"/>
    </w:rPr>
  </w:style>
  <w:style w:type="character" w:customStyle="1" w:styleId="Heading9Char">
    <w:name w:val="Heading 9 Char"/>
    <w:basedOn w:val="DefaultParagraphFont"/>
    <w:link w:val="Heading9"/>
    <w:rsid w:val="00F95114"/>
    <w:rPr>
      <w:b/>
      <w:snapToGrid w:val="0"/>
      <w:kern w:val="28"/>
      <w:sz w:val="22"/>
    </w:rPr>
  </w:style>
  <w:style w:type="paragraph" w:styleId="EndnoteText">
    <w:name w:val="endnote text"/>
    <w:basedOn w:val="Normal"/>
    <w:link w:val="EndnoteTextChar"/>
    <w:rsid w:val="00ED718C"/>
    <w:rPr>
      <w:sz w:val="20"/>
    </w:rPr>
  </w:style>
  <w:style w:type="character" w:customStyle="1" w:styleId="EndnoteTextChar">
    <w:name w:val="Endnote Text Char"/>
    <w:basedOn w:val="DefaultParagraphFont"/>
    <w:link w:val="EndnoteText"/>
    <w:rsid w:val="00F95114"/>
    <w:rPr>
      <w:snapToGrid w:val="0"/>
      <w:kern w:val="28"/>
    </w:rPr>
  </w:style>
  <w:style w:type="character" w:styleId="EndnoteReference">
    <w:name w:val="endnote reference"/>
    <w:rsid w:val="00ED718C"/>
    <w:rPr>
      <w:vertAlign w:val="superscript"/>
    </w:rPr>
  </w:style>
  <w:style w:type="paragraph" w:styleId="TOC1">
    <w:name w:val="toc 1"/>
    <w:basedOn w:val="Normal"/>
    <w:next w:val="Normal"/>
    <w:rsid w:val="00ED718C"/>
    <w:pPr>
      <w:tabs>
        <w:tab w:val="left" w:pos="360"/>
        <w:tab w:val="right" w:leader="dot" w:pos="9360"/>
      </w:tabs>
      <w:suppressAutoHyphens/>
      <w:ind w:left="360" w:right="720" w:hanging="360"/>
    </w:pPr>
    <w:rPr>
      <w:caps/>
      <w:noProof/>
    </w:rPr>
  </w:style>
  <w:style w:type="paragraph" w:styleId="TOC2">
    <w:name w:val="toc 2"/>
    <w:basedOn w:val="Normal"/>
    <w:next w:val="Normal"/>
    <w:rsid w:val="00ED718C"/>
    <w:pPr>
      <w:tabs>
        <w:tab w:val="left" w:pos="720"/>
        <w:tab w:val="right" w:leader="dot" w:pos="9360"/>
      </w:tabs>
      <w:suppressAutoHyphens/>
      <w:ind w:left="720" w:right="720" w:hanging="360"/>
    </w:pPr>
    <w:rPr>
      <w:noProof/>
    </w:rPr>
  </w:style>
  <w:style w:type="paragraph" w:styleId="TOC3">
    <w:name w:val="toc 3"/>
    <w:basedOn w:val="Normal"/>
    <w:next w:val="Normal"/>
    <w:rsid w:val="00ED71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D718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D718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D718C"/>
    <w:pPr>
      <w:tabs>
        <w:tab w:val="left" w:pos="2160"/>
        <w:tab w:val="right" w:leader="dot" w:pos="9360"/>
      </w:tabs>
      <w:suppressAutoHyphens/>
      <w:ind w:left="2160" w:hanging="360"/>
    </w:pPr>
    <w:rPr>
      <w:noProof/>
    </w:rPr>
  </w:style>
  <w:style w:type="paragraph" w:styleId="TOC7">
    <w:name w:val="toc 7"/>
    <w:basedOn w:val="Normal"/>
    <w:next w:val="Normal"/>
    <w:autoRedefine/>
    <w:rsid w:val="00ED718C"/>
    <w:pPr>
      <w:tabs>
        <w:tab w:val="left" w:pos="2520"/>
        <w:tab w:val="right" w:leader="dot" w:pos="9360"/>
      </w:tabs>
      <w:suppressAutoHyphens/>
      <w:ind w:left="2520" w:hanging="360"/>
    </w:pPr>
    <w:rPr>
      <w:noProof/>
    </w:rPr>
  </w:style>
  <w:style w:type="paragraph" w:styleId="TOC8">
    <w:name w:val="toc 8"/>
    <w:basedOn w:val="Normal"/>
    <w:next w:val="Normal"/>
    <w:autoRedefine/>
    <w:rsid w:val="00ED718C"/>
    <w:pPr>
      <w:tabs>
        <w:tab w:val="left" w:pos="2880"/>
        <w:tab w:val="right" w:leader="dot" w:pos="9360"/>
      </w:tabs>
      <w:suppressAutoHyphens/>
      <w:ind w:left="2880" w:hanging="360"/>
    </w:pPr>
    <w:rPr>
      <w:noProof/>
    </w:rPr>
  </w:style>
  <w:style w:type="paragraph" w:styleId="TOC9">
    <w:name w:val="toc 9"/>
    <w:basedOn w:val="Normal"/>
    <w:next w:val="Normal"/>
    <w:autoRedefine/>
    <w:rsid w:val="00ED718C"/>
    <w:pPr>
      <w:tabs>
        <w:tab w:val="left" w:pos="3240"/>
        <w:tab w:val="right" w:leader="dot" w:pos="9360"/>
      </w:tabs>
      <w:suppressAutoHyphens/>
      <w:ind w:left="3240" w:hanging="360"/>
    </w:pPr>
    <w:rPr>
      <w:noProof/>
    </w:rPr>
  </w:style>
  <w:style w:type="paragraph" w:styleId="TOAHeading">
    <w:name w:val="toa heading"/>
    <w:basedOn w:val="Normal"/>
    <w:next w:val="Normal"/>
    <w:rsid w:val="00ED718C"/>
    <w:pPr>
      <w:tabs>
        <w:tab w:val="right" w:pos="9360"/>
      </w:tabs>
      <w:suppressAutoHyphens/>
    </w:pPr>
  </w:style>
  <w:style w:type="character" w:customStyle="1" w:styleId="EquationCaption">
    <w:name w:val="_Equation Caption"/>
    <w:rsid w:val="00ED718C"/>
  </w:style>
  <w:style w:type="paragraph" w:styleId="BlockText">
    <w:name w:val="Block Text"/>
    <w:basedOn w:val="Normal"/>
    <w:rsid w:val="00ED718C"/>
    <w:pPr>
      <w:spacing w:after="240"/>
      <w:ind w:left="1440" w:right="1440"/>
    </w:pPr>
  </w:style>
  <w:style w:type="paragraph" w:customStyle="1" w:styleId="Paratitle">
    <w:name w:val="Para title"/>
    <w:basedOn w:val="Normal"/>
    <w:rsid w:val="00ED718C"/>
    <w:pPr>
      <w:tabs>
        <w:tab w:val="center" w:pos="9270"/>
      </w:tabs>
      <w:spacing w:after="240"/>
    </w:pPr>
    <w:rPr>
      <w:spacing w:val="-2"/>
    </w:rPr>
  </w:style>
  <w:style w:type="paragraph" w:customStyle="1" w:styleId="Bullet">
    <w:name w:val="Bullet"/>
    <w:basedOn w:val="Normal"/>
    <w:rsid w:val="00ED718C"/>
    <w:pPr>
      <w:tabs>
        <w:tab w:val="left" w:pos="2160"/>
      </w:tabs>
      <w:spacing w:after="220"/>
      <w:ind w:left="2160" w:hanging="720"/>
    </w:pPr>
  </w:style>
  <w:style w:type="paragraph" w:customStyle="1" w:styleId="TableFormat">
    <w:name w:val="TableFormat"/>
    <w:basedOn w:val="Bullet"/>
    <w:rsid w:val="00ED718C"/>
    <w:pPr>
      <w:tabs>
        <w:tab w:val="clear" w:pos="2160"/>
        <w:tab w:val="left" w:pos="5040"/>
      </w:tabs>
      <w:ind w:left="5040" w:hanging="3600"/>
    </w:pPr>
  </w:style>
  <w:style w:type="paragraph" w:customStyle="1" w:styleId="TOCTitle">
    <w:name w:val="TOC Title"/>
    <w:basedOn w:val="Normal"/>
    <w:rsid w:val="00ED71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718C"/>
    <w:pPr>
      <w:jc w:val="center"/>
    </w:pPr>
    <w:rPr>
      <w:rFonts w:ascii="Times New Roman Bold" w:hAnsi="Times New Roman Bold"/>
      <w:b/>
      <w:bCs/>
      <w:caps/>
      <w:szCs w:val="22"/>
    </w:rPr>
  </w:style>
  <w:style w:type="character" w:styleId="Hyperlink">
    <w:name w:val="Hyperlink"/>
    <w:rsid w:val="00ED718C"/>
    <w:rPr>
      <w:color w:val="0000FF"/>
      <w:u w:val="single"/>
    </w:rPr>
  </w:style>
  <w:style w:type="character" w:customStyle="1" w:styleId="documentbody">
    <w:name w:val="documentbody"/>
    <w:basedOn w:val="DefaultParagraphFont"/>
    <w:rsid w:val="006D79B0"/>
  </w:style>
  <w:style w:type="character" w:customStyle="1" w:styleId="searchterm">
    <w:name w:val="searchterm"/>
    <w:basedOn w:val="DefaultParagraphFont"/>
    <w:rsid w:val="006D79B0"/>
  </w:style>
  <w:style w:type="character" w:customStyle="1" w:styleId="HeaderChar">
    <w:name w:val="Header Char"/>
    <w:basedOn w:val="DefaultParagraphFont"/>
    <w:link w:val="Header"/>
    <w:rsid w:val="002443D5"/>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18C"/>
    <w:pPr>
      <w:widowControl w:val="0"/>
    </w:pPr>
    <w:rPr>
      <w:snapToGrid w:val="0"/>
      <w:kern w:val="28"/>
      <w:sz w:val="22"/>
    </w:rPr>
  </w:style>
  <w:style w:type="paragraph" w:styleId="Heading1">
    <w:name w:val="heading 1"/>
    <w:basedOn w:val="Normal"/>
    <w:next w:val="ParaNum"/>
    <w:qFormat/>
    <w:rsid w:val="00ED718C"/>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D718C"/>
    <w:pPr>
      <w:keepNext/>
      <w:numPr>
        <w:ilvl w:val="1"/>
        <w:numId w:val="7"/>
      </w:numPr>
      <w:spacing w:after="120"/>
      <w:outlineLvl w:val="1"/>
    </w:pPr>
    <w:rPr>
      <w:b/>
    </w:rPr>
  </w:style>
  <w:style w:type="paragraph" w:styleId="Heading3">
    <w:name w:val="heading 3"/>
    <w:basedOn w:val="Normal"/>
    <w:next w:val="ParaNum"/>
    <w:link w:val="Heading3Char"/>
    <w:qFormat/>
    <w:rsid w:val="00ED718C"/>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ED718C"/>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ED718C"/>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ED718C"/>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ED718C"/>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ED718C"/>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D718C"/>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71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18C"/>
  </w:style>
  <w:style w:type="paragraph" w:styleId="FootnoteText">
    <w:name w:val="footnote text"/>
    <w:aliases w:val="Footnote Text Char2,Footnote Text Char1 Char,Footnote Text Char Char Char,ALTS FOOTNOTE Char Char Char,fn Char Char Char,Footnote Text Char1 Char Char Char,Footnote Text Char Char Char Char Char,ALTS FOOTNOTE Char Char Char Char Char,fn,f"/>
    <w:link w:val="FootnoteTextChar"/>
    <w:rsid w:val="00ED718C"/>
    <w:pPr>
      <w:spacing w:after="120"/>
    </w:pPr>
  </w:style>
  <w:style w:type="character" w:styleId="FootnoteReference">
    <w:name w:val="footnote reference"/>
    <w:aliases w:val="Style 12,(NECG) Footnote Reference,Appel note de bas de p,Style 124,o,fr,Style 3,Style 13,FR"/>
    <w:rsid w:val="00ED718C"/>
    <w:rPr>
      <w:rFonts w:ascii="Times New Roman" w:hAnsi="Times New Roman"/>
      <w:dstrike w:val="0"/>
      <w:color w:val="auto"/>
      <w:sz w:val="20"/>
      <w:vertAlign w:val="superscript"/>
    </w:rPr>
  </w:style>
  <w:style w:type="paragraph" w:styleId="Header">
    <w:name w:val="header"/>
    <w:basedOn w:val="Normal"/>
    <w:link w:val="HeaderChar"/>
    <w:autoRedefine/>
    <w:rsid w:val="00ED718C"/>
    <w:pPr>
      <w:tabs>
        <w:tab w:val="center" w:pos="4680"/>
        <w:tab w:val="right" w:pos="9360"/>
      </w:tabs>
    </w:pPr>
    <w:rPr>
      <w:b/>
    </w:rPr>
  </w:style>
  <w:style w:type="paragraph" w:styleId="Footer">
    <w:name w:val="footer"/>
    <w:basedOn w:val="Normal"/>
    <w:rsid w:val="00ED718C"/>
    <w:pPr>
      <w:tabs>
        <w:tab w:val="center" w:pos="4320"/>
        <w:tab w:val="right" w:pos="8640"/>
      </w:tabs>
    </w:pPr>
  </w:style>
  <w:style w:type="character" w:customStyle="1" w:styleId="FootnoteTextChar">
    <w:name w:val="Footnote Text Char"/>
    <w:aliases w:val="Footnote Text Char2 Char,Footnote Text Char1 Char Char,Footnote Text Char Char Char Char,ALTS FOOTNOTE Char Char Char Char,fn Char Char Char Char,Footnote Text Char1 Char Char Char Char,Footnote Text Char Char Char Char Char Char"/>
    <w:link w:val="FootnoteText"/>
  </w:style>
  <w:style w:type="paragraph" w:customStyle="1" w:styleId="ParaNum">
    <w:name w:val="ParaNum"/>
    <w:basedOn w:val="Normal"/>
    <w:link w:val="ParaNumChar"/>
    <w:rsid w:val="00ED718C"/>
    <w:pPr>
      <w:numPr>
        <w:numId w:val="6"/>
      </w:numPr>
      <w:tabs>
        <w:tab w:val="clear" w:pos="1080"/>
        <w:tab w:val="num" w:pos="1440"/>
      </w:tabs>
      <w:spacing w:after="120"/>
    </w:pPr>
  </w:style>
  <w:style w:type="character" w:styleId="PageNumber">
    <w:name w:val="page number"/>
    <w:basedOn w:val="DefaultParagraphFont"/>
    <w:rsid w:val="00ED718C"/>
  </w:style>
  <w:style w:type="paragraph" w:styleId="BalloonText">
    <w:name w:val="Balloon Text"/>
    <w:basedOn w:val="Normal"/>
    <w:semiHidden/>
    <w:rPr>
      <w:rFonts w:ascii="Tahoma" w:hAnsi="Tahoma" w:cs="Tahoma"/>
      <w:sz w:val="16"/>
      <w:szCs w:val="16"/>
    </w:rPr>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n Char Char"/>
    <w:rPr>
      <w:lang w:val="en-US" w:eastAsia="en-US" w:bidi="ar-SA"/>
    </w:rPr>
  </w:style>
  <w:style w:type="character" w:customStyle="1" w:styleId="Heading2Char">
    <w:name w:val="Heading 2 Char"/>
    <w:basedOn w:val="DefaultParagraphFont"/>
    <w:link w:val="Heading2"/>
    <w:rsid w:val="00F95114"/>
    <w:rPr>
      <w:b/>
      <w:snapToGrid w:val="0"/>
      <w:kern w:val="28"/>
      <w:sz w:val="22"/>
    </w:rPr>
  </w:style>
  <w:style w:type="character" w:customStyle="1" w:styleId="Heading3Char">
    <w:name w:val="Heading 3 Char"/>
    <w:basedOn w:val="DefaultParagraphFont"/>
    <w:link w:val="Heading3"/>
    <w:rsid w:val="00F95114"/>
    <w:rPr>
      <w:b/>
      <w:snapToGrid w:val="0"/>
      <w:kern w:val="28"/>
      <w:sz w:val="22"/>
    </w:rPr>
  </w:style>
  <w:style w:type="character" w:customStyle="1" w:styleId="Heading4Char">
    <w:name w:val="Heading 4 Char"/>
    <w:basedOn w:val="DefaultParagraphFont"/>
    <w:link w:val="Heading4"/>
    <w:rsid w:val="00F95114"/>
    <w:rPr>
      <w:b/>
      <w:snapToGrid w:val="0"/>
      <w:kern w:val="28"/>
      <w:sz w:val="22"/>
    </w:rPr>
  </w:style>
  <w:style w:type="character" w:customStyle="1" w:styleId="Heading5Char">
    <w:name w:val="Heading 5 Char"/>
    <w:basedOn w:val="DefaultParagraphFont"/>
    <w:link w:val="Heading5"/>
    <w:rsid w:val="00F95114"/>
    <w:rPr>
      <w:b/>
      <w:snapToGrid w:val="0"/>
      <w:kern w:val="28"/>
      <w:sz w:val="22"/>
    </w:rPr>
  </w:style>
  <w:style w:type="character" w:customStyle="1" w:styleId="Heading6Char">
    <w:name w:val="Heading 6 Char"/>
    <w:basedOn w:val="DefaultParagraphFont"/>
    <w:link w:val="Heading6"/>
    <w:rsid w:val="00F95114"/>
    <w:rPr>
      <w:b/>
      <w:snapToGrid w:val="0"/>
      <w:kern w:val="28"/>
      <w:sz w:val="22"/>
    </w:rPr>
  </w:style>
  <w:style w:type="character" w:customStyle="1" w:styleId="Heading7Char">
    <w:name w:val="Heading 7 Char"/>
    <w:basedOn w:val="DefaultParagraphFont"/>
    <w:link w:val="Heading7"/>
    <w:rsid w:val="00F95114"/>
    <w:rPr>
      <w:b/>
      <w:snapToGrid w:val="0"/>
      <w:kern w:val="28"/>
      <w:sz w:val="22"/>
    </w:rPr>
  </w:style>
  <w:style w:type="character" w:customStyle="1" w:styleId="Heading8Char">
    <w:name w:val="Heading 8 Char"/>
    <w:basedOn w:val="DefaultParagraphFont"/>
    <w:link w:val="Heading8"/>
    <w:rsid w:val="00F95114"/>
    <w:rPr>
      <w:b/>
      <w:snapToGrid w:val="0"/>
      <w:kern w:val="28"/>
      <w:sz w:val="22"/>
    </w:rPr>
  </w:style>
  <w:style w:type="character" w:customStyle="1" w:styleId="Heading9Char">
    <w:name w:val="Heading 9 Char"/>
    <w:basedOn w:val="DefaultParagraphFont"/>
    <w:link w:val="Heading9"/>
    <w:rsid w:val="00F95114"/>
    <w:rPr>
      <w:b/>
      <w:snapToGrid w:val="0"/>
      <w:kern w:val="28"/>
      <w:sz w:val="22"/>
    </w:rPr>
  </w:style>
  <w:style w:type="paragraph" w:styleId="EndnoteText">
    <w:name w:val="endnote text"/>
    <w:basedOn w:val="Normal"/>
    <w:link w:val="EndnoteTextChar"/>
    <w:rsid w:val="00ED718C"/>
    <w:rPr>
      <w:sz w:val="20"/>
    </w:rPr>
  </w:style>
  <w:style w:type="character" w:customStyle="1" w:styleId="EndnoteTextChar">
    <w:name w:val="Endnote Text Char"/>
    <w:basedOn w:val="DefaultParagraphFont"/>
    <w:link w:val="EndnoteText"/>
    <w:rsid w:val="00F95114"/>
    <w:rPr>
      <w:snapToGrid w:val="0"/>
      <w:kern w:val="28"/>
    </w:rPr>
  </w:style>
  <w:style w:type="character" w:styleId="EndnoteReference">
    <w:name w:val="endnote reference"/>
    <w:rsid w:val="00ED718C"/>
    <w:rPr>
      <w:vertAlign w:val="superscript"/>
    </w:rPr>
  </w:style>
  <w:style w:type="paragraph" w:styleId="TOC1">
    <w:name w:val="toc 1"/>
    <w:basedOn w:val="Normal"/>
    <w:next w:val="Normal"/>
    <w:rsid w:val="00ED718C"/>
    <w:pPr>
      <w:tabs>
        <w:tab w:val="left" w:pos="360"/>
        <w:tab w:val="right" w:leader="dot" w:pos="9360"/>
      </w:tabs>
      <w:suppressAutoHyphens/>
      <w:ind w:left="360" w:right="720" w:hanging="360"/>
    </w:pPr>
    <w:rPr>
      <w:caps/>
      <w:noProof/>
    </w:rPr>
  </w:style>
  <w:style w:type="paragraph" w:styleId="TOC2">
    <w:name w:val="toc 2"/>
    <w:basedOn w:val="Normal"/>
    <w:next w:val="Normal"/>
    <w:rsid w:val="00ED718C"/>
    <w:pPr>
      <w:tabs>
        <w:tab w:val="left" w:pos="720"/>
        <w:tab w:val="right" w:leader="dot" w:pos="9360"/>
      </w:tabs>
      <w:suppressAutoHyphens/>
      <w:ind w:left="720" w:right="720" w:hanging="360"/>
    </w:pPr>
    <w:rPr>
      <w:noProof/>
    </w:rPr>
  </w:style>
  <w:style w:type="paragraph" w:styleId="TOC3">
    <w:name w:val="toc 3"/>
    <w:basedOn w:val="Normal"/>
    <w:next w:val="Normal"/>
    <w:rsid w:val="00ED71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D718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D718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D718C"/>
    <w:pPr>
      <w:tabs>
        <w:tab w:val="left" w:pos="2160"/>
        <w:tab w:val="right" w:leader="dot" w:pos="9360"/>
      </w:tabs>
      <w:suppressAutoHyphens/>
      <w:ind w:left="2160" w:hanging="360"/>
    </w:pPr>
    <w:rPr>
      <w:noProof/>
    </w:rPr>
  </w:style>
  <w:style w:type="paragraph" w:styleId="TOC7">
    <w:name w:val="toc 7"/>
    <w:basedOn w:val="Normal"/>
    <w:next w:val="Normal"/>
    <w:autoRedefine/>
    <w:rsid w:val="00ED718C"/>
    <w:pPr>
      <w:tabs>
        <w:tab w:val="left" w:pos="2520"/>
        <w:tab w:val="right" w:leader="dot" w:pos="9360"/>
      </w:tabs>
      <w:suppressAutoHyphens/>
      <w:ind w:left="2520" w:hanging="360"/>
    </w:pPr>
    <w:rPr>
      <w:noProof/>
    </w:rPr>
  </w:style>
  <w:style w:type="paragraph" w:styleId="TOC8">
    <w:name w:val="toc 8"/>
    <w:basedOn w:val="Normal"/>
    <w:next w:val="Normal"/>
    <w:autoRedefine/>
    <w:rsid w:val="00ED718C"/>
    <w:pPr>
      <w:tabs>
        <w:tab w:val="left" w:pos="2880"/>
        <w:tab w:val="right" w:leader="dot" w:pos="9360"/>
      </w:tabs>
      <w:suppressAutoHyphens/>
      <w:ind w:left="2880" w:hanging="360"/>
    </w:pPr>
    <w:rPr>
      <w:noProof/>
    </w:rPr>
  </w:style>
  <w:style w:type="paragraph" w:styleId="TOC9">
    <w:name w:val="toc 9"/>
    <w:basedOn w:val="Normal"/>
    <w:next w:val="Normal"/>
    <w:autoRedefine/>
    <w:rsid w:val="00ED718C"/>
    <w:pPr>
      <w:tabs>
        <w:tab w:val="left" w:pos="3240"/>
        <w:tab w:val="right" w:leader="dot" w:pos="9360"/>
      </w:tabs>
      <w:suppressAutoHyphens/>
      <w:ind w:left="3240" w:hanging="360"/>
    </w:pPr>
    <w:rPr>
      <w:noProof/>
    </w:rPr>
  </w:style>
  <w:style w:type="paragraph" w:styleId="TOAHeading">
    <w:name w:val="toa heading"/>
    <w:basedOn w:val="Normal"/>
    <w:next w:val="Normal"/>
    <w:rsid w:val="00ED718C"/>
    <w:pPr>
      <w:tabs>
        <w:tab w:val="right" w:pos="9360"/>
      </w:tabs>
      <w:suppressAutoHyphens/>
    </w:pPr>
  </w:style>
  <w:style w:type="character" w:customStyle="1" w:styleId="EquationCaption">
    <w:name w:val="_Equation Caption"/>
    <w:rsid w:val="00ED718C"/>
  </w:style>
  <w:style w:type="paragraph" w:styleId="BlockText">
    <w:name w:val="Block Text"/>
    <w:basedOn w:val="Normal"/>
    <w:rsid w:val="00ED718C"/>
    <w:pPr>
      <w:spacing w:after="240"/>
      <w:ind w:left="1440" w:right="1440"/>
    </w:pPr>
  </w:style>
  <w:style w:type="paragraph" w:customStyle="1" w:styleId="Paratitle">
    <w:name w:val="Para title"/>
    <w:basedOn w:val="Normal"/>
    <w:rsid w:val="00ED718C"/>
    <w:pPr>
      <w:tabs>
        <w:tab w:val="center" w:pos="9270"/>
      </w:tabs>
      <w:spacing w:after="240"/>
    </w:pPr>
    <w:rPr>
      <w:spacing w:val="-2"/>
    </w:rPr>
  </w:style>
  <w:style w:type="paragraph" w:customStyle="1" w:styleId="Bullet">
    <w:name w:val="Bullet"/>
    <w:basedOn w:val="Normal"/>
    <w:rsid w:val="00ED718C"/>
    <w:pPr>
      <w:tabs>
        <w:tab w:val="left" w:pos="2160"/>
      </w:tabs>
      <w:spacing w:after="220"/>
      <w:ind w:left="2160" w:hanging="720"/>
    </w:pPr>
  </w:style>
  <w:style w:type="paragraph" w:customStyle="1" w:styleId="TableFormat">
    <w:name w:val="TableFormat"/>
    <w:basedOn w:val="Bullet"/>
    <w:rsid w:val="00ED718C"/>
    <w:pPr>
      <w:tabs>
        <w:tab w:val="clear" w:pos="2160"/>
        <w:tab w:val="left" w:pos="5040"/>
      </w:tabs>
      <w:ind w:left="5040" w:hanging="3600"/>
    </w:pPr>
  </w:style>
  <w:style w:type="paragraph" w:customStyle="1" w:styleId="TOCTitle">
    <w:name w:val="TOC Title"/>
    <w:basedOn w:val="Normal"/>
    <w:rsid w:val="00ED71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718C"/>
    <w:pPr>
      <w:jc w:val="center"/>
    </w:pPr>
    <w:rPr>
      <w:rFonts w:ascii="Times New Roman Bold" w:hAnsi="Times New Roman Bold"/>
      <w:b/>
      <w:bCs/>
      <w:caps/>
      <w:szCs w:val="22"/>
    </w:rPr>
  </w:style>
  <w:style w:type="character" w:styleId="Hyperlink">
    <w:name w:val="Hyperlink"/>
    <w:rsid w:val="00ED718C"/>
    <w:rPr>
      <w:color w:val="0000FF"/>
      <w:u w:val="single"/>
    </w:rPr>
  </w:style>
  <w:style w:type="character" w:customStyle="1" w:styleId="documentbody">
    <w:name w:val="documentbody"/>
    <w:basedOn w:val="DefaultParagraphFont"/>
    <w:rsid w:val="006D79B0"/>
  </w:style>
  <w:style w:type="character" w:customStyle="1" w:styleId="searchterm">
    <w:name w:val="searchterm"/>
    <w:basedOn w:val="DefaultParagraphFont"/>
    <w:rsid w:val="006D79B0"/>
  </w:style>
  <w:style w:type="character" w:customStyle="1" w:styleId="HeaderChar">
    <w:name w:val="Header Char"/>
    <w:basedOn w:val="DefaultParagraphFont"/>
    <w:link w:val="Header"/>
    <w:rsid w:val="002443D5"/>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473</Words>
  <Characters>2564</Characters>
  <Application>Microsoft Office Word</Application>
  <DocSecurity>0</DocSecurity>
  <Lines>68</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2007-06-12T20:32:00Z</cp:lastPrinted>
  <dcterms:created xsi:type="dcterms:W3CDTF">2014-11-07T21:26:00Z</dcterms:created>
  <dcterms:modified xsi:type="dcterms:W3CDTF">2014-11-07T21:26:00Z</dcterms:modified>
  <cp:category> </cp:category>
  <cp:contentStatus> </cp:contentStatus>
</cp:coreProperties>
</file>