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 xml:space="preserve">Washington, D.C. </w:t>
      </w:r>
      <w:r w:rsidR="0001556A">
        <w:rPr>
          <w:caps w:val="0"/>
        </w:rPr>
        <w:t xml:space="preserve"> </w:t>
      </w:r>
      <w:r>
        <w:rPr>
          <w:caps w:val="0"/>
        </w:rPr>
        <w:t>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91F05" w:rsidRDefault="00491F05" w:rsidP="00491F05">
            <w:pPr>
              <w:tabs>
                <w:tab w:val="center" w:pos="4680"/>
              </w:tabs>
              <w:suppressAutoHyphens/>
              <w:rPr>
                <w:spacing w:val="-2"/>
              </w:rPr>
            </w:pPr>
            <w:r>
              <w:rPr>
                <w:spacing w:val="-2"/>
              </w:rPr>
              <w:t xml:space="preserve">Request for Waiver of </w:t>
            </w:r>
            <w:r>
              <w:t xml:space="preserve">the Definition of </w:t>
            </w:r>
            <w:r>
              <w:br/>
              <w:t xml:space="preserve">‘Federally Recognized Tribal Land’ under </w:t>
            </w:r>
            <w:r>
              <w:br/>
              <w:t>S</w:t>
            </w:r>
            <w:r w:rsidRPr="00376FB3">
              <w:t>ection 1.2110(f)(3)</w:t>
            </w:r>
            <w:r>
              <w:t xml:space="preserve">(i) </w:t>
            </w:r>
            <w:r w:rsidRPr="00376FB3">
              <w:t xml:space="preserve">of the Commission’s </w:t>
            </w:r>
            <w:r>
              <w:t>R</w:t>
            </w:r>
            <w:r w:rsidRPr="00376FB3">
              <w:t xml:space="preserve">ules </w:t>
            </w:r>
            <w:r>
              <w:t xml:space="preserve">to Include Additional Areas within </w:t>
            </w:r>
            <w:r w:rsidRPr="00376FB3">
              <w:t xml:space="preserve">the </w:t>
            </w:r>
            <w:r>
              <w:br/>
            </w:r>
            <w:r w:rsidRPr="00376FB3">
              <w:t xml:space="preserve">Eastern Navajo Agency </w:t>
            </w:r>
            <w:r>
              <w:t>of the Navajo Nation</w:t>
            </w:r>
          </w:p>
          <w:p w:rsidR="00595E6D" w:rsidRDefault="00595E6D" w:rsidP="00370994">
            <w:pPr>
              <w:tabs>
                <w:tab w:val="center" w:pos="4680"/>
              </w:tabs>
              <w:suppressAutoHyphens/>
              <w:rPr>
                <w:spacing w:val="-2"/>
              </w:rPr>
            </w:pPr>
          </w:p>
          <w:p w:rsidR="00481DC9" w:rsidRDefault="00481DC9" w:rsidP="00481DC9">
            <w:pPr>
              <w:tabs>
                <w:tab w:val="center" w:pos="4680"/>
              </w:tabs>
              <w:suppressAutoHyphens/>
              <w:rPr>
                <w:spacing w:val="-2"/>
              </w:rPr>
            </w:pPr>
            <w:r>
              <w:rPr>
                <w:spacing w:val="-2"/>
              </w:rPr>
              <w:t>Auction of Advanced Wireless Services (AWS-3) Licenses Scheduled for November 13, 2014 (Auction 97)</w:t>
            </w:r>
          </w:p>
          <w:p w:rsidR="0014302B" w:rsidRPr="007115F7" w:rsidRDefault="0014302B" w:rsidP="0014302B">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F25B30" w:rsidRDefault="00F25B30" w:rsidP="00481DC9">
            <w:pPr>
              <w:tabs>
                <w:tab w:val="center" w:pos="4680"/>
              </w:tabs>
              <w:suppressAutoHyphens/>
              <w:rPr>
                <w:b/>
                <w:spacing w:val="-2"/>
              </w:rPr>
            </w:pPr>
            <w:r>
              <w:rPr>
                <w:b/>
                <w:spacing w:val="-2"/>
              </w:rPr>
              <w:t>)</w:t>
            </w:r>
          </w:p>
          <w:p w:rsidR="00491F05" w:rsidRDefault="00491F05" w:rsidP="00481DC9">
            <w:pPr>
              <w:tabs>
                <w:tab w:val="center" w:pos="4680"/>
              </w:tabs>
              <w:suppressAutoHyphens/>
              <w:rPr>
                <w:b/>
                <w:spacing w:val="-2"/>
              </w:rPr>
            </w:pPr>
            <w:r>
              <w:rPr>
                <w:b/>
                <w:spacing w:val="-2"/>
              </w:rPr>
              <w:t>)</w:t>
            </w:r>
          </w:p>
          <w:p w:rsidR="00491F05" w:rsidRDefault="00491F05" w:rsidP="00481DC9">
            <w:pPr>
              <w:tabs>
                <w:tab w:val="center" w:pos="4680"/>
              </w:tabs>
              <w:suppressAutoHyphens/>
              <w:rPr>
                <w:b/>
                <w:spacing w:val="-2"/>
              </w:rPr>
            </w:pPr>
            <w:r>
              <w:rPr>
                <w:b/>
                <w:spacing w:val="-2"/>
              </w:rPr>
              <w:t>)</w:t>
            </w:r>
          </w:p>
          <w:p w:rsidR="00491F05" w:rsidRDefault="00491F05" w:rsidP="00481DC9">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81DC9" w:rsidRDefault="00481DC9" w:rsidP="00481DC9"/>
          <w:p w:rsidR="00481DC9" w:rsidRDefault="00481DC9" w:rsidP="00481DC9"/>
          <w:p w:rsidR="00491F05" w:rsidRDefault="00491F05" w:rsidP="00481DC9"/>
          <w:p w:rsidR="00491F05" w:rsidRDefault="00491F05" w:rsidP="00481DC9"/>
          <w:p w:rsidR="00491F05" w:rsidRDefault="00491F05" w:rsidP="00481DC9"/>
          <w:p w:rsidR="00481DC9" w:rsidRDefault="00481DC9" w:rsidP="00481DC9"/>
          <w:p w:rsidR="004C2EE3" w:rsidRDefault="00623803">
            <w:pPr>
              <w:tabs>
                <w:tab w:val="center" w:pos="4680"/>
              </w:tabs>
              <w:suppressAutoHyphens/>
              <w:rPr>
                <w:spacing w:val="-2"/>
              </w:rPr>
            </w:pPr>
            <w:r>
              <w:rPr>
                <w:spacing w:val="-2"/>
              </w:rPr>
              <w:t>AU Docket 14-78</w:t>
            </w:r>
          </w:p>
        </w:tc>
      </w:tr>
      <w:tr w:rsidR="0014302B">
        <w:tc>
          <w:tcPr>
            <w:tcW w:w="4698" w:type="dxa"/>
          </w:tcPr>
          <w:p w:rsidR="0014302B" w:rsidRDefault="0014302B">
            <w:pPr>
              <w:tabs>
                <w:tab w:val="center" w:pos="4680"/>
              </w:tabs>
              <w:suppressAutoHyphens/>
              <w:rPr>
                <w:spacing w:val="-2"/>
              </w:rPr>
            </w:pPr>
          </w:p>
        </w:tc>
        <w:tc>
          <w:tcPr>
            <w:tcW w:w="630" w:type="dxa"/>
          </w:tcPr>
          <w:p w:rsidR="0014302B" w:rsidRDefault="0014302B">
            <w:pPr>
              <w:tabs>
                <w:tab w:val="center" w:pos="4680"/>
              </w:tabs>
              <w:suppressAutoHyphens/>
              <w:rPr>
                <w:b/>
                <w:spacing w:val="-2"/>
              </w:rPr>
            </w:pPr>
          </w:p>
        </w:tc>
        <w:tc>
          <w:tcPr>
            <w:tcW w:w="4248" w:type="dxa"/>
          </w:tcPr>
          <w:p w:rsidR="0014302B" w:rsidRDefault="0014302B">
            <w:pPr>
              <w:tabs>
                <w:tab w:val="center" w:pos="4680"/>
              </w:tabs>
              <w:suppressAutoHyphens/>
              <w:rPr>
                <w:spacing w:val="-2"/>
              </w:rPr>
            </w:pPr>
          </w:p>
        </w:tc>
      </w:tr>
    </w:tbl>
    <w:p w:rsidR="00841AB1" w:rsidRDefault="00C77886"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360599">
        <w:rPr>
          <w:b/>
          <w:spacing w:val="-2"/>
        </w:rPr>
        <w:t>November 1</w:t>
      </w:r>
      <w:r w:rsidR="00F90963">
        <w:rPr>
          <w:b/>
          <w:spacing w:val="-2"/>
        </w:rPr>
        <w:t>2</w:t>
      </w:r>
      <w:r w:rsidR="00360599">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60599">
        <w:rPr>
          <w:b/>
          <w:spacing w:val="-2"/>
        </w:rPr>
        <w:t>November 12, 2014</w:t>
      </w:r>
    </w:p>
    <w:p w:rsidR="00822CE0" w:rsidRDefault="00822CE0"/>
    <w:p w:rsidR="00822CE0" w:rsidRDefault="004C2EE3">
      <w:pPr>
        <w:rPr>
          <w:spacing w:val="-2"/>
        </w:rPr>
      </w:pPr>
      <w:r>
        <w:t xml:space="preserve">By </w:t>
      </w:r>
      <w:r w:rsidR="004E4A22">
        <w:t>the</w:t>
      </w:r>
      <w:r w:rsidR="002A2D2E">
        <w:t xml:space="preserve"> </w:t>
      </w:r>
      <w:r w:rsidR="0045410B">
        <w:t xml:space="preserve">Chief, </w:t>
      </w:r>
      <w:r w:rsidR="00E45902">
        <w:t>Wireless Telecommunications Bureau</w:t>
      </w:r>
      <w:r w:rsidR="00AA632D">
        <w:t>:</w:t>
      </w:r>
    </w:p>
    <w:p w:rsidR="00412FC5" w:rsidRDefault="00412FC5" w:rsidP="00412FC5"/>
    <w:p w:rsidR="002C00E8" w:rsidRDefault="00623803" w:rsidP="002C00E8">
      <w:pPr>
        <w:pStyle w:val="Heading1"/>
      </w:pPr>
      <w:r>
        <w:t>introduction</w:t>
      </w:r>
    </w:p>
    <w:p w:rsidR="00376FB3" w:rsidRPr="00376FB3" w:rsidRDefault="00376FB3" w:rsidP="00B5573C">
      <w:pPr>
        <w:pStyle w:val="ParaNum"/>
      </w:pPr>
      <w:r w:rsidRPr="00376FB3">
        <w:t xml:space="preserve">In this Order, we grant a request </w:t>
      </w:r>
      <w:r w:rsidR="008E1D70">
        <w:t xml:space="preserve">to </w:t>
      </w:r>
      <w:r w:rsidRPr="00376FB3">
        <w:t xml:space="preserve">waive </w:t>
      </w:r>
      <w:r w:rsidR="00A13C55">
        <w:t xml:space="preserve">the definition of ‘federally recognized </w:t>
      </w:r>
      <w:r w:rsidR="00124381">
        <w:t>Tribal</w:t>
      </w:r>
      <w:r w:rsidR="00A13C55">
        <w:t xml:space="preserve"> land’ u</w:t>
      </w:r>
      <w:r w:rsidR="00EF2B8F">
        <w:t>n</w:t>
      </w:r>
      <w:r w:rsidR="00A13C55">
        <w:t>der</w:t>
      </w:r>
      <w:r w:rsidR="00EF2B8F">
        <w:t xml:space="preserve"> </w:t>
      </w:r>
      <w:r w:rsidR="00ED0421">
        <w:t>S</w:t>
      </w:r>
      <w:r w:rsidRPr="00376FB3">
        <w:t xml:space="preserve">ection 1.2110(f)(3)(i) of the Commission’s rules </w:t>
      </w:r>
      <w:r w:rsidR="00F04025">
        <w:t xml:space="preserve">to </w:t>
      </w:r>
      <w:r w:rsidR="00EF2B8F">
        <w:t xml:space="preserve">expand the definition to include additional areas within </w:t>
      </w:r>
      <w:r w:rsidRPr="00376FB3">
        <w:t xml:space="preserve"> the Eastern Navajo Agency </w:t>
      </w:r>
      <w:r w:rsidR="00EF2B8F">
        <w:t>of the Navajo Nation</w:t>
      </w:r>
      <w:r w:rsidRPr="00376FB3">
        <w:t xml:space="preserve"> </w:t>
      </w:r>
      <w:r w:rsidR="00EF2B8F">
        <w:t xml:space="preserve">to allow any winning bidder in Auction 97 to seek eligibility </w:t>
      </w:r>
      <w:r w:rsidRPr="00376FB3">
        <w:t xml:space="preserve">for </w:t>
      </w:r>
      <w:r w:rsidR="00CF11B1">
        <w:t>T</w:t>
      </w:r>
      <w:r w:rsidRPr="00376FB3">
        <w:t xml:space="preserve">ribal </w:t>
      </w:r>
      <w:r w:rsidR="008A537B">
        <w:t>l</w:t>
      </w:r>
      <w:r w:rsidRPr="00376FB3">
        <w:t xml:space="preserve">ands </w:t>
      </w:r>
      <w:r w:rsidR="008A537B">
        <w:t>b</w:t>
      </w:r>
      <w:r w:rsidRPr="00376FB3">
        <w:t xml:space="preserve">idding </w:t>
      </w:r>
      <w:r w:rsidR="008A537B">
        <w:t>c</w:t>
      </w:r>
      <w:r w:rsidR="00E45902">
        <w:t>redit</w:t>
      </w:r>
      <w:r w:rsidR="001D005E">
        <w:t xml:space="preserve">s (TLBC) </w:t>
      </w:r>
      <w:r w:rsidR="00EF2B8F">
        <w:t>in those underserved areas of New Mexico</w:t>
      </w:r>
      <w:r w:rsidR="006C7E31">
        <w:t>.</w:t>
      </w:r>
      <w:r w:rsidR="007E0BB8" w:rsidRPr="00376FB3">
        <w:rPr>
          <w:vertAlign w:val="superscript"/>
        </w:rPr>
        <w:footnoteReference w:id="2"/>
      </w:r>
      <w:r w:rsidR="006C7E31">
        <w:t xml:space="preserve">  </w:t>
      </w:r>
      <w:r w:rsidR="00A52D4A">
        <w:t xml:space="preserve">Granting this </w:t>
      </w:r>
      <w:r w:rsidR="006C7E31">
        <w:t>relief</w:t>
      </w:r>
      <w:r w:rsidR="00D07658">
        <w:t xml:space="preserve"> </w:t>
      </w:r>
      <w:r w:rsidR="006C7E31">
        <w:t>promotes the purpose of the TLBC</w:t>
      </w:r>
      <w:r w:rsidR="001B2C2F">
        <w:t>, which is</w:t>
      </w:r>
      <w:r w:rsidR="006C7E31">
        <w:t xml:space="preserve"> to </w:t>
      </w:r>
      <w:r w:rsidR="001B2C2F">
        <w:t xml:space="preserve">encourage </w:t>
      </w:r>
      <w:r w:rsidR="006C7E31">
        <w:t xml:space="preserve">the </w:t>
      </w:r>
      <w:r w:rsidR="001B2C2F">
        <w:t xml:space="preserve">deployment </w:t>
      </w:r>
      <w:r w:rsidR="006C7E31">
        <w:t xml:space="preserve">of wireless services </w:t>
      </w:r>
      <w:r w:rsidR="00103C55">
        <w:t>on</w:t>
      </w:r>
      <w:r w:rsidR="006C7E31">
        <w:t xml:space="preserve"> </w:t>
      </w:r>
      <w:r w:rsidR="00CF11B1">
        <w:t>T</w:t>
      </w:r>
      <w:r w:rsidR="00D07658">
        <w:t>ribal lands with wireline subscription rates significan</w:t>
      </w:r>
      <w:r w:rsidR="00F14A86">
        <w:t>tly below the national average</w:t>
      </w:r>
      <w:r w:rsidR="001B2C2F">
        <w:t>.</w:t>
      </w:r>
      <w:r w:rsidR="00F14A86">
        <w:t xml:space="preserve"> </w:t>
      </w:r>
      <w:r w:rsidR="00591680">
        <w:t xml:space="preserve"> </w:t>
      </w:r>
      <w:r w:rsidR="001B2C2F">
        <w:t xml:space="preserve">This action </w:t>
      </w:r>
      <w:r w:rsidR="007627D6">
        <w:t>will enable</w:t>
      </w:r>
      <w:r w:rsidR="001B2C2F">
        <w:t xml:space="preserve"> </w:t>
      </w:r>
      <w:r w:rsidR="00EF2B8F">
        <w:t xml:space="preserve">any </w:t>
      </w:r>
      <w:r w:rsidR="00D07658">
        <w:t xml:space="preserve">winning bidder in Auction 97 </w:t>
      </w:r>
      <w:r w:rsidR="00B5573C">
        <w:t>(</w:t>
      </w:r>
      <w:r w:rsidR="00133975">
        <w:t xml:space="preserve">for </w:t>
      </w:r>
      <w:r w:rsidR="00B5573C" w:rsidRPr="00B5573C">
        <w:t>the 1695-1710 MHz, 1755-1780 MHz, and 2155-2180 MHz bands (collectively, the AWS-3 bands</w:t>
      </w:r>
      <w:r w:rsidR="00B5573C">
        <w:t>)</w:t>
      </w:r>
      <w:r w:rsidR="00B5573C" w:rsidRPr="00B5573C">
        <w:t>)</w:t>
      </w:r>
      <w:r w:rsidR="00B5573C">
        <w:t xml:space="preserve"> </w:t>
      </w:r>
      <w:r w:rsidR="00B5573C" w:rsidRPr="00B5573C">
        <w:t>seek</w:t>
      </w:r>
      <w:r w:rsidR="00C4438E">
        <w:t>ing</w:t>
      </w:r>
      <w:r w:rsidR="00B5573C" w:rsidRPr="00B5573C">
        <w:t xml:space="preserve"> a TLBC </w:t>
      </w:r>
      <w:r w:rsidR="00B5573C">
        <w:t xml:space="preserve">in its long-form application for </w:t>
      </w:r>
      <w:r w:rsidR="0029293F">
        <w:t xml:space="preserve">a license covering any of the Eastern Navajo Agency </w:t>
      </w:r>
      <w:r w:rsidR="00C4438E">
        <w:t xml:space="preserve">to include the </w:t>
      </w:r>
      <w:r w:rsidR="0029293F">
        <w:t>census blocks identified in the Appendix to this Order</w:t>
      </w:r>
      <w:r w:rsidR="007E0BB8">
        <w:t>.</w:t>
      </w:r>
      <w:r w:rsidR="00D07658" w:rsidRPr="00376FB3">
        <w:rPr>
          <w:vertAlign w:val="superscript"/>
        </w:rPr>
        <w:footnoteReference w:id="3"/>
      </w:r>
      <w:r w:rsidR="00D07658">
        <w:t xml:space="preserve">  </w:t>
      </w:r>
    </w:p>
    <w:p w:rsidR="00376FB3" w:rsidRPr="00376FB3" w:rsidRDefault="00376FB3" w:rsidP="00376FB3">
      <w:pPr>
        <w:pStyle w:val="Heading1"/>
        <w:rPr>
          <w:rFonts w:eastAsia="Calibri"/>
          <w:snapToGrid/>
        </w:rPr>
      </w:pPr>
      <w:r w:rsidRPr="00376FB3">
        <w:rPr>
          <w:rFonts w:eastAsia="Calibri"/>
          <w:snapToGrid/>
        </w:rPr>
        <w:t>BACKGROUND</w:t>
      </w:r>
    </w:p>
    <w:p w:rsidR="00376FB3" w:rsidRDefault="00376FB3" w:rsidP="00376FB3">
      <w:pPr>
        <w:pStyle w:val="Heading2"/>
        <w:rPr>
          <w:rFonts w:eastAsia="Calibri"/>
          <w:snapToGrid/>
        </w:rPr>
      </w:pPr>
      <w:r w:rsidRPr="00376FB3">
        <w:rPr>
          <w:rFonts w:eastAsia="Calibri"/>
          <w:snapToGrid/>
        </w:rPr>
        <w:t>The Tribal Lands Bidding Credit</w:t>
      </w:r>
    </w:p>
    <w:p w:rsidR="00376FB3" w:rsidRPr="00376FB3" w:rsidRDefault="003F0057" w:rsidP="007E1F94">
      <w:pPr>
        <w:pStyle w:val="ParaNum"/>
      </w:pPr>
      <w:r w:rsidRPr="00376FB3">
        <w:t xml:space="preserve">Under the Commission’s </w:t>
      </w:r>
      <w:r w:rsidR="00A32220">
        <w:t xml:space="preserve">standard competitive bidding rules found in Part 1, Subpart Q of the Commission’s rules, </w:t>
      </w:r>
      <w:r w:rsidR="00CA69E6">
        <w:t>a</w:t>
      </w:r>
      <w:r w:rsidR="00CA69E6" w:rsidRPr="00F27D94">
        <w:t xml:space="preserve"> winning bidder that intends to use its license(s) to deploy facilities and provide services to </w:t>
      </w:r>
      <w:r w:rsidR="00CA69E6">
        <w:t xml:space="preserve">“qualifying </w:t>
      </w:r>
      <w:r w:rsidR="00F00C26">
        <w:t>[T]</w:t>
      </w:r>
      <w:r w:rsidR="00124381">
        <w:t>r</w:t>
      </w:r>
      <w:r w:rsidR="00CA69E6">
        <w:t xml:space="preserve">ibal land” </w:t>
      </w:r>
      <w:r w:rsidR="00FF6500">
        <w:t xml:space="preserve">is eligible to receive a TLBC </w:t>
      </w:r>
      <w:r w:rsidR="00CA69E6" w:rsidRPr="00F27D94">
        <w:t xml:space="preserve">as set forth in </w:t>
      </w:r>
      <w:r w:rsidR="00697CF0">
        <w:t>S</w:t>
      </w:r>
      <w:r w:rsidR="00CA69E6" w:rsidRPr="00F27D94">
        <w:t>ections 1.2107</w:t>
      </w:r>
      <w:r w:rsidR="007243AC">
        <w:t>(e)</w:t>
      </w:r>
      <w:r w:rsidR="00CA69E6" w:rsidRPr="00F27D94">
        <w:t xml:space="preserve"> and </w:t>
      </w:r>
      <w:r w:rsidR="00CA69E6" w:rsidRPr="00F27D94">
        <w:lastRenderedPageBreak/>
        <w:t>1.2110(f)</w:t>
      </w:r>
      <w:r w:rsidR="00A32220">
        <w:t>.</w:t>
      </w:r>
      <w:r w:rsidR="00CA69E6" w:rsidRPr="00DA3070">
        <w:rPr>
          <w:rStyle w:val="FootnoteReference"/>
        </w:rPr>
        <w:footnoteReference w:id="4"/>
      </w:r>
      <w:r w:rsidR="00CA69E6" w:rsidRPr="00DA3070">
        <w:t xml:space="preserve">  </w:t>
      </w:r>
      <w:r w:rsidR="00FC3560">
        <w:t xml:space="preserve">Under the </w:t>
      </w:r>
      <w:r w:rsidR="00423B24">
        <w:t>TLBC rule, a</w:t>
      </w:r>
      <w:r w:rsidR="00E47AC8">
        <w:t xml:space="preserve"> “qualifying </w:t>
      </w:r>
      <w:r w:rsidR="00B7361B">
        <w:t>[T]</w:t>
      </w:r>
      <w:r w:rsidR="00E47AC8">
        <w:t>ribal land</w:t>
      </w:r>
      <w:r w:rsidR="00376FB3" w:rsidRPr="00376FB3">
        <w:t xml:space="preserve">” </w:t>
      </w:r>
      <w:r w:rsidR="00514862" w:rsidRPr="00376FB3">
        <w:t>is any federally recognized Indian tribe’s reservation</w:t>
      </w:r>
      <w:r w:rsidR="00376FB3" w:rsidRPr="00376FB3">
        <w:t>, Pueblo, or Colony</w:t>
      </w:r>
      <w:r w:rsidR="00401189">
        <w:t>—</w:t>
      </w:r>
      <w:r w:rsidR="00376FB3" w:rsidRPr="00376FB3">
        <w:t>including former reservations in Oklahoma, Alaska Native regions established pursuant to the Alaska Native Claims Settlement Act (85 Stat. 688), and Indian allotments</w:t>
      </w:r>
      <w:r w:rsidR="00401189">
        <w:t>—</w:t>
      </w:r>
      <w:r w:rsidR="00376FB3" w:rsidRPr="00376FB3">
        <w:t>that has a wireline telephone subscription rate equal to or less than 85 percent based on the most recently available U.S. Census Data.</w:t>
      </w:r>
      <w:r w:rsidR="00376FB3" w:rsidRPr="00376FB3">
        <w:rPr>
          <w:vertAlign w:val="superscript"/>
        </w:rPr>
        <w:footnoteReference w:id="5"/>
      </w:r>
      <w:r w:rsidR="00376FB3" w:rsidRPr="00376FB3">
        <w:t xml:space="preserve"> </w:t>
      </w:r>
      <w:r w:rsidR="0001556A">
        <w:t xml:space="preserve"> </w:t>
      </w:r>
      <w:r w:rsidR="00005DF6">
        <w:t xml:space="preserve">In summary, </w:t>
      </w:r>
      <w:r w:rsidR="00376FB3" w:rsidRPr="00376FB3">
        <w:t xml:space="preserve">to be eligible for a </w:t>
      </w:r>
      <w:r w:rsidR="006517B6">
        <w:t xml:space="preserve">TLBC </w:t>
      </w:r>
      <w:r w:rsidR="00F61E9D">
        <w:t xml:space="preserve">in </w:t>
      </w:r>
      <w:r w:rsidR="006517B6">
        <w:t xml:space="preserve">Auction 97, </w:t>
      </w:r>
      <w:r w:rsidR="001B2C2F">
        <w:t>an</w:t>
      </w:r>
      <w:r w:rsidR="00376FB3" w:rsidRPr="00376FB3">
        <w:t xml:space="preserve"> </w:t>
      </w:r>
      <w:r w:rsidR="00E65B7E">
        <w:t xml:space="preserve">AWS-3 </w:t>
      </w:r>
      <w:r w:rsidR="0001556A">
        <w:t>license must cover an area that</w:t>
      </w:r>
      <w:r w:rsidR="00376FB3" w:rsidRPr="00376FB3">
        <w:t xml:space="preserve">: </w:t>
      </w:r>
      <w:r w:rsidR="0001556A">
        <w:t xml:space="preserve"> </w:t>
      </w:r>
      <w:r w:rsidR="00376FB3" w:rsidRPr="00376FB3">
        <w:t xml:space="preserve">(1) is a federally recognized </w:t>
      </w:r>
      <w:r w:rsidR="00124381">
        <w:t>Tribal</w:t>
      </w:r>
      <w:r w:rsidR="00376FB3" w:rsidRPr="00376FB3">
        <w:t xml:space="preserve"> land and (2) has a wireline penet</w:t>
      </w:r>
      <w:r w:rsidR="00F27D94">
        <w:t>ration rate of no more than 85 percent.</w:t>
      </w:r>
      <w:r w:rsidR="00376FB3" w:rsidRPr="00376FB3">
        <w:rPr>
          <w:vertAlign w:val="superscript"/>
        </w:rPr>
        <w:footnoteReference w:id="6"/>
      </w:r>
      <w:r w:rsidR="00805579">
        <w:t xml:space="preserve">  </w:t>
      </w:r>
    </w:p>
    <w:p w:rsidR="00376FB3" w:rsidRPr="00376FB3" w:rsidRDefault="00376FB3" w:rsidP="00376FB3">
      <w:pPr>
        <w:pStyle w:val="Heading2"/>
        <w:rPr>
          <w:rFonts w:eastAsia="Calibri"/>
          <w:snapToGrid/>
        </w:rPr>
      </w:pPr>
      <w:r w:rsidRPr="00376FB3">
        <w:rPr>
          <w:rFonts w:eastAsia="Calibri"/>
          <w:snapToGrid/>
        </w:rPr>
        <w:t>Petition for Waiver</w:t>
      </w:r>
    </w:p>
    <w:p w:rsidR="005064B2" w:rsidRDefault="00EF2B8F" w:rsidP="008C57B4">
      <w:pPr>
        <w:pStyle w:val="ParaNum"/>
      </w:pPr>
      <w:bookmarkStart w:id="1" w:name="_Ref401834576"/>
      <w:r>
        <w:t>In its request for waiver, Smith Bagley, Inc. (</w:t>
      </w:r>
      <w:r w:rsidR="00F20549">
        <w:t>SBI</w:t>
      </w:r>
      <w:r>
        <w:t>)</w:t>
      </w:r>
      <w:r w:rsidR="00F20549">
        <w:t xml:space="preserve"> states that </w:t>
      </w:r>
      <w:r w:rsidR="00005DF6">
        <w:t>t</w:t>
      </w:r>
      <w:r w:rsidR="00005DF6" w:rsidRPr="00376FB3">
        <w:t xml:space="preserve">he Eastern Navajo Agency </w:t>
      </w:r>
      <w:r w:rsidR="005064B2">
        <w:t xml:space="preserve">is not </w:t>
      </w:r>
      <w:r w:rsidR="00C01640">
        <w:t xml:space="preserve">a </w:t>
      </w:r>
      <w:r w:rsidR="00005DF6">
        <w:t>qualif</w:t>
      </w:r>
      <w:r w:rsidR="00E65B7E">
        <w:t xml:space="preserve">ying </w:t>
      </w:r>
      <w:r w:rsidR="00EE3A66">
        <w:t>T</w:t>
      </w:r>
      <w:r w:rsidR="00005DF6">
        <w:t xml:space="preserve">ribal land </w:t>
      </w:r>
      <w:r w:rsidR="00C61BC9">
        <w:t xml:space="preserve">under </w:t>
      </w:r>
      <w:r w:rsidR="00000C63">
        <w:t>s</w:t>
      </w:r>
      <w:r w:rsidR="00C61BC9">
        <w:t xml:space="preserve">ection 1.2110(f)(3)(i) </w:t>
      </w:r>
      <w:r w:rsidR="00005DF6">
        <w:t xml:space="preserve">because </w:t>
      </w:r>
      <w:r w:rsidR="00005DF6" w:rsidRPr="00376FB3">
        <w:t xml:space="preserve">it </w:t>
      </w:r>
      <w:r w:rsidR="00EE3A66">
        <w:t xml:space="preserve">does not meet the definition </w:t>
      </w:r>
      <w:r w:rsidR="00697CF0">
        <w:t xml:space="preserve">set forth </w:t>
      </w:r>
      <w:r w:rsidR="00EE3A66">
        <w:t xml:space="preserve">in the rule </w:t>
      </w:r>
      <w:r w:rsidR="00697CF0">
        <w:t xml:space="preserve">for </w:t>
      </w:r>
      <w:r w:rsidR="00EE3A66">
        <w:t xml:space="preserve"> a </w:t>
      </w:r>
      <w:r w:rsidR="00005DF6" w:rsidRPr="00376FB3">
        <w:t xml:space="preserve">federally recognized </w:t>
      </w:r>
      <w:r w:rsidR="00EE3A66">
        <w:t>T</w:t>
      </w:r>
      <w:r w:rsidR="004F5263">
        <w:t>ribal land.</w:t>
      </w:r>
      <w:r w:rsidR="00AA5ECA">
        <w:rPr>
          <w:rStyle w:val="FootnoteReference"/>
        </w:rPr>
        <w:footnoteReference w:id="7"/>
      </w:r>
      <w:r w:rsidR="004F5263">
        <w:t xml:space="preserve">  </w:t>
      </w:r>
      <w:r w:rsidR="005064B2" w:rsidRPr="00376FB3">
        <w:t xml:space="preserve">SBI </w:t>
      </w:r>
      <w:r w:rsidR="004F5263">
        <w:t xml:space="preserve">seeks a waiver of this rule </w:t>
      </w:r>
      <w:r w:rsidR="001B2C2F">
        <w:t xml:space="preserve">to permit </w:t>
      </w:r>
      <w:r w:rsidR="00F54453" w:rsidRPr="00376FB3">
        <w:t xml:space="preserve">any winning bidder of an AWS-3 license </w:t>
      </w:r>
      <w:r w:rsidR="00C01640">
        <w:t xml:space="preserve">in Auction 97 </w:t>
      </w:r>
      <w:r w:rsidR="004F5263">
        <w:t xml:space="preserve">to treat </w:t>
      </w:r>
      <w:r w:rsidR="00C61BC9">
        <w:t xml:space="preserve">the Eastern Navajo Agency as a federally recognized </w:t>
      </w:r>
      <w:r w:rsidR="00EE3A66">
        <w:t>T</w:t>
      </w:r>
      <w:r w:rsidR="00C61BC9">
        <w:t>ribal land for purposes of the TLBC.</w:t>
      </w:r>
      <w:r w:rsidR="00C957C1">
        <w:rPr>
          <w:rStyle w:val="FootnoteReference"/>
        </w:rPr>
        <w:footnoteReference w:id="8"/>
      </w:r>
      <w:r w:rsidR="00C61BC9">
        <w:t xml:space="preserve"> </w:t>
      </w:r>
      <w:r w:rsidR="005064B2">
        <w:t xml:space="preserve"> </w:t>
      </w:r>
      <w:r w:rsidR="00C01640">
        <w:t xml:space="preserve">SBI contends that </w:t>
      </w:r>
      <w:r w:rsidR="005064B2" w:rsidRPr="00376FB3">
        <w:t>a waiver</w:t>
      </w:r>
      <w:r w:rsidR="000142BC">
        <w:t xml:space="preserve"> permit</w:t>
      </w:r>
      <w:r w:rsidR="003714D6">
        <w:t>ting</w:t>
      </w:r>
      <w:r w:rsidR="000142BC">
        <w:t xml:space="preserve"> a winning bidder to seek a TLBC</w:t>
      </w:r>
      <w:r w:rsidR="003714D6">
        <w:t xml:space="preserve"> for the </w:t>
      </w:r>
      <w:r w:rsidR="003714D6" w:rsidRPr="00376FB3">
        <w:t>Eastern Navajo Agency</w:t>
      </w:r>
      <w:r w:rsidR="000142BC">
        <w:t xml:space="preserve"> </w:t>
      </w:r>
      <w:r w:rsidR="003714D6">
        <w:t xml:space="preserve">should increase </w:t>
      </w:r>
      <w:r w:rsidR="00296D25" w:rsidRPr="00376FB3">
        <w:t xml:space="preserve">the amount of capital that a winning bidder would </w:t>
      </w:r>
      <w:r w:rsidR="003714D6">
        <w:t>have available</w:t>
      </w:r>
      <w:r w:rsidR="00296D25" w:rsidRPr="00376FB3">
        <w:t xml:space="preserve"> to invest in this historically unserved and underserved area.</w:t>
      </w:r>
      <w:r w:rsidR="00296D25" w:rsidRPr="00376FB3">
        <w:rPr>
          <w:vertAlign w:val="superscript"/>
        </w:rPr>
        <w:footnoteReference w:id="9"/>
      </w:r>
      <w:r w:rsidR="00296D25" w:rsidRPr="00376FB3">
        <w:t xml:space="preserve"> </w:t>
      </w:r>
      <w:r w:rsidR="00296D25">
        <w:t xml:space="preserve"> </w:t>
      </w:r>
      <w:r w:rsidR="000142BC">
        <w:t>SBI states that w</w:t>
      </w:r>
      <w:r w:rsidR="005064B2" w:rsidRPr="00376FB3">
        <w:t xml:space="preserve">ithout the </w:t>
      </w:r>
      <w:r w:rsidR="00103C55">
        <w:t xml:space="preserve">availability of a </w:t>
      </w:r>
      <w:r w:rsidR="005064B2">
        <w:t xml:space="preserve">TLBC, </w:t>
      </w:r>
      <w:r w:rsidR="005064B2" w:rsidRPr="00376FB3">
        <w:t>carriers may be unwilling to bid on licenses that cover the Eastern Navajo Agency or</w:t>
      </w:r>
      <w:r w:rsidR="005064B2">
        <w:t>,</w:t>
      </w:r>
      <w:r w:rsidR="005064B2" w:rsidRPr="00376FB3">
        <w:t xml:space="preserve"> if they win, will focus </w:t>
      </w:r>
      <w:r w:rsidR="003D04EB">
        <w:t>their build-</w:t>
      </w:r>
      <w:r w:rsidR="002B462D">
        <w:t>out</w:t>
      </w:r>
      <w:r w:rsidR="003D04EB">
        <w:t>s</w:t>
      </w:r>
      <w:r w:rsidR="002B462D">
        <w:t xml:space="preserve"> </w:t>
      </w:r>
      <w:r w:rsidR="005064B2" w:rsidRPr="00376FB3">
        <w:t>after the auction on other, more populated</w:t>
      </w:r>
      <w:r w:rsidR="002B462D">
        <w:t xml:space="preserve"> areas, “leaving sparsely populated and demographically challenging areas behind.”</w:t>
      </w:r>
      <w:r w:rsidR="005064B2" w:rsidRPr="00376FB3">
        <w:rPr>
          <w:vertAlign w:val="superscript"/>
        </w:rPr>
        <w:footnoteReference w:id="10"/>
      </w:r>
      <w:r w:rsidR="005064B2" w:rsidRPr="00376FB3">
        <w:t xml:space="preserve"> </w:t>
      </w:r>
    </w:p>
    <w:p w:rsidR="00BD26AD" w:rsidRDefault="00ED7F2C" w:rsidP="008C57B4">
      <w:pPr>
        <w:pStyle w:val="ParaNum"/>
      </w:pPr>
      <w:r>
        <w:t xml:space="preserve">In support, </w:t>
      </w:r>
      <w:r w:rsidR="00AA5ECA">
        <w:t xml:space="preserve">SBI </w:t>
      </w:r>
      <w:r>
        <w:t xml:space="preserve">explains that </w:t>
      </w:r>
      <w:r w:rsidR="00376FB3" w:rsidRPr="00376FB3">
        <w:t xml:space="preserve">the Navajo Nation </w:t>
      </w:r>
      <w:r w:rsidR="00BF5AC0">
        <w:t xml:space="preserve">consists </w:t>
      </w:r>
      <w:r w:rsidR="000D5BF4">
        <w:t>of five Agencies</w:t>
      </w:r>
      <w:bookmarkStart w:id="2" w:name="_Ref402457767"/>
      <w:r w:rsidR="00B46513">
        <w:rPr>
          <w:rStyle w:val="FootnoteReference"/>
        </w:rPr>
        <w:footnoteReference w:id="11"/>
      </w:r>
      <w:bookmarkEnd w:id="2"/>
      <w:r w:rsidR="000D5BF4">
        <w:t xml:space="preserve">—four that are federally recognized </w:t>
      </w:r>
      <w:r w:rsidR="00124381">
        <w:t>Tribal</w:t>
      </w:r>
      <w:r w:rsidR="000D5BF4">
        <w:t xml:space="preserve"> lands and the Eastern Navajo Agency, which is not a federally recognized </w:t>
      </w:r>
      <w:r w:rsidR="00124381">
        <w:t>Tribal</w:t>
      </w:r>
      <w:r w:rsidR="000D5BF4">
        <w:t xml:space="preserve"> land</w:t>
      </w:r>
      <w:r w:rsidR="000D5BF4" w:rsidRPr="000D5BF4">
        <w:t xml:space="preserve"> </w:t>
      </w:r>
      <w:r w:rsidR="000D5BF4" w:rsidRPr="00376FB3">
        <w:t>because some of the land “is held by many different categories of owners, including individual Navajo citizens, the federal government, the state of New Mexico, and private non-tribal landowners</w:t>
      </w:r>
      <w:r w:rsidR="00D65438">
        <w:t>. . .</w:t>
      </w:r>
      <w:r w:rsidR="00296D25">
        <w:t> .</w:t>
      </w:r>
      <w:r w:rsidR="000D5BF4" w:rsidRPr="00376FB3">
        <w:t>”</w:t>
      </w:r>
      <w:bookmarkStart w:id="3" w:name="_Ref401939683"/>
      <w:r w:rsidR="000D5BF4" w:rsidRPr="00376FB3">
        <w:rPr>
          <w:vertAlign w:val="superscript"/>
        </w:rPr>
        <w:footnoteReference w:id="12"/>
      </w:r>
      <w:bookmarkEnd w:id="3"/>
      <w:r w:rsidR="000D5BF4" w:rsidRPr="00376FB3">
        <w:t xml:space="preserve"> </w:t>
      </w:r>
      <w:r w:rsidR="000D5BF4">
        <w:t xml:space="preserve"> </w:t>
      </w:r>
      <w:r>
        <w:t xml:space="preserve">SBI notes that </w:t>
      </w:r>
      <w:r w:rsidRPr="00376FB3">
        <w:t xml:space="preserve">the vast majority of the residents of the Eastern Navajo Agency are Navajo Nation </w:t>
      </w:r>
      <w:r w:rsidR="00124381">
        <w:t>Tribal</w:t>
      </w:r>
      <w:r w:rsidRPr="00376FB3">
        <w:t xml:space="preserve"> members with full citizenship rights, including the right to </w:t>
      </w:r>
      <w:r w:rsidRPr="00AE6848">
        <w:t>vote in Navajo elections.</w:t>
      </w:r>
      <w:r w:rsidRPr="00376FB3">
        <w:rPr>
          <w:vertAlign w:val="superscript"/>
        </w:rPr>
        <w:footnoteReference w:id="13"/>
      </w:r>
      <w:r>
        <w:t xml:space="preserve">  Furthermore, SBI states that </w:t>
      </w:r>
      <w:r w:rsidR="00C1263E">
        <w:t xml:space="preserve">in the Eastern Navajo Agency, </w:t>
      </w:r>
      <w:r>
        <w:t xml:space="preserve">the Navajo </w:t>
      </w:r>
      <w:r w:rsidR="00124381">
        <w:t>Tribal</w:t>
      </w:r>
      <w:r>
        <w:t xml:space="preserve"> government </w:t>
      </w:r>
      <w:r w:rsidR="00376FB3" w:rsidRPr="00376FB3">
        <w:lastRenderedPageBreak/>
        <w:t xml:space="preserve">administers </w:t>
      </w:r>
      <w:r w:rsidR="00124381">
        <w:t>Tribal</w:t>
      </w:r>
      <w:r w:rsidR="00376FB3" w:rsidRPr="00376FB3">
        <w:t xml:space="preserve"> government programs</w:t>
      </w:r>
      <w:r>
        <w:t xml:space="preserve"> and </w:t>
      </w:r>
      <w:r w:rsidR="00376FB3" w:rsidRPr="00376FB3">
        <w:t xml:space="preserve">operates in an “identical fashion” to the other four Agencies of the Navajo Nation that are federally recognized </w:t>
      </w:r>
      <w:r w:rsidR="00124381">
        <w:t>Tribal</w:t>
      </w:r>
      <w:r w:rsidR="00376FB3" w:rsidRPr="00376FB3">
        <w:t xml:space="preserve"> land areas </w:t>
      </w:r>
      <w:r w:rsidR="00012782">
        <w:t xml:space="preserve">and </w:t>
      </w:r>
      <w:r w:rsidR="00F61E9D">
        <w:t xml:space="preserve">thus </w:t>
      </w:r>
      <w:r w:rsidR="00376FB3" w:rsidRPr="00376FB3">
        <w:t xml:space="preserve">qualified for the </w:t>
      </w:r>
      <w:r w:rsidR="00124381">
        <w:t>Tribal</w:t>
      </w:r>
      <w:r w:rsidR="00376FB3" w:rsidRPr="00376FB3">
        <w:t xml:space="preserve"> </w:t>
      </w:r>
      <w:r w:rsidR="00012782">
        <w:t>l</w:t>
      </w:r>
      <w:r w:rsidR="00376FB3" w:rsidRPr="00376FB3">
        <w:t xml:space="preserve">ands </w:t>
      </w:r>
      <w:r w:rsidR="00012782">
        <w:t>b</w:t>
      </w:r>
      <w:r w:rsidR="00376FB3" w:rsidRPr="00376FB3">
        <w:t xml:space="preserve">idding </w:t>
      </w:r>
      <w:r w:rsidR="00012782">
        <w:t>c</w:t>
      </w:r>
      <w:r w:rsidR="00376FB3" w:rsidRPr="00376FB3">
        <w:t>redit.</w:t>
      </w:r>
      <w:bookmarkStart w:id="4" w:name="_Ref401844072"/>
      <w:r w:rsidR="00C1263E">
        <w:rPr>
          <w:rStyle w:val="FootnoteReference"/>
        </w:rPr>
        <w:footnoteReference w:id="14"/>
      </w:r>
      <w:bookmarkEnd w:id="4"/>
      <w:r w:rsidR="00376FB3" w:rsidRPr="00376FB3">
        <w:t xml:space="preserve"> </w:t>
      </w:r>
      <w:r w:rsidR="002D42D1">
        <w:t xml:space="preserve"> </w:t>
      </w:r>
      <w:bookmarkStart w:id="5" w:name="_Ref401834597"/>
      <w:bookmarkEnd w:id="1"/>
    </w:p>
    <w:p w:rsidR="00376FB3" w:rsidRDefault="00D348A4" w:rsidP="007E1F94">
      <w:pPr>
        <w:pStyle w:val="ParaNum"/>
        <w:widowControl/>
      </w:pPr>
      <w:bookmarkStart w:id="6" w:name="_Ref401767629"/>
      <w:bookmarkEnd w:id="5"/>
      <w:r>
        <w:t xml:space="preserve">The Commission publicly posted </w:t>
      </w:r>
      <w:r w:rsidR="00AB4216">
        <w:t>SBI</w:t>
      </w:r>
      <w:r w:rsidR="00912B29">
        <w:t xml:space="preserve">’s </w:t>
      </w:r>
      <w:r w:rsidR="00AB4216">
        <w:t xml:space="preserve">Waiver Petition </w:t>
      </w:r>
      <w:r>
        <w:t>online on August 11, 2014,</w:t>
      </w:r>
      <w:r w:rsidR="002760E5">
        <w:rPr>
          <w:rStyle w:val="FootnoteReference"/>
        </w:rPr>
        <w:footnoteReference w:id="15"/>
      </w:r>
      <w:r>
        <w:t xml:space="preserve"> </w:t>
      </w:r>
      <w:r w:rsidR="00992CDF">
        <w:t xml:space="preserve">and </w:t>
      </w:r>
      <w:r w:rsidR="00103C55">
        <w:t xml:space="preserve">the Wireless Telecommunications Bureau (WTB) </w:t>
      </w:r>
      <w:r>
        <w:t xml:space="preserve">subsequently </w:t>
      </w:r>
      <w:r w:rsidR="00912B29">
        <w:t xml:space="preserve">released a public notice seeking comment on </w:t>
      </w:r>
      <w:r>
        <w:t>it</w:t>
      </w:r>
      <w:r w:rsidR="00992CDF">
        <w:t>.</w:t>
      </w:r>
      <w:r w:rsidR="00912B29">
        <w:rPr>
          <w:rStyle w:val="FootnoteReference"/>
        </w:rPr>
        <w:footnoteReference w:id="16"/>
      </w:r>
      <w:r w:rsidR="008F22CC">
        <w:t xml:space="preserve"> </w:t>
      </w:r>
      <w:r w:rsidR="00992CDF">
        <w:t xml:space="preserve"> T</w:t>
      </w:r>
      <w:r w:rsidR="008F22CC">
        <w:t xml:space="preserve">he record </w:t>
      </w:r>
      <w:r w:rsidR="00992CDF">
        <w:t xml:space="preserve">developed </w:t>
      </w:r>
      <w:r w:rsidR="008F22CC">
        <w:t>reflects no opposition to the Waiver Petition</w:t>
      </w:r>
      <w:r w:rsidR="00992CDF">
        <w:t xml:space="preserve"> and support from the </w:t>
      </w:r>
      <w:r w:rsidR="00376FB3" w:rsidRPr="002760E5">
        <w:t>Navajo Nation Telecommunications Regulatory Commission (NNTRC)</w:t>
      </w:r>
      <w:r w:rsidR="00992CDF">
        <w:t>.</w:t>
      </w:r>
      <w:r w:rsidR="00376FB3" w:rsidRPr="00376FB3">
        <w:rPr>
          <w:vertAlign w:val="superscript"/>
        </w:rPr>
        <w:footnoteReference w:id="17"/>
      </w:r>
      <w:r w:rsidR="00376FB3" w:rsidRPr="002760E5">
        <w:t xml:space="preserve"> </w:t>
      </w:r>
      <w:r w:rsidR="002760E5">
        <w:t xml:space="preserve"> </w:t>
      </w:r>
      <w:r w:rsidR="00376FB3" w:rsidRPr="002760E5">
        <w:t xml:space="preserve">The NNTRC </w:t>
      </w:r>
      <w:r w:rsidR="007E2EF8">
        <w:t xml:space="preserve">states that it </w:t>
      </w:r>
      <w:r w:rsidR="00376FB3" w:rsidRPr="002760E5">
        <w:t>is the agency authorized by the Navajo Nation to act as the intermediary between the Navajo Nation and the Commission, including representing the Navajo Nation in Commission proceedings.</w:t>
      </w:r>
      <w:r w:rsidR="00376FB3" w:rsidRPr="00376FB3">
        <w:rPr>
          <w:vertAlign w:val="superscript"/>
        </w:rPr>
        <w:footnoteReference w:id="18"/>
      </w:r>
      <w:r w:rsidR="00376FB3" w:rsidRPr="002760E5">
        <w:t xml:space="preserve"> </w:t>
      </w:r>
      <w:r w:rsidR="00422D77" w:rsidRPr="002760E5">
        <w:t xml:space="preserve"> </w:t>
      </w:r>
      <w:r w:rsidR="00992CDF">
        <w:t xml:space="preserve">The </w:t>
      </w:r>
      <w:r w:rsidR="00376FB3" w:rsidRPr="002760E5">
        <w:t>NNTRC</w:t>
      </w:r>
      <w:r w:rsidR="00992CDF">
        <w:t xml:space="preserve"> reports that</w:t>
      </w:r>
      <w:r w:rsidR="00376FB3" w:rsidRPr="002760E5">
        <w:t xml:space="preserve"> the Eastern Navajo Agency portion of the Navajo Nation in New Mexico “has seen very limited service because of its highly rural nature and lack of significant businesses.”</w:t>
      </w:r>
      <w:r w:rsidR="00376FB3" w:rsidRPr="00376FB3">
        <w:rPr>
          <w:vertAlign w:val="superscript"/>
        </w:rPr>
        <w:footnoteReference w:id="19"/>
      </w:r>
      <w:r w:rsidR="00376FB3" w:rsidRPr="002760E5">
        <w:t xml:space="preserve"> </w:t>
      </w:r>
      <w:r w:rsidR="007E2EF8">
        <w:t xml:space="preserve"> </w:t>
      </w:r>
      <w:r w:rsidR="00376FB3" w:rsidRPr="002760E5">
        <w:t xml:space="preserve">According to the NNTRC, the only reason that the Eastern Navajo Nation is not a federally recognized </w:t>
      </w:r>
      <w:r w:rsidR="00124381">
        <w:t>Tribal</w:t>
      </w:r>
      <w:r w:rsidR="00376FB3" w:rsidRPr="002760E5">
        <w:t xml:space="preserve"> land is due to the</w:t>
      </w:r>
      <w:r w:rsidR="00C0204A" w:rsidRPr="002760E5">
        <w:t xml:space="preserve"> checkerboard nature of the </w:t>
      </w:r>
      <w:r w:rsidR="00C43B74">
        <w:t xml:space="preserve">landholdings within the </w:t>
      </w:r>
      <w:r w:rsidR="00C0204A" w:rsidRPr="002760E5">
        <w:t xml:space="preserve">Eastern Navajo Agency, made up of a </w:t>
      </w:r>
      <w:r w:rsidR="00376FB3" w:rsidRPr="002760E5">
        <w:t xml:space="preserve">mix of land </w:t>
      </w:r>
      <w:r w:rsidR="00F25B30">
        <w:t xml:space="preserve">owners </w:t>
      </w:r>
      <w:r w:rsidR="00F61E9D" w:rsidRPr="002760E5">
        <w:t xml:space="preserve">as </w:t>
      </w:r>
      <w:r w:rsidR="00376FB3" w:rsidRPr="002760E5">
        <w:t>discussed above</w:t>
      </w:r>
      <w:r w:rsidR="00A82ED0">
        <w:t>.</w:t>
      </w:r>
      <w:r w:rsidR="00922C07">
        <w:rPr>
          <w:rStyle w:val="FootnoteReference"/>
        </w:rPr>
        <w:footnoteReference w:id="20"/>
      </w:r>
      <w:r w:rsidR="00A82ED0">
        <w:t xml:space="preserve">  In supporting the Waiver Petition, NNTRC </w:t>
      </w:r>
      <w:r w:rsidR="00C71256">
        <w:t xml:space="preserve">confirms that notwithstanding this </w:t>
      </w:r>
      <w:r w:rsidR="00376FB3" w:rsidRPr="002760E5">
        <w:t xml:space="preserve">mix of land </w:t>
      </w:r>
      <w:r w:rsidR="00C43B74">
        <w:t>holding</w:t>
      </w:r>
      <w:r w:rsidR="00376FB3" w:rsidRPr="002760E5">
        <w:t>s, 97% of the population of the Eastern Navajo Agency is Navajo</w:t>
      </w:r>
      <w:r w:rsidR="00C71256">
        <w:t>—t</w:t>
      </w:r>
      <w:r w:rsidR="00376FB3" w:rsidRPr="002760E5">
        <w:t xml:space="preserve">hey vote in Navajo elections, receive Federal and </w:t>
      </w:r>
      <w:r w:rsidR="00124381">
        <w:t>Tribal</w:t>
      </w:r>
      <w:r w:rsidR="00376FB3" w:rsidRPr="002760E5">
        <w:t xml:space="preserve"> services and engage as part of the Navajo community.</w:t>
      </w:r>
      <w:r w:rsidR="00B7121C" w:rsidRPr="00B7121C">
        <w:rPr>
          <w:vertAlign w:val="superscript"/>
        </w:rPr>
        <w:t xml:space="preserve"> </w:t>
      </w:r>
      <w:r w:rsidR="00B7121C" w:rsidRPr="00376FB3">
        <w:rPr>
          <w:vertAlign w:val="superscript"/>
        </w:rPr>
        <w:footnoteReference w:id="21"/>
      </w:r>
      <w:r w:rsidR="00376FB3" w:rsidRPr="002760E5">
        <w:t xml:space="preserve"> </w:t>
      </w:r>
      <w:r w:rsidR="003B3563" w:rsidRPr="002760E5">
        <w:t xml:space="preserve"> </w:t>
      </w:r>
      <w:r w:rsidR="00C71256">
        <w:t>Moreover, d</w:t>
      </w:r>
      <w:r w:rsidR="00C40A13" w:rsidRPr="002760E5">
        <w:t xml:space="preserve">espite not being a federally recognized </w:t>
      </w:r>
      <w:r w:rsidR="00124381">
        <w:t>Tribal</w:t>
      </w:r>
      <w:r w:rsidR="00C40A13" w:rsidRPr="002760E5">
        <w:t xml:space="preserve"> land, </w:t>
      </w:r>
      <w:r w:rsidR="00C71256">
        <w:t xml:space="preserve">NNTRC reports that </w:t>
      </w:r>
      <w:r w:rsidR="00C40A13" w:rsidRPr="002760E5">
        <w:t>f</w:t>
      </w:r>
      <w:r w:rsidR="00376FB3" w:rsidRPr="002760E5">
        <w:t xml:space="preserve">rom the perspective of the Navajo people, the Eastern Navajo Agency is </w:t>
      </w:r>
      <w:r w:rsidR="00124381">
        <w:t>Tribal</w:t>
      </w:r>
      <w:r w:rsidR="00376FB3" w:rsidRPr="002760E5">
        <w:t xml:space="preserve"> land.</w:t>
      </w:r>
      <w:r w:rsidR="00376FB3" w:rsidRPr="00376FB3">
        <w:rPr>
          <w:vertAlign w:val="superscript"/>
        </w:rPr>
        <w:footnoteReference w:id="22"/>
      </w:r>
      <w:bookmarkEnd w:id="6"/>
      <w:r w:rsidR="003B3563" w:rsidRPr="002760E5">
        <w:t xml:space="preserve">  </w:t>
      </w:r>
    </w:p>
    <w:p w:rsidR="00376FB3" w:rsidRPr="00376FB3" w:rsidRDefault="00376FB3" w:rsidP="00376FB3">
      <w:pPr>
        <w:pStyle w:val="Heading1"/>
        <w:rPr>
          <w:rFonts w:eastAsia="Calibri"/>
          <w:snapToGrid/>
        </w:rPr>
      </w:pPr>
      <w:r w:rsidRPr="00376FB3">
        <w:rPr>
          <w:rFonts w:eastAsia="Calibri"/>
          <w:snapToGrid/>
        </w:rPr>
        <w:t>DISCUSSION</w:t>
      </w:r>
    </w:p>
    <w:p w:rsidR="0004055B" w:rsidRDefault="00376FB3" w:rsidP="008C57B4">
      <w:pPr>
        <w:pStyle w:val="ParaNum"/>
      </w:pPr>
      <w:r w:rsidRPr="00376FB3">
        <w:t xml:space="preserve">Pursuant to Section 1.3 of the Commission’s Rules, a party may be granted a waiver </w:t>
      </w:r>
      <w:r w:rsidR="00BE5758" w:rsidRPr="00376FB3">
        <w:t>if good</w:t>
      </w:r>
      <w:r w:rsidRPr="00376FB3">
        <w:t xml:space="preserve"> cause for the waiver is demonstrated.</w:t>
      </w:r>
      <w:r w:rsidRPr="00376FB3">
        <w:rPr>
          <w:vertAlign w:val="superscript"/>
        </w:rPr>
        <w:footnoteReference w:id="23"/>
      </w:r>
      <w:r w:rsidRPr="00376FB3">
        <w:t xml:space="preserve"> </w:t>
      </w:r>
      <w:r w:rsidR="006F1B86">
        <w:t xml:space="preserve"> </w:t>
      </w:r>
      <w:r w:rsidRPr="00376FB3">
        <w:t xml:space="preserve">Under Section 1.925 of the Commission’s Rules, to receive a waiver, a party must demonstrate that: </w:t>
      </w:r>
      <w:r w:rsidR="002B57F8">
        <w:t xml:space="preserve"> </w:t>
      </w:r>
      <w:r w:rsidRPr="00376FB3">
        <w:t>(a) the underlying purpose of the rule(s) would not be served or would be frustrated by application to the instant case, and that grant of the requested waiver would be in the public interest; or (b) in light of unique or unusual circumstances, application of the rule(s) would be inequitable, unduly burdensome, or contrary to the public interest, or the applicant has no reasonable alternative to seeking a waiver of the rule.</w:t>
      </w:r>
      <w:r w:rsidRPr="00376FB3">
        <w:rPr>
          <w:vertAlign w:val="superscript"/>
        </w:rPr>
        <w:footnoteReference w:id="24"/>
      </w:r>
      <w:r w:rsidRPr="00376FB3">
        <w:t xml:space="preserve"> </w:t>
      </w:r>
      <w:r w:rsidR="006F1B86">
        <w:t xml:space="preserve"> </w:t>
      </w:r>
    </w:p>
    <w:p w:rsidR="00F14A86" w:rsidRPr="00376FB3" w:rsidRDefault="0001169E" w:rsidP="007E1F94">
      <w:pPr>
        <w:pStyle w:val="ParaNum"/>
      </w:pPr>
      <w:bookmarkStart w:id="7" w:name="_Ref402439026"/>
      <w:r>
        <w:t>U</w:t>
      </w:r>
      <w:r w:rsidR="00F14A86" w:rsidRPr="00DA3070">
        <w:t>nlike other bidding credits that are requested prior to the auction,</w:t>
      </w:r>
      <w:r>
        <w:t xml:space="preserve"> </w:t>
      </w:r>
      <w:r w:rsidR="00F14A86" w:rsidRPr="00DA3070">
        <w:t xml:space="preserve">a winning bidder applies for </w:t>
      </w:r>
      <w:r w:rsidR="006D26C6">
        <w:t>a</w:t>
      </w:r>
      <w:r w:rsidR="00F14A86" w:rsidRPr="00DA3070">
        <w:t xml:space="preserve"> </w:t>
      </w:r>
      <w:r w:rsidR="00F14A86">
        <w:t xml:space="preserve">TLBC </w:t>
      </w:r>
      <w:r w:rsidR="00F14A86" w:rsidRPr="00DA3070">
        <w:t>after the auction when it files its long-form application (FCC Form 601).</w:t>
      </w:r>
      <w:bookmarkStart w:id="8" w:name="_Ref402439103"/>
      <w:r w:rsidR="00795057">
        <w:rPr>
          <w:rStyle w:val="FootnoteReference"/>
        </w:rPr>
        <w:footnoteReference w:id="25"/>
      </w:r>
      <w:bookmarkEnd w:id="8"/>
      <w:r w:rsidR="00F14A86">
        <w:t xml:space="preserve">  </w:t>
      </w:r>
      <w:r w:rsidR="00217DE4">
        <w:t xml:space="preserve">As such, requests for waiver of TLBC rules ordinarily would be </w:t>
      </w:r>
      <w:r w:rsidR="007D705B">
        <w:t xml:space="preserve">procedurally infirm unless associated with a winning bidder’s long-form application.  </w:t>
      </w:r>
      <w:r w:rsidR="00FE6443">
        <w:t>In this case however, w</w:t>
      </w:r>
      <w:r w:rsidR="00427C16">
        <w:t xml:space="preserve">e </w:t>
      </w:r>
      <w:r w:rsidR="00821EED">
        <w:t xml:space="preserve">find it appropriate to address the </w:t>
      </w:r>
      <w:r w:rsidR="00A15EE3">
        <w:t xml:space="preserve">unopposed </w:t>
      </w:r>
      <w:r w:rsidR="00F14A86">
        <w:t>Waiver Petition prior to the start of Auction 97</w:t>
      </w:r>
      <w:r w:rsidR="00A15EE3">
        <w:t xml:space="preserve">.  </w:t>
      </w:r>
      <w:r w:rsidR="00821EED">
        <w:t xml:space="preserve">Doing so </w:t>
      </w:r>
      <w:r w:rsidR="00A15EE3">
        <w:t>provide</w:t>
      </w:r>
      <w:r w:rsidR="00821EED">
        <w:t>s</w:t>
      </w:r>
      <w:r w:rsidR="00A15EE3">
        <w:t xml:space="preserve"> certainty to all bidders for the relevant licenses</w:t>
      </w:r>
      <w:r w:rsidR="00821EED">
        <w:t xml:space="preserve"> </w:t>
      </w:r>
      <w:r w:rsidR="00F14A86">
        <w:t xml:space="preserve">because the relief requested is not specific to SBI—it </w:t>
      </w:r>
      <w:r w:rsidR="00922C07">
        <w:t xml:space="preserve">will </w:t>
      </w:r>
      <w:r w:rsidR="00F14A86">
        <w:t xml:space="preserve">apply to any bidder in Auction 97 </w:t>
      </w:r>
      <w:r w:rsidR="006D26C6">
        <w:t>that wins</w:t>
      </w:r>
      <w:r w:rsidR="00F14A86">
        <w:t xml:space="preserve"> a license </w:t>
      </w:r>
      <w:r w:rsidR="00AE0775">
        <w:t>covering any of</w:t>
      </w:r>
      <w:r w:rsidR="006D26C6">
        <w:t xml:space="preserve"> </w:t>
      </w:r>
      <w:r w:rsidR="00F14A86">
        <w:t>the Eastern Navajo Agency</w:t>
      </w:r>
      <w:r w:rsidR="00A40E52">
        <w:t xml:space="preserve"> census blocks identified in the Appendix to this Order</w:t>
      </w:r>
      <w:r w:rsidR="006D0590">
        <w:t>.</w:t>
      </w:r>
      <w:r w:rsidR="00F14A86">
        <w:rPr>
          <w:rStyle w:val="FootnoteReference"/>
        </w:rPr>
        <w:footnoteReference w:id="26"/>
      </w:r>
      <w:bookmarkEnd w:id="7"/>
      <w:r w:rsidR="00F14A86">
        <w:t xml:space="preserve">  </w:t>
      </w:r>
    </w:p>
    <w:p w:rsidR="00F20549" w:rsidRPr="00376FB3" w:rsidRDefault="00F20549" w:rsidP="007E1F94">
      <w:pPr>
        <w:pStyle w:val="ParaNum"/>
      </w:pPr>
      <w:r w:rsidRPr="00376FB3">
        <w:t xml:space="preserve">The Commission adopted the </w:t>
      </w:r>
      <w:r>
        <w:t xml:space="preserve">TLBC </w:t>
      </w:r>
      <w:r w:rsidRPr="00376FB3">
        <w:t xml:space="preserve">to “encourage the growth of wireless services in federally recognized </w:t>
      </w:r>
      <w:r w:rsidR="00B7361B">
        <w:t>[T]</w:t>
      </w:r>
      <w:r w:rsidRPr="00376FB3">
        <w:t>ribal lands”</w:t>
      </w:r>
      <w:r w:rsidRPr="004B2E70">
        <w:rPr>
          <w:rStyle w:val="FootnoteReference"/>
        </w:rPr>
        <w:t xml:space="preserve"> </w:t>
      </w:r>
      <w:r>
        <w:rPr>
          <w:rStyle w:val="FootnoteReference"/>
        </w:rPr>
        <w:footnoteReference w:id="27"/>
      </w:r>
      <w:r w:rsidR="00B84DDD">
        <w:t xml:space="preserve"> by </w:t>
      </w:r>
      <w:r w:rsidR="00B84DDD" w:rsidRPr="00376FB3">
        <w:t>“provid</w:t>
      </w:r>
      <w:r w:rsidR="00B84DDD">
        <w:t>[ing]</w:t>
      </w:r>
      <w:r w:rsidR="00B84DDD" w:rsidRPr="00376FB3">
        <w:t xml:space="preserve"> a significant incentive to deploy wireless services to </w:t>
      </w:r>
      <w:r w:rsidR="00B7361B">
        <w:t>[T]</w:t>
      </w:r>
      <w:r w:rsidR="00B84DDD" w:rsidRPr="00376FB3">
        <w:t>ribal lands.”</w:t>
      </w:r>
      <w:r w:rsidR="00B84DDD" w:rsidRPr="00376FB3">
        <w:rPr>
          <w:vertAlign w:val="superscript"/>
        </w:rPr>
        <w:footnoteReference w:id="28"/>
      </w:r>
      <w:r w:rsidR="00B84DDD" w:rsidRPr="00376FB3">
        <w:t xml:space="preserve"> </w:t>
      </w:r>
      <w:r w:rsidR="00B84DDD">
        <w:t xml:space="preserve"> </w:t>
      </w:r>
      <w:r>
        <w:t xml:space="preserve">In deciding to adopt a </w:t>
      </w:r>
      <w:r w:rsidR="00124381">
        <w:rPr>
          <w:i/>
        </w:rPr>
        <w:t>Tribal</w:t>
      </w:r>
      <w:r>
        <w:t xml:space="preserve"> land</w:t>
      </w:r>
      <w:r w:rsidR="003966E1">
        <w:t>s</w:t>
      </w:r>
      <w:r>
        <w:t xml:space="preserve"> bidding credit rather than a credit for all areas with penetration rates below the national average, t</w:t>
      </w:r>
      <w:r w:rsidRPr="00376FB3">
        <w:t xml:space="preserve">he Commission </w:t>
      </w:r>
      <w:r>
        <w:t xml:space="preserve">determined that </w:t>
      </w:r>
      <w:r w:rsidRPr="00376FB3">
        <w:t xml:space="preserve">the unique nature of </w:t>
      </w:r>
      <w:r w:rsidR="00124381">
        <w:t>Tribal</w:t>
      </w:r>
      <w:r w:rsidRPr="00376FB3">
        <w:t xml:space="preserve"> lands</w:t>
      </w:r>
      <w:r>
        <w:t xml:space="preserve"> resulted in </w:t>
      </w:r>
      <w:r w:rsidRPr="00376FB3">
        <w:t>a “substantial need for specific incentives target</w:t>
      </w:r>
      <w:r>
        <w:t>ed</w:t>
      </w:r>
      <w:r w:rsidRPr="00376FB3">
        <w:t xml:space="preserve"> to the deployment of service on </w:t>
      </w:r>
      <w:r w:rsidR="00B7361B">
        <w:t>[</w:t>
      </w:r>
      <w:r w:rsidR="00124381">
        <w:t>T</w:t>
      </w:r>
      <w:r w:rsidR="00B7361B">
        <w:t>]</w:t>
      </w:r>
      <w:r w:rsidR="00124381">
        <w:t>ribal</w:t>
      </w:r>
      <w:r w:rsidRPr="00376FB3">
        <w:t xml:space="preserve"> lands.”</w:t>
      </w:r>
      <w:r w:rsidRPr="00376FB3">
        <w:rPr>
          <w:vertAlign w:val="superscript"/>
        </w:rPr>
        <w:footnoteReference w:id="29"/>
      </w:r>
      <w:r w:rsidRPr="00376FB3">
        <w:t xml:space="preserve"> </w:t>
      </w:r>
      <w:r>
        <w:t xml:space="preserve"> The Commission found that, h</w:t>
      </w:r>
      <w:r w:rsidRPr="00376FB3">
        <w:t xml:space="preserve">istorically, </w:t>
      </w:r>
      <w:r w:rsidR="00124381">
        <w:t>Tribal</w:t>
      </w:r>
      <w:r w:rsidRPr="00376FB3">
        <w:t xml:space="preserve"> lands have some of the lowest penetration rates for telecommunication</w:t>
      </w:r>
      <w:r>
        <w:t>s services in the United States</w:t>
      </w:r>
      <w:r w:rsidRPr="00376FB3">
        <w:rPr>
          <w:vertAlign w:val="superscript"/>
        </w:rPr>
        <w:footnoteReference w:id="30"/>
      </w:r>
      <w:r>
        <w:t xml:space="preserve"> </w:t>
      </w:r>
      <w:r w:rsidRPr="00376FB3">
        <w:t>due to a variety of reasons, including geographic remoteness, sparse population clusters and high unemployment rates.</w:t>
      </w:r>
      <w:r w:rsidRPr="00376FB3">
        <w:rPr>
          <w:vertAlign w:val="superscript"/>
        </w:rPr>
        <w:footnoteReference w:id="31"/>
      </w:r>
      <w:r w:rsidRPr="00376FB3">
        <w:t xml:space="preserve"> </w:t>
      </w:r>
      <w:r>
        <w:t xml:space="preserve"> The Commission also recognized that, d</w:t>
      </w:r>
      <w:r w:rsidRPr="00376FB3">
        <w:t xml:space="preserve">ue to these issues, the provision of telecommunications services to </w:t>
      </w:r>
      <w:r w:rsidR="00124381">
        <w:t>Tribal</w:t>
      </w:r>
      <w:r w:rsidRPr="00376FB3">
        <w:t xml:space="preserve"> lands can be economically risky.</w:t>
      </w:r>
      <w:r w:rsidRPr="00376FB3">
        <w:rPr>
          <w:vertAlign w:val="superscript"/>
        </w:rPr>
        <w:footnoteReference w:id="32"/>
      </w:r>
      <w:r w:rsidRPr="00376FB3">
        <w:t xml:space="preserve">  </w:t>
      </w:r>
      <w:r>
        <w:t xml:space="preserve">For these reasons, the </w:t>
      </w:r>
      <w:r w:rsidRPr="00376FB3">
        <w:t xml:space="preserve">Commission determined “that properly targeted bidding credits will encourage participation in auctions by carriers who are in a position to provide service to </w:t>
      </w:r>
      <w:r w:rsidR="00B7361B">
        <w:t>[</w:t>
      </w:r>
      <w:r w:rsidR="00124381">
        <w:t>T</w:t>
      </w:r>
      <w:r w:rsidR="00B7361B">
        <w:t>]</w:t>
      </w:r>
      <w:r w:rsidR="00124381">
        <w:t>ribal</w:t>
      </w:r>
      <w:r w:rsidRPr="00376FB3">
        <w:t xml:space="preserve"> lands, and will help to mitigate the economic risk associated with this type of service.”</w:t>
      </w:r>
      <w:r w:rsidRPr="00376FB3">
        <w:rPr>
          <w:vertAlign w:val="superscript"/>
        </w:rPr>
        <w:footnoteReference w:id="33"/>
      </w:r>
    </w:p>
    <w:p w:rsidR="001B6DC0" w:rsidRDefault="009F36DE" w:rsidP="00A001A9">
      <w:pPr>
        <w:pStyle w:val="ParaNum"/>
        <w:widowControl/>
      </w:pPr>
      <w:r>
        <w:t>As noted above, t</w:t>
      </w:r>
      <w:r w:rsidRPr="00376FB3">
        <w:t xml:space="preserve">o be eligible for a </w:t>
      </w:r>
      <w:r>
        <w:t xml:space="preserve">TLBC, </w:t>
      </w:r>
      <w:r w:rsidR="001B2C2F">
        <w:t xml:space="preserve">a </w:t>
      </w:r>
      <w:r>
        <w:t>license</w:t>
      </w:r>
      <w:r w:rsidR="006735D9">
        <w:t>e</w:t>
      </w:r>
      <w:r>
        <w:t xml:space="preserve"> must </w:t>
      </w:r>
      <w:r w:rsidR="006735D9">
        <w:t>provide service to</w:t>
      </w:r>
      <w:r>
        <w:t xml:space="preserve"> an area that</w:t>
      </w:r>
      <w:r w:rsidRPr="00376FB3">
        <w:t xml:space="preserve">: </w:t>
      </w:r>
      <w:r>
        <w:t xml:space="preserve"> </w:t>
      </w:r>
      <w:r w:rsidRPr="00376FB3">
        <w:t xml:space="preserve">(1) is a federally recognized </w:t>
      </w:r>
      <w:r w:rsidR="00124381">
        <w:t>Tribal</w:t>
      </w:r>
      <w:r w:rsidRPr="00376FB3">
        <w:t xml:space="preserve"> land and (2) has a wireline penet</w:t>
      </w:r>
      <w:r>
        <w:t>ration rate of no more than 85 percent.</w:t>
      </w:r>
      <w:r w:rsidR="00676F6C">
        <w:t xml:space="preserve">  </w:t>
      </w:r>
      <w:r w:rsidR="000A000C">
        <w:t xml:space="preserve">The record before us reflects </w:t>
      </w:r>
      <w:r w:rsidR="000A000C" w:rsidRPr="00376FB3">
        <w:t xml:space="preserve">that </w:t>
      </w:r>
      <w:r w:rsidRPr="005130B3">
        <w:t>the telephone penetration rates for the Navajo Nation in New Mexico (which includes the Eastern Navajo Agency) is 74.1%</w:t>
      </w:r>
      <w:r w:rsidRPr="005130B3">
        <w:rPr>
          <w:vertAlign w:val="superscript"/>
        </w:rPr>
        <w:footnoteReference w:id="34"/>
      </w:r>
      <w:r w:rsidR="00D65438">
        <w:t xml:space="preserve"> – </w:t>
      </w:r>
      <w:r w:rsidRPr="005130B3">
        <w:t>substantially</w:t>
      </w:r>
      <w:r w:rsidR="00D65438">
        <w:t xml:space="preserve"> </w:t>
      </w:r>
      <w:r w:rsidRPr="005130B3">
        <w:t xml:space="preserve">less than the 85% required to meet </w:t>
      </w:r>
      <w:r>
        <w:t xml:space="preserve">the second prong of the qualifying </w:t>
      </w:r>
      <w:r w:rsidR="00124381">
        <w:t>Tribal</w:t>
      </w:r>
      <w:r>
        <w:t xml:space="preserve"> lands definition.  </w:t>
      </w:r>
      <w:r w:rsidR="003A7EE4">
        <w:t xml:space="preserve">But </w:t>
      </w:r>
      <w:r w:rsidR="008C4997">
        <w:t xml:space="preserve">some of </w:t>
      </w:r>
      <w:r w:rsidR="003A7EE4">
        <w:t>t</w:t>
      </w:r>
      <w:r w:rsidR="003A7EE4" w:rsidRPr="00376FB3">
        <w:t xml:space="preserve">he Eastern Navajo Agency </w:t>
      </w:r>
      <w:r w:rsidR="003A7EE4">
        <w:t xml:space="preserve">does not meet the first prong of the definition because currently it is not federally recognized </w:t>
      </w:r>
      <w:r w:rsidR="00124381">
        <w:t>Tribal</w:t>
      </w:r>
      <w:r w:rsidR="003A7EE4">
        <w:t xml:space="preserve"> land</w:t>
      </w:r>
      <w:r w:rsidR="00C26174">
        <w:t>.</w:t>
      </w:r>
      <w:r w:rsidR="001C0A00">
        <w:rPr>
          <w:rStyle w:val="FootnoteReference"/>
        </w:rPr>
        <w:footnoteReference w:id="35"/>
      </w:r>
      <w:r w:rsidR="00C26174">
        <w:t xml:space="preserve">  </w:t>
      </w:r>
    </w:p>
    <w:p w:rsidR="00397B2D" w:rsidRPr="007E1F94" w:rsidRDefault="00C26174" w:rsidP="008C57B4">
      <w:pPr>
        <w:pStyle w:val="ParaNum"/>
        <w:rPr>
          <w:szCs w:val="22"/>
        </w:rPr>
      </w:pPr>
      <w:bookmarkStart w:id="9" w:name="_Ref402798934"/>
      <w:r w:rsidRPr="00EE5B1B">
        <w:rPr>
          <w:szCs w:val="22"/>
        </w:rPr>
        <w:t xml:space="preserve">In </w:t>
      </w:r>
      <w:r w:rsidR="003512CB" w:rsidRPr="004F6CEB">
        <w:rPr>
          <w:szCs w:val="22"/>
        </w:rPr>
        <w:t xml:space="preserve">evaluating the instant Waiver Petition, </w:t>
      </w:r>
      <w:r w:rsidR="00CB6D47" w:rsidRPr="004F6CEB">
        <w:rPr>
          <w:szCs w:val="22"/>
        </w:rPr>
        <w:t xml:space="preserve">we consider that </w:t>
      </w:r>
      <w:r w:rsidR="001B6DC0" w:rsidRPr="004F6CEB">
        <w:rPr>
          <w:szCs w:val="22"/>
        </w:rPr>
        <w:t xml:space="preserve">the TLBC </w:t>
      </w:r>
      <w:r w:rsidR="00EC2C06" w:rsidRPr="004F6CEB">
        <w:rPr>
          <w:szCs w:val="22"/>
        </w:rPr>
        <w:t>rules</w:t>
      </w:r>
      <w:r w:rsidR="001B6DC0" w:rsidRPr="004F6CEB">
        <w:rPr>
          <w:szCs w:val="22"/>
        </w:rPr>
        <w:t xml:space="preserve"> </w:t>
      </w:r>
      <w:r w:rsidR="003512CB" w:rsidRPr="007E1F94">
        <w:rPr>
          <w:szCs w:val="22"/>
        </w:rPr>
        <w:t xml:space="preserve">explicitly </w:t>
      </w:r>
      <w:r w:rsidR="002D3048" w:rsidRPr="007E1F94">
        <w:rPr>
          <w:szCs w:val="22"/>
        </w:rPr>
        <w:t xml:space="preserve">contemplate and </w:t>
      </w:r>
      <w:r w:rsidR="001B6DC0" w:rsidRPr="007E1F94">
        <w:rPr>
          <w:szCs w:val="22"/>
        </w:rPr>
        <w:t xml:space="preserve">rely </w:t>
      </w:r>
      <w:r w:rsidR="003512CB" w:rsidRPr="007E1F94">
        <w:rPr>
          <w:szCs w:val="22"/>
        </w:rPr>
        <w:t xml:space="preserve">on </w:t>
      </w:r>
      <w:r w:rsidR="00CB6D47" w:rsidRPr="007E1F94">
        <w:rPr>
          <w:szCs w:val="22"/>
        </w:rPr>
        <w:t xml:space="preserve">the participation of the relevant </w:t>
      </w:r>
      <w:r w:rsidR="00124381">
        <w:rPr>
          <w:szCs w:val="22"/>
        </w:rPr>
        <w:t>Tribal</w:t>
      </w:r>
      <w:r w:rsidR="00CB6D47" w:rsidRPr="007E1F94">
        <w:rPr>
          <w:szCs w:val="22"/>
        </w:rPr>
        <w:t xml:space="preserve"> government.</w:t>
      </w:r>
      <w:r w:rsidR="00CB6D47" w:rsidRPr="007E1F94">
        <w:rPr>
          <w:rStyle w:val="FootnoteReference"/>
          <w:sz w:val="22"/>
          <w:szCs w:val="22"/>
        </w:rPr>
        <w:footnoteReference w:id="36"/>
      </w:r>
      <w:r w:rsidR="002D3048" w:rsidRPr="00EE5B1B">
        <w:rPr>
          <w:szCs w:val="22"/>
        </w:rPr>
        <w:t xml:space="preserve">  </w:t>
      </w:r>
      <w:r w:rsidR="008D34BE" w:rsidRPr="007E1F94">
        <w:rPr>
          <w:szCs w:val="22"/>
        </w:rPr>
        <w:t xml:space="preserve">We note in this regard that the Navajo Nation, </w:t>
      </w:r>
      <w:r w:rsidR="006E180A">
        <w:rPr>
          <w:szCs w:val="22"/>
        </w:rPr>
        <w:t xml:space="preserve">located in parts of </w:t>
      </w:r>
      <w:r w:rsidR="008D34BE" w:rsidRPr="007E1F94">
        <w:rPr>
          <w:szCs w:val="22"/>
        </w:rPr>
        <w:t xml:space="preserve">Arizona, New Mexico </w:t>
      </w:r>
      <w:r w:rsidR="003966E1">
        <w:rPr>
          <w:szCs w:val="22"/>
        </w:rPr>
        <w:t>and</w:t>
      </w:r>
      <w:r w:rsidR="008D34BE" w:rsidRPr="007E1F94">
        <w:rPr>
          <w:szCs w:val="22"/>
        </w:rPr>
        <w:t xml:space="preserve"> Utah, is a federally recognized </w:t>
      </w:r>
      <w:r w:rsidR="006E180A">
        <w:rPr>
          <w:szCs w:val="22"/>
        </w:rPr>
        <w:t>T</w:t>
      </w:r>
      <w:r w:rsidR="008D34BE" w:rsidRPr="007E1F94">
        <w:rPr>
          <w:szCs w:val="22"/>
        </w:rPr>
        <w:t>ribe</w:t>
      </w:r>
      <w:r w:rsidR="00DC764A" w:rsidRPr="007E1F94">
        <w:rPr>
          <w:rStyle w:val="FootnoteReference"/>
          <w:sz w:val="22"/>
          <w:szCs w:val="22"/>
        </w:rPr>
        <w:footnoteReference w:id="37"/>
      </w:r>
      <w:r w:rsidR="00092CD0" w:rsidRPr="007E1F94">
        <w:rPr>
          <w:szCs w:val="22"/>
        </w:rPr>
        <w:t xml:space="preserve"> and that the NNTRC represents the Navajo Nation in proceedings before the Commission.</w:t>
      </w:r>
      <w:r w:rsidR="00092CD0" w:rsidRPr="007E1F94">
        <w:rPr>
          <w:rStyle w:val="FootnoteReference"/>
          <w:sz w:val="22"/>
          <w:szCs w:val="22"/>
        </w:rPr>
        <w:footnoteReference w:id="38"/>
      </w:r>
      <w:r w:rsidR="00092CD0" w:rsidRPr="007E1F94">
        <w:rPr>
          <w:szCs w:val="22"/>
        </w:rPr>
        <w:t xml:space="preserve">  </w:t>
      </w:r>
      <w:r w:rsidR="002D3048" w:rsidRPr="00EE5B1B">
        <w:rPr>
          <w:szCs w:val="22"/>
        </w:rPr>
        <w:t xml:space="preserve">Accordingly, </w:t>
      </w:r>
      <w:r w:rsidR="001B6DC0" w:rsidRPr="004F6CEB">
        <w:rPr>
          <w:szCs w:val="22"/>
        </w:rPr>
        <w:t>for purposes of administering the TLBC</w:t>
      </w:r>
      <w:r w:rsidR="002D3048" w:rsidRPr="007E1F94">
        <w:rPr>
          <w:szCs w:val="22"/>
        </w:rPr>
        <w:t xml:space="preserve"> within the Navajo Nation, we give </w:t>
      </w:r>
      <w:r w:rsidR="001B6DC0" w:rsidRPr="007E1F94">
        <w:rPr>
          <w:szCs w:val="22"/>
        </w:rPr>
        <w:t>considerable weight to the NNTRC</w:t>
      </w:r>
      <w:r w:rsidR="002D3048" w:rsidRPr="007E1F94">
        <w:rPr>
          <w:szCs w:val="22"/>
        </w:rPr>
        <w:t xml:space="preserve">’s comments supporting the Waiver Petition.  </w:t>
      </w:r>
      <w:r w:rsidR="00397B2D" w:rsidRPr="007E1F94">
        <w:rPr>
          <w:szCs w:val="22"/>
        </w:rPr>
        <w:t xml:space="preserve">In this regard, the record </w:t>
      </w:r>
      <w:r w:rsidR="00363D0A" w:rsidRPr="007E1F94">
        <w:rPr>
          <w:szCs w:val="22"/>
        </w:rPr>
        <w:t xml:space="preserve">developed in response to the instant Waiver Petition </w:t>
      </w:r>
      <w:r w:rsidR="00397B2D" w:rsidRPr="007E1F94">
        <w:rPr>
          <w:szCs w:val="22"/>
        </w:rPr>
        <w:t>reflects that</w:t>
      </w:r>
      <w:bookmarkEnd w:id="9"/>
      <w:r w:rsidR="006E180A">
        <w:rPr>
          <w:szCs w:val="22"/>
        </w:rPr>
        <w:t>:</w:t>
      </w:r>
      <w:r w:rsidR="00397B2D" w:rsidRPr="007E1F94">
        <w:rPr>
          <w:szCs w:val="22"/>
        </w:rPr>
        <w:t xml:space="preserve"> </w:t>
      </w:r>
    </w:p>
    <w:p w:rsidR="000A3848" w:rsidRDefault="00397B2D" w:rsidP="007E1F94">
      <w:pPr>
        <w:ind w:left="720" w:right="720"/>
      </w:pPr>
      <w:r>
        <w:t>[t]he Eastern Navajo Agency is as much part of the Navajo Nation as any of the other four Navajo agencies.  Internally to the Navajo government it is treated no differently than</w:t>
      </w:r>
      <w:r w:rsidR="00FA4666">
        <w:t xml:space="preserve"> any </w:t>
      </w:r>
      <w:r>
        <w:t xml:space="preserve">of the other agencies.  Each agency resides within the established external boundaries of the federally recognized Navajo Nation (excepting the “island” areas of Alamo, Ramah, Jeddito, and Tohajiilee that are disconnected from the rest of the Navajo Nation).  The only difference with the Eastern Agency is that </w:t>
      </w:r>
      <w:r w:rsidR="00FA4666">
        <w:t xml:space="preserve">it </w:t>
      </w:r>
      <w:r>
        <w:t>contains a “checkerboard” mix of trust, fee, New Mexico owned, and non-native owned land.  Nonetheless, the population of the Eastern Agency is 97 percent Navajo.  All of it constitutes the aboriginal homeland of the Navajo people.  Those people vote in Navajo elections, receive both Federal and Tribal services, and engage in the community through the Eastern Agency Chapter Houses.</w:t>
      </w:r>
      <w:r w:rsidR="007A660F">
        <w:t xml:space="preserve">  As far as the Navajo government, Navajo people, and the NNTRC are concerned, the Eastern Agency </w:t>
      </w:r>
      <w:r w:rsidR="007A660F" w:rsidRPr="00BE48C0">
        <w:rPr>
          <w:rFonts w:eastAsia="Calibri"/>
          <w:i/>
          <w:snapToGrid/>
        </w:rPr>
        <w:t>is</w:t>
      </w:r>
      <w:r w:rsidR="007A660F">
        <w:rPr>
          <w:i/>
        </w:rPr>
        <w:t xml:space="preserve"> </w:t>
      </w:r>
      <w:r w:rsidR="007A660F">
        <w:t>Tribal lands . . . .</w:t>
      </w:r>
      <w:r>
        <w:rPr>
          <w:rStyle w:val="FootnoteReference"/>
        </w:rPr>
        <w:footnoteReference w:id="39"/>
      </w:r>
      <w:r>
        <w:t xml:space="preserve">  </w:t>
      </w:r>
    </w:p>
    <w:p w:rsidR="009E3AAD" w:rsidRDefault="009E3AAD" w:rsidP="007E1F94"/>
    <w:p w:rsidR="003A30B4" w:rsidRDefault="003A30B4" w:rsidP="001858EB">
      <w:pPr>
        <w:pStyle w:val="ParaNum"/>
        <w:widowControl/>
      </w:pPr>
      <w:r>
        <w:t>I</w:t>
      </w:r>
      <w:r w:rsidRPr="0009663D">
        <w:t xml:space="preserve">n light of </w:t>
      </w:r>
      <w:r>
        <w:t xml:space="preserve">these </w:t>
      </w:r>
      <w:r w:rsidRPr="0009663D">
        <w:t xml:space="preserve">unique circumstances, </w:t>
      </w:r>
      <w:r>
        <w:t xml:space="preserve">we find that </w:t>
      </w:r>
      <w:r w:rsidRPr="0009663D">
        <w:t>application of the rule would be inequitable, unduly burdensome, or contrary to the public interest</w:t>
      </w:r>
      <w:r>
        <w:t>.  Although not federally recognized Tribal land</w:t>
      </w:r>
      <w:r w:rsidR="00604B52">
        <w:t xml:space="preserve"> in its entirety</w:t>
      </w:r>
      <w:r>
        <w:t>, the record reflects that the Eastern Navajo Agency and its Chapters are political units within and considered a part of the Navajo Nation.  Additionally, we observe that the NNTRC’s statements are consistent with the B</w:t>
      </w:r>
      <w:r w:rsidR="00F85128">
        <w:t xml:space="preserve">ureau of Indian </w:t>
      </w:r>
      <w:r>
        <w:t>A</w:t>
      </w:r>
      <w:r w:rsidR="00F85128">
        <w:t>ffairs</w:t>
      </w:r>
      <w:r>
        <w:t xml:space="preserve"> </w:t>
      </w:r>
      <w:r w:rsidR="00F85128">
        <w:t>(BIA)</w:t>
      </w:r>
      <w:r w:rsidR="006F3B91">
        <w:rPr>
          <w:rStyle w:val="FootnoteReference"/>
        </w:rPr>
        <w:footnoteReference w:id="40"/>
      </w:r>
      <w:r w:rsidR="00F85128">
        <w:t xml:space="preserve"> </w:t>
      </w:r>
      <w:r>
        <w:t>inclusion of the Eastern Navajo Agency in its Navajo Region.</w:t>
      </w:r>
      <w:r>
        <w:rPr>
          <w:rStyle w:val="FootnoteReference"/>
        </w:rPr>
        <w:footnoteReference w:id="41"/>
      </w:r>
      <w:r>
        <w:t xml:space="preserve">  </w:t>
      </w:r>
    </w:p>
    <w:p w:rsidR="00550490" w:rsidRDefault="006E48C1" w:rsidP="00B85773">
      <w:pPr>
        <w:pStyle w:val="ParaNum"/>
      </w:pPr>
      <w:r>
        <w:t>T</w:t>
      </w:r>
      <w:r w:rsidR="003E4C94">
        <w:t xml:space="preserve">he record before us also establishes that </w:t>
      </w:r>
      <w:r w:rsidR="0009663D" w:rsidRPr="0009663D">
        <w:t xml:space="preserve">the underlying purpose of the rule would not be served by </w:t>
      </w:r>
      <w:r w:rsidR="000D5FA2">
        <w:t>the rule’s</w:t>
      </w:r>
      <w:r w:rsidR="00E873D4">
        <w:t xml:space="preserve"> strict </w:t>
      </w:r>
      <w:r w:rsidR="0009663D" w:rsidRPr="0009663D">
        <w:t xml:space="preserve">application to the </w:t>
      </w:r>
      <w:r w:rsidR="003E4C94">
        <w:t>Eastern Navajo Agency.</w:t>
      </w:r>
      <w:r w:rsidR="003A7EE4">
        <w:rPr>
          <w:rStyle w:val="FootnoteReference"/>
        </w:rPr>
        <w:footnoteReference w:id="42"/>
      </w:r>
      <w:r w:rsidR="00604B52">
        <w:t xml:space="preserve">  </w:t>
      </w:r>
      <w:r w:rsidR="00B85773">
        <w:t xml:space="preserve">Although not </w:t>
      </w:r>
      <w:r w:rsidR="00604B52">
        <w:t xml:space="preserve">federally recognized Tribal land in its entirety, </w:t>
      </w:r>
      <w:r w:rsidR="000A000C" w:rsidRPr="00376FB3">
        <w:t xml:space="preserve">the </w:t>
      </w:r>
      <w:r w:rsidR="00676F6C">
        <w:t xml:space="preserve">record reflects that the </w:t>
      </w:r>
      <w:r w:rsidR="000A000C" w:rsidRPr="00376FB3">
        <w:t xml:space="preserve">Eastern Navajo Agency is subject to the same conditions as </w:t>
      </w:r>
      <w:r w:rsidR="00CC663D">
        <w:t xml:space="preserve">the other four agencies of the Navajo Nation that are federally recognized </w:t>
      </w:r>
      <w:r w:rsidR="00124381">
        <w:t>Tribal</w:t>
      </w:r>
      <w:r w:rsidR="00E00ACE">
        <w:t xml:space="preserve"> land</w:t>
      </w:r>
      <w:r w:rsidR="00FA4666">
        <w:t>s</w:t>
      </w:r>
      <w:r w:rsidR="00EC54D3">
        <w:t>, and is treated no differently than the other four agencies by the Navajo government</w:t>
      </w:r>
      <w:r w:rsidR="00CC663D">
        <w:t>.</w:t>
      </w:r>
      <w:r w:rsidR="000A000C">
        <w:rPr>
          <w:rStyle w:val="FootnoteReference"/>
        </w:rPr>
        <w:footnoteReference w:id="43"/>
      </w:r>
      <w:r w:rsidR="003A5406">
        <w:t xml:space="preserve">  </w:t>
      </w:r>
      <w:r w:rsidR="00E4409B">
        <w:t>The record developed in response to the Waiver Petition reflects that, a</w:t>
      </w:r>
      <w:r w:rsidR="00070AD8">
        <w:t>s part of the Navajo Nation, m</w:t>
      </w:r>
      <w:r w:rsidR="00B45DB5">
        <w:t xml:space="preserve">ost residents of the Eastern Navajo Agency are members of the Navajo </w:t>
      </w:r>
      <w:r w:rsidR="002F10FF">
        <w:t xml:space="preserve">Nation </w:t>
      </w:r>
      <w:r w:rsidR="00B45DB5">
        <w:t xml:space="preserve">and </w:t>
      </w:r>
      <w:r w:rsidR="00F85128">
        <w:t>experience</w:t>
      </w:r>
      <w:r w:rsidR="00133975">
        <w:t xml:space="preserve"> </w:t>
      </w:r>
      <w:r w:rsidR="00B45DB5">
        <w:t xml:space="preserve">a </w:t>
      </w:r>
      <w:r w:rsidR="00B45DB5" w:rsidRPr="00376FB3">
        <w:t xml:space="preserve">low telephone penetration rate </w:t>
      </w:r>
      <w:r w:rsidR="00B45DB5">
        <w:t xml:space="preserve">and other issues that make the Eastern Navajo Agency </w:t>
      </w:r>
      <w:r w:rsidR="00B45DB5" w:rsidRPr="00376FB3">
        <w:t xml:space="preserve">exactly the type of area that the Commission </w:t>
      </w:r>
      <w:r w:rsidR="00B45DB5">
        <w:t xml:space="preserve">envisioned when it adopted the </w:t>
      </w:r>
      <w:r w:rsidR="003966E1">
        <w:t>TLBC</w:t>
      </w:r>
      <w:r w:rsidR="00B45DB5">
        <w:t>.</w:t>
      </w:r>
      <w:r w:rsidR="00B45DB5">
        <w:rPr>
          <w:rStyle w:val="FootnoteReference"/>
        </w:rPr>
        <w:footnoteReference w:id="44"/>
      </w:r>
      <w:r w:rsidR="00B45DB5">
        <w:t xml:space="preserve">  </w:t>
      </w:r>
      <w:r w:rsidR="00313F39">
        <w:t>Indeed,</w:t>
      </w:r>
      <w:r w:rsidR="002F10FF">
        <w:t xml:space="preserve"> in 2000,</w:t>
      </w:r>
      <w:r w:rsidR="00313F39">
        <w:t xml:space="preserve"> </w:t>
      </w:r>
      <w:r w:rsidR="00B45DB5">
        <w:t xml:space="preserve">when </w:t>
      </w:r>
      <w:r w:rsidR="002A2F4A">
        <w:t xml:space="preserve">it </w:t>
      </w:r>
      <w:r w:rsidR="00313F39">
        <w:t>adopt</w:t>
      </w:r>
      <w:r w:rsidR="002A2F4A">
        <w:t>ed</w:t>
      </w:r>
      <w:r w:rsidR="00313F39">
        <w:t xml:space="preserve"> a </w:t>
      </w:r>
      <w:r w:rsidR="003966E1">
        <w:t>TLBC</w:t>
      </w:r>
      <w:r w:rsidR="00313F39">
        <w:t xml:space="preserve"> instead of a </w:t>
      </w:r>
      <w:r w:rsidR="00B45DB5">
        <w:t xml:space="preserve">general </w:t>
      </w:r>
      <w:r w:rsidR="004F7076">
        <w:t xml:space="preserve">bidding credit for all areas with </w:t>
      </w:r>
      <w:r w:rsidR="002A2F4A">
        <w:t xml:space="preserve">below-average </w:t>
      </w:r>
      <w:r w:rsidR="004F7076">
        <w:t>penetration rates</w:t>
      </w:r>
      <w:r w:rsidR="002A2F4A">
        <w:t>,</w:t>
      </w:r>
      <w:r w:rsidR="004F7076">
        <w:t xml:space="preserve"> the </w:t>
      </w:r>
      <w:r w:rsidR="00313F39">
        <w:t xml:space="preserve">Commission specifically referred to New Mexico as the state with the lowest telephone penetration rate, and </w:t>
      </w:r>
      <w:r w:rsidR="00376C3C">
        <w:t xml:space="preserve">to </w:t>
      </w:r>
      <w:r w:rsidR="00313F39">
        <w:t>McKinley County, New Mexico</w:t>
      </w:r>
      <w:r w:rsidR="00376C3C">
        <w:t>, where over half of the Eastern Navajo Agency is located</w:t>
      </w:r>
      <w:r w:rsidR="00313F39">
        <w:t xml:space="preserve"> (</w:t>
      </w:r>
      <w:r w:rsidR="00376C3C">
        <w:t xml:space="preserve">and </w:t>
      </w:r>
      <w:r w:rsidR="00313F39">
        <w:t xml:space="preserve">which </w:t>
      </w:r>
      <w:r w:rsidR="00376C3C">
        <w:t>the Commission</w:t>
      </w:r>
      <w:r w:rsidR="00313F39">
        <w:t xml:space="preserve"> noted is </w:t>
      </w:r>
      <w:r w:rsidR="009F6BBE">
        <w:t xml:space="preserve">mostly </w:t>
      </w:r>
      <w:r w:rsidR="00A40E52">
        <w:t xml:space="preserve">comprised </w:t>
      </w:r>
      <w:r w:rsidR="009F6BBE">
        <w:t xml:space="preserve">of </w:t>
      </w:r>
      <w:r w:rsidR="00124381">
        <w:t>Tribal</w:t>
      </w:r>
      <w:r w:rsidR="009F6BBE">
        <w:t xml:space="preserve"> land</w:t>
      </w:r>
      <w:r w:rsidR="002F10FF">
        <w:t>s</w:t>
      </w:r>
      <w:r w:rsidR="00676F6C">
        <w:t>)</w:t>
      </w:r>
      <w:r w:rsidR="00376C3C">
        <w:t>,</w:t>
      </w:r>
      <w:r w:rsidR="00676F6C">
        <w:t xml:space="preserve"> </w:t>
      </w:r>
      <w:r w:rsidR="00313F39">
        <w:t>as having the lowest penetration rate in the state.</w:t>
      </w:r>
      <w:r w:rsidR="00313F39">
        <w:rPr>
          <w:rStyle w:val="FootnoteReference"/>
        </w:rPr>
        <w:footnoteReference w:id="45"/>
      </w:r>
      <w:r w:rsidR="00313F39">
        <w:t xml:space="preserve">  </w:t>
      </w:r>
      <w:r w:rsidR="0061504C">
        <w:t xml:space="preserve">Under these unique circumstances, we </w:t>
      </w:r>
      <w:r w:rsidR="005B6463">
        <w:t xml:space="preserve">find that </w:t>
      </w:r>
      <w:r w:rsidR="00A348AB">
        <w:t xml:space="preserve">waiving </w:t>
      </w:r>
      <w:r w:rsidR="00376C3C">
        <w:t xml:space="preserve">the rule </w:t>
      </w:r>
      <w:r w:rsidR="00A348AB">
        <w:t xml:space="preserve">to treat </w:t>
      </w:r>
      <w:r w:rsidR="00CD7E7C">
        <w:t xml:space="preserve">all of </w:t>
      </w:r>
      <w:r w:rsidR="000D62B1">
        <w:t xml:space="preserve">the Eastern Navajo Agency as if it is federally recognized </w:t>
      </w:r>
      <w:r w:rsidR="00124381">
        <w:t>Tribal</w:t>
      </w:r>
      <w:r w:rsidR="000D62B1">
        <w:t xml:space="preserve"> land </w:t>
      </w:r>
      <w:r w:rsidR="00C62E65">
        <w:t xml:space="preserve">best serves the </w:t>
      </w:r>
      <w:r w:rsidR="00A348AB">
        <w:t>underlying purpose of the rule</w:t>
      </w:r>
      <w:r w:rsidR="00C62E65">
        <w:t xml:space="preserve"> and the public interest</w:t>
      </w:r>
      <w:r w:rsidR="00A348AB">
        <w:t xml:space="preserve">.  </w:t>
      </w:r>
    </w:p>
    <w:p w:rsidR="00012782" w:rsidRDefault="00AB7820" w:rsidP="006F3B91">
      <w:pPr>
        <w:pStyle w:val="ParaNum"/>
      </w:pPr>
      <w:r>
        <w:t>We also note Commission</w:t>
      </w:r>
      <w:r w:rsidR="00550490">
        <w:t>-level</w:t>
      </w:r>
      <w:r>
        <w:t xml:space="preserve"> precedent </w:t>
      </w:r>
      <w:r w:rsidR="00983DF5">
        <w:t xml:space="preserve">that strongly supports </w:t>
      </w:r>
      <w:r w:rsidR="00550490">
        <w:t xml:space="preserve">our grant of </w:t>
      </w:r>
      <w:r w:rsidR="00983DF5">
        <w:t>the instant Waiver Petition</w:t>
      </w:r>
      <w:r w:rsidR="00550490">
        <w:t xml:space="preserve">.  </w:t>
      </w:r>
      <w:r w:rsidR="00673F88">
        <w:t>In 2005</w:t>
      </w:r>
      <w:r w:rsidR="00E91E8E">
        <w:t>,</w:t>
      </w:r>
      <w:r w:rsidR="00376FB3" w:rsidRPr="00376FB3">
        <w:t xml:space="preserve"> the Commission granted a request for waiver of its </w:t>
      </w:r>
      <w:r w:rsidR="002F10FF">
        <w:t xml:space="preserve">universal service </w:t>
      </w:r>
      <w:r w:rsidR="00B7361B">
        <w:t xml:space="preserve">Lifeline and Link </w:t>
      </w:r>
      <w:r w:rsidR="00376FB3" w:rsidRPr="00376FB3">
        <w:t xml:space="preserve">Up eligibility rules to permit </w:t>
      </w:r>
      <w:r w:rsidR="002F10FF">
        <w:t xml:space="preserve">residents of </w:t>
      </w:r>
      <w:r w:rsidR="00376FB3" w:rsidRPr="00376FB3">
        <w:t>the Eastern Navajo Agency to receive enhanced Lifeline and Link-Up support that was otherwise limited to a “low-income consumer livi</w:t>
      </w:r>
      <w:r w:rsidR="00E42368">
        <w:t>ng on or near a reservation.”</w:t>
      </w:r>
      <w:r w:rsidR="00950298">
        <w:rPr>
          <w:rStyle w:val="FootnoteReference"/>
        </w:rPr>
        <w:footnoteReference w:id="46"/>
      </w:r>
      <w:r w:rsidR="00E42368">
        <w:t xml:space="preserve">  </w:t>
      </w:r>
      <w:r w:rsidR="00673F88">
        <w:t>T</w:t>
      </w:r>
      <w:r w:rsidR="00376FB3" w:rsidRPr="00376FB3">
        <w:t xml:space="preserve">he </w:t>
      </w:r>
      <w:r w:rsidR="002A4FFC">
        <w:t xml:space="preserve">relevant Part 54 rule similarly restricted eligibility to </w:t>
      </w:r>
      <w:r w:rsidR="00376FB3" w:rsidRPr="00376FB3">
        <w:t xml:space="preserve">“any federally recognized Indian </w:t>
      </w:r>
      <w:r w:rsidR="00F00C26">
        <w:t>[T]</w:t>
      </w:r>
      <w:r w:rsidR="00376FB3" w:rsidRPr="00376FB3">
        <w:t>ribe’s reservation, pueblo or colony, including former reservations in Oklahoma, Alaska Native regions established pursuant to the Alaska Native Claims Settlement Act, and Indian allotments.”</w:t>
      </w:r>
      <w:r w:rsidR="00C40A13">
        <w:rPr>
          <w:rStyle w:val="FootnoteReference"/>
        </w:rPr>
        <w:footnoteReference w:id="47"/>
      </w:r>
      <w:r w:rsidR="00376FB3" w:rsidRPr="00376FB3">
        <w:t xml:space="preserve"> </w:t>
      </w:r>
      <w:r w:rsidR="00A03CA5">
        <w:t xml:space="preserve"> </w:t>
      </w:r>
      <w:r w:rsidR="00376FB3" w:rsidRPr="00376FB3">
        <w:t xml:space="preserve">Even though the Eastern Navajo </w:t>
      </w:r>
      <w:r w:rsidR="00DD28B6">
        <w:t xml:space="preserve">Agency </w:t>
      </w:r>
      <w:r w:rsidR="00376FB3" w:rsidRPr="00376FB3">
        <w:t xml:space="preserve">was excluded from eligibility based on the definition of </w:t>
      </w:r>
      <w:r w:rsidR="00124381">
        <w:t>Tribal</w:t>
      </w:r>
      <w:r w:rsidR="00376FB3" w:rsidRPr="00376FB3">
        <w:t xml:space="preserve"> land</w:t>
      </w:r>
      <w:r w:rsidR="00DD28B6">
        <w:t>s</w:t>
      </w:r>
      <w:r w:rsidR="00376FB3" w:rsidRPr="00376FB3">
        <w:t xml:space="preserve">, </w:t>
      </w:r>
      <w:r w:rsidR="00950298">
        <w:t xml:space="preserve">the Commission </w:t>
      </w:r>
      <w:r w:rsidR="00376FB3" w:rsidRPr="00376FB3">
        <w:t xml:space="preserve">determined based on </w:t>
      </w:r>
      <w:r w:rsidR="00207701">
        <w:t xml:space="preserve">a very similar record that </w:t>
      </w:r>
      <w:r w:rsidR="00376FB3" w:rsidRPr="00376FB3">
        <w:t xml:space="preserve">it was in the public interest to waive </w:t>
      </w:r>
      <w:r w:rsidR="003E6F04">
        <w:t xml:space="preserve">that rule to </w:t>
      </w:r>
      <w:r w:rsidR="00376FB3" w:rsidRPr="00376FB3">
        <w:t xml:space="preserve">treat </w:t>
      </w:r>
      <w:r w:rsidR="00CD7E7C">
        <w:t xml:space="preserve">all of </w:t>
      </w:r>
      <w:r w:rsidR="00376FB3" w:rsidRPr="00376FB3">
        <w:t xml:space="preserve">the Eastern Navajo Agency </w:t>
      </w:r>
      <w:r w:rsidR="00CD7E7C">
        <w:t xml:space="preserve">land </w:t>
      </w:r>
      <w:r w:rsidR="00376FB3" w:rsidRPr="00376FB3">
        <w:t xml:space="preserve">as </w:t>
      </w:r>
      <w:r w:rsidR="00124381">
        <w:t>Tribal</w:t>
      </w:r>
      <w:r w:rsidR="00376FB3" w:rsidRPr="00376FB3">
        <w:t xml:space="preserve"> land</w:t>
      </w:r>
      <w:r w:rsidR="00DD28B6">
        <w:t>s</w:t>
      </w:r>
      <w:r w:rsidR="00376FB3" w:rsidRPr="00376FB3">
        <w:t xml:space="preserve"> </w:t>
      </w:r>
      <w:r w:rsidR="009F48F9">
        <w:t xml:space="preserve">so that its residents would be </w:t>
      </w:r>
      <w:r w:rsidR="00DD28B6">
        <w:t xml:space="preserve">eligible for </w:t>
      </w:r>
      <w:r w:rsidR="009F48F9">
        <w:t xml:space="preserve">the additional </w:t>
      </w:r>
      <w:r w:rsidR="00DD28B6">
        <w:t xml:space="preserve">Lifeline and Link Up </w:t>
      </w:r>
      <w:r w:rsidR="009F48F9">
        <w:t>support.</w:t>
      </w:r>
      <w:r w:rsidR="003E6F04">
        <w:t xml:space="preserve">  </w:t>
      </w:r>
      <w:r w:rsidR="009F48F9">
        <w:t xml:space="preserve">In particular, the </w:t>
      </w:r>
      <w:r w:rsidR="00376FB3" w:rsidRPr="00376FB3">
        <w:t>Commission found that the facts surrounding the Eastern Navajo Agency had led to the “same impediments to subscribership and infrastructure development as those existing on Tribal lands.”</w:t>
      </w:r>
      <w:r w:rsidR="00376FB3" w:rsidRPr="00376FB3">
        <w:rPr>
          <w:vertAlign w:val="superscript"/>
        </w:rPr>
        <w:footnoteReference w:id="48"/>
      </w:r>
      <w:r w:rsidR="003E6F04">
        <w:t xml:space="preserve">  </w:t>
      </w:r>
      <w:r w:rsidR="00556E8D">
        <w:t xml:space="preserve">The Commission </w:t>
      </w:r>
      <w:r w:rsidR="00376FB3" w:rsidRPr="00376FB3">
        <w:t xml:space="preserve">determined that </w:t>
      </w:r>
      <w:r w:rsidR="00C40A13">
        <w:t>t</w:t>
      </w:r>
      <w:r w:rsidR="00376FB3" w:rsidRPr="00376FB3">
        <w:t xml:space="preserve">he </w:t>
      </w:r>
      <w:r w:rsidR="00C40A13">
        <w:t>“</w:t>
      </w:r>
      <w:r w:rsidR="00376FB3" w:rsidRPr="00376FB3">
        <w:t xml:space="preserve">availability of enhanced federal support in the Eastern Navajo Agency </w:t>
      </w:r>
      <w:r w:rsidR="003E6F04">
        <w:t xml:space="preserve">would </w:t>
      </w:r>
      <w:r w:rsidR="00376FB3" w:rsidRPr="00376FB3">
        <w:t>also make this area more attractive for carrier investment and deployment of telecommunications infrastructure.”</w:t>
      </w:r>
      <w:r w:rsidR="00376FB3" w:rsidRPr="00376FB3">
        <w:rPr>
          <w:vertAlign w:val="superscript"/>
        </w:rPr>
        <w:footnoteReference w:id="49"/>
      </w:r>
      <w:r w:rsidR="003E6F04">
        <w:t xml:space="preserve">  We recognize that </w:t>
      </w:r>
      <w:r w:rsidR="00376FB3" w:rsidRPr="00376FB3">
        <w:t xml:space="preserve">the </w:t>
      </w:r>
      <w:r w:rsidR="003E6F04">
        <w:t xml:space="preserve">2005 waiver involved a different rule </w:t>
      </w:r>
      <w:r w:rsidR="00376FB3" w:rsidRPr="00376FB3">
        <w:t xml:space="preserve">(Lifeline and Link-Up versus the </w:t>
      </w:r>
      <w:r w:rsidR="003E6F04">
        <w:t xml:space="preserve">Part 1 </w:t>
      </w:r>
      <w:r w:rsidR="00376FB3" w:rsidRPr="00376FB3">
        <w:t xml:space="preserve">Tribal Land Bidding Credit), </w:t>
      </w:r>
      <w:r w:rsidR="00DA6F07">
        <w:t xml:space="preserve">but both </w:t>
      </w:r>
      <w:r w:rsidR="003E6F04">
        <w:t xml:space="preserve">programs </w:t>
      </w:r>
      <w:r w:rsidR="00DA6F07">
        <w:t xml:space="preserve">serve similar purposes including </w:t>
      </w:r>
      <w:r w:rsidR="00376FB3" w:rsidRPr="00376FB3">
        <w:t>incentiviz</w:t>
      </w:r>
      <w:r w:rsidR="004A0E17">
        <w:t>ing</w:t>
      </w:r>
      <w:r w:rsidR="00376FB3" w:rsidRPr="00376FB3">
        <w:t xml:space="preserve"> carriers to provide service to historically unserve</w:t>
      </w:r>
      <w:r w:rsidR="00DA6F07">
        <w:t xml:space="preserve">d and underserved </w:t>
      </w:r>
      <w:r w:rsidR="00124381">
        <w:t>Tribal</w:t>
      </w:r>
      <w:r w:rsidR="00DA6F07">
        <w:t xml:space="preserve"> lands.  Accordingly, our waiver of </w:t>
      </w:r>
      <w:r w:rsidR="00376FB3" w:rsidRPr="00376FB3">
        <w:t>Section 1.2110(f)(3)(i) of the Commission’s Rules</w:t>
      </w:r>
      <w:r w:rsidR="00DA6F07">
        <w:t xml:space="preserve"> is fully consistent with and supported by Commission-level precedent.</w:t>
      </w:r>
      <w:r w:rsidR="008D2E7C">
        <w:t xml:space="preserve">   </w:t>
      </w:r>
    </w:p>
    <w:p w:rsidR="00553C59" w:rsidRDefault="00EA3FF9">
      <w:pPr>
        <w:pStyle w:val="ParaNum"/>
      </w:pPr>
      <w:bookmarkStart w:id="10" w:name="_Ref403131519"/>
      <w:r>
        <w:t xml:space="preserve">With respect to the Instant Waiver Petition, on </w:t>
      </w:r>
      <w:r w:rsidR="00553C59" w:rsidRPr="00553C59">
        <w:t>Sep</w:t>
      </w:r>
      <w:r w:rsidR="00BE4627">
        <w:t>tember</w:t>
      </w:r>
      <w:r w:rsidR="00553C59" w:rsidRPr="00553C59">
        <w:t xml:space="preserve"> 29, 2014</w:t>
      </w:r>
      <w:r w:rsidR="003966E1">
        <w:t>,</w:t>
      </w:r>
      <w:r w:rsidR="00553C59" w:rsidRPr="00553C59">
        <w:t xml:space="preserve"> </w:t>
      </w:r>
      <w:r w:rsidR="00BE4627">
        <w:t xml:space="preserve">SBI submitted </w:t>
      </w:r>
      <w:r w:rsidR="00553C59" w:rsidRPr="00553C59">
        <w:t>a map</w:t>
      </w:r>
      <w:r w:rsidR="003B57B4">
        <w:t>,</w:t>
      </w:r>
      <w:r w:rsidR="00553C59" w:rsidRPr="00553C59">
        <w:t xml:space="preserve"> </w:t>
      </w:r>
      <w:r w:rsidR="004B1919">
        <w:t>a list</w:t>
      </w:r>
      <w:r w:rsidR="003B57B4">
        <w:t xml:space="preserve">, and corresponding </w:t>
      </w:r>
      <w:r w:rsidR="00343EC6">
        <w:t xml:space="preserve">GIS </w:t>
      </w:r>
      <w:r w:rsidR="003B57B4">
        <w:t>shapefile</w:t>
      </w:r>
      <w:r w:rsidR="00343EC6">
        <w:t>s</w:t>
      </w:r>
      <w:r w:rsidR="004B1919">
        <w:t xml:space="preserve"> of </w:t>
      </w:r>
      <w:r w:rsidR="000E574F">
        <w:t xml:space="preserve">the </w:t>
      </w:r>
      <w:r w:rsidR="00553C59" w:rsidRPr="00553C59">
        <w:t xml:space="preserve">additional </w:t>
      </w:r>
      <w:r w:rsidR="00326623">
        <w:t>c</w:t>
      </w:r>
      <w:r w:rsidR="00553C59" w:rsidRPr="00553C59">
        <w:t xml:space="preserve">ensus </w:t>
      </w:r>
      <w:r w:rsidR="00326623">
        <w:t>b</w:t>
      </w:r>
      <w:r w:rsidR="00553C59" w:rsidRPr="00553C59">
        <w:t xml:space="preserve">locks </w:t>
      </w:r>
      <w:r w:rsidR="000E574F">
        <w:t xml:space="preserve">in the Eastern Navajo Agency that SBI is requesting be treated as </w:t>
      </w:r>
      <w:r w:rsidR="008D404F">
        <w:t xml:space="preserve">federally recognized </w:t>
      </w:r>
      <w:r w:rsidR="00124381">
        <w:t>Tribal</w:t>
      </w:r>
      <w:r w:rsidR="00553C59" w:rsidRPr="00553C59">
        <w:t xml:space="preserve"> land</w:t>
      </w:r>
      <w:r w:rsidR="000E574F">
        <w:t xml:space="preserve"> for Auction 97</w:t>
      </w:r>
      <w:r w:rsidR="00553C59" w:rsidRPr="00553C59">
        <w:t>.</w:t>
      </w:r>
      <w:r w:rsidR="00BE4627">
        <w:rPr>
          <w:rStyle w:val="FootnoteReference"/>
        </w:rPr>
        <w:footnoteReference w:id="50"/>
      </w:r>
      <w:r w:rsidR="00553C59" w:rsidRPr="00553C59">
        <w:t xml:space="preserve">  </w:t>
      </w:r>
      <w:r w:rsidR="00340805">
        <w:t xml:space="preserve">On September 30, 2014, </w:t>
      </w:r>
      <w:r w:rsidR="00553C59" w:rsidRPr="00553C59">
        <w:t xml:space="preserve">NNTRC </w:t>
      </w:r>
      <w:r w:rsidR="00355ACF">
        <w:t xml:space="preserve">provided </w:t>
      </w:r>
      <w:r w:rsidR="00F123B8">
        <w:t xml:space="preserve">a list of the </w:t>
      </w:r>
      <w:r w:rsidR="00355ACF">
        <w:t>c</w:t>
      </w:r>
      <w:r w:rsidR="00553C59" w:rsidRPr="00553C59">
        <w:t xml:space="preserve">ensus </w:t>
      </w:r>
      <w:r w:rsidR="00355ACF">
        <w:t>b</w:t>
      </w:r>
      <w:r w:rsidR="00553C59" w:rsidRPr="00553C59">
        <w:t xml:space="preserve">locks in the Eastern </w:t>
      </w:r>
      <w:r w:rsidR="00355ACF">
        <w:t xml:space="preserve">Navajo </w:t>
      </w:r>
      <w:r w:rsidR="00553C59" w:rsidRPr="00553C59">
        <w:t xml:space="preserve">Agency and </w:t>
      </w:r>
      <w:r w:rsidR="00F123B8">
        <w:t>GIS s</w:t>
      </w:r>
      <w:r w:rsidR="00553C59" w:rsidRPr="00553C59">
        <w:t>hapefile</w:t>
      </w:r>
      <w:r w:rsidR="00F123B8">
        <w:t>s</w:t>
      </w:r>
      <w:r w:rsidR="00553C59" w:rsidRPr="00553C59">
        <w:t xml:space="preserve"> </w:t>
      </w:r>
      <w:r w:rsidR="00F123B8">
        <w:t xml:space="preserve">of </w:t>
      </w:r>
      <w:r w:rsidR="00553C59" w:rsidRPr="00553C59">
        <w:t>the Eastern Navajo Agency</w:t>
      </w:r>
      <w:r w:rsidR="00340805">
        <w:t>.</w:t>
      </w:r>
      <w:r w:rsidR="00340805">
        <w:rPr>
          <w:rStyle w:val="FootnoteReference"/>
        </w:rPr>
        <w:footnoteReference w:id="51"/>
      </w:r>
      <w:r w:rsidR="00340805">
        <w:t xml:space="preserve">  The</w:t>
      </w:r>
      <w:r w:rsidR="008111FF">
        <w:t xml:space="preserve"> </w:t>
      </w:r>
      <w:r w:rsidR="00340805">
        <w:t xml:space="preserve">census blocks </w:t>
      </w:r>
      <w:r w:rsidR="00956DE9">
        <w:t xml:space="preserve">identified by </w:t>
      </w:r>
      <w:r w:rsidR="008111FF">
        <w:t xml:space="preserve">SBI and NNTRC </w:t>
      </w:r>
      <w:r w:rsidR="00956DE9">
        <w:t xml:space="preserve">and not already </w:t>
      </w:r>
      <w:r w:rsidR="00604B52">
        <w:t xml:space="preserve">federally recognized </w:t>
      </w:r>
      <w:r w:rsidR="008111FF">
        <w:t xml:space="preserve">were not identical.  On October 22, 2014, SBI clarified that it accepts and supports NNTRC’s list for purposes of any action that the Commission may take on </w:t>
      </w:r>
      <w:r>
        <w:t xml:space="preserve">the </w:t>
      </w:r>
      <w:r w:rsidR="008111FF">
        <w:t>Waiver Petition.</w:t>
      </w:r>
      <w:r w:rsidR="008111FF">
        <w:rPr>
          <w:rStyle w:val="FootnoteReference"/>
        </w:rPr>
        <w:footnoteReference w:id="52"/>
      </w:r>
      <w:r w:rsidR="00340805">
        <w:t xml:space="preserve"> </w:t>
      </w:r>
      <w:r w:rsidR="00344938">
        <w:t xml:space="preserve"> Based on the record before us </w:t>
      </w:r>
      <w:r w:rsidR="00355ACF">
        <w:t xml:space="preserve">and our review of the census blocks that NNTRC identified, </w:t>
      </w:r>
      <w:r w:rsidR="00344938">
        <w:t xml:space="preserve">the census blocks identified in the </w:t>
      </w:r>
      <w:r w:rsidR="00B87AF9">
        <w:t xml:space="preserve">Appendix </w:t>
      </w:r>
      <w:r w:rsidR="00344938">
        <w:t>to this Order</w:t>
      </w:r>
      <w:r w:rsidR="00E17C6C">
        <w:t xml:space="preserve"> are those identified in</w:t>
      </w:r>
      <w:r w:rsidR="00344938">
        <w:t xml:space="preserve"> NNTRC’s list</w:t>
      </w:r>
      <w:r w:rsidR="00A2447E">
        <w:t xml:space="preserve"> that were not already identified as </w:t>
      </w:r>
      <w:r w:rsidR="00124381">
        <w:t>Tribal</w:t>
      </w:r>
      <w:r w:rsidR="00A2447E">
        <w:t xml:space="preserve"> land for our purposes</w:t>
      </w:r>
      <w:r w:rsidR="00344938">
        <w:t>.</w:t>
      </w:r>
      <w:r w:rsidR="00390FC3">
        <w:rPr>
          <w:rStyle w:val="FootnoteReference"/>
        </w:rPr>
        <w:footnoteReference w:id="53"/>
      </w:r>
      <w:bookmarkEnd w:id="10"/>
      <w:r w:rsidR="00344938">
        <w:t xml:space="preserve">  </w:t>
      </w:r>
    </w:p>
    <w:p w:rsidR="000D128E" w:rsidRPr="008C57B4" w:rsidRDefault="00BE48C0" w:rsidP="00A001A9">
      <w:pPr>
        <w:pStyle w:val="ParaNum"/>
        <w:widowControl/>
      </w:pPr>
      <w:r w:rsidRPr="007E1F94">
        <w:rPr>
          <w:i/>
        </w:rPr>
        <w:t>Implementation Matter</w:t>
      </w:r>
      <w:r>
        <w:t xml:space="preserve">.  </w:t>
      </w:r>
      <w:r w:rsidR="00B27C03">
        <w:t xml:space="preserve">As noted above, </w:t>
      </w:r>
      <w:r w:rsidR="00B601AA">
        <w:t>winning bidder</w:t>
      </w:r>
      <w:r w:rsidR="003260F1">
        <w:t>s</w:t>
      </w:r>
      <w:r w:rsidR="00B601AA">
        <w:t xml:space="preserve"> </w:t>
      </w:r>
      <w:r w:rsidR="00D82682">
        <w:t>indicate</w:t>
      </w:r>
      <w:r w:rsidR="003260F1">
        <w:t xml:space="preserve"> </w:t>
      </w:r>
      <w:r w:rsidR="00D82682">
        <w:t xml:space="preserve">that </w:t>
      </w:r>
      <w:r w:rsidR="003260F1">
        <w:t xml:space="preserve">they are </w:t>
      </w:r>
      <w:r w:rsidR="00D82682">
        <w:t xml:space="preserve">seeking a </w:t>
      </w:r>
      <w:r w:rsidR="00C64A1E">
        <w:t>TLBC</w:t>
      </w:r>
      <w:r w:rsidR="003260F1">
        <w:t>,</w:t>
      </w:r>
      <w:r w:rsidR="00C64A1E">
        <w:t xml:space="preserve"> </w:t>
      </w:r>
      <w:r w:rsidR="00D82682">
        <w:t xml:space="preserve">for </w:t>
      </w:r>
      <w:r w:rsidR="00C64A1E">
        <w:t xml:space="preserve">each market </w:t>
      </w:r>
      <w:r w:rsidR="00D82682">
        <w:t xml:space="preserve">and </w:t>
      </w:r>
      <w:r w:rsidR="00C64A1E">
        <w:t>channel block</w:t>
      </w:r>
      <w:r w:rsidR="003260F1">
        <w:t>,</w:t>
      </w:r>
      <w:r w:rsidR="00D82682">
        <w:t xml:space="preserve"> </w:t>
      </w:r>
      <w:r w:rsidR="00A9440D">
        <w:t xml:space="preserve">in </w:t>
      </w:r>
      <w:r w:rsidR="003260F1">
        <w:t xml:space="preserve">their </w:t>
      </w:r>
      <w:r w:rsidR="00A9440D">
        <w:t>long-form application</w:t>
      </w:r>
      <w:r w:rsidR="003260F1">
        <w:t>s</w:t>
      </w:r>
      <w:r w:rsidR="00C64A1E">
        <w:t>,</w:t>
      </w:r>
      <w:r w:rsidR="00A9440D">
        <w:rPr>
          <w:rStyle w:val="FootnoteReference"/>
        </w:rPr>
        <w:footnoteReference w:id="54"/>
      </w:r>
      <w:r w:rsidR="00C64A1E">
        <w:t xml:space="preserve"> </w:t>
      </w:r>
      <w:r w:rsidR="0081102D">
        <w:t xml:space="preserve">which </w:t>
      </w:r>
      <w:r w:rsidR="003260F1">
        <w:t xml:space="preserve">are </w:t>
      </w:r>
      <w:r w:rsidR="00013EA4">
        <w:t xml:space="preserve">filed </w:t>
      </w:r>
      <w:r w:rsidR="00734F24">
        <w:t xml:space="preserve">electronically </w:t>
      </w:r>
      <w:r w:rsidR="00013EA4">
        <w:t>in the Commission’s Universal Li</w:t>
      </w:r>
      <w:r w:rsidR="000E0664">
        <w:t>censing System (ULS).</w:t>
      </w:r>
      <w:r w:rsidR="00595969">
        <w:rPr>
          <w:rStyle w:val="FootnoteReference"/>
        </w:rPr>
        <w:footnoteReference w:id="55"/>
      </w:r>
      <w:r w:rsidR="003260F1">
        <w:t xml:space="preserve">  ULS is programmed to automate part of the TLBC </w:t>
      </w:r>
      <w:r w:rsidR="002C76C6">
        <w:t xml:space="preserve">request </w:t>
      </w:r>
      <w:r w:rsidR="003260F1">
        <w:t xml:space="preserve">by </w:t>
      </w:r>
      <w:r w:rsidR="0081102D" w:rsidRPr="0081102D">
        <w:t>provid</w:t>
      </w:r>
      <w:r w:rsidR="003260F1">
        <w:t xml:space="preserve">ing </w:t>
      </w:r>
      <w:r w:rsidR="0081102D" w:rsidRPr="0081102D">
        <w:t xml:space="preserve">a list of all federally recognized </w:t>
      </w:r>
      <w:r w:rsidR="00124381">
        <w:t>Tribal</w:t>
      </w:r>
      <w:r w:rsidR="0081102D" w:rsidRPr="0081102D">
        <w:t xml:space="preserve"> lands and the number of square kilometers of the land within </w:t>
      </w:r>
      <w:r w:rsidR="003260F1">
        <w:t xml:space="preserve">each applicable license </w:t>
      </w:r>
      <w:r w:rsidR="0081102D" w:rsidRPr="0081102D">
        <w:t>market</w:t>
      </w:r>
      <w:r w:rsidR="00B87AF9">
        <w:t>.</w:t>
      </w:r>
      <w:r w:rsidR="008B22D2">
        <w:rPr>
          <w:rStyle w:val="FootnoteReference"/>
        </w:rPr>
        <w:footnoteReference w:id="56"/>
      </w:r>
      <w:r w:rsidR="000D128E" w:rsidRPr="007E1F94">
        <w:rPr>
          <w:color w:val="000000"/>
        </w:rPr>
        <w:t xml:space="preserve">  </w:t>
      </w:r>
      <w:r w:rsidR="008C57B4">
        <w:t xml:space="preserve">To the extent that ULS programming is not updated to reflect the relief granted herein </w:t>
      </w:r>
      <w:r w:rsidR="002C76C6">
        <w:t>(</w:t>
      </w:r>
      <w:r w:rsidR="008C57B4">
        <w:t xml:space="preserve">treating </w:t>
      </w:r>
      <w:r w:rsidR="005E1364">
        <w:t xml:space="preserve">all of </w:t>
      </w:r>
      <w:r w:rsidR="008C57B4">
        <w:t xml:space="preserve">the Eastern Navajo Agency as if it is a federally recognized </w:t>
      </w:r>
      <w:r w:rsidR="00124381">
        <w:t>Tribal</w:t>
      </w:r>
      <w:r w:rsidR="005E1364">
        <w:t xml:space="preserve"> </w:t>
      </w:r>
      <w:r w:rsidR="00EE760B">
        <w:t>land</w:t>
      </w:r>
      <w:r w:rsidR="002C76C6">
        <w:t>)</w:t>
      </w:r>
      <w:r w:rsidR="008C57B4">
        <w:t xml:space="preserve">, a winning bidder </w:t>
      </w:r>
      <w:r w:rsidR="002C76C6">
        <w:t xml:space="preserve">in Auction 97 seeking a TLBC </w:t>
      </w:r>
      <w:r w:rsidR="008C57B4">
        <w:t xml:space="preserve">for a license </w:t>
      </w:r>
      <w:r w:rsidR="00227632">
        <w:t xml:space="preserve">covering any of the Eastern Navajo Agency census blocks identified </w:t>
      </w:r>
      <w:r w:rsidR="00B003F7">
        <w:t xml:space="preserve">in the Appendix to this Order shall </w:t>
      </w:r>
      <w:r w:rsidR="00AD5802">
        <w:t xml:space="preserve">provide </w:t>
      </w:r>
      <w:r w:rsidR="00DF0C75">
        <w:t xml:space="preserve">the </w:t>
      </w:r>
      <w:r w:rsidR="00A802D9">
        <w:t xml:space="preserve">required </w:t>
      </w:r>
      <w:r w:rsidR="00DF0C75">
        <w:t xml:space="preserve">data </w:t>
      </w:r>
      <w:r w:rsidR="00A802D9">
        <w:t>in an exhibit(s) to its long-form application.</w:t>
      </w:r>
      <w:r w:rsidR="008C57B4">
        <w:rPr>
          <w:rStyle w:val="FootnoteReference"/>
        </w:rPr>
        <w:footnoteReference w:id="57"/>
      </w:r>
      <w:r w:rsidR="008C57B4">
        <w:t xml:space="preserve">  </w:t>
      </w:r>
    </w:p>
    <w:p w:rsidR="00376FB3" w:rsidRPr="00376FB3" w:rsidRDefault="00376FB3" w:rsidP="00376FB3">
      <w:pPr>
        <w:pStyle w:val="Heading1"/>
        <w:rPr>
          <w:rFonts w:eastAsia="Calibri"/>
          <w:snapToGrid/>
        </w:rPr>
      </w:pPr>
      <w:r w:rsidRPr="00376FB3">
        <w:rPr>
          <w:rFonts w:eastAsia="Calibri"/>
          <w:snapToGrid/>
        </w:rPr>
        <w:t>ORDERING CLAUSE</w:t>
      </w:r>
    </w:p>
    <w:p w:rsidR="002E5920" w:rsidRDefault="00AA3AF9" w:rsidP="008C57B4">
      <w:pPr>
        <w:pStyle w:val="ParaNum"/>
      </w:pPr>
      <w:r>
        <w:t>Accordingly, IT IS ORDERED that, pursuant to the authority contained in sections 4(i), 4(j), 5(c), and 303(r) of the Communications Act</w:t>
      </w:r>
      <w:r w:rsidR="00DC62AA">
        <w:t xml:space="preserve"> of 1934, as amended</w:t>
      </w:r>
      <w:r>
        <w:t>, 47 U.S.C. §§ 154(i), 154(j), 155(c), 303(r), and Sections 1.3 and 1.925 of the Commission’s rules, 47 C.F.R. §§</w:t>
      </w:r>
      <w:r w:rsidR="004F0053">
        <w:t xml:space="preserve"> 1.3 and 1.925, </w:t>
      </w:r>
      <w:r w:rsidR="007B50DD">
        <w:t xml:space="preserve">we waive </w:t>
      </w:r>
      <w:r w:rsidR="004F0053">
        <w:t xml:space="preserve">application of 47 C.F.R. § 1.2110(f)(3)(i) </w:t>
      </w:r>
      <w:r w:rsidR="007B50DD">
        <w:t>to the extent described herein</w:t>
      </w:r>
      <w:r w:rsidR="00C752B2">
        <w:t xml:space="preserve"> to treat</w:t>
      </w:r>
      <w:r w:rsidR="00C752B2" w:rsidRPr="00376FB3">
        <w:t xml:space="preserve"> the Eastern Navajo Agency in New Mexico </w:t>
      </w:r>
      <w:r w:rsidR="00C752B2">
        <w:t xml:space="preserve">(as defined herein by the </w:t>
      </w:r>
      <w:r w:rsidR="00326623">
        <w:t>c</w:t>
      </w:r>
      <w:r w:rsidR="00C752B2">
        <w:t xml:space="preserve">ensus </w:t>
      </w:r>
      <w:r w:rsidR="00326623">
        <w:t>b</w:t>
      </w:r>
      <w:r w:rsidR="00C752B2">
        <w:t xml:space="preserve">locks listed in the Appendix to this Order) as a </w:t>
      </w:r>
      <w:r w:rsidR="00C752B2" w:rsidRPr="00376FB3">
        <w:t xml:space="preserve">federally recognized </w:t>
      </w:r>
      <w:r w:rsidR="00124381">
        <w:t>Tribal</w:t>
      </w:r>
      <w:r w:rsidR="00C752B2" w:rsidRPr="00376FB3">
        <w:t xml:space="preserve"> land for purposes of the </w:t>
      </w:r>
      <w:r w:rsidR="00124381">
        <w:t>Tribal</w:t>
      </w:r>
      <w:r w:rsidR="00C752B2" w:rsidRPr="00376FB3">
        <w:t xml:space="preserve"> </w:t>
      </w:r>
      <w:r w:rsidR="00C752B2">
        <w:t>l</w:t>
      </w:r>
      <w:r w:rsidR="00C752B2" w:rsidRPr="00376FB3">
        <w:t xml:space="preserve">ands </w:t>
      </w:r>
      <w:r w:rsidR="00C752B2">
        <w:t>b</w:t>
      </w:r>
      <w:r w:rsidR="00C752B2" w:rsidRPr="00376FB3">
        <w:t xml:space="preserve">idding </w:t>
      </w:r>
      <w:r w:rsidR="00C752B2">
        <w:t>credits that will be available to winning bidders in Auction 97.</w:t>
      </w:r>
      <w:r w:rsidR="00AA632D">
        <w:t xml:space="preserve">  </w:t>
      </w:r>
    </w:p>
    <w:p w:rsidR="00DC62AA" w:rsidRDefault="00DC62AA" w:rsidP="007E1F94">
      <w:pPr>
        <w:pStyle w:val="ParaNum"/>
      </w:pPr>
      <w:r>
        <w:t>These actions are taken pursuant to the authority delegated by Sections 0.131 and 0.331 of the Commission's Rules, 47 C.F.R. §§ 0.131, 0.331.</w:t>
      </w:r>
    </w:p>
    <w:p w:rsidR="00C23FF6" w:rsidRDefault="00C23FF6" w:rsidP="00C23FF6"/>
    <w:p w:rsidR="00C05B82" w:rsidRDefault="00C05B82" w:rsidP="008C57B4">
      <w:pPr>
        <w:pStyle w:val="ParaNum"/>
        <w:numPr>
          <w:ilvl w:val="0"/>
          <w:numId w:val="0"/>
        </w:numPr>
        <w:ind w:left="4320"/>
      </w:pPr>
      <w:r>
        <w:t>FEDERAL COMMUNICATIONS COMMISSION</w:t>
      </w:r>
    </w:p>
    <w:p w:rsidR="00DA6F07" w:rsidRDefault="00DA6F07" w:rsidP="008C57B4">
      <w:pPr>
        <w:pStyle w:val="ParaNum"/>
        <w:numPr>
          <w:ilvl w:val="0"/>
          <w:numId w:val="0"/>
        </w:numPr>
        <w:ind w:left="4320"/>
      </w:pPr>
    </w:p>
    <w:p w:rsidR="00DA6F07" w:rsidRDefault="00DA6F07" w:rsidP="002C76C6">
      <w:pPr>
        <w:pStyle w:val="ParaNum"/>
        <w:numPr>
          <w:ilvl w:val="0"/>
          <w:numId w:val="0"/>
        </w:numPr>
        <w:ind w:left="4320"/>
      </w:pPr>
    </w:p>
    <w:p w:rsidR="00DA6F07" w:rsidRPr="005267F5" w:rsidRDefault="00DA6F07" w:rsidP="007E1F94">
      <w:pPr>
        <w:pStyle w:val="ParaNum"/>
        <w:numPr>
          <w:ilvl w:val="0"/>
          <w:numId w:val="0"/>
        </w:numPr>
        <w:ind w:left="4320"/>
      </w:pPr>
      <w:r>
        <w:t>Roger C. Sherman</w:t>
      </w:r>
      <w:r w:rsidR="009B5EE5">
        <w:br/>
      </w:r>
      <w:r>
        <w:t>Chief, Wireless Telecommunications Bureau</w:t>
      </w:r>
    </w:p>
    <w:p w:rsidR="00416490" w:rsidRDefault="00416490">
      <w:pPr>
        <w:widowControl/>
        <w:rPr>
          <w:b/>
        </w:rPr>
      </w:pPr>
      <w:r>
        <w:rPr>
          <w:b/>
        </w:rPr>
        <w:br w:type="page"/>
      </w:r>
    </w:p>
    <w:p w:rsidR="00270F3E" w:rsidRDefault="00270F3E">
      <w:pPr>
        <w:widowControl/>
        <w:rPr>
          <w:b/>
        </w:rPr>
        <w:sectPr w:rsidR="00270F3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pPr>
    </w:p>
    <w:p w:rsidR="005267F5" w:rsidRPr="007E1F94" w:rsidRDefault="004B133C" w:rsidP="007E1F94">
      <w:pPr>
        <w:pStyle w:val="ParaNum"/>
        <w:numPr>
          <w:ilvl w:val="0"/>
          <w:numId w:val="0"/>
        </w:numPr>
        <w:jc w:val="center"/>
        <w:rPr>
          <w:b/>
        </w:rPr>
      </w:pPr>
      <w:r w:rsidRPr="007E1F94">
        <w:rPr>
          <w:b/>
        </w:rPr>
        <w:t>APPENDIX</w:t>
      </w:r>
    </w:p>
    <w:p w:rsidR="00344938" w:rsidRDefault="00E95E0F" w:rsidP="007E1F94">
      <w:pPr>
        <w:pStyle w:val="ParaNum"/>
        <w:numPr>
          <w:ilvl w:val="0"/>
          <w:numId w:val="0"/>
        </w:numPr>
        <w:jc w:val="center"/>
      </w:pPr>
      <w:r>
        <w:t xml:space="preserve">Additional </w:t>
      </w:r>
      <w:r w:rsidR="004B133C">
        <w:t>U.S. Census Blocks</w:t>
      </w:r>
      <w:r w:rsidR="00344938">
        <w:t xml:space="preserve"> within the</w:t>
      </w:r>
      <w:r w:rsidR="00416490">
        <w:t xml:space="preserve"> </w:t>
      </w:r>
      <w:r w:rsidR="00344938">
        <w:t>Eastern Navajo Agency</w:t>
      </w:r>
    </w:p>
    <w:p w:rsidR="004B133C" w:rsidRDefault="00326623" w:rsidP="007E1F94">
      <w:pPr>
        <w:pStyle w:val="ParaNum"/>
        <w:numPr>
          <w:ilvl w:val="0"/>
          <w:numId w:val="0"/>
        </w:numPr>
        <w:jc w:val="center"/>
      </w:pPr>
      <w:r>
        <w:t>To</w:t>
      </w:r>
      <w:r w:rsidR="00344938">
        <w:t xml:space="preserve"> Be Treated as Tribal Lands for Auction No. 97</w:t>
      </w:r>
    </w:p>
    <w:p w:rsidR="00E95E0F" w:rsidRDefault="00E95E0F" w:rsidP="00E95E0F">
      <w:pPr>
        <w:jc w:val="center"/>
        <w:rPr>
          <w:rFonts w:ascii="Calibri" w:hAnsi="Calibri" w:cs="Calibri"/>
          <w:b/>
          <w:bCs/>
          <w:color w:val="000000"/>
        </w:rPr>
      </w:pPr>
    </w:p>
    <w:p w:rsidR="00E95E0F" w:rsidRDefault="00E95E0F" w:rsidP="00E95E0F">
      <w:pPr>
        <w:jc w:val="center"/>
        <w:rPr>
          <w:rFonts w:ascii="Calibri" w:hAnsi="Calibri" w:cs="Calibri"/>
          <w:b/>
          <w:bCs/>
          <w:color w:val="000000"/>
        </w:rPr>
        <w:sectPr w:rsidR="00E95E0F">
          <w:footerReference w:type="default" r:id="rId14"/>
          <w:pgSz w:w="12240" w:h="15840" w:code="1"/>
          <w:pgMar w:top="1008" w:right="864" w:bottom="1008" w:left="864" w:header="720" w:footer="576" w:gutter="0"/>
          <w:cols w:space="720"/>
          <w:docGrid w:linePitch="360"/>
        </w:sectPr>
      </w:pPr>
    </w:p>
    <w:tbl>
      <w:tblPr>
        <w:tblW w:w="1820" w:type="dxa"/>
        <w:tblInd w:w="93" w:type="dxa"/>
        <w:tblLook w:val="06A0" w:firstRow="1" w:lastRow="0" w:firstColumn="1" w:lastColumn="0" w:noHBand="1" w:noVBand="1"/>
      </w:tblPr>
      <w:tblGrid>
        <w:gridCol w:w="1820"/>
      </w:tblGrid>
      <w:tr w:rsidR="00E95E0F" w:rsidRPr="00525111">
        <w:trPr>
          <w:trHeight w:val="144"/>
          <w:tblHeader/>
        </w:trPr>
        <w:tc>
          <w:tcPr>
            <w:tcW w:w="1820" w:type="dxa"/>
            <w:tcBorders>
              <w:top w:val="single" w:sz="4" w:space="0" w:color="auto"/>
              <w:left w:val="single" w:sz="4" w:space="0" w:color="auto"/>
              <w:bottom w:val="single" w:sz="4" w:space="0" w:color="auto"/>
              <w:right w:val="single" w:sz="4" w:space="0" w:color="auto"/>
            </w:tcBorders>
            <w:shd w:val="clear" w:color="C0C0C0" w:fill="C0C0C0"/>
            <w:noWrap/>
            <w:vAlign w:val="center"/>
          </w:tcPr>
          <w:p w:rsidR="00E95E0F" w:rsidRPr="00525111" w:rsidRDefault="00E95E0F" w:rsidP="00E95E0F">
            <w:pPr>
              <w:jc w:val="center"/>
              <w:rPr>
                <w:rFonts w:cstheme="minorHAnsi"/>
                <w:b/>
                <w:bCs/>
                <w:color w:val="000000"/>
                <w:sz w:val="20"/>
              </w:rPr>
            </w:pPr>
            <w:r w:rsidRPr="00525111">
              <w:rPr>
                <w:rFonts w:cstheme="minorHAnsi"/>
                <w:b/>
                <w:bCs/>
                <w:color w:val="000000"/>
                <w:sz w:val="20"/>
              </w:rPr>
              <w:t>Census Block</w:t>
            </w:r>
          </w:p>
        </w:tc>
      </w:tr>
      <w:tr w:rsidR="00E95E0F" w:rsidRPr="00525111">
        <w:trPr>
          <w:trHeight w:val="144"/>
        </w:trPr>
        <w:tc>
          <w:tcPr>
            <w:tcW w:w="1820" w:type="dxa"/>
            <w:tcBorders>
              <w:top w:val="single" w:sz="4" w:space="0" w:color="D0D7E5"/>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350019406001245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350019406001246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350019406001247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350019406001248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350019406001249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350019406001250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350019406001251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350019406002001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350019406002002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350069458001003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350069458001093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350069458001137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350069458001160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350069458001176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350069458001205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350069458001290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350069458001291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350069458001294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350069458001295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350069458001296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350069458001297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350069458001298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350069458001310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350069458002209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350069458002214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350069458002219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350069458002220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350069458002239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350069458002294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350069458002337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350069458002341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350069747001099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350069747001192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350069747001395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350069747001427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350069747002076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350069747003079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350069747003081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350069747003087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350069747003089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350069747003090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350069747003269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350069747004138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350319435001099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350319435001178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350319435001299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350319435001399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350319435001499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350319435001597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350319435001629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350319435001635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350319435001697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350319435001713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350319435001714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350319435001718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350319435001732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350319435001733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350319435001734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350319435001751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350319435001752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350319435001757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350319435001776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350319435001777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350319435001778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350319435001785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350319435001786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350319435001787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350319435001792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350319435001796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350319435001799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350319435001889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350319435001999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350319435002009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350319435002027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350319435002037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350319435002038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350319435002039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350319435002049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350319435002062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350319435002089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350319435002091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350319435002098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350319435002103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350319435002104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350319435002106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350319435002108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350319435002116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350319435002121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350319435002123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350319435002124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350319435002127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350319435002129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350319435002130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350319435003094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350319436001094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350319436001198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350319436001203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350319436001207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350319436001208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350319436001232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350319436001270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350319436001274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350319436001275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350319436001276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350319436001277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350319436001294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350319436001347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350319436001354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350319436001362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350319436001363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350319436001364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350319436001365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350319436001366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350319436001368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350319436001373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350319436001374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350319436001376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350319436001379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350319436002097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350319436002177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350319436002261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350319436002353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350319436002354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350319436002355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350319436002356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350319436002358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350319436002359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350319436002363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350319436002364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350319436002366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350319436002368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350319436002422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350319436002423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350319436003099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350319436003197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350319436003218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350319436003220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350319436003231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350319436003233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350319436003234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350319436004089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350319436004103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350319436004121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350319436004138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350319436004146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350319436004162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350319436004168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350319436004171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350319436004172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350319436004174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350319436004189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350319436004247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350319436005007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350319436005023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350319436005024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350319436005039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350319436005040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350319436005043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350319436005044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350319436005045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350319436005046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350319436005054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350319436005062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350319436005066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350319436005070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350319436005074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350319436005076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350319436005077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350319436005082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350319436005110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350319436005111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350319436005122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350319436005158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350319436005228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350319436005234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350319436005235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350319436005236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350319436006033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350319436006034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350319436006048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350319436006049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350319436006052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350319436006053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350319436006066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350319436006069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350319436006085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350319436006087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350319436006198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350319436006213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350319436006214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350319436006215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350319439011024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350319439011025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350319439011052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350319439011056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350319439011057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350319439011058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350319439011059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350319439011061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350319439011065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350319439011066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350319439011068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350319439011088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350319439011089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350319439011090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350319439011093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350319439011095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350319439011199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350319439011200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350319439011201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350319439011209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350319439011210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350319439011214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350319439011215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350319439011216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350319439011245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350319439011264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350319439011281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350319439011282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350319439011283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350319439011284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350319439011285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350319439011286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350319439011287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350319439011289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350319439011314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350319439011323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350319439011324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350319439011325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350319439011326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350319439011340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350319439011341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350319439011342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350319439011344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350319439011360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350319439011361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350319439011365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350319439011366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350319439011367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350319439011374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350319439012010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350319439012011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350319439012023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350319439012030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350319439012032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350319439012047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350319439012048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350319439012076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350319439012079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350319439012082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350319439012088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350319439012089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350319439012090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350319439012093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350319439012190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350319439012214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350319439012216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350319439012217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350319439012218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350319439012226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350319439012227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350319439012228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350319439012231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350319439012232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350319439012233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350319439013099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350319439013195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350319439013298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350319439013399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350319439013496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350319439013599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350319439013600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350319439013601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350319439013602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350319439013608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350319439013610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350319439013611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350319439013614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350319439013615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350319439021093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350319439021199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350319439021299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350319439021399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350319439021458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350319439022099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350319439022192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350319439022297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350319439022399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350319439022498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350319439022595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350319439022699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350319439022799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350319439022892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350319439022996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350319440001099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350319440001198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350319440001297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350319440001307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350319440001316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350319440001319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350319440001320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350319440001322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350319440001323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350319440001325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350319440001337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350319440001338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350319440001339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350319440001340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350319440001389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350319440001395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350319440001402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350319440001408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350319440001434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350319440001437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350319440001438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350319440001439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350319440001446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350319440001448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350319440001454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350319440001455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350319440001459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350319440001464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350319440001483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350319440001496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350319440001498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350319440001499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350319440001593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350319440001676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350319440001999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350319440002099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350319440002199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350319440002295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350319440002398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350319440002409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350319440002410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350319440002419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350319440002430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350319440002456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350319440002457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350319440002458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350319440002459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350319440002486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350319440002487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350319440002498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350319440002499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350319440002597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350319440002698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350319440002794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350319440002870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350319452001010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350319452001013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350319452001014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350319452001015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350319452001016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350319452002064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350319453001000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350319453001001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350319453001003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350319453001004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350319453001005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350319453001006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350319453001007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350319453001008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350319453001009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350319453001010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350319453001011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350319453001021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350319453001022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350319453001023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350319453001030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350319453001032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350319455004046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350319456001094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350319456002006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350319456002007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350319457001099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350319457001197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350319457001299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350319457001300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350319457001301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350319457001305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350319457001306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350319457001311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350319457001312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350319457001315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350319457001365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350319457001368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350319457001369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350319457001385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350319457001390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350319457001391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350319457001392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350319457001395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350319457001496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350319457001587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350319457001698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350319457001708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350319457002092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350319457002198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350319457002298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350319457002302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350319457002303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350319457002304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350319457002313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350319457002314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350319457002315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350319457002336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350319457002387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350319457002388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350319457002389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350319457002390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350319457002393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350319457002394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350319457002395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350319457002400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350319457002401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350319457002403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350319457002404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350319457002418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350319457002420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350319457002423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350319457002424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350319457002425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350319457002436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350319457002445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350319457002453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350319457002455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350319457002456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350319457002457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350319457002458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350319457002459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350319457002462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350319457002463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350319460001099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350319460001199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350319460001296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350319460001399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350319460001499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350319460001597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350319460001696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350319460001753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350319460002090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350319460002195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350319460002297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350319460002399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350319460002401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350319460003000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350319460003061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350319460003063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350319460003064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350319460003065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350319460003067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350319460003075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350319460003199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350319460003200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350319460003201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350319460003202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350319460003204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350319460003205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350319460003206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350319460003209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350319460003212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350319460003216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350319460003217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350319460003220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350319460003265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350319460003266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350319460003267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350319460003268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350319460003269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350319460003273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350319460004099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350319460004199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350319460004296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350319460004393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350319731001038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350319731001039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350319731001040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350319731001041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350319731001042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350319731001043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350319731001047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350319731001048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350319731001076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350319731001077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350399410002903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350399410002906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350439409001199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350439409001299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350439409001399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350439409001499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350439409001597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350439409001694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350439409001789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350439409001898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350439409001975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350439409002099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350439409002195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350439409002293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350439409002399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350439409002496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350450001002020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350450005041002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350450005041006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350450005041008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350450005041015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350450005041017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350450005041020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350450006071050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350450006071051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350450006071052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350450006071053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350450006071054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350450006071055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350450006071056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350450007021229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350450007021230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350450007021231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350450007021279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350450007021299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350450007021399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350450007021499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350450007021599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350450007021606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350450007021607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350450007021613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350450007021631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350450007021726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350450009001049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350459428012563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350459428012564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350459428012575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350459428012576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350459428012583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350459428012584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350459428012585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350459428012586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350459428012587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350459428012588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350459428012589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350459428012590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350459428012591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350459428012592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350459432011033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350459432012099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350459432012199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350459432012299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350459432012398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350459432012465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350459432012597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350459432012694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350459432012799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350459432012899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350459432012999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350459432013067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350459432013068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350459432013073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350459432013074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350459432013081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350459432013082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350459432013085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350459432013199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350459432013284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350459432013399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350459432013495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350459432013599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350459432013695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350459432013798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350459432013898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350459432013997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350459432014097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350459432014186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350459432014299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350459432014399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350459432014499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350459432014543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350459432014596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350459432014692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350459432014694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350459432014695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350459432014788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350459432014789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350459432014798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350459432014831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350459432014841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350459432014845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350459432014890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350459432014891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350459432014893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350459432014897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350459432014898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350459432014926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350459432014930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350459432014935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350459432014936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350459432014938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350459432014939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350459432014957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350459432014958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350459432014987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350459432014998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350459432015007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350459432015028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350459432015029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350459432015037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350459432015059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350459432015060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350459432015075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350459432015076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350459432015098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350459432015099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350459432015100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350459432015101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350459432015102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350459432015103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350459432015104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350459432015106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350459432015108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350459432015109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350459432015110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350459432015111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350459432015112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350459432015113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350459432015114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350459432015115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350459432015116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350459432015118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350459432015119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350459432015120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350459432015121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350459432015122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350459432015123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350459432015124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350459432015125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350459432015133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350459432015134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350459432015140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350459432015142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350459432015147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350459432015154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350459432015155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350459432015161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350459432015162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350459432015177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350459432015246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350459432015248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350459432015249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350459432015250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350459432015251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350459432015252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350459432015253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350459432015256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350459432015263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350459432015264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350459432015265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350459432015266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350459432015267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350459432015268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350459432015269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350459432015270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350459432015271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350459432015272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350459432015273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350459432015274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350459432015277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350459432015278</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350459432015280</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350459432015282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350459432015283</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350459432015284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350459432015285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350459432015286</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350539400001079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350539400001105</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350539400001127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350539400001132</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350539400001144</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350539400001179</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350539400001217</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350539400001281</w:t>
            </w:r>
          </w:p>
        </w:tc>
      </w:tr>
      <w:tr w:rsidR="00E95E0F" w:rsidRPr="00525111">
        <w:trPr>
          <w:trHeight w:val="144"/>
        </w:trPr>
        <w:tc>
          <w:tcPr>
            <w:tcW w:w="1820" w:type="dxa"/>
            <w:tcBorders>
              <w:top w:val="nil"/>
              <w:left w:val="single" w:sz="4" w:space="0" w:color="D0D7E5"/>
              <w:bottom w:val="single" w:sz="4" w:space="0" w:color="D0D7E5"/>
              <w:right w:val="single" w:sz="4" w:space="0" w:color="D0D7E5"/>
            </w:tcBorders>
            <w:shd w:val="clear" w:color="auto" w:fill="auto"/>
            <w:vAlign w:val="center"/>
          </w:tcPr>
          <w:p w:rsidR="00E95E0F" w:rsidRPr="00525111" w:rsidRDefault="00E95E0F" w:rsidP="00E95E0F">
            <w:pPr>
              <w:jc w:val="right"/>
              <w:rPr>
                <w:rFonts w:cstheme="minorHAnsi"/>
                <w:color w:val="000000"/>
                <w:sz w:val="20"/>
              </w:rPr>
            </w:pPr>
            <w:r w:rsidRPr="00525111">
              <w:rPr>
                <w:rFonts w:cstheme="minorHAnsi"/>
                <w:color w:val="000000"/>
                <w:sz w:val="20"/>
              </w:rPr>
              <w:t>350539400001288</w:t>
            </w:r>
          </w:p>
        </w:tc>
      </w:tr>
    </w:tbl>
    <w:p w:rsidR="00C92E53" w:rsidRDefault="00C92E53" w:rsidP="00E95E0F">
      <w:pPr>
        <w:sectPr w:rsidR="00C92E53">
          <w:type w:val="continuous"/>
          <w:pgSz w:w="12240" w:h="15840" w:code="1"/>
          <w:pgMar w:top="1008" w:right="864" w:bottom="1008" w:left="864" w:header="720" w:footer="576" w:gutter="0"/>
          <w:cols w:num="5" w:space="288"/>
          <w:docGrid w:linePitch="360"/>
        </w:sectPr>
      </w:pPr>
    </w:p>
    <w:p w:rsidR="007534E9" w:rsidRDefault="007534E9" w:rsidP="00E95E0F"/>
    <w:p w:rsidR="007534E9" w:rsidRDefault="007534E9">
      <w:pPr>
        <w:widowControl/>
        <w:sectPr w:rsidR="007534E9">
          <w:type w:val="continuous"/>
          <w:pgSz w:w="12240" w:h="15840" w:code="1"/>
          <w:pgMar w:top="1008" w:right="864" w:bottom="1008" w:left="864" w:header="720" w:footer="576" w:gutter="0"/>
          <w:cols w:space="288"/>
          <w:docGrid w:linePitch="360"/>
        </w:sectPr>
      </w:pPr>
    </w:p>
    <w:p w:rsidR="007534E9" w:rsidRDefault="007534E9">
      <w:pPr>
        <w:widowControl/>
      </w:pPr>
    </w:p>
    <w:sectPr w:rsidR="007534E9" w:rsidSect="007534E9">
      <w:type w:val="continuous"/>
      <w:pgSz w:w="12240" w:h="15840" w:code="1"/>
      <w:pgMar w:top="1008" w:right="864" w:bottom="1008" w:left="864" w:header="720" w:footer="576"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DF" w:rsidRDefault="00582FDF">
      <w:pPr>
        <w:spacing w:line="20" w:lineRule="exact"/>
      </w:pPr>
    </w:p>
  </w:endnote>
  <w:endnote w:type="continuationSeparator" w:id="0">
    <w:p w:rsidR="00582FDF" w:rsidRDefault="00582FDF">
      <w:r>
        <w:t xml:space="preserve"> </w:t>
      </w:r>
    </w:p>
  </w:endnote>
  <w:endnote w:type="continuationNotice" w:id="1">
    <w:p w:rsidR="00582FDF" w:rsidRDefault="00582F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99" w:rsidRDefault="00360599" w:rsidP="0055614C">
    <w:pPr>
      <w:pStyle w:val="Footer"/>
      <w:framePr w:wrap="around" w:vAnchor="text" w:hAnchor="margin" w:xAlign="center" w:y="1"/>
    </w:pPr>
    <w:r>
      <w:fldChar w:fldCharType="begin"/>
    </w:r>
    <w:r>
      <w:instrText xml:space="preserve">PAGE  </w:instrText>
    </w:r>
    <w:r>
      <w:fldChar w:fldCharType="end"/>
    </w:r>
  </w:p>
  <w:p w:rsidR="00360599" w:rsidRDefault="00360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99" w:rsidRDefault="00360599" w:rsidP="0055614C">
    <w:pPr>
      <w:pStyle w:val="Footer"/>
      <w:framePr w:wrap="around" w:vAnchor="text" w:hAnchor="margin" w:xAlign="center" w:y="1"/>
    </w:pPr>
    <w:r>
      <w:fldChar w:fldCharType="begin"/>
    </w:r>
    <w:r>
      <w:instrText xml:space="preserve">PAGE  </w:instrText>
    </w:r>
    <w:r>
      <w:fldChar w:fldCharType="separate"/>
    </w:r>
    <w:r w:rsidR="006F6F0B">
      <w:rPr>
        <w:noProof/>
      </w:rPr>
      <w:t>2</w:t>
    </w:r>
    <w:r>
      <w:rPr>
        <w:noProof/>
      </w:rPr>
      <w:fldChar w:fldCharType="end"/>
    </w:r>
  </w:p>
  <w:p w:rsidR="00360599" w:rsidRDefault="00360599" w:rsidP="004200D2">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49" w:rsidRDefault="004C27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753125"/>
      <w:docPartObj>
        <w:docPartGallery w:val="Page Numbers (Bottom of Page)"/>
        <w:docPartUnique/>
      </w:docPartObj>
    </w:sdtPr>
    <w:sdtEndPr>
      <w:rPr>
        <w:noProof/>
      </w:rPr>
    </w:sdtEndPr>
    <w:sdtContent>
      <w:p w:rsidR="00360599" w:rsidRDefault="00360599" w:rsidP="00E95E0F">
        <w:pPr>
          <w:pStyle w:val="Footer"/>
          <w:jc w:val="center"/>
        </w:pPr>
        <w:r>
          <w:fldChar w:fldCharType="begin"/>
        </w:r>
        <w:r>
          <w:instrText xml:space="preserve"> PAGE   \* MERGEFORMAT </w:instrText>
        </w:r>
        <w:r>
          <w:fldChar w:fldCharType="separate"/>
        </w:r>
        <w:r w:rsidR="006B341A">
          <w:rPr>
            <w:noProof/>
          </w:rPr>
          <w:t>26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DF" w:rsidRDefault="00582FDF">
      <w:r>
        <w:separator/>
      </w:r>
    </w:p>
  </w:footnote>
  <w:footnote w:type="continuationSeparator" w:id="0">
    <w:p w:rsidR="00582FDF" w:rsidRDefault="00582FDF" w:rsidP="00C721AC">
      <w:pPr>
        <w:spacing w:before="120"/>
        <w:rPr>
          <w:sz w:val="20"/>
        </w:rPr>
      </w:pPr>
      <w:r>
        <w:rPr>
          <w:sz w:val="20"/>
        </w:rPr>
        <w:t xml:space="preserve">(Continued from previous page)  </w:t>
      </w:r>
      <w:r>
        <w:rPr>
          <w:sz w:val="20"/>
        </w:rPr>
        <w:separator/>
      </w:r>
    </w:p>
  </w:footnote>
  <w:footnote w:type="continuationNotice" w:id="1">
    <w:p w:rsidR="00582FDF" w:rsidRDefault="00582FDF" w:rsidP="00C721AC">
      <w:pPr>
        <w:jc w:val="right"/>
        <w:rPr>
          <w:sz w:val="20"/>
        </w:rPr>
      </w:pPr>
      <w:r>
        <w:rPr>
          <w:sz w:val="20"/>
        </w:rPr>
        <w:t>(continued….)</w:t>
      </w:r>
    </w:p>
  </w:footnote>
  <w:footnote w:id="2">
    <w:p w:rsidR="00360599" w:rsidRPr="00884489" w:rsidRDefault="00360599" w:rsidP="00884489">
      <w:pPr>
        <w:pStyle w:val="FootnoteText"/>
      </w:pPr>
      <w:r w:rsidRPr="00884489">
        <w:rPr>
          <w:rStyle w:val="FootnoteReference"/>
        </w:rPr>
        <w:footnoteRef/>
      </w:r>
      <w:r w:rsidRPr="00884489">
        <w:t xml:space="preserve"> Smith Bagley, Inc. Petition for Waiver, Expedited Action Requested, AU Docket No. 14-78 (filed Aug. 8, 2014) (Waiver Petition).  </w:t>
      </w:r>
      <w:r w:rsidRPr="00884489">
        <w:rPr>
          <w:i/>
        </w:rPr>
        <w:t>See also</w:t>
      </w:r>
      <w:r w:rsidRPr="00884489">
        <w:t xml:space="preserve"> Letter from David LaFuria, Smith Bagley, Inc. to Marlene H. Dortch, Federal Communications Commission, dated Sep. 29, 2014 (submitting a map showing additional </w:t>
      </w:r>
      <w:r>
        <w:t>census blocks to be included as Tribal</w:t>
      </w:r>
      <w:r w:rsidRPr="00884489">
        <w:t xml:space="preserve"> lands; a list of the additional census blocks</w:t>
      </w:r>
      <w:r>
        <w:t>,</w:t>
      </w:r>
      <w:r w:rsidRPr="00884489">
        <w:t xml:space="preserve"> and </w:t>
      </w:r>
      <w:r>
        <w:t xml:space="preserve">geographic information system (GIS) </w:t>
      </w:r>
      <w:r w:rsidRPr="00884489">
        <w:t xml:space="preserve">shapefiles).  </w:t>
      </w:r>
    </w:p>
  </w:footnote>
  <w:footnote w:id="3">
    <w:p w:rsidR="00360599" w:rsidRPr="00884489" w:rsidRDefault="00360599" w:rsidP="00884489">
      <w:pPr>
        <w:pStyle w:val="FootnoteText"/>
      </w:pPr>
      <w:r w:rsidRPr="00884489">
        <w:rPr>
          <w:rStyle w:val="FootnoteReference"/>
        </w:rPr>
        <w:footnoteRef/>
      </w:r>
      <w:r w:rsidRPr="00884489">
        <w:t xml:space="preserve"> The Appendix to this Order is a list of the census blocks in the Eastern Navajo Agency that are </w:t>
      </w:r>
      <w:r>
        <w:t>the subject of</w:t>
      </w:r>
      <w:r w:rsidRPr="00884489">
        <w:t xml:space="preserve"> the relief granted herein.  </w:t>
      </w:r>
      <w:r>
        <w:t xml:space="preserve">The geographic areas in which these additional census blocks are located are Economic Area (EA) 155, </w:t>
      </w:r>
      <w:r w:rsidRPr="004E495C">
        <w:t>Farmington NM-CO</w:t>
      </w:r>
      <w:r>
        <w:t xml:space="preserve">; EA 156, </w:t>
      </w:r>
      <w:r w:rsidRPr="004E495C">
        <w:t>Albuquerque NM-AZ</w:t>
      </w:r>
      <w:r>
        <w:t xml:space="preserve">; EA 139, </w:t>
      </w:r>
      <w:r w:rsidRPr="004E495C">
        <w:t>Santa Fe, NM</w:t>
      </w:r>
      <w:r>
        <w:t xml:space="preserve">; Cellular Market Area (CMA) 86, </w:t>
      </w:r>
      <w:r w:rsidRPr="004E495C">
        <w:t>Albuquerque, NM</w:t>
      </w:r>
      <w:r>
        <w:t xml:space="preserve">; CMA 553, </w:t>
      </w:r>
      <w:r w:rsidRPr="004E495C">
        <w:t>New Mexico 1 - San Juan</w:t>
      </w:r>
      <w:r>
        <w:t>; and CMA 555, New Mexico 3 - Catron.</w:t>
      </w:r>
    </w:p>
  </w:footnote>
  <w:footnote w:id="4">
    <w:p w:rsidR="00360599" w:rsidRPr="00884489" w:rsidRDefault="00360599">
      <w:pPr>
        <w:pStyle w:val="FootnoteText"/>
      </w:pPr>
      <w:r w:rsidRPr="00884489">
        <w:rPr>
          <w:rStyle w:val="FootnoteReference"/>
        </w:rPr>
        <w:footnoteRef/>
      </w:r>
      <w:r w:rsidRPr="00884489">
        <w:t xml:space="preserve"> 47 C.F.R. §§ 1.2107</w:t>
      </w:r>
      <w:r>
        <w:t>(e)</w:t>
      </w:r>
      <w:r w:rsidRPr="00884489">
        <w:t xml:space="preserve"> and 1.2110(f).  The Commission determined that any auction of AWS-3 spectrum would be conducted using the standard competitive bidding rules in Part 1, Subpart Q.  </w:t>
      </w:r>
      <w:r w:rsidRPr="00884489">
        <w:rPr>
          <w:i/>
        </w:rPr>
        <w:t>See</w:t>
      </w:r>
      <w:r w:rsidRPr="00884489">
        <w:t xml:space="preserve"> </w:t>
      </w:r>
      <w:r w:rsidRPr="00884489">
        <w:rPr>
          <w:spacing w:val="-2"/>
        </w:rPr>
        <w:t>Amendment of the Commission’s Rules with Regard to Commercial Operations in the 1695-1710 MHz, 1755-1780 MHz, and 2155-2180 MHz Bands</w:t>
      </w:r>
      <w:r w:rsidRPr="00884489">
        <w:t xml:space="preserve">, GN Docket No. 13-185, </w:t>
      </w:r>
      <w:r w:rsidRPr="00884489">
        <w:rPr>
          <w:i/>
        </w:rPr>
        <w:t>Report and Order</w:t>
      </w:r>
      <w:r w:rsidRPr="00884489">
        <w:t>, 29 FCC Rcd 4610, 4674 ¶ 176 (2014) (</w:t>
      </w:r>
      <w:r w:rsidRPr="00884489">
        <w:rPr>
          <w:i/>
        </w:rPr>
        <w:t>recon. pending</w:t>
      </w:r>
      <w:r w:rsidRPr="00884489">
        <w:t xml:space="preserve">). </w:t>
      </w:r>
    </w:p>
  </w:footnote>
  <w:footnote w:id="5">
    <w:p w:rsidR="00360599" w:rsidRPr="00884489" w:rsidRDefault="00360599">
      <w:pPr>
        <w:pStyle w:val="FootnoteText"/>
      </w:pPr>
      <w:r w:rsidRPr="00884489">
        <w:rPr>
          <w:rStyle w:val="FootnoteReference"/>
        </w:rPr>
        <w:footnoteRef/>
      </w:r>
      <w:r w:rsidRPr="00884489">
        <w:t xml:space="preserve"> 47 C.F.R. 1.2110(f)(3)(i).  </w:t>
      </w:r>
      <w:r w:rsidRPr="00884489">
        <w:rPr>
          <w:i/>
        </w:rPr>
        <w:t>See</w:t>
      </w:r>
      <w:r w:rsidRPr="00884489">
        <w:t xml:space="preserve"> Auction of Advanced Wireless Services (AWS-3) Licenses Scheduled for November 13, 2014, Notice and Filing Requirements, Reserve Prices, Minimum Opening Bids, Upfront Payments, and Other Procedures for Auction 97, </w:t>
      </w:r>
      <w:r w:rsidRPr="00884489">
        <w:rPr>
          <w:i/>
        </w:rPr>
        <w:t xml:space="preserve">Public Notice, </w:t>
      </w:r>
      <w:r w:rsidRPr="00884489">
        <w:t>29 FCC Rcd</w:t>
      </w:r>
      <w:r w:rsidRPr="00884489">
        <w:rPr>
          <w:i/>
        </w:rPr>
        <w:t xml:space="preserve"> </w:t>
      </w:r>
      <w:r>
        <w:t xml:space="preserve">8386, 8450 ¶ 236 </w:t>
      </w:r>
      <w:r w:rsidRPr="00884489">
        <w:t xml:space="preserve">(WTB 2014) </w:t>
      </w:r>
      <w:r w:rsidRPr="00884489">
        <w:rPr>
          <w:i/>
        </w:rPr>
        <w:t>citing</w:t>
      </w:r>
      <w:r>
        <w:t xml:space="preserve"> 47 C.F.R. §§ </w:t>
      </w:r>
      <w:r w:rsidRPr="00884489">
        <w:t>1.2107 and 1.2110(f) (</w:t>
      </w:r>
      <w:r w:rsidRPr="00884489">
        <w:rPr>
          <w:i/>
        </w:rPr>
        <w:t>Auction 97 Procedures PN</w:t>
      </w:r>
      <w:r w:rsidRPr="00884489">
        <w:t xml:space="preserve">).  </w:t>
      </w:r>
    </w:p>
  </w:footnote>
  <w:footnote w:id="6">
    <w:p w:rsidR="00360599" w:rsidRPr="00884489" w:rsidRDefault="00360599">
      <w:pPr>
        <w:pStyle w:val="FootnoteText"/>
      </w:pPr>
      <w:r w:rsidRPr="00884489">
        <w:rPr>
          <w:rStyle w:val="FootnoteReference"/>
        </w:rPr>
        <w:footnoteRef/>
      </w:r>
      <w:r w:rsidRPr="00884489">
        <w:t xml:space="preserve"> 47 C.F.R. § 1.2110(f)(3)(i).</w:t>
      </w:r>
    </w:p>
  </w:footnote>
  <w:footnote w:id="7">
    <w:p w:rsidR="00360599" w:rsidRPr="00884489" w:rsidRDefault="00360599">
      <w:pPr>
        <w:pStyle w:val="FootnoteText"/>
      </w:pPr>
      <w:r w:rsidRPr="00884489">
        <w:rPr>
          <w:rStyle w:val="FootnoteReference"/>
        </w:rPr>
        <w:footnoteRef/>
      </w:r>
      <w:r w:rsidRPr="00884489">
        <w:t xml:space="preserve"> Waiver Petition at 2 (a significant portion of the Eastern Navajo Agency lies outside of the border of what qualifies as a federally recognized Indian tribe’s reservation under Section 1.2110(f)(3)(i) of the Commission’s Rules).  </w:t>
      </w:r>
    </w:p>
  </w:footnote>
  <w:footnote w:id="8">
    <w:p w:rsidR="00360599" w:rsidRPr="00884489" w:rsidRDefault="00360599">
      <w:pPr>
        <w:pStyle w:val="FootnoteText"/>
      </w:pPr>
      <w:r w:rsidRPr="00884489">
        <w:rPr>
          <w:rStyle w:val="FootnoteReference"/>
        </w:rPr>
        <w:footnoteRef/>
      </w:r>
      <w:r w:rsidRPr="00884489">
        <w:t xml:space="preserve"> Waiver Petition at 2.</w:t>
      </w:r>
    </w:p>
  </w:footnote>
  <w:footnote w:id="9">
    <w:p w:rsidR="00360599" w:rsidRPr="00884489" w:rsidRDefault="00360599">
      <w:pPr>
        <w:pStyle w:val="FootnoteText"/>
      </w:pPr>
      <w:r w:rsidRPr="00884489">
        <w:rPr>
          <w:rStyle w:val="FootnoteReference"/>
        </w:rPr>
        <w:footnoteRef/>
      </w:r>
      <w:r w:rsidRPr="00884489">
        <w:t xml:space="preserve"> </w:t>
      </w:r>
      <w:r>
        <w:rPr>
          <w:i/>
        </w:rPr>
        <w:t xml:space="preserve">Id. </w:t>
      </w:r>
      <w:r w:rsidRPr="00884489">
        <w:t>at 2-3.</w:t>
      </w:r>
    </w:p>
  </w:footnote>
  <w:footnote w:id="10">
    <w:p w:rsidR="00360599" w:rsidRPr="00884489" w:rsidRDefault="00360599">
      <w:pPr>
        <w:pStyle w:val="FootnoteText"/>
      </w:pPr>
      <w:r w:rsidRPr="00884489">
        <w:rPr>
          <w:rStyle w:val="FootnoteReference"/>
        </w:rPr>
        <w:footnoteRef/>
      </w:r>
      <w:r w:rsidRPr="00884489">
        <w:t xml:space="preserve"> </w:t>
      </w:r>
      <w:r w:rsidRPr="009E78D5">
        <w:rPr>
          <w:i/>
        </w:rPr>
        <w:t>Id</w:t>
      </w:r>
      <w:r>
        <w:t xml:space="preserve">. </w:t>
      </w:r>
      <w:r w:rsidRPr="00884489">
        <w:t>at 9.</w:t>
      </w:r>
    </w:p>
  </w:footnote>
  <w:footnote w:id="11">
    <w:p w:rsidR="00360599" w:rsidRPr="00884489" w:rsidRDefault="00360599">
      <w:pPr>
        <w:pStyle w:val="FootnoteText"/>
      </w:pPr>
      <w:r w:rsidRPr="00884489">
        <w:rPr>
          <w:rStyle w:val="FootnoteReference"/>
        </w:rPr>
        <w:footnoteRef/>
      </w:r>
      <w:r w:rsidRPr="00884489">
        <w:t xml:space="preserve"> The five Agencies of the Navajo Nation, which are similar to provincial entities and further </w:t>
      </w:r>
      <w:r>
        <w:t xml:space="preserve">comprised </w:t>
      </w:r>
      <w:r w:rsidRPr="00884489">
        <w:t xml:space="preserve">of Chapters, are the Chinle Agency, the Eastern Navajo Agency, the Fort Defiance Agency, the Shiprock Agency, and the Western Navajo Agency.  The five Agencies match the five </w:t>
      </w:r>
      <w:r>
        <w:t xml:space="preserve">Bureau of Indian Affairs (BIA) </w:t>
      </w:r>
      <w:r w:rsidRPr="00884489">
        <w:t xml:space="preserve">Agencies that </w:t>
      </w:r>
      <w:r>
        <w:t xml:space="preserve">compose </w:t>
      </w:r>
      <w:r w:rsidRPr="00884489">
        <w:t xml:space="preserve">the Bureau of Indian Affairs Navajo Region.  </w:t>
      </w:r>
      <w:r w:rsidRPr="00884489">
        <w:rPr>
          <w:i/>
        </w:rPr>
        <w:t xml:space="preserve">See </w:t>
      </w:r>
      <w:hyperlink r:id="rId1" w:history="1">
        <w:r w:rsidRPr="007E1F94">
          <w:rPr>
            <w:rStyle w:val="Hyperlink"/>
          </w:rPr>
          <w:t>http://www.bia.gov/WhoWeAre/RegionalOffices/Navajo/WeAre/Agencies/index.htm</w:t>
        </w:r>
      </w:hyperlink>
      <w:r w:rsidRPr="00884489">
        <w:t xml:space="preserve">. </w:t>
      </w:r>
    </w:p>
  </w:footnote>
  <w:footnote w:id="12">
    <w:p w:rsidR="00360599" w:rsidRPr="00884489" w:rsidRDefault="00360599">
      <w:pPr>
        <w:pStyle w:val="FootnoteText"/>
      </w:pPr>
      <w:r w:rsidRPr="00884489">
        <w:rPr>
          <w:rStyle w:val="FootnoteReference"/>
        </w:rPr>
        <w:footnoteRef/>
      </w:r>
      <w:r w:rsidRPr="00884489">
        <w:t xml:space="preserve"> Waiver Petition at 3</w:t>
      </w:r>
      <w:r>
        <w:t xml:space="preserve">; </w:t>
      </w:r>
      <w:r w:rsidRPr="00F25B30">
        <w:rPr>
          <w:i/>
        </w:rPr>
        <w:t>see also</w:t>
      </w:r>
      <w:r>
        <w:t xml:space="preserve"> </w:t>
      </w:r>
      <w:r w:rsidRPr="00884489">
        <w:t>Comments of the Navajo Nation Telecommunications Regulatory Commission (NNRTC) on SBI’s Petition for Waiver at 3 (filed Aug. 21, 2014) (NNTRC Comments)</w:t>
      </w:r>
      <w:r>
        <w:t>.</w:t>
      </w:r>
    </w:p>
  </w:footnote>
  <w:footnote w:id="13">
    <w:p w:rsidR="00360599" w:rsidRPr="00884489" w:rsidRDefault="00360599">
      <w:pPr>
        <w:pStyle w:val="FootnoteText"/>
      </w:pPr>
      <w:r w:rsidRPr="00884489">
        <w:rPr>
          <w:rStyle w:val="FootnoteReference"/>
        </w:rPr>
        <w:footnoteRef/>
      </w:r>
      <w:r w:rsidRPr="00884489">
        <w:t xml:space="preserve"> Waiver Petition at 2, 6</w:t>
      </w:r>
      <w:r>
        <w:t xml:space="preserve">; </w:t>
      </w:r>
      <w:r w:rsidRPr="00F25B30">
        <w:rPr>
          <w:i/>
        </w:rPr>
        <w:t>see also</w:t>
      </w:r>
      <w:r>
        <w:t xml:space="preserve"> NNTRC Comments at 3</w:t>
      </w:r>
      <w:r w:rsidRPr="00884489">
        <w:t xml:space="preserve">.  </w:t>
      </w:r>
    </w:p>
  </w:footnote>
  <w:footnote w:id="14">
    <w:p w:rsidR="00360599" w:rsidRPr="00884489" w:rsidRDefault="00360599">
      <w:pPr>
        <w:pStyle w:val="FootnoteText"/>
      </w:pPr>
      <w:r w:rsidRPr="00884489">
        <w:rPr>
          <w:rStyle w:val="FootnoteReference"/>
        </w:rPr>
        <w:footnoteRef/>
      </w:r>
      <w:r w:rsidRPr="00884489">
        <w:t xml:space="preserve"> Waiver Petition at 2; </w:t>
      </w:r>
      <w:r w:rsidRPr="00884489">
        <w:rPr>
          <w:i/>
        </w:rPr>
        <w:t>see also</w:t>
      </w:r>
      <w:r>
        <w:rPr>
          <w:i/>
        </w:rPr>
        <w:t xml:space="preserve"> </w:t>
      </w:r>
      <w:r w:rsidRPr="00F25B30">
        <w:t xml:space="preserve">NNTRC Comments </w:t>
      </w:r>
      <w:r w:rsidRPr="00884489">
        <w:t xml:space="preserve">at 3.  </w:t>
      </w:r>
    </w:p>
  </w:footnote>
  <w:footnote w:id="15">
    <w:p w:rsidR="00360599" w:rsidRPr="00884489" w:rsidRDefault="00360599">
      <w:pPr>
        <w:pStyle w:val="FootnoteText"/>
      </w:pPr>
      <w:r w:rsidRPr="00884489">
        <w:rPr>
          <w:rStyle w:val="FootnoteReference"/>
        </w:rPr>
        <w:footnoteRef/>
      </w:r>
      <w:r w:rsidRPr="00884489">
        <w:t xml:space="preserve"> </w:t>
      </w:r>
      <w:r w:rsidRPr="00884489">
        <w:rPr>
          <w:i/>
        </w:rPr>
        <w:t>See</w:t>
      </w:r>
      <w:r w:rsidRPr="00884489">
        <w:t xml:space="preserve"> </w:t>
      </w:r>
      <w:hyperlink r:id="rId2" w:history="1">
        <w:r w:rsidRPr="00884489">
          <w:rPr>
            <w:rStyle w:val="Hyperlink"/>
          </w:rPr>
          <w:t>http://apps.fcc.gov/ecfs/</w:t>
        </w:r>
      </w:hyperlink>
      <w:r w:rsidRPr="00884489">
        <w:t xml:space="preserve">, proceeding number 14-78.  </w:t>
      </w:r>
    </w:p>
  </w:footnote>
  <w:footnote w:id="16">
    <w:p w:rsidR="00360599" w:rsidRPr="00884489" w:rsidRDefault="00360599">
      <w:pPr>
        <w:pStyle w:val="FootnoteText"/>
      </w:pPr>
      <w:r w:rsidRPr="00884489">
        <w:rPr>
          <w:rStyle w:val="FootnoteReference"/>
        </w:rPr>
        <w:footnoteRef/>
      </w:r>
      <w:r w:rsidRPr="00884489">
        <w:t xml:space="preserve"> </w:t>
      </w:r>
      <w:r w:rsidRPr="00884489">
        <w:rPr>
          <w:i/>
        </w:rPr>
        <w:t xml:space="preserve">See </w:t>
      </w:r>
      <w:r w:rsidRPr="00884489">
        <w:t xml:space="preserve">Wireless Telecommunications Bureau Seeks Comment on Petition for Waiver Concerning the Availability of </w:t>
      </w:r>
      <w:r>
        <w:t>Tribal</w:t>
      </w:r>
      <w:r w:rsidRPr="00884489">
        <w:t xml:space="preserve"> Lands Bidding Credits for Licenses Covering the Eastern Navajo Agency That May Be Won in Auction 97, </w:t>
      </w:r>
      <w:r w:rsidRPr="00884489">
        <w:rPr>
          <w:i/>
        </w:rPr>
        <w:t>Public Notice</w:t>
      </w:r>
      <w:r w:rsidRPr="00884489">
        <w:t>, DA 14-1340 (rel. Sep. 16, 2014) (</w:t>
      </w:r>
      <w:r>
        <w:rPr>
          <w:i/>
        </w:rPr>
        <w:t xml:space="preserve">Eastern Agency TLBC Waiver </w:t>
      </w:r>
      <w:r w:rsidRPr="00884489">
        <w:rPr>
          <w:i/>
        </w:rPr>
        <w:t>Comment PN</w:t>
      </w:r>
      <w:r w:rsidRPr="00884489">
        <w:t xml:space="preserve">).  </w:t>
      </w:r>
    </w:p>
  </w:footnote>
  <w:footnote w:id="17">
    <w:p w:rsidR="00360599" w:rsidRPr="00884489" w:rsidRDefault="00360599">
      <w:pPr>
        <w:pStyle w:val="FootnoteText"/>
      </w:pPr>
      <w:r w:rsidRPr="00884489">
        <w:rPr>
          <w:rStyle w:val="FootnoteReference"/>
        </w:rPr>
        <w:footnoteRef/>
      </w:r>
      <w:r w:rsidRPr="00884489">
        <w:t xml:space="preserve"> NNRTC Comments at 3.  As indicated in note </w:t>
      </w:r>
      <w:fldSimple w:instr=" NOTEREF _Ref401844072  \* MERGEFORMAT ">
        <w:r w:rsidR="005D617E">
          <w:t>13</w:t>
        </w:r>
      </w:fldSimple>
      <w:r w:rsidRPr="00884489">
        <w:t xml:space="preserve">, </w:t>
      </w:r>
      <w:r w:rsidRPr="00884489">
        <w:rPr>
          <w:i/>
        </w:rPr>
        <w:t>supra,</w:t>
      </w:r>
      <w:r w:rsidRPr="00884489">
        <w:t xml:space="preserve"> NNTRC filed comments supporting SBI’s Waiver Petition prior to release of the </w:t>
      </w:r>
      <w:r>
        <w:rPr>
          <w:i/>
        </w:rPr>
        <w:t xml:space="preserve">Eastern Agency TLBC Waiver </w:t>
      </w:r>
      <w:r w:rsidRPr="00884489">
        <w:rPr>
          <w:i/>
        </w:rPr>
        <w:t>Comment PN</w:t>
      </w:r>
      <w:r w:rsidRPr="00884489">
        <w:t xml:space="preserve">.  On September 30, 2014, NNTRC filed Further Comments in response to the </w:t>
      </w:r>
      <w:r>
        <w:rPr>
          <w:i/>
        </w:rPr>
        <w:t xml:space="preserve">Eastern Agency TLBC Waiver </w:t>
      </w:r>
      <w:r w:rsidRPr="00884489">
        <w:rPr>
          <w:i/>
        </w:rPr>
        <w:t>Comment PN</w:t>
      </w:r>
      <w:r w:rsidRPr="00884489">
        <w:t xml:space="preserve"> (NNTRC Further Comments) confirming its continued support for the Waiver Petition.  </w:t>
      </w:r>
    </w:p>
  </w:footnote>
  <w:footnote w:id="18">
    <w:p w:rsidR="00360599" w:rsidRPr="00884489" w:rsidRDefault="00360599">
      <w:pPr>
        <w:pStyle w:val="FootnoteText"/>
      </w:pPr>
      <w:r w:rsidRPr="00884489">
        <w:rPr>
          <w:rStyle w:val="FootnoteReference"/>
        </w:rPr>
        <w:footnoteRef/>
      </w:r>
      <w:r w:rsidRPr="00884489">
        <w:t xml:space="preserve"> NNRTC Comments at 2.</w:t>
      </w:r>
    </w:p>
  </w:footnote>
  <w:footnote w:id="19">
    <w:p w:rsidR="00360599" w:rsidRPr="00884489" w:rsidRDefault="00360599">
      <w:pPr>
        <w:pStyle w:val="FootnoteText"/>
      </w:pPr>
      <w:r w:rsidRPr="00884489">
        <w:rPr>
          <w:rStyle w:val="FootnoteReference"/>
        </w:rPr>
        <w:footnoteRef/>
      </w:r>
      <w:r w:rsidRPr="00884489">
        <w:t xml:space="preserve"> </w:t>
      </w:r>
      <w:r>
        <w:rPr>
          <w:i/>
        </w:rPr>
        <w:t>Id.</w:t>
      </w:r>
      <w:r w:rsidRPr="00884489">
        <w:t>.</w:t>
      </w:r>
    </w:p>
  </w:footnote>
  <w:footnote w:id="20">
    <w:p w:rsidR="00360599" w:rsidRPr="00884489" w:rsidRDefault="00360599">
      <w:pPr>
        <w:pStyle w:val="FootnoteText"/>
      </w:pPr>
      <w:r w:rsidRPr="00884489">
        <w:rPr>
          <w:rStyle w:val="FootnoteReference"/>
        </w:rPr>
        <w:footnoteRef/>
      </w:r>
      <w:r w:rsidRPr="00884489">
        <w:t xml:space="preserve"> </w:t>
      </w:r>
      <w:r w:rsidRPr="00884489">
        <w:rPr>
          <w:i/>
        </w:rPr>
        <w:t>See supra</w:t>
      </w:r>
      <w:r w:rsidRPr="00884489">
        <w:t xml:space="preserve"> text accompanying note </w:t>
      </w:r>
      <w:fldSimple w:instr=" NOTEREF _Ref401939683  \* MERGEFORMAT ">
        <w:r w:rsidR="005D617E">
          <w:t>11</w:t>
        </w:r>
      </w:fldSimple>
      <w:r w:rsidRPr="00884489">
        <w:t xml:space="preserve">.  </w:t>
      </w:r>
    </w:p>
  </w:footnote>
  <w:footnote w:id="21">
    <w:p w:rsidR="00360599" w:rsidRPr="00884489" w:rsidRDefault="00360599">
      <w:pPr>
        <w:autoSpaceDE w:val="0"/>
        <w:autoSpaceDN w:val="0"/>
        <w:adjustRightInd w:val="0"/>
        <w:spacing w:after="120"/>
        <w:rPr>
          <w:sz w:val="20"/>
        </w:rPr>
      </w:pPr>
      <w:r w:rsidRPr="00884489">
        <w:rPr>
          <w:rStyle w:val="FootnoteReference"/>
        </w:rPr>
        <w:footnoteRef/>
      </w:r>
      <w:r w:rsidRPr="00884489">
        <w:rPr>
          <w:sz w:val="20"/>
        </w:rPr>
        <w:t xml:space="preserve"> NNTRC Comments at 3 citing </w:t>
      </w:r>
      <w:hyperlink r:id="rId3" w:history="1">
        <w:r w:rsidRPr="00884489">
          <w:rPr>
            <w:rStyle w:val="Hyperlink"/>
            <w:sz w:val="20"/>
          </w:rPr>
          <w:t>http://www.nndcd.org/content.asp?CustComKey=292717&amp;CategoryKey=508697&amp;pn=Newsletter&amp;DomName=nndcd.org</w:t>
        </w:r>
      </w:hyperlink>
      <w:r w:rsidRPr="00884489">
        <w:rPr>
          <w:color w:val="3953A5"/>
          <w:sz w:val="20"/>
        </w:rPr>
        <w:t>,</w:t>
      </w:r>
      <w:r w:rsidRPr="00884489">
        <w:rPr>
          <w:color w:val="000000"/>
          <w:sz w:val="20"/>
        </w:rPr>
        <w:t xml:space="preserve"> (Navajo Nation Division of Community Development link to 2010 census figures by Chapters in the Eastern Agency).  </w:t>
      </w:r>
    </w:p>
  </w:footnote>
  <w:footnote w:id="22">
    <w:p w:rsidR="00360599" w:rsidRPr="00884489" w:rsidRDefault="00360599">
      <w:pPr>
        <w:pStyle w:val="FootnoteText"/>
      </w:pPr>
      <w:r w:rsidRPr="00884489">
        <w:rPr>
          <w:rStyle w:val="FootnoteReference"/>
        </w:rPr>
        <w:footnoteRef/>
      </w:r>
      <w:r w:rsidRPr="00884489">
        <w:t xml:space="preserve"> NNTRC Comments at 3.  NNTRC notes that it has separately requested that the Commission permanently revise its definition of </w:t>
      </w:r>
      <w:r>
        <w:t>Tribal</w:t>
      </w:r>
      <w:r w:rsidRPr="00884489">
        <w:t xml:space="preserve"> Lands pursuant to Section 1.2110(f)(3)(i) of the rules to include areas like the Eastern Navajo Agency.  </w:t>
      </w:r>
      <w:r w:rsidRPr="00884489">
        <w:rPr>
          <w:i/>
        </w:rPr>
        <w:t xml:space="preserve">See </w:t>
      </w:r>
      <w:r w:rsidRPr="00884489">
        <w:t xml:space="preserve">Improving Communications Services to Native Nations by Promoting Great Utilization Over </w:t>
      </w:r>
      <w:r>
        <w:t>Tribal</w:t>
      </w:r>
      <w:r w:rsidRPr="00884489">
        <w:t xml:space="preserve"> Lands, WT Docket 11-40, NNTRC Comments (filed June 20, 2011).  Our action today granting the Waiver Petition based on the record before us is without prejudice to any action that the Commission may take on NNTRC’s separate request.  </w:t>
      </w:r>
    </w:p>
  </w:footnote>
  <w:footnote w:id="23">
    <w:p w:rsidR="00360599" w:rsidRPr="00884489" w:rsidRDefault="00360599">
      <w:pPr>
        <w:pStyle w:val="FootnoteText"/>
      </w:pPr>
      <w:r w:rsidRPr="00884489">
        <w:rPr>
          <w:rStyle w:val="FootnoteReference"/>
        </w:rPr>
        <w:footnoteRef/>
      </w:r>
      <w:r w:rsidRPr="00884489">
        <w:t xml:space="preserve"> 47 C.F.R. § 1.3.</w:t>
      </w:r>
    </w:p>
  </w:footnote>
  <w:footnote w:id="24">
    <w:p w:rsidR="00360599" w:rsidRPr="00884489" w:rsidRDefault="00360599">
      <w:pPr>
        <w:pStyle w:val="FootnoteText"/>
      </w:pPr>
      <w:r w:rsidRPr="00884489">
        <w:rPr>
          <w:rStyle w:val="FootnoteReference"/>
        </w:rPr>
        <w:footnoteRef/>
      </w:r>
      <w:r w:rsidRPr="00884489">
        <w:t xml:space="preserve"> 47 C.F.R. § 1.925(b)(3)(i)-(ii).  </w:t>
      </w:r>
      <w:r w:rsidRPr="00884489">
        <w:rPr>
          <w:i/>
        </w:rPr>
        <w:t>See also</w:t>
      </w:r>
      <w:r w:rsidRPr="00884489">
        <w:t xml:space="preserve"> </w:t>
      </w:r>
      <w:r w:rsidRPr="004200D2">
        <w:rPr>
          <w:i/>
        </w:rPr>
        <w:t>WAIT Radio v FCC</w:t>
      </w:r>
      <w:r w:rsidRPr="00884489">
        <w:t>, 418 F. 2d 1153, 1159 (D.C. Cir. 1969).</w:t>
      </w:r>
    </w:p>
  </w:footnote>
  <w:footnote w:id="25">
    <w:p w:rsidR="00360599" w:rsidRPr="00884489" w:rsidRDefault="00360599">
      <w:pPr>
        <w:pStyle w:val="FootnoteText"/>
      </w:pPr>
      <w:r w:rsidRPr="00884489">
        <w:rPr>
          <w:rStyle w:val="FootnoteReference"/>
        </w:rPr>
        <w:footnoteRef/>
      </w:r>
      <w:r w:rsidRPr="00884489">
        <w:t xml:space="preserve"> </w:t>
      </w:r>
      <w:r w:rsidRPr="00884489">
        <w:rPr>
          <w:i/>
        </w:rPr>
        <w:t xml:space="preserve">See </w:t>
      </w:r>
      <w:r w:rsidRPr="00884489">
        <w:t xml:space="preserve">47 C.F.R. § 1.2107(e).  </w:t>
      </w:r>
      <w:r w:rsidRPr="00884489">
        <w:rPr>
          <w:i/>
        </w:rPr>
        <w:t>See also Auction 97 Procedures PN</w:t>
      </w:r>
      <w:r w:rsidRPr="00884489">
        <w:t xml:space="preserve"> at ¶ 237.</w:t>
      </w:r>
    </w:p>
  </w:footnote>
  <w:footnote w:id="26">
    <w:p w:rsidR="00360599" w:rsidRPr="00884489" w:rsidRDefault="00360599">
      <w:pPr>
        <w:pStyle w:val="FootnoteText"/>
      </w:pPr>
      <w:r w:rsidRPr="00884489">
        <w:rPr>
          <w:rStyle w:val="FootnoteReference"/>
        </w:rPr>
        <w:footnoteRef/>
      </w:r>
      <w:r w:rsidRPr="00884489">
        <w:t xml:space="preserve"> </w:t>
      </w:r>
      <w:r w:rsidRPr="00884489">
        <w:rPr>
          <w:i/>
        </w:rPr>
        <w:t>See</w:t>
      </w:r>
      <w:r w:rsidRPr="00884489">
        <w:t xml:space="preserve"> </w:t>
      </w:r>
      <w:r w:rsidRPr="000021E5">
        <w:rPr>
          <w:i/>
        </w:rPr>
        <w:t>infra</w:t>
      </w:r>
      <w:r>
        <w:t xml:space="preserve"> ¶ </w:t>
      </w:r>
      <w:fldSimple w:instr=" REF _Ref403131519 \r ">
        <w:r w:rsidR="005D617E">
          <w:t>14</w:t>
        </w:r>
      </w:fldSimple>
      <w:r>
        <w:t xml:space="preserve">.  </w:t>
      </w:r>
      <w:r w:rsidRPr="000021E5">
        <w:rPr>
          <w:i/>
        </w:rPr>
        <w:t>See also</w:t>
      </w:r>
      <w:r>
        <w:t xml:space="preserve"> </w:t>
      </w:r>
      <w:r w:rsidRPr="00884489">
        <w:t xml:space="preserve">Waiver Petition at 2.  </w:t>
      </w:r>
    </w:p>
  </w:footnote>
  <w:footnote w:id="27">
    <w:p w:rsidR="00360599" w:rsidRPr="00884489" w:rsidRDefault="00360599">
      <w:pPr>
        <w:pStyle w:val="FootnoteText"/>
      </w:pPr>
      <w:r w:rsidRPr="00884489">
        <w:rPr>
          <w:rStyle w:val="FootnoteReference"/>
        </w:rPr>
        <w:footnoteRef/>
      </w:r>
      <w:r w:rsidRPr="00884489">
        <w:t xml:space="preserve"> </w:t>
      </w:r>
      <w:r w:rsidRPr="00884489">
        <w:rPr>
          <w:i/>
        </w:rPr>
        <w:t>See, e.g., Auction 97 Procedures PN</w:t>
      </w:r>
      <w:r w:rsidRPr="00884489">
        <w:t xml:space="preserve"> at ¶ 94.  </w:t>
      </w:r>
    </w:p>
  </w:footnote>
  <w:footnote w:id="28">
    <w:p w:rsidR="00360599" w:rsidRPr="00884489" w:rsidRDefault="00360599">
      <w:pPr>
        <w:pStyle w:val="FootnoteText"/>
      </w:pPr>
      <w:r w:rsidRPr="00884489">
        <w:rPr>
          <w:rStyle w:val="FootnoteReference"/>
        </w:rPr>
        <w:footnoteRef/>
      </w:r>
      <w:r w:rsidRPr="00884489">
        <w:t xml:space="preserve"> </w:t>
      </w:r>
      <w:r>
        <w:rPr>
          <w:i/>
        </w:rPr>
        <w:t>Tribal</w:t>
      </w:r>
      <w:r w:rsidRPr="00884489">
        <w:rPr>
          <w:i/>
        </w:rPr>
        <w:t xml:space="preserve"> Lands Order</w:t>
      </w:r>
      <w:r w:rsidRPr="00884489">
        <w:t xml:space="preserve"> at 11800 ¶ 16.</w:t>
      </w:r>
    </w:p>
  </w:footnote>
  <w:footnote w:id="29">
    <w:p w:rsidR="00360599" w:rsidRPr="00884489" w:rsidRDefault="00360599">
      <w:pPr>
        <w:pStyle w:val="FootnoteText"/>
      </w:pPr>
      <w:r w:rsidRPr="00884489">
        <w:rPr>
          <w:rStyle w:val="FootnoteReference"/>
        </w:rPr>
        <w:footnoteRef/>
      </w:r>
      <w:r w:rsidRPr="00884489">
        <w:t xml:space="preserve"> </w:t>
      </w:r>
      <w:r w:rsidRPr="00884489">
        <w:rPr>
          <w:i/>
        </w:rPr>
        <w:t xml:space="preserve">See </w:t>
      </w:r>
      <w:r w:rsidRPr="00884489">
        <w:t xml:space="preserve">Extending Wireless Telecommunications Service to </w:t>
      </w:r>
      <w:r>
        <w:t>Tribal</w:t>
      </w:r>
      <w:r w:rsidRPr="00884489">
        <w:t xml:space="preserve"> Lands, WT Docket 99-266, </w:t>
      </w:r>
      <w:r w:rsidRPr="00884489">
        <w:rPr>
          <w:i/>
        </w:rPr>
        <w:t>Report and Order and Further Notice of Proposed Rulemaking</w:t>
      </w:r>
      <w:r w:rsidRPr="00884489">
        <w:t>, 15 FCC Rcd 11794, 11798 ¶ 8 (2000) (</w:t>
      </w:r>
      <w:r>
        <w:rPr>
          <w:i/>
        </w:rPr>
        <w:t>Tribal</w:t>
      </w:r>
      <w:r w:rsidRPr="00884489">
        <w:rPr>
          <w:i/>
        </w:rPr>
        <w:t xml:space="preserve"> Lands Order</w:t>
      </w:r>
      <w:r w:rsidRPr="00884489">
        <w:t xml:space="preserve">).  </w:t>
      </w:r>
      <w:r w:rsidRPr="00884489">
        <w:rPr>
          <w:i/>
        </w:rPr>
        <w:t xml:space="preserve">See also, </w:t>
      </w:r>
      <w:r w:rsidRPr="00884489">
        <w:t>The Connect America Fund</w:t>
      </w:r>
      <w:r w:rsidRPr="00884489">
        <w:rPr>
          <w:i/>
        </w:rPr>
        <w:t xml:space="preserve">, </w:t>
      </w:r>
      <w:r w:rsidRPr="00884489">
        <w:t>WC Docket 10-90</w:t>
      </w:r>
      <w:r w:rsidRPr="00884489">
        <w:rPr>
          <w:i/>
        </w:rPr>
        <w:t>, Report and Order and Further Notice of Proposed Rulemaking</w:t>
      </w:r>
      <w:r w:rsidRPr="00884489">
        <w:t xml:space="preserve">, 26 FCC Rcd 17663, 17818-17819 ¶ 479 (2011), Improving Communications Services to Native Nations, CG Docket No. 11-41, </w:t>
      </w:r>
      <w:r w:rsidRPr="00884489">
        <w:rPr>
          <w:i/>
        </w:rPr>
        <w:t>Notice of Inquiry</w:t>
      </w:r>
      <w:r w:rsidRPr="00884489">
        <w:t>, 26 FCC Rcd 2672, 2673 ¶ 1 (2011) (</w:t>
      </w:r>
      <w:r w:rsidRPr="00884489">
        <w:rPr>
          <w:i/>
        </w:rPr>
        <w:t>Native Nations NOI</w:t>
      </w:r>
      <w:r w:rsidRPr="00884489">
        <w:t xml:space="preserve">); Improving Communications Services for Native Nations by Promoting Greater Utilization of Spectrum Over </w:t>
      </w:r>
      <w:r>
        <w:t>Tribal</w:t>
      </w:r>
      <w:r w:rsidRPr="00884489">
        <w:t xml:space="preserve"> Lands, WT Docket No. 11-40, </w:t>
      </w:r>
      <w:r w:rsidRPr="00884489">
        <w:rPr>
          <w:i/>
        </w:rPr>
        <w:t>Notice of Proposed Rulemaking</w:t>
      </w:r>
      <w:r w:rsidRPr="00884489">
        <w:t>, 26 FCC Rcd 2623, 2624-25 ¶¶ 3-4 (2011).</w:t>
      </w:r>
    </w:p>
  </w:footnote>
  <w:footnote w:id="30">
    <w:p w:rsidR="00360599" w:rsidRPr="00884489" w:rsidRDefault="00360599">
      <w:pPr>
        <w:pStyle w:val="FootnoteText"/>
      </w:pPr>
      <w:r w:rsidRPr="00884489">
        <w:rPr>
          <w:rStyle w:val="FootnoteReference"/>
        </w:rPr>
        <w:footnoteRef/>
      </w:r>
      <w:r w:rsidRPr="00884489">
        <w:t xml:space="preserve"> </w:t>
      </w:r>
      <w:r>
        <w:rPr>
          <w:i/>
        </w:rPr>
        <w:t>Tribal</w:t>
      </w:r>
      <w:r w:rsidRPr="00884489">
        <w:rPr>
          <w:i/>
        </w:rPr>
        <w:t xml:space="preserve"> Lands Order</w:t>
      </w:r>
      <w:r w:rsidRPr="00884489">
        <w:t xml:space="preserve"> at 11800 ¶ 16; </w:t>
      </w:r>
      <w:r w:rsidRPr="00884489">
        <w:rPr>
          <w:i/>
        </w:rPr>
        <w:t>Native Nations NOI</w:t>
      </w:r>
      <w:r w:rsidRPr="00884489">
        <w:t xml:space="preserve"> at 2674 ¶ 2.</w:t>
      </w:r>
    </w:p>
  </w:footnote>
  <w:footnote w:id="31">
    <w:p w:rsidR="00360599" w:rsidRPr="00884489" w:rsidRDefault="00360599">
      <w:pPr>
        <w:pStyle w:val="FootnoteText"/>
      </w:pPr>
      <w:r w:rsidRPr="00884489">
        <w:rPr>
          <w:rStyle w:val="FootnoteReference"/>
        </w:rPr>
        <w:footnoteRef/>
      </w:r>
      <w:r w:rsidRPr="00884489">
        <w:t xml:space="preserve"> </w:t>
      </w:r>
      <w:r>
        <w:rPr>
          <w:i/>
        </w:rPr>
        <w:t>Tribal</w:t>
      </w:r>
      <w:r w:rsidRPr="00884489">
        <w:rPr>
          <w:i/>
        </w:rPr>
        <w:t xml:space="preserve"> Lands Order</w:t>
      </w:r>
      <w:r w:rsidRPr="00884489">
        <w:t xml:space="preserve"> at 11798 ¶ 10.</w:t>
      </w:r>
    </w:p>
  </w:footnote>
  <w:footnote w:id="32">
    <w:p w:rsidR="00360599" w:rsidRPr="00884489" w:rsidRDefault="00360599">
      <w:pPr>
        <w:pStyle w:val="FootnoteText"/>
      </w:pPr>
      <w:r w:rsidRPr="00884489">
        <w:rPr>
          <w:rStyle w:val="FootnoteReference"/>
        </w:rPr>
        <w:footnoteRef/>
      </w:r>
      <w:r w:rsidRPr="00884489">
        <w:t xml:space="preserve"> </w:t>
      </w:r>
      <w:r w:rsidRPr="009E78D5">
        <w:rPr>
          <w:i/>
        </w:rPr>
        <w:t>Id</w:t>
      </w:r>
      <w:r>
        <w:t xml:space="preserve">. </w:t>
      </w:r>
      <w:r w:rsidRPr="00884489">
        <w:t>at 11799 ¶¶ 11-13.</w:t>
      </w:r>
    </w:p>
  </w:footnote>
  <w:footnote w:id="33">
    <w:p w:rsidR="00360599" w:rsidRPr="00884489" w:rsidRDefault="00360599">
      <w:pPr>
        <w:pStyle w:val="FootnoteText"/>
      </w:pPr>
      <w:r w:rsidRPr="00884489">
        <w:rPr>
          <w:rStyle w:val="FootnoteReference"/>
        </w:rPr>
        <w:footnoteRef/>
      </w:r>
      <w:r w:rsidRPr="00884489">
        <w:t xml:space="preserve"> </w:t>
      </w:r>
      <w:r>
        <w:rPr>
          <w:i/>
        </w:rPr>
        <w:t xml:space="preserve">Id. </w:t>
      </w:r>
      <w:r w:rsidRPr="00884489">
        <w:t>at 11800 ¶ 16.</w:t>
      </w:r>
    </w:p>
  </w:footnote>
  <w:footnote w:id="34">
    <w:p w:rsidR="00360599" w:rsidRPr="00884489" w:rsidRDefault="00360599">
      <w:pPr>
        <w:pStyle w:val="FootnoteText"/>
      </w:pPr>
      <w:r w:rsidRPr="00884489">
        <w:rPr>
          <w:rStyle w:val="FootnoteReference"/>
        </w:rPr>
        <w:footnoteRef/>
      </w:r>
      <w:r w:rsidRPr="00884489">
        <w:t xml:space="preserve"> Waiver Petition at 6 </w:t>
      </w:r>
      <w:r w:rsidRPr="00884489">
        <w:rPr>
          <w:i/>
        </w:rPr>
        <w:t>citing</w:t>
      </w:r>
      <w:r w:rsidRPr="00884489">
        <w:t xml:space="preserve"> U.S. Census Bureau, 2010-2012 American Community Survey 3-Year Estimates (S0201, Navajo Nation </w:t>
      </w:r>
      <w:r>
        <w:t>Tribal</w:t>
      </w:r>
      <w:r w:rsidRPr="00884489">
        <w:t xml:space="preserve"> grouping/New Mexico).  In addition, the per capita income level for the Navajo Nation in New Mexico (which includes the Eastern Navajo Agency) is $10, 978, substantially less than the income level for other </w:t>
      </w:r>
      <w:r>
        <w:t>Tribal</w:t>
      </w:r>
      <w:r w:rsidRPr="00884489">
        <w:t xml:space="preserve"> lands.</w:t>
      </w:r>
    </w:p>
  </w:footnote>
  <w:footnote w:id="35">
    <w:p w:rsidR="00360599" w:rsidRDefault="00360599">
      <w:pPr>
        <w:pStyle w:val="FootnoteText"/>
      </w:pPr>
      <w:r>
        <w:rPr>
          <w:rStyle w:val="FootnoteReference"/>
        </w:rPr>
        <w:footnoteRef/>
      </w:r>
      <w:r>
        <w:t xml:space="preserve"> Some of the census blocks within the Eastern Navajo Agency are identified as part of the Navajo Nation Reservation and Off-Reservation Trust Land.  </w:t>
      </w:r>
    </w:p>
  </w:footnote>
  <w:footnote w:id="36">
    <w:p w:rsidR="00360599" w:rsidRPr="00884489" w:rsidRDefault="00360599">
      <w:pPr>
        <w:pStyle w:val="FootnoteText"/>
      </w:pPr>
      <w:r w:rsidRPr="00884489">
        <w:rPr>
          <w:rStyle w:val="FootnoteReference"/>
        </w:rPr>
        <w:footnoteRef/>
      </w:r>
      <w:r w:rsidRPr="00884489">
        <w:t xml:space="preserve"> </w:t>
      </w:r>
      <w:r w:rsidRPr="00884489">
        <w:rPr>
          <w:i/>
        </w:rPr>
        <w:t xml:space="preserve">See, e.g., </w:t>
      </w:r>
      <w:r w:rsidRPr="00884489">
        <w:t xml:space="preserve">47 C.F.R. § 1.2110(f)(3)(ii) (requires </w:t>
      </w:r>
      <w:r>
        <w:t xml:space="preserve">a </w:t>
      </w:r>
      <w:r w:rsidRPr="00884489">
        <w:t>winning bidder</w:t>
      </w:r>
      <w:r>
        <w:t xml:space="preserve"> </w:t>
      </w:r>
      <w:r w:rsidRPr="00884489">
        <w:t xml:space="preserve">seeking </w:t>
      </w:r>
      <w:r>
        <w:t xml:space="preserve">a </w:t>
      </w:r>
      <w:r w:rsidRPr="00884489">
        <w:t xml:space="preserve">TLBC to file a certification from the </w:t>
      </w:r>
      <w:r>
        <w:t>Tribal</w:t>
      </w:r>
      <w:r w:rsidRPr="00884489">
        <w:t xml:space="preserve"> government stating, among other things, that the </w:t>
      </w:r>
      <w:r>
        <w:t>Tribal</w:t>
      </w:r>
      <w:r w:rsidRPr="00884489">
        <w:t xml:space="preserve"> government authorizes the winning bidder to site facilities and provide service on its </w:t>
      </w:r>
      <w:r>
        <w:t>Tribal</w:t>
      </w:r>
      <w:r w:rsidRPr="00884489">
        <w:t xml:space="preserve"> land and that the </w:t>
      </w:r>
      <w:r>
        <w:t>Tribal</w:t>
      </w:r>
      <w:r w:rsidRPr="00884489">
        <w:t xml:space="preserve"> area to be served by the winning bidder constitutes qualifying </w:t>
      </w:r>
      <w:r>
        <w:t>Tribal</w:t>
      </w:r>
      <w:r w:rsidRPr="00884489">
        <w:t xml:space="preserve"> land).  </w:t>
      </w:r>
    </w:p>
  </w:footnote>
  <w:footnote w:id="37">
    <w:p w:rsidR="00360599" w:rsidRPr="00884489" w:rsidRDefault="00360599">
      <w:pPr>
        <w:pStyle w:val="FootnoteText"/>
      </w:pPr>
      <w:r w:rsidRPr="00884489">
        <w:rPr>
          <w:rStyle w:val="FootnoteReference"/>
        </w:rPr>
        <w:footnoteRef/>
      </w:r>
      <w:r w:rsidRPr="00884489">
        <w:t xml:space="preserve"> </w:t>
      </w:r>
      <w:r w:rsidRPr="00884489">
        <w:rPr>
          <w:i/>
        </w:rPr>
        <w:t>See</w:t>
      </w:r>
      <w:r w:rsidRPr="00884489">
        <w:t xml:space="preserve"> Department of the Interior, Bureau of Indian Affairs, </w:t>
      </w:r>
      <w:r w:rsidRPr="00884489">
        <w:rPr>
          <w:i/>
        </w:rPr>
        <w:t xml:space="preserve">Indian Entities Recognized and Eligible </w:t>
      </w:r>
      <w:r>
        <w:rPr>
          <w:i/>
        </w:rPr>
        <w:t>t</w:t>
      </w:r>
      <w:r w:rsidRPr="00884489">
        <w:rPr>
          <w:i/>
        </w:rPr>
        <w:t>o Receive Services From the United States Bureau of Indian Affairs</w:t>
      </w:r>
      <w:r w:rsidRPr="00884489">
        <w:t xml:space="preserve">, 79 Fed. Reg. 4748, 4750 (Jan. 29, 2014) </w:t>
      </w:r>
      <w:r w:rsidRPr="003A30B4">
        <w:t>(</w:t>
      </w:r>
      <w:r w:rsidRPr="007E1F94">
        <w:rPr>
          <w:i/>
        </w:rPr>
        <w:t xml:space="preserve">BIA </w:t>
      </w:r>
      <w:r w:rsidRPr="00884489">
        <w:rPr>
          <w:i/>
        </w:rPr>
        <w:t xml:space="preserve">List of </w:t>
      </w:r>
      <w:r w:rsidRPr="007E1F94">
        <w:rPr>
          <w:i/>
        </w:rPr>
        <w:t>Federal</w:t>
      </w:r>
      <w:r w:rsidRPr="00884489">
        <w:rPr>
          <w:i/>
        </w:rPr>
        <w:t>ly Recognized Tribes</w:t>
      </w:r>
      <w:r w:rsidRPr="00884489">
        <w:t xml:space="preserve">).  </w:t>
      </w:r>
    </w:p>
  </w:footnote>
  <w:footnote w:id="38">
    <w:p w:rsidR="00360599" w:rsidRPr="00884489" w:rsidRDefault="00360599">
      <w:pPr>
        <w:pStyle w:val="FootnoteText"/>
      </w:pPr>
      <w:r w:rsidRPr="00884489">
        <w:rPr>
          <w:rStyle w:val="FootnoteReference"/>
        </w:rPr>
        <w:footnoteRef/>
      </w:r>
      <w:r w:rsidRPr="00884489">
        <w:t xml:space="preserve"> The NNRTC states that it was established pursuant to Navajo Nation Council Resolution ACMA 36-84 to regulate all matters related to telecommunications </w:t>
      </w:r>
      <w:r>
        <w:t>o</w:t>
      </w:r>
      <w:r w:rsidRPr="00884489">
        <w:t xml:space="preserve">n the Navajo Nation and specifically authorized, pursuant to the Navajo Telecommunications Regulatory Act, to serve as the intermediary agency between the Navajo Nation—including the Eastern Navajo Agency—and the Commission, including representing the Navajo Nation in proceedings before the Commission.  </w:t>
      </w:r>
      <w:r w:rsidRPr="00884489">
        <w:rPr>
          <w:i/>
        </w:rPr>
        <w:t xml:space="preserve">See </w:t>
      </w:r>
      <w:r w:rsidRPr="00884489">
        <w:t xml:space="preserve">NNTRC Comments at 2.  </w:t>
      </w:r>
    </w:p>
  </w:footnote>
  <w:footnote w:id="39">
    <w:p w:rsidR="00360599" w:rsidRPr="00884489" w:rsidRDefault="00360599">
      <w:pPr>
        <w:pStyle w:val="FootnoteText"/>
        <w:rPr>
          <w:i/>
        </w:rPr>
      </w:pPr>
      <w:r w:rsidRPr="00884489">
        <w:rPr>
          <w:rStyle w:val="FootnoteReference"/>
        </w:rPr>
        <w:footnoteRef/>
      </w:r>
      <w:r w:rsidRPr="00884489">
        <w:t xml:space="preserve"> NNTRC Comments at 3.  </w:t>
      </w:r>
    </w:p>
  </w:footnote>
  <w:footnote w:id="40">
    <w:p w:rsidR="00360599" w:rsidRDefault="00360599">
      <w:pPr>
        <w:pStyle w:val="FootnoteText"/>
      </w:pPr>
      <w:r>
        <w:rPr>
          <w:rStyle w:val="FootnoteReference"/>
        </w:rPr>
        <w:footnoteRef/>
      </w:r>
      <w:r>
        <w:t xml:space="preserve"> A bureau of the United States Department of the Interior, the BIA provides services to approximately 1.9 million American Indians and Alaska Natives, intended to</w:t>
      </w:r>
      <w:r w:rsidRPr="006C76DA">
        <w:t xml:space="preserve"> “… enhance the quality of life, to promote economic opportunity, and to carry out the responsibility to protect and improve the trust assets of American Indians, Indian tribes</w:t>
      </w:r>
      <w:r>
        <w:t>,</w:t>
      </w:r>
      <w:r w:rsidRPr="006C76DA">
        <w:t xml:space="preserve"> and Alaska Natives.”</w:t>
      </w:r>
      <w:r>
        <w:t xml:space="preserve"> </w:t>
      </w:r>
      <w:r>
        <w:rPr>
          <w:i/>
        </w:rPr>
        <w:t xml:space="preserve">See </w:t>
      </w:r>
      <w:r w:rsidRPr="00C56CA2">
        <w:t>http://www.bia.gov/WhoWeAre/index.htm</w:t>
      </w:r>
      <w:r>
        <w:t>.</w:t>
      </w:r>
    </w:p>
  </w:footnote>
  <w:footnote w:id="41">
    <w:p w:rsidR="00360599" w:rsidRPr="005B6463" w:rsidRDefault="00360599" w:rsidP="003A30B4">
      <w:pPr>
        <w:pStyle w:val="FootnoteText"/>
      </w:pPr>
      <w:r w:rsidRPr="00884489">
        <w:rPr>
          <w:rStyle w:val="FootnoteReference"/>
        </w:rPr>
        <w:footnoteRef/>
      </w:r>
      <w:r w:rsidRPr="00884489">
        <w:t xml:space="preserve"> </w:t>
      </w:r>
      <w:r w:rsidRPr="007E1F94">
        <w:rPr>
          <w:i/>
        </w:rPr>
        <w:t>See</w:t>
      </w:r>
      <w:r w:rsidRPr="00884489">
        <w:t xml:space="preserve"> </w:t>
      </w:r>
      <w:hyperlink r:id="rId4" w:history="1">
        <w:r w:rsidRPr="00884489">
          <w:rPr>
            <w:rStyle w:val="Hyperlink"/>
          </w:rPr>
          <w:t>http://www.bia.gov/WhoWeAre/RegionalOffices/Navajo/WeAre/Agencies/index.htm</w:t>
        </w:r>
      </w:hyperlink>
      <w:r w:rsidRPr="00884489">
        <w:t xml:space="preserve">.  </w:t>
      </w:r>
      <w:r w:rsidRPr="007E1F94">
        <w:rPr>
          <w:i/>
        </w:rPr>
        <w:t>See also</w:t>
      </w:r>
      <w:r w:rsidRPr="00884489">
        <w:t xml:space="preserve"> Bureau of Indian Affairs </w:t>
      </w:r>
      <w:r>
        <w:t>Tribal</w:t>
      </w:r>
      <w:r w:rsidRPr="00884489">
        <w:t xml:space="preserve"> Leaders Directory 2014 Fall/Winter Edition (</w:t>
      </w:r>
      <w:r w:rsidRPr="007E1F94">
        <w:rPr>
          <w:i/>
        </w:rPr>
        <w:t xml:space="preserve">BIA </w:t>
      </w:r>
      <w:r>
        <w:rPr>
          <w:i/>
        </w:rPr>
        <w:t>Tribal</w:t>
      </w:r>
      <w:r w:rsidRPr="007E1F94">
        <w:rPr>
          <w:i/>
        </w:rPr>
        <w:t xml:space="preserve"> Directory</w:t>
      </w:r>
      <w:r w:rsidRPr="00884489">
        <w:t xml:space="preserve">), available at </w:t>
      </w:r>
      <w:hyperlink r:id="rId5" w:history="1">
        <w:r w:rsidRPr="00884489">
          <w:rPr>
            <w:rStyle w:val="Hyperlink"/>
          </w:rPr>
          <w:t>http://www.bia.gov/WhoWeAre/BIA/OIS/</w:t>
        </w:r>
        <w:r>
          <w:rPr>
            <w:rStyle w:val="Hyperlink"/>
          </w:rPr>
          <w:t>Tribal</w:t>
        </w:r>
        <w:r w:rsidRPr="00884489">
          <w:rPr>
            <w:rStyle w:val="Hyperlink"/>
          </w:rPr>
          <w:t>GovernmentServices/</w:t>
        </w:r>
        <w:r>
          <w:rPr>
            <w:rStyle w:val="Hyperlink"/>
          </w:rPr>
          <w:t>Tribal</w:t>
        </w:r>
        <w:r w:rsidRPr="00884489">
          <w:rPr>
            <w:rStyle w:val="Hyperlink"/>
          </w:rPr>
          <w:t>Directory/index.htm</w:t>
        </w:r>
      </w:hyperlink>
      <w:r w:rsidRPr="00884489">
        <w:t xml:space="preserve">.  The </w:t>
      </w:r>
      <w:r w:rsidRPr="007E1F94">
        <w:rPr>
          <w:i/>
        </w:rPr>
        <w:t xml:space="preserve">BIA </w:t>
      </w:r>
      <w:r>
        <w:rPr>
          <w:i/>
        </w:rPr>
        <w:t>Tribal</w:t>
      </w:r>
      <w:r w:rsidRPr="007E1F94">
        <w:rPr>
          <w:i/>
        </w:rPr>
        <w:t xml:space="preserve"> Directory</w:t>
      </w:r>
      <w:r w:rsidRPr="00884489">
        <w:t xml:space="preserve"> is not an official listing of federally recognized </w:t>
      </w:r>
      <w:r>
        <w:t>T</w:t>
      </w:r>
      <w:r w:rsidRPr="00884489">
        <w:t>ribes</w:t>
      </w:r>
      <w:r>
        <w:t xml:space="preserve">, but the BIA states that it </w:t>
      </w:r>
      <w:r w:rsidRPr="00884489">
        <w:t>should be used in conjunction with the current BIA List of Federally Recognized Tribes</w:t>
      </w:r>
      <w:r>
        <w:t>.</w:t>
      </w:r>
      <w:r w:rsidRPr="00884489">
        <w:t xml:space="preserve"> </w:t>
      </w:r>
      <w:r>
        <w:t xml:space="preserve"> </w:t>
      </w:r>
      <w:r>
        <w:rPr>
          <w:i/>
        </w:rPr>
        <w:t>I</w:t>
      </w:r>
      <w:r w:rsidRPr="007E1F94">
        <w:rPr>
          <w:i/>
        </w:rPr>
        <w:t>d.</w:t>
      </w:r>
      <w:r w:rsidRPr="00884489">
        <w:t xml:space="preserve">, </w:t>
      </w:r>
      <w:r w:rsidRPr="007E1F94">
        <w:rPr>
          <w:i/>
        </w:rPr>
        <w:t xml:space="preserve">BIA </w:t>
      </w:r>
      <w:r>
        <w:rPr>
          <w:i/>
        </w:rPr>
        <w:t>Tribal</w:t>
      </w:r>
      <w:r w:rsidRPr="007E1F94">
        <w:rPr>
          <w:i/>
        </w:rPr>
        <w:t xml:space="preserve"> Directory</w:t>
      </w:r>
      <w:r w:rsidRPr="00884489">
        <w:t xml:space="preserve"> at 1.  For </w:t>
      </w:r>
      <w:r>
        <w:t xml:space="preserve">the </w:t>
      </w:r>
      <w:r w:rsidRPr="00884489">
        <w:t xml:space="preserve">BIA’s Navajo Region, the five BIA Agencies, including </w:t>
      </w:r>
      <w:r>
        <w:t xml:space="preserve">the </w:t>
      </w:r>
      <w:r w:rsidRPr="00884489">
        <w:t xml:space="preserve">Eastern Navajo Agency, are identified as BIA Servicing Offices and the President of the Navajo Nation is identified as the </w:t>
      </w:r>
      <w:r>
        <w:t>Tribal</w:t>
      </w:r>
      <w:r w:rsidRPr="00884489">
        <w:t xml:space="preserve"> leader for all five of the BIA Agencies within the</w:t>
      </w:r>
      <w:r>
        <w:t xml:space="preserve"> </w:t>
      </w:r>
      <w:r w:rsidRPr="00884489">
        <w:t xml:space="preserve">Navajo Region.  </w:t>
      </w:r>
      <w:r w:rsidRPr="00884489">
        <w:rPr>
          <w:i/>
        </w:rPr>
        <w:t>Id.</w:t>
      </w:r>
      <w:r w:rsidRPr="00884489">
        <w:t xml:space="preserve"> at Section 2, 50-51.  </w:t>
      </w:r>
      <w:r>
        <w:rPr>
          <w:i/>
        </w:rPr>
        <w:t>See generally supra</w:t>
      </w:r>
      <w:r>
        <w:t xml:space="preserve"> note </w:t>
      </w:r>
      <w:r>
        <w:fldChar w:fldCharType="begin"/>
      </w:r>
      <w:r>
        <w:instrText xml:space="preserve"> NOTEREF _Ref402457767 \h </w:instrText>
      </w:r>
      <w:r>
        <w:fldChar w:fldCharType="separate"/>
      </w:r>
      <w:r w:rsidR="005D617E">
        <w:t>10</w:t>
      </w:r>
      <w:r>
        <w:fldChar w:fldCharType="end"/>
      </w:r>
      <w:r>
        <w:t>.</w:t>
      </w:r>
    </w:p>
  </w:footnote>
  <w:footnote w:id="42">
    <w:p w:rsidR="00360599" w:rsidRPr="00884489" w:rsidRDefault="00360599">
      <w:pPr>
        <w:pStyle w:val="FootnoteText"/>
      </w:pPr>
      <w:r w:rsidRPr="00884489">
        <w:rPr>
          <w:rStyle w:val="FootnoteReference"/>
        </w:rPr>
        <w:footnoteRef/>
      </w:r>
      <w:r w:rsidRPr="00884489">
        <w:t xml:space="preserve"> </w:t>
      </w:r>
      <w:r w:rsidRPr="00884489">
        <w:rPr>
          <w:i/>
        </w:rPr>
        <w:t xml:space="preserve">See, e.g., </w:t>
      </w:r>
      <w:r w:rsidRPr="00884489">
        <w:t xml:space="preserve">Waiver Petition at 3, NNTRC Comments at 3.  </w:t>
      </w:r>
    </w:p>
  </w:footnote>
  <w:footnote w:id="43">
    <w:p w:rsidR="00360599" w:rsidRPr="00884489" w:rsidRDefault="00360599">
      <w:pPr>
        <w:pStyle w:val="FootnoteText"/>
      </w:pPr>
      <w:r w:rsidRPr="00884489">
        <w:rPr>
          <w:rStyle w:val="FootnoteReference"/>
        </w:rPr>
        <w:footnoteRef/>
      </w:r>
      <w:r w:rsidRPr="00884489">
        <w:t xml:space="preserve"> </w:t>
      </w:r>
      <w:r w:rsidRPr="00884489">
        <w:rPr>
          <w:i/>
        </w:rPr>
        <w:t xml:space="preserve">See supra ¶¶ </w:t>
      </w:r>
      <w:fldSimple w:instr=" REF _Ref401834576 \r  \* MERGEFORMAT ">
        <w:r w:rsidR="005D617E">
          <w:t>3</w:t>
        </w:r>
      </w:fldSimple>
      <w:r w:rsidRPr="00884489">
        <w:t>-</w:t>
      </w:r>
      <w:fldSimple w:instr=" REF _Ref401767629 \r  \* MERGEFORMAT ">
        <w:r w:rsidR="005D617E">
          <w:t>5</w:t>
        </w:r>
      </w:fldSimple>
      <w:r w:rsidRPr="00884489">
        <w:t xml:space="preserve">.  </w:t>
      </w:r>
    </w:p>
  </w:footnote>
  <w:footnote w:id="44">
    <w:p w:rsidR="00360599" w:rsidRPr="00884489" w:rsidRDefault="00360599">
      <w:pPr>
        <w:pStyle w:val="FootnoteText"/>
      </w:pPr>
      <w:r w:rsidRPr="00884489">
        <w:rPr>
          <w:rStyle w:val="FootnoteReference"/>
        </w:rPr>
        <w:footnoteRef/>
      </w:r>
      <w:r w:rsidRPr="00884489">
        <w:t xml:space="preserve"> </w:t>
      </w:r>
      <w:r>
        <w:t xml:space="preserve">SBI states that there remain areas of the Eastern Navajo Agency where no telephone service is available and that census data shows that nearly 36 percent of the Navajo Nation residents in New Mexico subsist at or below the federal poverty level, compared to nearly 30 percent of American Indian residents nationally.  </w:t>
      </w:r>
      <w:r w:rsidRPr="00884489">
        <w:t xml:space="preserve">Waiver Petition at 6 </w:t>
      </w:r>
      <w:r w:rsidRPr="00884489">
        <w:rPr>
          <w:i/>
        </w:rPr>
        <w:t>citing</w:t>
      </w:r>
      <w:r w:rsidRPr="00884489">
        <w:t xml:space="preserve"> U.S. Census Bureau, 2010-2012 American Community Survey 3-Year Estimates (S0201, </w:t>
      </w:r>
      <w:r>
        <w:t xml:space="preserve">American Indian and Alaska Native alone); </w:t>
      </w:r>
      <w:r w:rsidRPr="00884489">
        <w:t xml:space="preserve">U.S. Census Bureau, 2010-2012 American Community Survey 3-Year Estimates (S0201, Navajo Nation </w:t>
      </w:r>
      <w:r>
        <w:t>Tribal</w:t>
      </w:r>
      <w:r w:rsidRPr="00884489">
        <w:t xml:space="preserve"> grouping/New Mexico).  </w:t>
      </w:r>
      <w:r>
        <w:t>“</w:t>
      </w:r>
      <w:r w:rsidRPr="00884489">
        <w:t xml:space="preserve">There are few if any, areas of the country where American Indian residents suffer from the types of condition in New Mexico and in Eastern Navajo Agency.”  </w:t>
      </w:r>
      <w:r>
        <w:rPr>
          <w:i/>
        </w:rPr>
        <w:t xml:space="preserve">Id., </w:t>
      </w:r>
      <w:r w:rsidRPr="00884489">
        <w:t>Waiver Petition</w:t>
      </w:r>
      <w:r>
        <w:t>.</w:t>
      </w:r>
      <w:r w:rsidRPr="00884489">
        <w:t xml:space="preserve">  </w:t>
      </w:r>
    </w:p>
  </w:footnote>
  <w:footnote w:id="45">
    <w:p w:rsidR="00360599" w:rsidRPr="00884489" w:rsidRDefault="00360599">
      <w:pPr>
        <w:pStyle w:val="FootnoteText"/>
      </w:pPr>
      <w:r w:rsidRPr="00884489">
        <w:rPr>
          <w:rStyle w:val="FootnoteReference"/>
        </w:rPr>
        <w:footnoteRef/>
      </w:r>
      <w:r w:rsidRPr="00884489">
        <w:t xml:space="preserve"> </w:t>
      </w:r>
      <w:r>
        <w:rPr>
          <w:i/>
        </w:rPr>
        <w:t>Tribal</w:t>
      </w:r>
      <w:r w:rsidRPr="00884489">
        <w:rPr>
          <w:i/>
        </w:rPr>
        <w:t xml:space="preserve"> Lands Order</w:t>
      </w:r>
      <w:r w:rsidRPr="00884489">
        <w:t xml:space="preserve"> at 11802 ¶ 22, n.44.  The Commission noted that penetration rates in many non</w:t>
      </w:r>
      <w:r>
        <w:t>-Tribal</w:t>
      </w:r>
      <w:r w:rsidRPr="00884489">
        <w:t xml:space="preserve"> areas of New Mexico were below, but much closer to, the national average.  </w:t>
      </w:r>
      <w:r w:rsidRPr="00884489">
        <w:rPr>
          <w:i/>
        </w:rPr>
        <w:t xml:space="preserve">Id.  </w:t>
      </w:r>
    </w:p>
  </w:footnote>
  <w:footnote w:id="46">
    <w:p w:rsidR="00360599" w:rsidRPr="00884489" w:rsidRDefault="00360599">
      <w:pPr>
        <w:pStyle w:val="FootnoteText"/>
      </w:pPr>
      <w:r w:rsidRPr="00884489">
        <w:rPr>
          <w:rStyle w:val="FootnoteReference"/>
        </w:rPr>
        <w:footnoteRef/>
      </w:r>
      <w:r w:rsidRPr="00884489">
        <w:t xml:space="preserve"> 47 C.F.R. § 54.400(e) (2005).  </w:t>
      </w:r>
    </w:p>
  </w:footnote>
  <w:footnote w:id="47">
    <w:p w:rsidR="00360599" w:rsidRPr="00884489" w:rsidRDefault="00360599">
      <w:pPr>
        <w:pStyle w:val="FootnoteText"/>
      </w:pPr>
      <w:r w:rsidRPr="00884489">
        <w:rPr>
          <w:rStyle w:val="FootnoteReference"/>
        </w:rPr>
        <w:footnoteRef/>
      </w:r>
      <w:r w:rsidRPr="00884489">
        <w:t xml:space="preserve"> </w:t>
      </w:r>
      <w:r w:rsidRPr="00884489">
        <w:rPr>
          <w:i/>
        </w:rPr>
        <w:t xml:space="preserve">Id.  </w:t>
      </w:r>
    </w:p>
  </w:footnote>
  <w:footnote w:id="48">
    <w:p w:rsidR="00360599" w:rsidRPr="00884489" w:rsidRDefault="00360599">
      <w:pPr>
        <w:pStyle w:val="FootnoteText"/>
      </w:pPr>
      <w:r w:rsidRPr="00884489">
        <w:rPr>
          <w:rStyle w:val="FootnoteReference"/>
        </w:rPr>
        <w:footnoteRef/>
      </w:r>
      <w:r w:rsidRPr="00884489">
        <w:t xml:space="preserve"> </w:t>
      </w:r>
      <w:r w:rsidRPr="00884489">
        <w:rPr>
          <w:i/>
        </w:rPr>
        <w:t xml:space="preserve">See </w:t>
      </w:r>
      <w:r w:rsidRPr="00884489">
        <w:t xml:space="preserve">Federal-State Joint Board on Universal Service; Smith Bagley, Inc. Petition for Waiver of Section 54.400(e) of the Commission’s Rules, </w:t>
      </w:r>
      <w:r w:rsidRPr="00884489">
        <w:rPr>
          <w:i/>
        </w:rPr>
        <w:t>Memorandum Opinion and Order</w:t>
      </w:r>
      <w:r w:rsidRPr="00884489">
        <w:t>, WC Docket No. 03-109, 20 FCC Rcd 7701, 7704 ¶ 10 (2005) (granting a waiver of the Commission’s Lifeline and Link Up eligibility rules to enable eligible residents of the Navajo Eastern Agency to receive enhanced Lifeline and Link Up support) (</w:t>
      </w:r>
      <w:r w:rsidRPr="00884489">
        <w:rPr>
          <w:i/>
        </w:rPr>
        <w:t>2005 MO&amp;O</w:t>
      </w:r>
      <w:r w:rsidRPr="00884489">
        <w:t xml:space="preserve">).  The 2005 version of the rule also provided eligibility for “near reservation” areas but the Commission did not grant this waiver on the basis of defining “near reservation.”   </w:t>
      </w:r>
      <w:r w:rsidRPr="00884489">
        <w:rPr>
          <w:i/>
        </w:rPr>
        <w:t>Id.</w:t>
      </w:r>
      <w:r w:rsidRPr="00884489">
        <w:t xml:space="preserve">, 20 FCC Rcd at 7707¶ 16.  </w:t>
      </w:r>
      <w:r>
        <w:t xml:space="preserve">Implementation of the “near reservation” definition was stayed in 2000, when the Commission became aware that its definition potentially encompassed wide areas in which communities do not face the economic and geographic barriers faced by communities on reservations. </w:t>
      </w:r>
      <w:r w:rsidRPr="00D71941">
        <w:rPr>
          <w:i/>
        </w:rPr>
        <w:t xml:space="preserve">See </w:t>
      </w:r>
      <w:r w:rsidRPr="00C31FD1">
        <w:rPr>
          <w:i/>
        </w:rPr>
        <w:t>Federal-State Joint Board on Universal Service; Promoting Deployment and Subscribership in Unserved and Underserved Areas, Including Tribal and Insular Areas</w:t>
      </w:r>
      <w:r w:rsidRPr="00C31FD1">
        <w:t xml:space="preserve">, Order and Further Notice of Proposed Rulemaking, CC Dkt. No. 96-45, 15 FCC Rcd 17112, 17113-15, </w:t>
      </w:r>
      <w:r>
        <w:t>¶¶</w:t>
      </w:r>
      <w:r w:rsidRPr="00C31FD1">
        <w:t xml:space="preserve"> 2-6 (2000) (</w:t>
      </w:r>
      <w:r w:rsidRPr="00C31FD1">
        <w:rPr>
          <w:i/>
        </w:rPr>
        <w:t>Near Reservation Stay Order</w:t>
      </w:r>
      <w:r w:rsidRPr="00C31FD1">
        <w:t xml:space="preserve">).  In 2012, the Commission </w:t>
      </w:r>
      <w:r w:rsidRPr="00D71941">
        <w:t>established a process for Tribal governments to seek designation of off-reservation lands as Tribal lands for the purpose of receiving enhanced Lifeline support and remove</w:t>
      </w:r>
      <w:r w:rsidRPr="00C31FD1">
        <w:t>d the term and definition of “near reservation” from section 54.400(e) of the rules.</w:t>
      </w:r>
      <w:r w:rsidRPr="00636D82">
        <w:t xml:space="preserve">  </w:t>
      </w:r>
      <w:r w:rsidRPr="00636D82">
        <w:rPr>
          <w:i/>
        </w:rPr>
        <w:t xml:space="preserve">See </w:t>
      </w:r>
      <w:r w:rsidRPr="00C31FD1">
        <w:rPr>
          <w:i/>
        </w:rPr>
        <w:t>Lifeline and Link Up Reform and Modernization et al</w:t>
      </w:r>
      <w:r w:rsidRPr="00C31FD1">
        <w:t>., WC Docket. No. 11-42 et al</w:t>
      </w:r>
      <w:r w:rsidRPr="00C31FD1">
        <w:rPr>
          <w:i/>
        </w:rPr>
        <w:t>.,</w:t>
      </w:r>
      <w:r w:rsidRPr="00C31FD1">
        <w:t xml:space="preserve"> Report and Order and Further Notice of Proposed Rulemaking, 27 FCC Rcd 6656</w:t>
      </w:r>
      <w:r>
        <w:t xml:space="preserve">, 6722-25, </w:t>
      </w:r>
      <w:r w:rsidRPr="00884489">
        <w:rPr>
          <w:i/>
        </w:rPr>
        <w:t>¶¶</w:t>
      </w:r>
      <w:r>
        <w:rPr>
          <w:i/>
        </w:rPr>
        <w:t xml:space="preserve"> </w:t>
      </w:r>
      <w:r w:rsidRPr="00D71941">
        <w:t>1</w:t>
      </w:r>
      <w:r>
        <w:t>4</w:t>
      </w:r>
      <w:r w:rsidRPr="00D71941">
        <w:t>9, 156-63</w:t>
      </w:r>
      <w:r w:rsidRPr="00231B5E">
        <w:t xml:space="preserve"> (2012) (</w:t>
      </w:r>
      <w:r w:rsidRPr="00231B5E">
        <w:rPr>
          <w:i/>
        </w:rPr>
        <w:t>Lifeline Reform Order</w:t>
      </w:r>
      <w:r w:rsidRPr="00231B5E">
        <w:t>).</w:t>
      </w:r>
    </w:p>
  </w:footnote>
  <w:footnote w:id="49">
    <w:p w:rsidR="00360599" w:rsidRPr="00884489" w:rsidRDefault="00360599">
      <w:pPr>
        <w:pStyle w:val="FootnoteText"/>
      </w:pPr>
      <w:r w:rsidRPr="00884489">
        <w:rPr>
          <w:rStyle w:val="FootnoteReference"/>
        </w:rPr>
        <w:footnoteRef/>
      </w:r>
      <w:r w:rsidRPr="00884489">
        <w:t xml:space="preserve"> </w:t>
      </w:r>
      <w:r w:rsidRPr="00884489">
        <w:rPr>
          <w:i/>
        </w:rPr>
        <w:t xml:space="preserve">Id. </w:t>
      </w:r>
      <w:r w:rsidRPr="00884489">
        <w:t>at ¶ 15.</w:t>
      </w:r>
    </w:p>
  </w:footnote>
  <w:footnote w:id="50">
    <w:p w:rsidR="00360599" w:rsidRPr="00884489" w:rsidRDefault="00360599">
      <w:pPr>
        <w:pStyle w:val="FootnoteText"/>
      </w:pPr>
      <w:r w:rsidRPr="00884489">
        <w:rPr>
          <w:rStyle w:val="FootnoteReference"/>
        </w:rPr>
        <w:footnoteRef/>
      </w:r>
      <w:r w:rsidRPr="00884489">
        <w:t xml:space="preserve"> </w:t>
      </w:r>
      <w:r w:rsidRPr="00884489">
        <w:rPr>
          <w:i/>
        </w:rPr>
        <w:t xml:space="preserve">See </w:t>
      </w:r>
      <w:r w:rsidRPr="00884489">
        <w:t xml:space="preserve">Letter from David LaFuria, Esq., Counsel for Smith Bagley, Inc. to Marlene H. Dortch, Federal Communications Commission, dated September 29, 2014.  </w:t>
      </w:r>
    </w:p>
  </w:footnote>
  <w:footnote w:id="51">
    <w:p w:rsidR="00360599" w:rsidRPr="00884489" w:rsidRDefault="00360599">
      <w:pPr>
        <w:pStyle w:val="FootnoteText"/>
      </w:pPr>
      <w:r w:rsidRPr="00884489">
        <w:rPr>
          <w:rStyle w:val="FootnoteReference"/>
        </w:rPr>
        <w:footnoteRef/>
      </w:r>
      <w:r w:rsidRPr="00884489">
        <w:t xml:space="preserve"> NNTRC Further Comments at 1-2.  </w:t>
      </w:r>
    </w:p>
  </w:footnote>
  <w:footnote w:id="52">
    <w:p w:rsidR="00360599" w:rsidRPr="00884489" w:rsidRDefault="00360599">
      <w:pPr>
        <w:pStyle w:val="FootnoteText"/>
      </w:pPr>
      <w:r w:rsidRPr="00884489">
        <w:rPr>
          <w:rStyle w:val="FootnoteReference"/>
        </w:rPr>
        <w:footnoteRef/>
      </w:r>
      <w:r w:rsidRPr="00884489">
        <w:t xml:space="preserve"> </w:t>
      </w:r>
      <w:r w:rsidRPr="00884489">
        <w:rPr>
          <w:i/>
        </w:rPr>
        <w:t>See also</w:t>
      </w:r>
      <w:r w:rsidRPr="00884489">
        <w:t xml:space="preserve"> Letter from David LaFuria, Esq., Counsel for Smith Bagley, Inc. to Marlene H. Dortch, Federal Communications Commission, dated October 22, 2014.  </w:t>
      </w:r>
    </w:p>
  </w:footnote>
  <w:footnote w:id="53">
    <w:p w:rsidR="00360599" w:rsidRPr="00F96367" w:rsidRDefault="00360599">
      <w:pPr>
        <w:pStyle w:val="FootnoteText"/>
      </w:pPr>
      <w:r>
        <w:rPr>
          <w:rStyle w:val="FootnoteReference"/>
        </w:rPr>
        <w:footnoteRef/>
      </w:r>
      <w:r>
        <w:t xml:space="preserve"> It is our understanding that the census blocks identified by NNTRC and included in the Appendix </w:t>
      </w:r>
      <w:r>
        <w:rPr>
          <w:snapToGrid w:val="0"/>
        </w:rPr>
        <w:t xml:space="preserve">are within the Eastern Navajo Agency and within the NNTRC’s authority.  </w:t>
      </w:r>
      <w:r>
        <w:rPr>
          <w:i/>
        </w:rPr>
        <w:t>See supra</w:t>
      </w:r>
      <w:r>
        <w:t xml:space="preserve"> ¶ </w:t>
      </w:r>
      <w:fldSimple w:instr=" REF _Ref402798934 \r ">
        <w:r w:rsidR="005D617E">
          <w:t>10</w:t>
        </w:r>
      </w:fldSimple>
      <w:r>
        <w:t>.</w:t>
      </w:r>
    </w:p>
  </w:footnote>
  <w:footnote w:id="54">
    <w:p w:rsidR="00360599" w:rsidRPr="00884489" w:rsidRDefault="00360599">
      <w:pPr>
        <w:pStyle w:val="FootnoteText"/>
      </w:pPr>
      <w:r w:rsidRPr="00884489">
        <w:rPr>
          <w:rStyle w:val="FootnoteReference"/>
        </w:rPr>
        <w:footnoteRef/>
      </w:r>
      <w:r w:rsidRPr="00884489">
        <w:rPr>
          <w:i/>
        </w:rPr>
        <w:t xml:space="preserve">See supra </w:t>
      </w:r>
      <w:r w:rsidRPr="007E1F94">
        <w:t xml:space="preserve">note </w:t>
      </w:r>
      <w:fldSimple w:instr=" NOTEREF _Ref402439103  \* MERGEFORMAT ">
        <w:r w:rsidR="005D617E">
          <w:t>24</w:t>
        </w:r>
      </w:fldSimple>
      <w:r w:rsidRPr="00884489">
        <w:t xml:space="preserve"> and accompanying text.  </w:t>
      </w:r>
    </w:p>
  </w:footnote>
  <w:footnote w:id="55">
    <w:p w:rsidR="00360599" w:rsidRPr="00884489" w:rsidRDefault="00360599">
      <w:pPr>
        <w:pStyle w:val="FootnoteText"/>
      </w:pPr>
      <w:r w:rsidRPr="00884489">
        <w:rPr>
          <w:rStyle w:val="FootnoteReference"/>
        </w:rPr>
        <w:footnoteRef/>
      </w:r>
      <w:r w:rsidRPr="00884489">
        <w:t xml:space="preserve"> 47 C.F.R. § 1.2107(c).  </w:t>
      </w:r>
    </w:p>
  </w:footnote>
  <w:footnote w:id="56">
    <w:p w:rsidR="00360599" w:rsidRPr="00884489" w:rsidRDefault="00360599">
      <w:pPr>
        <w:pStyle w:val="FootnoteText"/>
      </w:pPr>
      <w:r w:rsidRPr="00884489">
        <w:rPr>
          <w:rStyle w:val="FootnoteReference"/>
        </w:rPr>
        <w:footnoteRef/>
      </w:r>
      <w:r w:rsidRPr="00884489">
        <w:t xml:space="preserve"> </w:t>
      </w:r>
      <w:r w:rsidRPr="00884489">
        <w:rPr>
          <w:i/>
        </w:rPr>
        <w:t xml:space="preserve">See </w:t>
      </w:r>
      <w:r w:rsidRPr="00884489">
        <w:t xml:space="preserve">Wireless Telecommunications Bureau Announces Enhancements to the Universal Licensing System to Help Winning Bidders of FCC Auctions File for Tribal Land Bidding Credits, </w:t>
      </w:r>
      <w:r w:rsidRPr="00884489">
        <w:rPr>
          <w:i/>
        </w:rPr>
        <w:t>Public Notice</w:t>
      </w:r>
      <w:r w:rsidRPr="00884489">
        <w:t xml:space="preserve">, 16 FCC Rcd 5355 (WTB 2001).  </w:t>
      </w:r>
    </w:p>
  </w:footnote>
  <w:footnote w:id="57">
    <w:p w:rsidR="00360599" w:rsidRPr="00884489" w:rsidRDefault="00360599">
      <w:pPr>
        <w:pStyle w:val="FootnoteText"/>
      </w:pPr>
      <w:r w:rsidRPr="00884489">
        <w:rPr>
          <w:rStyle w:val="FootnoteReference"/>
        </w:rPr>
        <w:footnoteRef/>
      </w:r>
      <w:r w:rsidRPr="00884489">
        <w:t xml:space="preserve"> </w:t>
      </w:r>
      <w:r w:rsidRPr="00884489">
        <w:rPr>
          <w:i/>
        </w:rPr>
        <w:t xml:space="preserve">See </w:t>
      </w:r>
      <w:r w:rsidRPr="00884489">
        <w:t xml:space="preserve">FCC Form 601, Schedule B, Items 1-7 and, completed only when attaching the required certification(s) from the </w:t>
      </w:r>
      <w:r>
        <w:t>Tribal</w:t>
      </w:r>
      <w:r w:rsidRPr="00884489">
        <w:t xml:space="preserve"> governments(s), Items 8-14.  </w:t>
      </w:r>
      <w:r w:rsidRPr="00884489">
        <w:rPr>
          <w:i/>
        </w:rPr>
        <w:t>See also Auction 97 Procedures PN</w:t>
      </w:r>
      <w:r w:rsidRPr="00884489">
        <w:t xml:space="preserve"> at ¶ 237.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49" w:rsidRDefault="004C2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99" w:rsidRDefault="00360599" w:rsidP="00810B6F">
    <w:pPr>
      <w:pStyle w:val="Header"/>
      <w:rPr>
        <w:b w:val="0"/>
      </w:rPr>
    </w:pPr>
    <w:r>
      <w:tab/>
      <w:t>Federal Communications Commission</w:t>
    </w:r>
    <w:r>
      <w:tab/>
    </w:r>
    <w:r w:rsidR="005D617E">
      <w:t>DA 14-</w:t>
    </w:r>
    <w:r w:rsidR="00983ED3">
      <w:t>1638</w:t>
    </w:r>
  </w:p>
  <w:p w:rsidR="00360599" w:rsidRDefault="0036059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4122A81" wp14:editId="77F58E1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360599" w:rsidRDefault="0036059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99" w:rsidRDefault="00360599"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1D4B46D0" wp14:editId="6BE85A8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5D617E">
      <w:t>DA 14-</w:t>
    </w:r>
    <w:r w:rsidR="00983ED3">
      <w:t>1638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517C1D"/>
    <w:multiLevelType w:val="hybridMultilevel"/>
    <w:tmpl w:val="5B32E5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115010"/>
    <w:multiLevelType w:val="hybridMultilevel"/>
    <w:tmpl w:val="57C2414A"/>
    <w:lvl w:ilvl="0" w:tplc="EFD68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8F91FD5"/>
    <w:multiLevelType w:val="hybridMultilevel"/>
    <w:tmpl w:val="30E415A0"/>
    <w:lvl w:ilvl="0" w:tplc="018E0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82925"/>
    <w:multiLevelType w:val="singleLevel"/>
    <w:tmpl w:val="DFA2F51C"/>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5"/>
  </w:num>
  <w:num w:numId="8">
    <w:abstractNumId w:val="7"/>
  </w:num>
  <w:num w:numId="9">
    <w:abstractNumId w:val="4"/>
  </w:num>
  <w:num w:numId="10">
    <w:abstractNumId w:val="8"/>
  </w:num>
  <w:num w:numId="11">
    <w:abstractNumId w:val="8"/>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03"/>
    <w:rsid w:val="00000C63"/>
    <w:rsid w:val="000021E5"/>
    <w:rsid w:val="00005211"/>
    <w:rsid w:val="00005DF6"/>
    <w:rsid w:val="0001061C"/>
    <w:rsid w:val="0001169E"/>
    <w:rsid w:val="00012782"/>
    <w:rsid w:val="00013EA4"/>
    <w:rsid w:val="000142BC"/>
    <w:rsid w:val="0001556A"/>
    <w:rsid w:val="00015EBD"/>
    <w:rsid w:val="0001767F"/>
    <w:rsid w:val="0002190C"/>
    <w:rsid w:val="00022A59"/>
    <w:rsid w:val="000305B9"/>
    <w:rsid w:val="000329DC"/>
    <w:rsid w:val="000333C0"/>
    <w:rsid w:val="00036039"/>
    <w:rsid w:val="00037F90"/>
    <w:rsid w:val="0004055B"/>
    <w:rsid w:val="00070AD8"/>
    <w:rsid w:val="00070E4D"/>
    <w:rsid w:val="0007360C"/>
    <w:rsid w:val="000875BF"/>
    <w:rsid w:val="000915F2"/>
    <w:rsid w:val="00092CD0"/>
    <w:rsid w:val="0009663D"/>
    <w:rsid w:val="00096D8C"/>
    <w:rsid w:val="000A000C"/>
    <w:rsid w:val="000A3848"/>
    <w:rsid w:val="000A6D7D"/>
    <w:rsid w:val="000C0B65"/>
    <w:rsid w:val="000C2D04"/>
    <w:rsid w:val="000D128E"/>
    <w:rsid w:val="000D57FB"/>
    <w:rsid w:val="000D5BF4"/>
    <w:rsid w:val="000D5FA2"/>
    <w:rsid w:val="000D62B1"/>
    <w:rsid w:val="000D7AFE"/>
    <w:rsid w:val="000E05FE"/>
    <w:rsid w:val="000E0664"/>
    <w:rsid w:val="000E3D42"/>
    <w:rsid w:val="000E574F"/>
    <w:rsid w:val="000F1950"/>
    <w:rsid w:val="001016FD"/>
    <w:rsid w:val="00103C55"/>
    <w:rsid w:val="00103F3D"/>
    <w:rsid w:val="00105471"/>
    <w:rsid w:val="00114464"/>
    <w:rsid w:val="00115E6E"/>
    <w:rsid w:val="00122BD5"/>
    <w:rsid w:val="00124381"/>
    <w:rsid w:val="00127534"/>
    <w:rsid w:val="00133975"/>
    <w:rsid w:val="00133F79"/>
    <w:rsid w:val="00134838"/>
    <w:rsid w:val="00134E8C"/>
    <w:rsid w:val="0014302B"/>
    <w:rsid w:val="00143CFC"/>
    <w:rsid w:val="001546D0"/>
    <w:rsid w:val="001609B9"/>
    <w:rsid w:val="00165B34"/>
    <w:rsid w:val="00165E10"/>
    <w:rsid w:val="00166F25"/>
    <w:rsid w:val="0018288D"/>
    <w:rsid w:val="001858EB"/>
    <w:rsid w:val="00190219"/>
    <w:rsid w:val="00194A66"/>
    <w:rsid w:val="00197C3E"/>
    <w:rsid w:val="00197EA1"/>
    <w:rsid w:val="001A1D26"/>
    <w:rsid w:val="001B20F0"/>
    <w:rsid w:val="001B220C"/>
    <w:rsid w:val="001B2C2F"/>
    <w:rsid w:val="001B6DC0"/>
    <w:rsid w:val="001C0A00"/>
    <w:rsid w:val="001C3F9C"/>
    <w:rsid w:val="001C4028"/>
    <w:rsid w:val="001D005E"/>
    <w:rsid w:val="001D481A"/>
    <w:rsid w:val="001D6BCF"/>
    <w:rsid w:val="001E01CA"/>
    <w:rsid w:val="001E023C"/>
    <w:rsid w:val="001E594C"/>
    <w:rsid w:val="001F086A"/>
    <w:rsid w:val="001F602A"/>
    <w:rsid w:val="00200F45"/>
    <w:rsid w:val="00207701"/>
    <w:rsid w:val="002139EC"/>
    <w:rsid w:val="0021696D"/>
    <w:rsid w:val="00216F78"/>
    <w:rsid w:val="00217DE4"/>
    <w:rsid w:val="00227632"/>
    <w:rsid w:val="00235535"/>
    <w:rsid w:val="00237458"/>
    <w:rsid w:val="0025531D"/>
    <w:rsid w:val="00266691"/>
    <w:rsid w:val="00270F3E"/>
    <w:rsid w:val="00275CF5"/>
    <w:rsid w:val="002760E5"/>
    <w:rsid w:val="0028301F"/>
    <w:rsid w:val="00285017"/>
    <w:rsid w:val="002917C3"/>
    <w:rsid w:val="0029293F"/>
    <w:rsid w:val="00293627"/>
    <w:rsid w:val="00296D25"/>
    <w:rsid w:val="002A2D2E"/>
    <w:rsid w:val="002A2F4A"/>
    <w:rsid w:val="002A33FB"/>
    <w:rsid w:val="002A3712"/>
    <w:rsid w:val="002A4FFC"/>
    <w:rsid w:val="002B462D"/>
    <w:rsid w:val="002B57F8"/>
    <w:rsid w:val="002C00E8"/>
    <w:rsid w:val="002C418A"/>
    <w:rsid w:val="002C76C6"/>
    <w:rsid w:val="002D3048"/>
    <w:rsid w:val="002D373F"/>
    <w:rsid w:val="002D42D1"/>
    <w:rsid w:val="002E1C84"/>
    <w:rsid w:val="002E3A44"/>
    <w:rsid w:val="002E5920"/>
    <w:rsid w:val="002E7692"/>
    <w:rsid w:val="002F10A4"/>
    <w:rsid w:val="002F10FF"/>
    <w:rsid w:val="002F3595"/>
    <w:rsid w:val="002F72D3"/>
    <w:rsid w:val="00304AB5"/>
    <w:rsid w:val="00313D9D"/>
    <w:rsid w:val="00313F39"/>
    <w:rsid w:val="00316F58"/>
    <w:rsid w:val="00320857"/>
    <w:rsid w:val="003260F1"/>
    <w:rsid w:val="00326623"/>
    <w:rsid w:val="00326667"/>
    <w:rsid w:val="00336F93"/>
    <w:rsid w:val="00340805"/>
    <w:rsid w:val="003431F3"/>
    <w:rsid w:val="00343749"/>
    <w:rsid w:val="00343B6C"/>
    <w:rsid w:val="00343EC6"/>
    <w:rsid w:val="00344938"/>
    <w:rsid w:val="003512CB"/>
    <w:rsid w:val="00353E22"/>
    <w:rsid w:val="00355ACF"/>
    <w:rsid w:val="00360599"/>
    <w:rsid w:val="00363D0A"/>
    <w:rsid w:val="00363F4C"/>
    <w:rsid w:val="00364932"/>
    <w:rsid w:val="003660ED"/>
    <w:rsid w:val="00370994"/>
    <w:rsid w:val="003714D6"/>
    <w:rsid w:val="00374A47"/>
    <w:rsid w:val="00376C3C"/>
    <w:rsid w:val="00376FB3"/>
    <w:rsid w:val="00383BF8"/>
    <w:rsid w:val="00386486"/>
    <w:rsid w:val="00387E0E"/>
    <w:rsid w:val="00390FC3"/>
    <w:rsid w:val="003966E1"/>
    <w:rsid w:val="00397B2D"/>
    <w:rsid w:val="003A2966"/>
    <w:rsid w:val="003A30B4"/>
    <w:rsid w:val="003A5406"/>
    <w:rsid w:val="003A7EE4"/>
    <w:rsid w:val="003B0277"/>
    <w:rsid w:val="003B0550"/>
    <w:rsid w:val="003B3563"/>
    <w:rsid w:val="003B57B4"/>
    <w:rsid w:val="003B694F"/>
    <w:rsid w:val="003D04EB"/>
    <w:rsid w:val="003D5B07"/>
    <w:rsid w:val="003D76EF"/>
    <w:rsid w:val="003E1662"/>
    <w:rsid w:val="003E2927"/>
    <w:rsid w:val="003E4C94"/>
    <w:rsid w:val="003E6F04"/>
    <w:rsid w:val="003F0057"/>
    <w:rsid w:val="003F171C"/>
    <w:rsid w:val="00401189"/>
    <w:rsid w:val="004031DB"/>
    <w:rsid w:val="00412FC5"/>
    <w:rsid w:val="00416490"/>
    <w:rsid w:val="004200D2"/>
    <w:rsid w:val="00422276"/>
    <w:rsid w:val="00422D77"/>
    <w:rsid w:val="00423B24"/>
    <w:rsid w:val="004242F1"/>
    <w:rsid w:val="00427C16"/>
    <w:rsid w:val="00431822"/>
    <w:rsid w:val="00431A39"/>
    <w:rsid w:val="00431E50"/>
    <w:rsid w:val="0043499C"/>
    <w:rsid w:val="0043507B"/>
    <w:rsid w:val="00445A00"/>
    <w:rsid w:val="0045013C"/>
    <w:rsid w:val="00451B0F"/>
    <w:rsid w:val="0045410B"/>
    <w:rsid w:val="00471CBE"/>
    <w:rsid w:val="00476590"/>
    <w:rsid w:val="004778B9"/>
    <w:rsid w:val="00477E6F"/>
    <w:rsid w:val="00481BBE"/>
    <w:rsid w:val="00481DC9"/>
    <w:rsid w:val="0048373D"/>
    <w:rsid w:val="00483E05"/>
    <w:rsid w:val="0049025A"/>
    <w:rsid w:val="00491F05"/>
    <w:rsid w:val="004A0E17"/>
    <w:rsid w:val="004A5A53"/>
    <w:rsid w:val="004B133C"/>
    <w:rsid w:val="004B13E9"/>
    <w:rsid w:val="004B1919"/>
    <w:rsid w:val="004B226D"/>
    <w:rsid w:val="004B2E70"/>
    <w:rsid w:val="004C2749"/>
    <w:rsid w:val="004C2EE3"/>
    <w:rsid w:val="004C2FC8"/>
    <w:rsid w:val="004C40FC"/>
    <w:rsid w:val="004C722E"/>
    <w:rsid w:val="004E449E"/>
    <w:rsid w:val="004E495C"/>
    <w:rsid w:val="004E4A22"/>
    <w:rsid w:val="004F0053"/>
    <w:rsid w:val="004F2F43"/>
    <w:rsid w:val="004F5263"/>
    <w:rsid w:val="004F6CEB"/>
    <w:rsid w:val="004F7076"/>
    <w:rsid w:val="004F75F6"/>
    <w:rsid w:val="00501694"/>
    <w:rsid w:val="005064B2"/>
    <w:rsid w:val="00507FD0"/>
    <w:rsid w:val="005105D4"/>
    <w:rsid w:val="00511968"/>
    <w:rsid w:val="005130B3"/>
    <w:rsid w:val="00514862"/>
    <w:rsid w:val="0051488D"/>
    <w:rsid w:val="005166D2"/>
    <w:rsid w:val="005264CB"/>
    <w:rsid w:val="005267F5"/>
    <w:rsid w:val="005332F4"/>
    <w:rsid w:val="0053381E"/>
    <w:rsid w:val="0053648A"/>
    <w:rsid w:val="00550490"/>
    <w:rsid w:val="00551564"/>
    <w:rsid w:val="00553C59"/>
    <w:rsid w:val="00553FCD"/>
    <w:rsid w:val="0055614C"/>
    <w:rsid w:val="00556E8D"/>
    <w:rsid w:val="0056275F"/>
    <w:rsid w:val="00573ECA"/>
    <w:rsid w:val="00580157"/>
    <w:rsid w:val="00580332"/>
    <w:rsid w:val="0058272A"/>
    <w:rsid w:val="00582FDF"/>
    <w:rsid w:val="00583A25"/>
    <w:rsid w:val="00591680"/>
    <w:rsid w:val="00592318"/>
    <w:rsid w:val="00593D55"/>
    <w:rsid w:val="005942DC"/>
    <w:rsid w:val="00595969"/>
    <w:rsid w:val="00595B4E"/>
    <w:rsid w:val="00595C35"/>
    <w:rsid w:val="00595E6D"/>
    <w:rsid w:val="005B4E10"/>
    <w:rsid w:val="005B6463"/>
    <w:rsid w:val="005D617E"/>
    <w:rsid w:val="005D6C27"/>
    <w:rsid w:val="005D733A"/>
    <w:rsid w:val="005E1364"/>
    <w:rsid w:val="005E14C2"/>
    <w:rsid w:val="005F6284"/>
    <w:rsid w:val="00602369"/>
    <w:rsid w:val="00604B52"/>
    <w:rsid w:val="00607BA5"/>
    <w:rsid w:val="006105C7"/>
    <w:rsid w:val="0061180A"/>
    <w:rsid w:val="0061504C"/>
    <w:rsid w:val="00623803"/>
    <w:rsid w:val="00626EB6"/>
    <w:rsid w:val="006373F8"/>
    <w:rsid w:val="00645824"/>
    <w:rsid w:val="006500BD"/>
    <w:rsid w:val="006517B6"/>
    <w:rsid w:val="00655D03"/>
    <w:rsid w:val="00657ACC"/>
    <w:rsid w:val="0066281D"/>
    <w:rsid w:val="00665C6C"/>
    <w:rsid w:val="006735D9"/>
    <w:rsid w:val="00673F88"/>
    <w:rsid w:val="00674283"/>
    <w:rsid w:val="00676F6C"/>
    <w:rsid w:val="00682DA1"/>
    <w:rsid w:val="00682FB0"/>
    <w:rsid w:val="00683388"/>
    <w:rsid w:val="00683F84"/>
    <w:rsid w:val="00697CF0"/>
    <w:rsid w:val="006A005B"/>
    <w:rsid w:val="006A03C8"/>
    <w:rsid w:val="006A396B"/>
    <w:rsid w:val="006A6A81"/>
    <w:rsid w:val="006B0770"/>
    <w:rsid w:val="006B11C0"/>
    <w:rsid w:val="006B341A"/>
    <w:rsid w:val="006B7B00"/>
    <w:rsid w:val="006C640F"/>
    <w:rsid w:val="006C76DA"/>
    <w:rsid w:val="006C7E31"/>
    <w:rsid w:val="006D0590"/>
    <w:rsid w:val="006D0828"/>
    <w:rsid w:val="006D0A46"/>
    <w:rsid w:val="006D26C6"/>
    <w:rsid w:val="006E180A"/>
    <w:rsid w:val="006E48C1"/>
    <w:rsid w:val="006F1B86"/>
    <w:rsid w:val="006F3B32"/>
    <w:rsid w:val="006F3B91"/>
    <w:rsid w:val="006F6F0B"/>
    <w:rsid w:val="006F7393"/>
    <w:rsid w:val="0070224F"/>
    <w:rsid w:val="0070594E"/>
    <w:rsid w:val="007115F7"/>
    <w:rsid w:val="00722381"/>
    <w:rsid w:val="007243AC"/>
    <w:rsid w:val="00734F24"/>
    <w:rsid w:val="007363B6"/>
    <w:rsid w:val="0074051F"/>
    <w:rsid w:val="0074068E"/>
    <w:rsid w:val="007437EA"/>
    <w:rsid w:val="0074424D"/>
    <w:rsid w:val="00745597"/>
    <w:rsid w:val="007534E9"/>
    <w:rsid w:val="00760E5F"/>
    <w:rsid w:val="007627D6"/>
    <w:rsid w:val="00772824"/>
    <w:rsid w:val="00783A7B"/>
    <w:rsid w:val="00785689"/>
    <w:rsid w:val="00787F53"/>
    <w:rsid w:val="007908B0"/>
    <w:rsid w:val="00792D16"/>
    <w:rsid w:val="00795057"/>
    <w:rsid w:val="0079754B"/>
    <w:rsid w:val="007A1518"/>
    <w:rsid w:val="007A1E6D"/>
    <w:rsid w:val="007A45C4"/>
    <w:rsid w:val="007A4B18"/>
    <w:rsid w:val="007A660F"/>
    <w:rsid w:val="007B0EB2"/>
    <w:rsid w:val="007B50DD"/>
    <w:rsid w:val="007D705B"/>
    <w:rsid w:val="007D7F8A"/>
    <w:rsid w:val="007E0BB8"/>
    <w:rsid w:val="007E1F94"/>
    <w:rsid w:val="007E2EF8"/>
    <w:rsid w:val="007E37D0"/>
    <w:rsid w:val="007E5542"/>
    <w:rsid w:val="007F40F9"/>
    <w:rsid w:val="007F6B8F"/>
    <w:rsid w:val="00800A24"/>
    <w:rsid w:val="00805579"/>
    <w:rsid w:val="00807115"/>
    <w:rsid w:val="00810B6F"/>
    <w:rsid w:val="0081102D"/>
    <w:rsid w:val="008111FF"/>
    <w:rsid w:val="008132D9"/>
    <w:rsid w:val="008142F2"/>
    <w:rsid w:val="00821EED"/>
    <w:rsid w:val="00822CE0"/>
    <w:rsid w:val="00841AB1"/>
    <w:rsid w:val="00844F1B"/>
    <w:rsid w:val="008451EC"/>
    <w:rsid w:val="00863946"/>
    <w:rsid w:val="0086796F"/>
    <w:rsid w:val="00884489"/>
    <w:rsid w:val="00885C70"/>
    <w:rsid w:val="00891209"/>
    <w:rsid w:val="0089330F"/>
    <w:rsid w:val="008A537B"/>
    <w:rsid w:val="008B22D2"/>
    <w:rsid w:val="008B2B8B"/>
    <w:rsid w:val="008C4997"/>
    <w:rsid w:val="008C57B4"/>
    <w:rsid w:val="008C68F1"/>
    <w:rsid w:val="008D1026"/>
    <w:rsid w:val="008D2E7C"/>
    <w:rsid w:val="008D34BE"/>
    <w:rsid w:val="008D404F"/>
    <w:rsid w:val="008D5C50"/>
    <w:rsid w:val="008D6D24"/>
    <w:rsid w:val="008E1D70"/>
    <w:rsid w:val="008F0F7E"/>
    <w:rsid w:val="008F22CC"/>
    <w:rsid w:val="008F5643"/>
    <w:rsid w:val="008F7FDC"/>
    <w:rsid w:val="009009CB"/>
    <w:rsid w:val="00912B29"/>
    <w:rsid w:val="00917759"/>
    <w:rsid w:val="00921803"/>
    <w:rsid w:val="00922C07"/>
    <w:rsid w:val="00926503"/>
    <w:rsid w:val="00927253"/>
    <w:rsid w:val="009313C9"/>
    <w:rsid w:val="00935A0F"/>
    <w:rsid w:val="00937565"/>
    <w:rsid w:val="00945B24"/>
    <w:rsid w:val="00950298"/>
    <w:rsid w:val="009539CF"/>
    <w:rsid w:val="00956B0B"/>
    <w:rsid w:val="00956DE9"/>
    <w:rsid w:val="00961FBF"/>
    <w:rsid w:val="00965E6F"/>
    <w:rsid w:val="00972275"/>
    <w:rsid w:val="009726D8"/>
    <w:rsid w:val="009816A4"/>
    <w:rsid w:val="00983DF5"/>
    <w:rsid w:val="00983ED3"/>
    <w:rsid w:val="00992CDF"/>
    <w:rsid w:val="00993AE0"/>
    <w:rsid w:val="009B5EE5"/>
    <w:rsid w:val="009D3394"/>
    <w:rsid w:val="009D3A11"/>
    <w:rsid w:val="009E3AAD"/>
    <w:rsid w:val="009E52A1"/>
    <w:rsid w:val="009E78D5"/>
    <w:rsid w:val="009F36DE"/>
    <w:rsid w:val="009F48F9"/>
    <w:rsid w:val="009F6BBE"/>
    <w:rsid w:val="009F76DB"/>
    <w:rsid w:val="00A001A9"/>
    <w:rsid w:val="00A03CA5"/>
    <w:rsid w:val="00A108F8"/>
    <w:rsid w:val="00A13C55"/>
    <w:rsid w:val="00A15EE3"/>
    <w:rsid w:val="00A2447E"/>
    <w:rsid w:val="00A32220"/>
    <w:rsid w:val="00A32C3B"/>
    <w:rsid w:val="00A348AB"/>
    <w:rsid w:val="00A40E52"/>
    <w:rsid w:val="00A45F4F"/>
    <w:rsid w:val="00A52D4A"/>
    <w:rsid w:val="00A54B91"/>
    <w:rsid w:val="00A600A9"/>
    <w:rsid w:val="00A61865"/>
    <w:rsid w:val="00A62896"/>
    <w:rsid w:val="00A65A42"/>
    <w:rsid w:val="00A67599"/>
    <w:rsid w:val="00A72373"/>
    <w:rsid w:val="00A749CE"/>
    <w:rsid w:val="00A802D9"/>
    <w:rsid w:val="00A82ED0"/>
    <w:rsid w:val="00A838AB"/>
    <w:rsid w:val="00A86F9C"/>
    <w:rsid w:val="00A90600"/>
    <w:rsid w:val="00A91D37"/>
    <w:rsid w:val="00A9440D"/>
    <w:rsid w:val="00AA0D82"/>
    <w:rsid w:val="00AA14AC"/>
    <w:rsid w:val="00AA1EF4"/>
    <w:rsid w:val="00AA3AF9"/>
    <w:rsid w:val="00AA3EFC"/>
    <w:rsid w:val="00AA55B7"/>
    <w:rsid w:val="00AA5B9E"/>
    <w:rsid w:val="00AA5C27"/>
    <w:rsid w:val="00AA5ECA"/>
    <w:rsid w:val="00AA632D"/>
    <w:rsid w:val="00AB2407"/>
    <w:rsid w:val="00AB2EC9"/>
    <w:rsid w:val="00AB4216"/>
    <w:rsid w:val="00AB53DF"/>
    <w:rsid w:val="00AB7820"/>
    <w:rsid w:val="00AB7C37"/>
    <w:rsid w:val="00AC0359"/>
    <w:rsid w:val="00AD5802"/>
    <w:rsid w:val="00AE0775"/>
    <w:rsid w:val="00AE200A"/>
    <w:rsid w:val="00AE6848"/>
    <w:rsid w:val="00AF2D93"/>
    <w:rsid w:val="00AF62EB"/>
    <w:rsid w:val="00B003F7"/>
    <w:rsid w:val="00B01EAC"/>
    <w:rsid w:val="00B051C1"/>
    <w:rsid w:val="00B0653A"/>
    <w:rsid w:val="00B07E5C"/>
    <w:rsid w:val="00B11C60"/>
    <w:rsid w:val="00B27C03"/>
    <w:rsid w:val="00B302AC"/>
    <w:rsid w:val="00B40103"/>
    <w:rsid w:val="00B40A99"/>
    <w:rsid w:val="00B40DF5"/>
    <w:rsid w:val="00B438E5"/>
    <w:rsid w:val="00B45DB5"/>
    <w:rsid w:val="00B46513"/>
    <w:rsid w:val="00B52070"/>
    <w:rsid w:val="00B54E51"/>
    <w:rsid w:val="00B5573C"/>
    <w:rsid w:val="00B601AA"/>
    <w:rsid w:val="00B64C57"/>
    <w:rsid w:val="00B65DA3"/>
    <w:rsid w:val="00B7121C"/>
    <w:rsid w:val="00B7361B"/>
    <w:rsid w:val="00B744E4"/>
    <w:rsid w:val="00B811F7"/>
    <w:rsid w:val="00B84DDD"/>
    <w:rsid w:val="00B85773"/>
    <w:rsid w:val="00B87AF9"/>
    <w:rsid w:val="00B92852"/>
    <w:rsid w:val="00B978D5"/>
    <w:rsid w:val="00BA5B20"/>
    <w:rsid w:val="00BA5DC6"/>
    <w:rsid w:val="00BA6196"/>
    <w:rsid w:val="00BB3904"/>
    <w:rsid w:val="00BC3EDB"/>
    <w:rsid w:val="00BC6D8C"/>
    <w:rsid w:val="00BD26AD"/>
    <w:rsid w:val="00BD4D62"/>
    <w:rsid w:val="00BE4627"/>
    <w:rsid w:val="00BE48C0"/>
    <w:rsid w:val="00BE5758"/>
    <w:rsid w:val="00BF5AC0"/>
    <w:rsid w:val="00C01640"/>
    <w:rsid w:val="00C0204A"/>
    <w:rsid w:val="00C05B82"/>
    <w:rsid w:val="00C1263E"/>
    <w:rsid w:val="00C165F2"/>
    <w:rsid w:val="00C17B7A"/>
    <w:rsid w:val="00C20460"/>
    <w:rsid w:val="00C23FF6"/>
    <w:rsid w:val="00C25ABA"/>
    <w:rsid w:val="00C26174"/>
    <w:rsid w:val="00C34006"/>
    <w:rsid w:val="00C35B77"/>
    <w:rsid w:val="00C374C0"/>
    <w:rsid w:val="00C40A13"/>
    <w:rsid w:val="00C426B1"/>
    <w:rsid w:val="00C43B74"/>
    <w:rsid w:val="00C4438E"/>
    <w:rsid w:val="00C50B95"/>
    <w:rsid w:val="00C51231"/>
    <w:rsid w:val="00C5266A"/>
    <w:rsid w:val="00C538E4"/>
    <w:rsid w:val="00C544C5"/>
    <w:rsid w:val="00C56CA2"/>
    <w:rsid w:val="00C61BC9"/>
    <w:rsid w:val="00C62E65"/>
    <w:rsid w:val="00C64A1E"/>
    <w:rsid w:val="00C66160"/>
    <w:rsid w:val="00C71256"/>
    <w:rsid w:val="00C721AC"/>
    <w:rsid w:val="00C752B2"/>
    <w:rsid w:val="00C77886"/>
    <w:rsid w:val="00C8526C"/>
    <w:rsid w:val="00C86B9D"/>
    <w:rsid w:val="00C90D6A"/>
    <w:rsid w:val="00C92E53"/>
    <w:rsid w:val="00C949AC"/>
    <w:rsid w:val="00C957C1"/>
    <w:rsid w:val="00CA247E"/>
    <w:rsid w:val="00CA69E6"/>
    <w:rsid w:val="00CB5147"/>
    <w:rsid w:val="00CB6D47"/>
    <w:rsid w:val="00CC663D"/>
    <w:rsid w:val="00CC72B6"/>
    <w:rsid w:val="00CD3377"/>
    <w:rsid w:val="00CD34EB"/>
    <w:rsid w:val="00CD7E7C"/>
    <w:rsid w:val="00CE2F09"/>
    <w:rsid w:val="00CE683D"/>
    <w:rsid w:val="00CF11B1"/>
    <w:rsid w:val="00CF3DD1"/>
    <w:rsid w:val="00D0127E"/>
    <w:rsid w:val="00D0218D"/>
    <w:rsid w:val="00D03041"/>
    <w:rsid w:val="00D04280"/>
    <w:rsid w:val="00D07658"/>
    <w:rsid w:val="00D1427F"/>
    <w:rsid w:val="00D15D21"/>
    <w:rsid w:val="00D15F34"/>
    <w:rsid w:val="00D25FB5"/>
    <w:rsid w:val="00D348A4"/>
    <w:rsid w:val="00D40594"/>
    <w:rsid w:val="00D44223"/>
    <w:rsid w:val="00D57EFB"/>
    <w:rsid w:val="00D64783"/>
    <w:rsid w:val="00D65438"/>
    <w:rsid w:val="00D7050D"/>
    <w:rsid w:val="00D71458"/>
    <w:rsid w:val="00D82682"/>
    <w:rsid w:val="00D83315"/>
    <w:rsid w:val="00D879DF"/>
    <w:rsid w:val="00DA2529"/>
    <w:rsid w:val="00DA2747"/>
    <w:rsid w:val="00DA480A"/>
    <w:rsid w:val="00DA6F07"/>
    <w:rsid w:val="00DA6F35"/>
    <w:rsid w:val="00DB130A"/>
    <w:rsid w:val="00DB2EBB"/>
    <w:rsid w:val="00DC10A1"/>
    <w:rsid w:val="00DC62AA"/>
    <w:rsid w:val="00DC655F"/>
    <w:rsid w:val="00DC764A"/>
    <w:rsid w:val="00DD0B59"/>
    <w:rsid w:val="00DD28B6"/>
    <w:rsid w:val="00DD3672"/>
    <w:rsid w:val="00DD7EBD"/>
    <w:rsid w:val="00DF0C75"/>
    <w:rsid w:val="00DF3F6E"/>
    <w:rsid w:val="00DF4A0B"/>
    <w:rsid w:val="00DF5405"/>
    <w:rsid w:val="00DF62B6"/>
    <w:rsid w:val="00DF73D6"/>
    <w:rsid w:val="00DF7DFD"/>
    <w:rsid w:val="00E00ACE"/>
    <w:rsid w:val="00E01C71"/>
    <w:rsid w:val="00E07225"/>
    <w:rsid w:val="00E17C6C"/>
    <w:rsid w:val="00E22560"/>
    <w:rsid w:val="00E42368"/>
    <w:rsid w:val="00E4409B"/>
    <w:rsid w:val="00E45264"/>
    <w:rsid w:val="00E45902"/>
    <w:rsid w:val="00E45D8A"/>
    <w:rsid w:val="00E47AC8"/>
    <w:rsid w:val="00E523AA"/>
    <w:rsid w:val="00E5409F"/>
    <w:rsid w:val="00E56129"/>
    <w:rsid w:val="00E62282"/>
    <w:rsid w:val="00E6559B"/>
    <w:rsid w:val="00E65B7E"/>
    <w:rsid w:val="00E83DAB"/>
    <w:rsid w:val="00E83FF4"/>
    <w:rsid w:val="00E873D4"/>
    <w:rsid w:val="00E91E8E"/>
    <w:rsid w:val="00E95E0F"/>
    <w:rsid w:val="00E974B6"/>
    <w:rsid w:val="00EA3FF9"/>
    <w:rsid w:val="00EA49F9"/>
    <w:rsid w:val="00EA4A08"/>
    <w:rsid w:val="00EB1A64"/>
    <w:rsid w:val="00EB2945"/>
    <w:rsid w:val="00EC2C06"/>
    <w:rsid w:val="00EC54D3"/>
    <w:rsid w:val="00EC5B75"/>
    <w:rsid w:val="00ED0421"/>
    <w:rsid w:val="00ED3FB9"/>
    <w:rsid w:val="00ED7F2C"/>
    <w:rsid w:val="00EE3A66"/>
    <w:rsid w:val="00EE5B1B"/>
    <w:rsid w:val="00EE6488"/>
    <w:rsid w:val="00EE760B"/>
    <w:rsid w:val="00EF2069"/>
    <w:rsid w:val="00EF25C8"/>
    <w:rsid w:val="00EF2B8F"/>
    <w:rsid w:val="00F00C26"/>
    <w:rsid w:val="00F021FA"/>
    <w:rsid w:val="00F0365A"/>
    <w:rsid w:val="00F04025"/>
    <w:rsid w:val="00F123B8"/>
    <w:rsid w:val="00F14A86"/>
    <w:rsid w:val="00F20549"/>
    <w:rsid w:val="00F229B1"/>
    <w:rsid w:val="00F22D30"/>
    <w:rsid w:val="00F25B30"/>
    <w:rsid w:val="00F27D94"/>
    <w:rsid w:val="00F4275C"/>
    <w:rsid w:val="00F52034"/>
    <w:rsid w:val="00F54453"/>
    <w:rsid w:val="00F61E9D"/>
    <w:rsid w:val="00F62E97"/>
    <w:rsid w:val="00F64209"/>
    <w:rsid w:val="00F66D7D"/>
    <w:rsid w:val="00F848D2"/>
    <w:rsid w:val="00F85128"/>
    <w:rsid w:val="00F90963"/>
    <w:rsid w:val="00F936AF"/>
    <w:rsid w:val="00F93BF5"/>
    <w:rsid w:val="00F96367"/>
    <w:rsid w:val="00FA4666"/>
    <w:rsid w:val="00FA7FC5"/>
    <w:rsid w:val="00FC3560"/>
    <w:rsid w:val="00FC50A6"/>
    <w:rsid w:val="00FC61E4"/>
    <w:rsid w:val="00FD5D4F"/>
    <w:rsid w:val="00FE0E0D"/>
    <w:rsid w:val="00FE6443"/>
    <w:rsid w:val="00FF2BC2"/>
    <w:rsid w:val="00FF5A94"/>
    <w:rsid w:val="00FF6500"/>
    <w:rsid w:val="00FF7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972275"/>
    <w:pPr>
      <w:numPr>
        <w:numId w:val="2"/>
      </w:numPr>
      <w:tabs>
        <w:tab w:val="clear" w:pos="1080"/>
      </w:tabs>
      <w:spacing w:after="120"/>
    </w:pPr>
    <w:rPr>
      <w:rFonts w:eastAsia="Calibri"/>
      <w:snapToGrid/>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uiPriority w:val="99"/>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45410B"/>
    <w:rPr>
      <w:rFonts w:ascii="Tahoma" w:hAnsi="Tahoma" w:cs="Tahoma"/>
      <w:sz w:val="16"/>
      <w:szCs w:val="16"/>
    </w:rPr>
  </w:style>
  <w:style w:type="character" w:customStyle="1" w:styleId="BalloonTextChar">
    <w:name w:val="Balloon Text Char"/>
    <w:basedOn w:val="DefaultParagraphFont"/>
    <w:link w:val="BalloonText"/>
    <w:rsid w:val="0045410B"/>
    <w:rPr>
      <w:rFonts w:ascii="Tahoma" w:hAnsi="Tahoma" w:cs="Tahoma"/>
      <w:snapToGrid w:val="0"/>
      <w:kern w:val="28"/>
      <w:sz w:val="16"/>
      <w:szCs w:val="16"/>
    </w:rPr>
  </w:style>
  <w:style w:type="character" w:styleId="CommentReference">
    <w:name w:val="annotation reference"/>
    <w:basedOn w:val="DefaultParagraphFont"/>
    <w:rsid w:val="007E2EF8"/>
    <w:rPr>
      <w:sz w:val="16"/>
      <w:szCs w:val="16"/>
    </w:rPr>
  </w:style>
  <w:style w:type="paragraph" w:styleId="CommentText">
    <w:name w:val="annotation text"/>
    <w:basedOn w:val="Normal"/>
    <w:link w:val="CommentTextChar"/>
    <w:rsid w:val="007E2EF8"/>
    <w:rPr>
      <w:sz w:val="20"/>
    </w:rPr>
  </w:style>
  <w:style w:type="character" w:customStyle="1" w:styleId="CommentTextChar">
    <w:name w:val="Comment Text Char"/>
    <w:basedOn w:val="DefaultParagraphFont"/>
    <w:link w:val="CommentText"/>
    <w:rsid w:val="007E2EF8"/>
    <w:rPr>
      <w:snapToGrid w:val="0"/>
      <w:kern w:val="28"/>
    </w:rPr>
  </w:style>
  <w:style w:type="paragraph" w:styleId="CommentSubject">
    <w:name w:val="annotation subject"/>
    <w:basedOn w:val="CommentText"/>
    <w:next w:val="CommentText"/>
    <w:link w:val="CommentSubjectChar"/>
    <w:rsid w:val="007E2EF8"/>
    <w:rPr>
      <w:b/>
      <w:bCs/>
    </w:rPr>
  </w:style>
  <w:style w:type="character" w:customStyle="1" w:styleId="CommentSubjectChar">
    <w:name w:val="Comment Subject Char"/>
    <w:basedOn w:val="CommentTextChar"/>
    <w:link w:val="CommentSubject"/>
    <w:rsid w:val="007E2EF8"/>
    <w:rPr>
      <w:b/>
      <w:bCs/>
      <w:snapToGrid w:val="0"/>
      <w:kern w:val="28"/>
    </w:rPr>
  </w:style>
  <w:style w:type="paragraph" w:styleId="Revision">
    <w:name w:val="Revision"/>
    <w:hidden/>
    <w:uiPriority w:val="99"/>
    <w:semiHidden/>
    <w:rsid w:val="007E2EF8"/>
    <w:rPr>
      <w:snapToGrid w:val="0"/>
      <w:kern w:val="28"/>
      <w:sz w:val="22"/>
    </w:r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EB2945"/>
  </w:style>
  <w:style w:type="character" w:customStyle="1" w:styleId="ParaNumChar">
    <w:name w:val="ParaNum Char"/>
    <w:link w:val="ParaNum"/>
    <w:locked/>
    <w:rsid w:val="00972275"/>
    <w:rPr>
      <w:rFonts w:eastAsia="Calibri"/>
      <w:kern w:val="28"/>
      <w:sz w:val="22"/>
    </w:rPr>
  </w:style>
  <w:style w:type="character" w:styleId="FollowedHyperlink">
    <w:name w:val="FollowedHyperlink"/>
    <w:basedOn w:val="DefaultParagraphFont"/>
    <w:rsid w:val="00D0127E"/>
    <w:rPr>
      <w:color w:val="800080" w:themeColor="followedHyperlink"/>
      <w:u w:val="single"/>
    </w:rPr>
  </w:style>
  <w:style w:type="character" w:customStyle="1" w:styleId="HeaderChar">
    <w:name w:val="Header Char"/>
    <w:basedOn w:val="DefaultParagraphFont"/>
    <w:link w:val="Header"/>
    <w:uiPriority w:val="99"/>
    <w:rsid w:val="00E95E0F"/>
    <w:rPr>
      <w:b/>
      <w:snapToGrid w:val="0"/>
      <w:kern w:val="28"/>
      <w:sz w:val="22"/>
    </w:rPr>
  </w:style>
  <w:style w:type="character" w:customStyle="1" w:styleId="FooterChar">
    <w:name w:val="Footer Char"/>
    <w:basedOn w:val="DefaultParagraphFont"/>
    <w:link w:val="Footer"/>
    <w:uiPriority w:val="99"/>
    <w:rsid w:val="00E95E0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972275"/>
    <w:pPr>
      <w:numPr>
        <w:numId w:val="2"/>
      </w:numPr>
      <w:tabs>
        <w:tab w:val="clear" w:pos="1080"/>
      </w:tabs>
      <w:spacing w:after="120"/>
    </w:pPr>
    <w:rPr>
      <w:rFonts w:eastAsia="Calibri"/>
      <w:snapToGrid/>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uiPriority w:val="99"/>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45410B"/>
    <w:rPr>
      <w:rFonts w:ascii="Tahoma" w:hAnsi="Tahoma" w:cs="Tahoma"/>
      <w:sz w:val="16"/>
      <w:szCs w:val="16"/>
    </w:rPr>
  </w:style>
  <w:style w:type="character" w:customStyle="1" w:styleId="BalloonTextChar">
    <w:name w:val="Balloon Text Char"/>
    <w:basedOn w:val="DefaultParagraphFont"/>
    <w:link w:val="BalloonText"/>
    <w:rsid w:val="0045410B"/>
    <w:rPr>
      <w:rFonts w:ascii="Tahoma" w:hAnsi="Tahoma" w:cs="Tahoma"/>
      <w:snapToGrid w:val="0"/>
      <w:kern w:val="28"/>
      <w:sz w:val="16"/>
      <w:szCs w:val="16"/>
    </w:rPr>
  </w:style>
  <w:style w:type="character" w:styleId="CommentReference">
    <w:name w:val="annotation reference"/>
    <w:basedOn w:val="DefaultParagraphFont"/>
    <w:rsid w:val="007E2EF8"/>
    <w:rPr>
      <w:sz w:val="16"/>
      <w:szCs w:val="16"/>
    </w:rPr>
  </w:style>
  <w:style w:type="paragraph" w:styleId="CommentText">
    <w:name w:val="annotation text"/>
    <w:basedOn w:val="Normal"/>
    <w:link w:val="CommentTextChar"/>
    <w:rsid w:val="007E2EF8"/>
    <w:rPr>
      <w:sz w:val="20"/>
    </w:rPr>
  </w:style>
  <w:style w:type="character" w:customStyle="1" w:styleId="CommentTextChar">
    <w:name w:val="Comment Text Char"/>
    <w:basedOn w:val="DefaultParagraphFont"/>
    <w:link w:val="CommentText"/>
    <w:rsid w:val="007E2EF8"/>
    <w:rPr>
      <w:snapToGrid w:val="0"/>
      <w:kern w:val="28"/>
    </w:rPr>
  </w:style>
  <w:style w:type="paragraph" w:styleId="CommentSubject">
    <w:name w:val="annotation subject"/>
    <w:basedOn w:val="CommentText"/>
    <w:next w:val="CommentText"/>
    <w:link w:val="CommentSubjectChar"/>
    <w:rsid w:val="007E2EF8"/>
    <w:rPr>
      <w:b/>
      <w:bCs/>
    </w:rPr>
  </w:style>
  <w:style w:type="character" w:customStyle="1" w:styleId="CommentSubjectChar">
    <w:name w:val="Comment Subject Char"/>
    <w:basedOn w:val="CommentTextChar"/>
    <w:link w:val="CommentSubject"/>
    <w:rsid w:val="007E2EF8"/>
    <w:rPr>
      <w:b/>
      <w:bCs/>
      <w:snapToGrid w:val="0"/>
      <w:kern w:val="28"/>
    </w:rPr>
  </w:style>
  <w:style w:type="paragraph" w:styleId="Revision">
    <w:name w:val="Revision"/>
    <w:hidden/>
    <w:uiPriority w:val="99"/>
    <w:semiHidden/>
    <w:rsid w:val="007E2EF8"/>
    <w:rPr>
      <w:snapToGrid w:val="0"/>
      <w:kern w:val="28"/>
      <w:sz w:val="22"/>
    </w:r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EB2945"/>
  </w:style>
  <w:style w:type="character" w:customStyle="1" w:styleId="ParaNumChar">
    <w:name w:val="ParaNum Char"/>
    <w:link w:val="ParaNum"/>
    <w:locked/>
    <w:rsid w:val="00972275"/>
    <w:rPr>
      <w:rFonts w:eastAsia="Calibri"/>
      <w:kern w:val="28"/>
      <w:sz w:val="22"/>
    </w:rPr>
  </w:style>
  <w:style w:type="character" w:styleId="FollowedHyperlink">
    <w:name w:val="FollowedHyperlink"/>
    <w:basedOn w:val="DefaultParagraphFont"/>
    <w:rsid w:val="00D0127E"/>
    <w:rPr>
      <w:color w:val="800080" w:themeColor="followedHyperlink"/>
      <w:u w:val="single"/>
    </w:rPr>
  </w:style>
  <w:style w:type="character" w:customStyle="1" w:styleId="HeaderChar">
    <w:name w:val="Header Char"/>
    <w:basedOn w:val="DefaultParagraphFont"/>
    <w:link w:val="Header"/>
    <w:uiPriority w:val="99"/>
    <w:rsid w:val="00E95E0F"/>
    <w:rPr>
      <w:b/>
      <w:snapToGrid w:val="0"/>
      <w:kern w:val="28"/>
      <w:sz w:val="22"/>
    </w:rPr>
  </w:style>
  <w:style w:type="character" w:customStyle="1" w:styleId="FooterChar">
    <w:name w:val="Footer Char"/>
    <w:basedOn w:val="DefaultParagraphFont"/>
    <w:link w:val="Footer"/>
    <w:uiPriority w:val="99"/>
    <w:rsid w:val="00E95E0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7066">
      <w:bodyDiv w:val="1"/>
      <w:marLeft w:val="0"/>
      <w:marRight w:val="0"/>
      <w:marTop w:val="0"/>
      <w:marBottom w:val="0"/>
      <w:divBdr>
        <w:top w:val="none" w:sz="0" w:space="0" w:color="auto"/>
        <w:left w:val="none" w:sz="0" w:space="0" w:color="auto"/>
        <w:bottom w:val="none" w:sz="0" w:space="0" w:color="auto"/>
        <w:right w:val="none" w:sz="0" w:space="0" w:color="auto"/>
      </w:divBdr>
      <w:divsChild>
        <w:div w:id="1266305997">
          <w:marLeft w:val="0"/>
          <w:marRight w:val="0"/>
          <w:marTop w:val="0"/>
          <w:marBottom w:val="0"/>
          <w:divBdr>
            <w:top w:val="none" w:sz="0" w:space="0" w:color="auto"/>
            <w:left w:val="none" w:sz="0" w:space="0" w:color="auto"/>
            <w:bottom w:val="none" w:sz="0" w:space="0" w:color="auto"/>
            <w:right w:val="none" w:sz="0" w:space="0" w:color="auto"/>
          </w:divBdr>
          <w:divsChild>
            <w:div w:id="1000962282">
              <w:marLeft w:val="0"/>
              <w:marRight w:val="0"/>
              <w:marTop w:val="0"/>
              <w:marBottom w:val="0"/>
              <w:divBdr>
                <w:top w:val="none" w:sz="0" w:space="0" w:color="auto"/>
                <w:left w:val="none" w:sz="0" w:space="0" w:color="auto"/>
                <w:bottom w:val="none" w:sz="0" w:space="0" w:color="auto"/>
                <w:right w:val="none" w:sz="0" w:space="0" w:color="auto"/>
              </w:divBdr>
              <w:divsChild>
                <w:div w:id="545727936">
                  <w:marLeft w:val="0"/>
                  <w:marRight w:val="0"/>
                  <w:marTop w:val="0"/>
                  <w:marBottom w:val="0"/>
                  <w:divBdr>
                    <w:top w:val="none" w:sz="0" w:space="0" w:color="auto"/>
                    <w:left w:val="none" w:sz="0" w:space="0" w:color="auto"/>
                    <w:bottom w:val="none" w:sz="0" w:space="0" w:color="auto"/>
                    <w:right w:val="none" w:sz="0" w:space="0" w:color="auto"/>
                  </w:divBdr>
                  <w:divsChild>
                    <w:div w:id="1749769637">
                      <w:marLeft w:val="0"/>
                      <w:marRight w:val="0"/>
                      <w:marTop w:val="0"/>
                      <w:marBottom w:val="0"/>
                      <w:divBdr>
                        <w:top w:val="none" w:sz="0" w:space="0" w:color="auto"/>
                        <w:left w:val="none" w:sz="0" w:space="0" w:color="auto"/>
                        <w:bottom w:val="none" w:sz="0" w:space="0" w:color="auto"/>
                        <w:right w:val="none" w:sz="0" w:space="0" w:color="auto"/>
                      </w:divBdr>
                      <w:divsChild>
                        <w:div w:id="1472208871">
                          <w:marLeft w:val="0"/>
                          <w:marRight w:val="0"/>
                          <w:marTop w:val="0"/>
                          <w:marBottom w:val="0"/>
                          <w:divBdr>
                            <w:top w:val="none" w:sz="0" w:space="0" w:color="auto"/>
                            <w:left w:val="none" w:sz="0" w:space="0" w:color="auto"/>
                            <w:bottom w:val="none" w:sz="0" w:space="0" w:color="auto"/>
                            <w:right w:val="none" w:sz="0" w:space="0" w:color="auto"/>
                          </w:divBdr>
                          <w:divsChild>
                            <w:div w:id="62334500">
                              <w:marLeft w:val="0"/>
                              <w:marRight w:val="0"/>
                              <w:marTop w:val="0"/>
                              <w:marBottom w:val="0"/>
                              <w:divBdr>
                                <w:top w:val="none" w:sz="0" w:space="0" w:color="auto"/>
                                <w:left w:val="none" w:sz="0" w:space="0" w:color="auto"/>
                                <w:bottom w:val="none" w:sz="0" w:space="0" w:color="auto"/>
                                <w:right w:val="none" w:sz="0" w:space="0" w:color="auto"/>
                              </w:divBdr>
                              <w:divsChild>
                                <w:div w:id="913583511">
                                  <w:marLeft w:val="0"/>
                                  <w:marRight w:val="0"/>
                                  <w:marTop w:val="0"/>
                                  <w:marBottom w:val="540"/>
                                  <w:divBdr>
                                    <w:top w:val="none" w:sz="0" w:space="0" w:color="auto"/>
                                    <w:left w:val="single" w:sz="6" w:space="9" w:color="CCCCCC"/>
                                    <w:bottom w:val="single" w:sz="6" w:space="3" w:color="CCCCCC"/>
                                    <w:right w:val="single" w:sz="6" w:space="9" w:color="CCCCCC"/>
                                  </w:divBdr>
                                  <w:divsChild>
                                    <w:div w:id="127626242">
                                      <w:marLeft w:val="0"/>
                                      <w:marRight w:val="1200"/>
                                      <w:marTop w:val="0"/>
                                      <w:marBottom w:val="0"/>
                                      <w:divBdr>
                                        <w:top w:val="none" w:sz="0" w:space="0" w:color="auto"/>
                                        <w:left w:val="none" w:sz="0" w:space="0" w:color="auto"/>
                                        <w:bottom w:val="none" w:sz="0" w:space="0" w:color="auto"/>
                                        <w:right w:val="none" w:sz="0" w:space="0" w:color="auto"/>
                                      </w:divBdr>
                                      <w:divsChild>
                                        <w:div w:id="8509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75876">
      <w:bodyDiv w:val="1"/>
      <w:marLeft w:val="0"/>
      <w:marRight w:val="0"/>
      <w:marTop w:val="0"/>
      <w:marBottom w:val="0"/>
      <w:divBdr>
        <w:top w:val="none" w:sz="0" w:space="0" w:color="auto"/>
        <w:left w:val="none" w:sz="0" w:space="0" w:color="auto"/>
        <w:bottom w:val="none" w:sz="0" w:space="0" w:color="auto"/>
        <w:right w:val="none" w:sz="0" w:space="0" w:color="auto"/>
      </w:divBdr>
      <w:divsChild>
        <w:div w:id="637413406">
          <w:marLeft w:val="0"/>
          <w:marRight w:val="0"/>
          <w:marTop w:val="0"/>
          <w:marBottom w:val="0"/>
          <w:divBdr>
            <w:top w:val="none" w:sz="0" w:space="0" w:color="auto"/>
            <w:left w:val="none" w:sz="0" w:space="0" w:color="auto"/>
            <w:bottom w:val="none" w:sz="0" w:space="0" w:color="auto"/>
            <w:right w:val="none" w:sz="0" w:space="0" w:color="auto"/>
          </w:divBdr>
          <w:divsChild>
            <w:div w:id="1394767881">
              <w:marLeft w:val="0"/>
              <w:marRight w:val="0"/>
              <w:marTop w:val="0"/>
              <w:marBottom w:val="0"/>
              <w:divBdr>
                <w:top w:val="none" w:sz="0" w:space="0" w:color="auto"/>
                <w:left w:val="none" w:sz="0" w:space="0" w:color="auto"/>
                <w:bottom w:val="none" w:sz="0" w:space="0" w:color="auto"/>
                <w:right w:val="none" w:sz="0" w:space="0" w:color="auto"/>
              </w:divBdr>
              <w:divsChild>
                <w:div w:id="241791907">
                  <w:marLeft w:val="0"/>
                  <w:marRight w:val="0"/>
                  <w:marTop w:val="0"/>
                  <w:marBottom w:val="0"/>
                  <w:divBdr>
                    <w:top w:val="none" w:sz="0" w:space="0" w:color="auto"/>
                    <w:left w:val="none" w:sz="0" w:space="0" w:color="auto"/>
                    <w:bottom w:val="none" w:sz="0" w:space="0" w:color="auto"/>
                    <w:right w:val="none" w:sz="0" w:space="0" w:color="auto"/>
                  </w:divBdr>
                  <w:divsChild>
                    <w:div w:id="644941458">
                      <w:marLeft w:val="0"/>
                      <w:marRight w:val="0"/>
                      <w:marTop w:val="0"/>
                      <w:marBottom w:val="0"/>
                      <w:divBdr>
                        <w:top w:val="none" w:sz="0" w:space="0" w:color="auto"/>
                        <w:left w:val="none" w:sz="0" w:space="0" w:color="auto"/>
                        <w:bottom w:val="none" w:sz="0" w:space="0" w:color="auto"/>
                        <w:right w:val="none" w:sz="0" w:space="0" w:color="auto"/>
                      </w:divBdr>
                      <w:divsChild>
                        <w:div w:id="19052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nndcd.org/content.asp?CustComKey=292717&amp;CategoryKey=508697&amp;pn=Newsletter&amp;DomName=nndcd.org" TargetMode="External"/><Relationship Id="rId2" Type="http://schemas.openxmlformats.org/officeDocument/2006/relationships/hyperlink" Target="http://apps.fcc.gov/ecfs/" TargetMode="External"/><Relationship Id="rId1" Type="http://schemas.openxmlformats.org/officeDocument/2006/relationships/hyperlink" Target="http://www.bia.gov/WhoWeAre/RegionalOffices/Navajo/WeAre/Agencies/index.htm" TargetMode="External"/><Relationship Id="rId5" Type="http://schemas.openxmlformats.org/officeDocument/2006/relationships/hyperlink" Target="http://www.bia.gov/WhoWeAre/BIA/OIS/TribalGovernmentServices/TribalDirectory/index.htm" TargetMode="External"/><Relationship Id="rId4" Type="http://schemas.openxmlformats.org/officeDocument/2006/relationships/hyperlink" Target="http://www.bia.gov/WhoWeAre/RegionalOffices/Navajo/WeAre/Agenci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8531</Words>
  <Characters>100710</Characters>
  <Application>Microsoft Office Word</Application>
  <DocSecurity>0</DocSecurity>
  <Lines>5973</Lines>
  <Paragraphs>5776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103556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2014-11-12T17:25:00Z</dcterms:created>
  <dcterms:modified xsi:type="dcterms:W3CDTF">2014-11-12T17:25:00Z</dcterms:modified>
  <cp:category> </cp:category>
  <cp:contentStatus> </cp:contentStatus>
</cp:coreProperties>
</file>