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Default="00CF236D">
      <w:pPr>
        <w:jc w:val="center"/>
        <w:rPr>
          <w:b/>
          <w:szCs w:val="22"/>
        </w:rPr>
      </w:pPr>
      <w:bookmarkStart w:id="0" w:name="_GoBack"/>
      <w:bookmarkEnd w:id="0"/>
      <w:r>
        <w:rPr>
          <w:b/>
          <w:szCs w:val="22"/>
        </w:rPr>
        <w:t>Before the</w:t>
      </w:r>
    </w:p>
    <w:p w:rsidR="006C1806" w:rsidRDefault="00CF236D">
      <w:pPr>
        <w:jc w:val="center"/>
        <w:rPr>
          <w:b/>
          <w:szCs w:val="22"/>
        </w:rPr>
      </w:pPr>
      <w:r>
        <w:rPr>
          <w:b/>
          <w:szCs w:val="22"/>
        </w:rPr>
        <w:t>Federal Communications Commission</w:t>
      </w:r>
    </w:p>
    <w:p w:rsidR="006C1806" w:rsidRDefault="00CF236D">
      <w:pPr>
        <w:jc w:val="center"/>
        <w:rPr>
          <w:b/>
          <w:szCs w:val="22"/>
        </w:rPr>
      </w:pPr>
      <w:r>
        <w:rPr>
          <w:b/>
          <w:szCs w:val="22"/>
        </w:rPr>
        <w:t>Washington, D.C. 20554</w:t>
      </w:r>
    </w:p>
    <w:p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tc>
          <w:tcPr>
            <w:tcW w:w="4698" w:type="dxa"/>
          </w:tcPr>
          <w:p w:rsidR="006C1806" w:rsidRDefault="00CF236D">
            <w:pPr>
              <w:ind w:right="-18"/>
              <w:rPr>
                <w:szCs w:val="22"/>
              </w:rPr>
            </w:pPr>
            <w:r>
              <w:rPr>
                <w:szCs w:val="22"/>
              </w:rPr>
              <w:t>In re Application</w:t>
            </w:r>
            <w:r w:rsidR="00140DBC">
              <w:rPr>
                <w:szCs w:val="22"/>
              </w:rPr>
              <w:t>s</w:t>
            </w:r>
            <w:r>
              <w:rPr>
                <w:szCs w:val="22"/>
              </w:rPr>
              <w:t xml:space="preserve"> of  </w:t>
            </w:r>
          </w:p>
          <w:p w:rsidR="006C1806" w:rsidRDefault="006C1806">
            <w:pPr>
              <w:ind w:right="-18"/>
              <w:rPr>
                <w:szCs w:val="22"/>
              </w:rPr>
            </w:pPr>
          </w:p>
          <w:p w:rsidR="006C1806" w:rsidRPr="00CF7851" w:rsidRDefault="00140DBC" w:rsidP="006015C5">
            <w:pPr>
              <w:tabs>
                <w:tab w:val="left" w:pos="0"/>
              </w:tabs>
              <w:suppressAutoHyphens/>
              <w:rPr>
                <w:b/>
                <w:szCs w:val="22"/>
              </w:rPr>
            </w:pPr>
            <w:r>
              <w:rPr>
                <w:b/>
                <w:szCs w:val="22"/>
              </w:rPr>
              <w:t>RADIO FIESTA CORPORATION</w:t>
            </w:r>
          </w:p>
          <w:p w:rsidR="006C1806" w:rsidRDefault="006C1806">
            <w:pPr>
              <w:tabs>
                <w:tab w:val="left" w:pos="0"/>
              </w:tabs>
              <w:suppressAutoHyphens/>
              <w:ind w:left="5040" w:hanging="5040"/>
              <w:rPr>
                <w:b/>
                <w:szCs w:val="22"/>
              </w:rPr>
            </w:pPr>
          </w:p>
          <w:p w:rsidR="006C1806" w:rsidRDefault="00CF236D">
            <w:pPr>
              <w:ind w:right="-18"/>
              <w:rPr>
                <w:szCs w:val="22"/>
              </w:rPr>
            </w:pPr>
            <w:r>
              <w:rPr>
                <w:szCs w:val="22"/>
              </w:rPr>
              <w:t>For Renewal of License for</w:t>
            </w:r>
          </w:p>
          <w:p w:rsidR="006C1806" w:rsidRDefault="00CF236D">
            <w:pPr>
              <w:ind w:right="-18"/>
              <w:rPr>
                <w:b/>
                <w:szCs w:val="22"/>
              </w:rPr>
            </w:pPr>
            <w:r>
              <w:rPr>
                <w:szCs w:val="22"/>
              </w:rPr>
              <w:t>Station</w:t>
            </w:r>
            <w:r w:rsidR="006015C5">
              <w:rPr>
                <w:szCs w:val="22"/>
              </w:rPr>
              <w:t xml:space="preserve"> </w:t>
            </w:r>
            <w:r w:rsidR="00140DBC">
              <w:rPr>
                <w:szCs w:val="22"/>
              </w:rPr>
              <w:t>KAZA</w:t>
            </w:r>
            <w:r w:rsidR="006015C5">
              <w:rPr>
                <w:szCs w:val="22"/>
              </w:rPr>
              <w:t>(</w:t>
            </w:r>
            <w:r w:rsidR="00B418AB">
              <w:rPr>
                <w:szCs w:val="22"/>
              </w:rPr>
              <w:t>A</w:t>
            </w:r>
            <w:r w:rsidR="006015C5">
              <w:rPr>
                <w:szCs w:val="22"/>
              </w:rPr>
              <w:t>M)</w:t>
            </w:r>
            <w:r>
              <w:rPr>
                <w:b/>
                <w:szCs w:val="22"/>
              </w:rPr>
              <w:t xml:space="preserve"> </w:t>
            </w:r>
          </w:p>
          <w:p w:rsidR="00922D72" w:rsidRDefault="00140DBC" w:rsidP="00140DBC">
            <w:pPr>
              <w:ind w:right="-18"/>
              <w:rPr>
                <w:szCs w:val="22"/>
              </w:rPr>
            </w:pPr>
            <w:r>
              <w:rPr>
                <w:szCs w:val="22"/>
              </w:rPr>
              <w:t>Gilroy</w:t>
            </w:r>
            <w:r w:rsidR="006015C5">
              <w:rPr>
                <w:szCs w:val="22"/>
              </w:rPr>
              <w:t xml:space="preserve">, </w:t>
            </w:r>
            <w:r>
              <w:rPr>
                <w:szCs w:val="22"/>
              </w:rPr>
              <w:t>California</w:t>
            </w:r>
          </w:p>
          <w:p w:rsidR="006C1806" w:rsidRDefault="00CF236D" w:rsidP="00140DBC">
            <w:pPr>
              <w:ind w:right="-18"/>
              <w:rPr>
                <w:szCs w:val="22"/>
              </w:rPr>
            </w:pPr>
            <w:r>
              <w:rPr>
                <w:szCs w:val="22"/>
              </w:rPr>
              <w:t xml:space="preserve"> </w:t>
            </w:r>
          </w:p>
          <w:p w:rsidR="00922D72" w:rsidRDefault="00922D72" w:rsidP="00140DBC">
            <w:pPr>
              <w:ind w:right="-18"/>
              <w:rPr>
                <w:szCs w:val="22"/>
              </w:rPr>
            </w:pPr>
            <w:r>
              <w:rPr>
                <w:szCs w:val="22"/>
              </w:rPr>
              <w:t xml:space="preserve">           and</w:t>
            </w:r>
          </w:p>
          <w:p w:rsidR="00922D72" w:rsidRDefault="00922D72" w:rsidP="00140DBC">
            <w:pPr>
              <w:ind w:right="-18"/>
              <w:rPr>
                <w:szCs w:val="22"/>
              </w:rPr>
            </w:pPr>
          </w:p>
          <w:p w:rsidR="00922D72" w:rsidRDefault="00922D72" w:rsidP="00140DBC">
            <w:pPr>
              <w:ind w:right="-18"/>
              <w:rPr>
                <w:szCs w:val="22"/>
              </w:rPr>
            </w:pPr>
            <w:r>
              <w:rPr>
                <w:szCs w:val="22"/>
              </w:rPr>
              <w:t>For Assignment of License for Station KAZA(AM), Gilroy, California from Radio Fiesta Corporation, Assignor to Intelli, LLC, Assignee</w:t>
            </w:r>
          </w:p>
        </w:tc>
        <w:tc>
          <w:tcPr>
            <w:tcW w:w="720" w:type="dxa"/>
          </w:tcPr>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p w:rsidR="00922D72" w:rsidRDefault="00922D72">
            <w:pPr>
              <w:rPr>
                <w:b/>
                <w:szCs w:val="22"/>
              </w:rPr>
            </w:pPr>
            <w:r>
              <w:rPr>
                <w:b/>
                <w:szCs w:val="22"/>
              </w:rPr>
              <w:t>)</w:t>
            </w:r>
          </w:p>
        </w:tc>
        <w:tc>
          <w:tcPr>
            <w:tcW w:w="4230" w:type="dxa"/>
          </w:tcPr>
          <w:p w:rsidR="006C1806" w:rsidRDefault="006C1806">
            <w:pPr>
              <w:rPr>
                <w:szCs w:val="22"/>
              </w:rPr>
            </w:pPr>
          </w:p>
          <w:p w:rsidR="006C1806" w:rsidRDefault="006C1806">
            <w:pPr>
              <w:rPr>
                <w:szCs w:val="22"/>
              </w:rPr>
            </w:pPr>
          </w:p>
          <w:p w:rsidR="006C1806" w:rsidRDefault="00D36061">
            <w:pPr>
              <w:rPr>
                <w:szCs w:val="22"/>
              </w:rPr>
            </w:pPr>
            <w:r>
              <w:rPr>
                <w:szCs w:val="22"/>
              </w:rPr>
              <w:t>NAL/Acct. No. MB-</w:t>
            </w:r>
            <w:r w:rsidR="00276D49">
              <w:rPr>
                <w:szCs w:val="22"/>
              </w:rPr>
              <w:t>201</w:t>
            </w:r>
            <w:r w:rsidR="0084323D">
              <w:rPr>
                <w:szCs w:val="22"/>
              </w:rPr>
              <w:t>4</w:t>
            </w:r>
            <w:r w:rsidR="00276D49">
              <w:rPr>
                <w:szCs w:val="22"/>
              </w:rPr>
              <w:t>4141</w:t>
            </w:r>
            <w:r w:rsidR="009360B2">
              <w:rPr>
                <w:szCs w:val="22"/>
              </w:rPr>
              <w:t>0</w:t>
            </w:r>
            <w:r w:rsidR="00140DBC">
              <w:rPr>
                <w:szCs w:val="22"/>
              </w:rPr>
              <w:t>0</w:t>
            </w:r>
            <w:r w:rsidR="00940F4C">
              <w:rPr>
                <w:szCs w:val="22"/>
              </w:rPr>
              <w:t>34</w:t>
            </w:r>
          </w:p>
          <w:p w:rsidR="006C1806" w:rsidRDefault="00CF236D">
            <w:pPr>
              <w:rPr>
                <w:szCs w:val="22"/>
              </w:rPr>
            </w:pPr>
            <w:r>
              <w:rPr>
                <w:szCs w:val="22"/>
              </w:rPr>
              <w:t xml:space="preserve">FRN: </w:t>
            </w:r>
            <w:r w:rsidR="006356F9">
              <w:rPr>
                <w:szCs w:val="22"/>
              </w:rPr>
              <w:t>00</w:t>
            </w:r>
            <w:r w:rsidR="00140DBC">
              <w:rPr>
                <w:szCs w:val="22"/>
              </w:rPr>
              <w:t>09670399</w:t>
            </w:r>
          </w:p>
          <w:p w:rsidR="002A4A25" w:rsidRDefault="002A4A25">
            <w:pPr>
              <w:rPr>
                <w:szCs w:val="22"/>
              </w:rPr>
            </w:pPr>
            <w:r>
              <w:rPr>
                <w:szCs w:val="22"/>
              </w:rPr>
              <w:t>Facility ID No. 54572</w:t>
            </w:r>
          </w:p>
          <w:p w:rsidR="006C1806" w:rsidRDefault="00CF236D" w:rsidP="00140DBC">
            <w:pPr>
              <w:rPr>
                <w:szCs w:val="22"/>
              </w:rPr>
            </w:pPr>
            <w:r>
              <w:rPr>
                <w:szCs w:val="22"/>
              </w:rPr>
              <w:t>File No</w:t>
            </w:r>
            <w:r w:rsidR="00140DBC">
              <w:rPr>
                <w:szCs w:val="22"/>
              </w:rPr>
              <w:t>s</w:t>
            </w:r>
            <w:r>
              <w:rPr>
                <w:szCs w:val="22"/>
              </w:rPr>
              <w:t xml:space="preserve">. </w:t>
            </w:r>
            <w:r w:rsidR="00D36061">
              <w:rPr>
                <w:szCs w:val="22"/>
              </w:rPr>
              <w:t>BR-20</w:t>
            </w:r>
            <w:r w:rsidR="00140DBC">
              <w:rPr>
                <w:szCs w:val="22"/>
              </w:rPr>
              <w:t>051123A</w:t>
            </w:r>
            <w:r w:rsidR="00B418AB">
              <w:rPr>
                <w:szCs w:val="22"/>
              </w:rPr>
              <w:t>G</w:t>
            </w:r>
            <w:r w:rsidR="00140DBC">
              <w:rPr>
                <w:szCs w:val="22"/>
              </w:rPr>
              <w:t>Q and BR-20130903AAY</w:t>
            </w:r>
          </w:p>
          <w:p w:rsidR="00922D72" w:rsidRDefault="00922D72" w:rsidP="00140DBC">
            <w:pPr>
              <w:rPr>
                <w:szCs w:val="22"/>
              </w:rPr>
            </w:pPr>
          </w:p>
          <w:p w:rsidR="00922D72" w:rsidRDefault="00922D72" w:rsidP="00140DBC">
            <w:pPr>
              <w:rPr>
                <w:szCs w:val="22"/>
              </w:rPr>
            </w:pPr>
          </w:p>
          <w:p w:rsidR="00922D72" w:rsidRDefault="00922D72" w:rsidP="00140DBC">
            <w:pPr>
              <w:rPr>
                <w:szCs w:val="22"/>
              </w:rPr>
            </w:pPr>
          </w:p>
          <w:p w:rsidR="00922D72" w:rsidRDefault="00922D72" w:rsidP="00922D72">
            <w:pPr>
              <w:rPr>
                <w:szCs w:val="22"/>
              </w:rPr>
            </w:pPr>
            <w:r>
              <w:rPr>
                <w:szCs w:val="22"/>
              </w:rPr>
              <w:t>File No. BAL- 20141003AAR</w:t>
            </w:r>
          </w:p>
        </w:tc>
      </w:tr>
    </w:tbl>
    <w:p w:rsidR="006C1806" w:rsidRDefault="006C1806">
      <w:pPr>
        <w:rPr>
          <w:szCs w:val="22"/>
        </w:rPr>
      </w:pPr>
    </w:p>
    <w:p w:rsidR="006C1806" w:rsidRDefault="00CF236D">
      <w:pPr>
        <w:jc w:val="center"/>
        <w:rPr>
          <w:b/>
          <w:spacing w:val="-2"/>
          <w:szCs w:val="22"/>
        </w:rPr>
      </w:pPr>
      <w:r>
        <w:rPr>
          <w:b/>
          <w:spacing w:val="-2"/>
          <w:szCs w:val="22"/>
        </w:rPr>
        <w:t xml:space="preserve">MEMORANDUM OPINION AND ORDER </w:t>
      </w:r>
    </w:p>
    <w:p w:rsidR="006C1806" w:rsidRDefault="00CF236D">
      <w:pPr>
        <w:jc w:val="center"/>
        <w:rPr>
          <w:b/>
          <w:spacing w:val="-2"/>
          <w:szCs w:val="22"/>
        </w:rPr>
      </w:pPr>
      <w:r>
        <w:rPr>
          <w:b/>
          <w:spacing w:val="-2"/>
          <w:szCs w:val="22"/>
        </w:rPr>
        <w:t>AND</w:t>
      </w:r>
    </w:p>
    <w:p w:rsidR="006C1806" w:rsidRDefault="00CF236D">
      <w:pPr>
        <w:jc w:val="center"/>
        <w:rPr>
          <w:b/>
          <w:szCs w:val="22"/>
        </w:rPr>
      </w:pPr>
      <w:r>
        <w:rPr>
          <w:b/>
          <w:spacing w:val="-2"/>
          <w:szCs w:val="22"/>
        </w:rPr>
        <w:t>NOTICE OF APPARENT LIABILITY FOR FORFEITURE</w:t>
      </w:r>
    </w:p>
    <w:p w:rsidR="006C1806" w:rsidRDefault="006C1806">
      <w:pPr>
        <w:tabs>
          <w:tab w:val="left" w:pos="5760"/>
        </w:tabs>
        <w:rPr>
          <w:szCs w:val="22"/>
        </w:rPr>
      </w:pPr>
    </w:p>
    <w:p w:rsidR="006C1806" w:rsidRDefault="00CF236D">
      <w:pPr>
        <w:tabs>
          <w:tab w:val="left" w:pos="5760"/>
        </w:tabs>
        <w:rPr>
          <w:b/>
          <w:szCs w:val="22"/>
        </w:rPr>
      </w:pPr>
      <w:r>
        <w:rPr>
          <w:b/>
          <w:szCs w:val="22"/>
        </w:rPr>
        <w:t>Adopted:</w:t>
      </w:r>
      <w:r w:rsidR="007D7E21">
        <w:rPr>
          <w:b/>
          <w:szCs w:val="22"/>
        </w:rPr>
        <w:t xml:space="preserve"> </w:t>
      </w:r>
      <w:r w:rsidR="00D300EE">
        <w:rPr>
          <w:b/>
          <w:szCs w:val="22"/>
        </w:rPr>
        <w:t xml:space="preserve">November </w:t>
      </w:r>
      <w:r w:rsidR="00BB4C07">
        <w:rPr>
          <w:b/>
          <w:szCs w:val="22"/>
        </w:rPr>
        <w:t>18</w:t>
      </w:r>
      <w:r w:rsidR="007C0439">
        <w:rPr>
          <w:b/>
          <w:szCs w:val="22"/>
        </w:rPr>
        <w:t xml:space="preserve">, </w:t>
      </w:r>
      <w:r w:rsidR="007D7E21">
        <w:rPr>
          <w:b/>
          <w:szCs w:val="22"/>
        </w:rPr>
        <w:t>201</w:t>
      </w:r>
      <w:r w:rsidR="00DA5F96">
        <w:rPr>
          <w:b/>
          <w:szCs w:val="22"/>
        </w:rPr>
        <w:t>4</w:t>
      </w:r>
      <w:r>
        <w:rPr>
          <w:b/>
          <w:szCs w:val="22"/>
        </w:rPr>
        <w:tab/>
        <w:t>Released:</w:t>
      </w:r>
      <w:r w:rsidR="007D7E21">
        <w:rPr>
          <w:b/>
          <w:szCs w:val="22"/>
        </w:rPr>
        <w:t xml:space="preserve"> </w:t>
      </w:r>
      <w:r w:rsidR="00D300EE">
        <w:rPr>
          <w:b/>
          <w:szCs w:val="22"/>
        </w:rPr>
        <w:t xml:space="preserve">November </w:t>
      </w:r>
      <w:r w:rsidR="00BB4C07">
        <w:rPr>
          <w:b/>
          <w:szCs w:val="22"/>
        </w:rPr>
        <w:t>18</w:t>
      </w:r>
      <w:r w:rsidR="007C0439">
        <w:rPr>
          <w:b/>
          <w:szCs w:val="22"/>
        </w:rPr>
        <w:t xml:space="preserve">, </w:t>
      </w:r>
      <w:r w:rsidR="007D7E21">
        <w:rPr>
          <w:b/>
          <w:szCs w:val="22"/>
        </w:rPr>
        <w:t>201</w:t>
      </w:r>
      <w:r w:rsidR="00DA5F96">
        <w:rPr>
          <w:b/>
          <w:szCs w:val="22"/>
        </w:rPr>
        <w:t>4</w:t>
      </w:r>
      <w:r>
        <w:rPr>
          <w:b/>
          <w:szCs w:val="22"/>
        </w:rPr>
        <w:t xml:space="preserve"> </w:t>
      </w:r>
    </w:p>
    <w:p w:rsidR="006C1806" w:rsidRDefault="006C1806">
      <w:pPr>
        <w:tabs>
          <w:tab w:val="left" w:pos="5760"/>
        </w:tabs>
        <w:rPr>
          <w:b/>
          <w:szCs w:val="22"/>
        </w:rPr>
      </w:pPr>
    </w:p>
    <w:p w:rsidR="006C1806" w:rsidRDefault="00CF236D">
      <w:pPr>
        <w:tabs>
          <w:tab w:val="left" w:pos="5760"/>
        </w:tabs>
        <w:rPr>
          <w:spacing w:val="-2"/>
          <w:szCs w:val="22"/>
        </w:rPr>
      </w:pPr>
      <w:r>
        <w:rPr>
          <w:szCs w:val="22"/>
        </w:rPr>
        <w:t>By the Chief, Audio Division, Media Bureau</w:t>
      </w:r>
      <w:r>
        <w:rPr>
          <w:spacing w:val="-2"/>
          <w:szCs w:val="22"/>
        </w:rPr>
        <w:t>:</w:t>
      </w:r>
    </w:p>
    <w:p w:rsidR="006C1806" w:rsidRDefault="006C1806">
      <w:pPr>
        <w:tabs>
          <w:tab w:val="left" w:pos="5760"/>
        </w:tabs>
        <w:rPr>
          <w:szCs w:val="22"/>
        </w:rPr>
      </w:pPr>
    </w:p>
    <w:p w:rsidR="006C1806" w:rsidRDefault="00CF236D">
      <w:pPr>
        <w:tabs>
          <w:tab w:val="left" w:pos="5760"/>
        </w:tabs>
        <w:jc w:val="both"/>
        <w:rPr>
          <w:b/>
          <w:szCs w:val="22"/>
        </w:rPr>
      </w:pPr>
      <w:r>
        <w:rPr>
          <w:b/>
          <w:szCs w:val="22"/>
        </w:rPr>
        <w:t>I.           INTRODUCTION</w:t>
      </w:r>
    </w:p>
    <w:p w:rsidR="006C1806" w:rsidRDefault="006C1806">
      <w:pPr>
        <w:tabs>
          <w:tab w:val="left" w:pos="5760"/>
        </w:tabs>
        <w:jc w:val="both"/>
        <w:rPr>
          <w:b/>
          <w:szCs w:val="22"/>
        </w:rPr>
      </w:pPr>
    </w:p>
    <w:p w:rsidR="006C1806" w:rsidRDefault="00CF236D" w:rsidP="00AA336E">
      <w:pPr>
        <w:pStyle w:val="ParaNum"/>
        <w:jc w:val="left"/>
        <w:rPr>
          <w:szCs w:val="22"/>
        </w:rPr>
      </w:pPr>
      <w:r w:rsidRPr="00E33083">
        <w:rPr>
          <w:szCs w:val="22"/>
        </w:rPr>
        <w:t xml:space="preserve">The Media Bureau (“Bureau”) has before it the </w:t>
      </w:r>
      <w:r w:rsidR="00D0318A">
        <w:rPr>
          <w:szCs w:val="22"/>
        </w:rPr>
        <w:t xml:space="preserve">captioned </w:t>
      </w:r>
      <w:r w:rsidRPr="00E33083">
        <w:rPr>
          <w:szCs w:val="22"/>
        </w:rPr>
        <w:t>application</w:t>
      </w:r>
      <w:r w:rsidR="00D0318A">
        <w:rPr>
          <w:szCs w:val="22"/>
        </w:rPr>
        <w:t>s filed by Radio Fiesta Corporation (“Radio Fiesta”</w:t>
      </w:r>
      <w:r w:rsidR="0092478F">
        <w:rPr>
          <w:szCs w:val="22"/>
        </w:rPr>
        <w:t xml:space="preserve"> or “Licensee”</w:t>
      </w:r>
      <w:r w:rsidR="00D0318A">
        <w:rPr>
          <w:szCs w:val="22"/>
        </w:rPr>
        <w:t>) for renewal of license for St</w:t>
      </w:r>
      <w:r w:rsidR="006628FF" w:rsidRPr="00E33083">
        <w:rPr>
          <w:szCs w:val="22"/>
        </w:rPr>
        <w:t>ation</w:t>
      </w:r>
      <w:r w:rsidR="00653378" w:rsidRPr="00E33083">
        <w:rPr>
          <w:szCs w:val="22"/>
        </w:rPr>
        <w:t xml:space="preserve"> </w:t>
      </w:r>
      <w:r w:rsidR="00D0318A">
        <w:rPr>
          <w:szCs w:val="22"/>
        </w:rPr>
        <w:t>KAZA(A</w:t>
      </w:r>
      <w:r w:rsidR="00DA5F96" w:rsidRPr="00E33083">
        <w:rPr>
          <w:szCs w:val="22"/>
        </w:rPr>
        <w:t>M</w:t>
      </w:r>
      <w:r w:rsidR="006015C5" w:rsidRPr="00E33083">
        <w:rPr>
          <w:szCs w:val="22"/>
        </w:rPr>
        <w:t>)</w:t>
      </w:r>
      <w:r w:rsidR="006628FF" w:rsidRPr="00E33083">
        <w:rPr>
          <w:szCs w:val="22"/>
        </w:rPr>
        <w:t xml:space="preserve">, </w:t>
      </w:r>
      <w:r w:rsidR="00D0318A">
        <w:rPr>
          <w:szCs w:val="22"/>
        </w:rPr>
        <w:t xml:space="preserve">Gilroy, California </w:t>
      </w:r>
      <w:r w:rsidRPr="00E33083">
        <w:rPr>
          <w:szCs w:val="22"/>
        </w:rPr>
        <w:t>(“Station”)</w:t>
      </w:r>
      <w:r w:rsidR="000324F1">
        <w:rPr>
          <w:szCs w:val="22"/>
        </w:rPr>
        <w:t xml:space="preserve"> in 2005 and 2013 (“2005 Renewal Application” and “2013 Renewal Application,”</w:t>
      </w:r>
      <w:r w:rsidR="00D300EE">
        <w:rPr>
          <w:szCs w:val="22"/>
        </w:rPr>
        <w:t xml:space="preserve"> and collectively, the “Renewal Applications”)</w:t>
      </w:r>
      <w:r w:rsidRPr="00E33083">
        <w:rPr>
          <w:szCs w:val="22"/>
        </w:rPr>
        <w:t xml:space="preserve">.  </w:t>
      </w:r>
      <w:r w:rsidR="00D0318A">
        <w:rPr>
          <w:szCs w:val="22"/>
        </w:rPr>
        <w:t xml:space="preserve">Also, before us is an application for consent to assignment of </w:t>
      </w:r>
      <w:r w:rsidR="00937508">
        <w:rPr>
          <w:szCs w:val="22"/>
        </w:rPr>
        <w:t xml:space="preserve">the </w:t>
      </w:r>
      <w:r w:rsidR="002A4A25">
        <w:rPr>
          <w:szCs w:val="22"/>
        </w:rPr>
        <w:t>Station</w:t>
      </w:r>
      <w:r w:rsidR="00937508">
        <w:rPr>
          <w:szCs w:val="22"/>
        </w:rPr>
        <w:t>’s</w:t>
      </w:r>
      <w:r w:rsidR="002A4A25">
        <w:rPr>
          <w:szCs w:val="22"/>
        </w:rPr>
        <w:t xml:space="preserve"> </w:t>
      </w:r>
      <w:r w:rsidR="00D0318A">
        <w:rPr>
          <w:szCs w:val="22"/>
        </w:rPr>
        <w:t xml:space="preserve">license </w:t>
      </w:r>
      <w:r w:rsidR="000324F1">
        <w:rPr>
          <w:szCs w:val="22"/>
        </w:rPr>
        <w:t>(“Assignment Application”)</w:t>
      </w:r>
      <w:r w:rsidR="00D0318A">
        <w:rPr>
          <w:szCs w:val="22"/>
        </w:rPr>
        <w:t xml:space="preserve"> from Radio Fiesta to Intelli, LLC (“Intelli”).  </w:t>
      </w:r>
      <w:r w:rsidRPr="00E33083">
        <w:rPr>
          <w:szCs w:val="22"/>
        </w:rPr>
        <w:t xml:space="preserve">In this </w:t>
      </w:r>
      <w:r w:rsidRPr="00E33083">
        <w:rPr>
          <w:i/>
          <w:szCs w:val="22"/>
        </w:rPr>
        <w:t xml:space="preserve">Memorandum Opinion and Order and Notice of Apparent Liability for Forfeiture </w:t>
      </w:r>
      <w:r w:rsidRPr="00E33083">
        <w:rPr>
          <w:szCs w:val="22"/>
        </w:rPr>
        <w:t>(</w:t>
      </w:r>
      <w:r w:rsidRPr="00E33083">
        <w:rPr>
          <w:i/>
          <w:szCs w:val="22"/>
        </w:rPr>
        <w:t>“NAL”</w:t>
      </w:r>
      <w:r w:rsidRPr="00E33083">
        <w:rPr>
          <w:szCs w:val="22"/>
        </w:rPr>
        <w:t>),</w:t>
      </w:r>
      <w:r>
        <w:rPr>
          <w:rStyle w:val="FootnoteReference"/>
          <w:szCs w:val="22"/>
        </w:rPr>
        <w:footnoteReference w:id="1"/>
      </w:r>
      <w:r w:rsidRPr="00E33083">
        <w:rPr>
          <w:szCs w:val="22"/>
        </w:rPr>
        <w:t xml:space="preserve"> we find that </w:t>
      </w:r>
      <w:r w:rsidR="00D0318A">
        <w:rPr>
          <w:szCs w:val="22"/>
        </w:rPr>
        <w:t xml:space="preserve">Radio Fiesta has </w:t>
      </w:r>
      <w:r w:rsidRPr="00E33083">
        <w:rPr>
          <w:szCs w:val="22"/>
        </w:rPr>
        <w:t xml:space="preserve">apparently willfully and repeatedly violated </w:t>
      </w:r>
      <w:r w:rsidR="007B0445" w:rsidRPr="00E33083">
        <w:rPr>
          <w:szCs w:val="22"/>
        </w:rPr>
        <w:t>Section 73.3539 of the Rules</w:t>
      </w:r>
      <w:r w:rsidR="007B0445" w:rsidRPr="004E2D0B">
        <w:rPr>
          <w:rStyle w:val="FootnoteReference"/>
          <w:szCs w:val="22"/>
        </w:rPr>
        <w:footnoteReference w:id="2"/>
      </w:r>
      <w:r w:rsidR="00BC5C0E">
        <w:rPr>
          <w:szCs w:val="22"/>
        </w:rPr>
        <w:t xml:space="preserve"> </w:t>
      </w:r>
      <w:r w:rsidR="007B0445" w:rsidRPr="00E33083">
        <w:rPr>
          <w:szCs w:val="22"/>
        </w:rPr>
        <w:t>by failing to</w:t>
      </w:r>
      <w:r w:rsidR="00D0318A">
        <w:rPr>
          <w:szCs w:val="22"/>
        </w:rPr>
        <w:t xml:space="preserve"> </w:t>
      </w:r>
      <w:r w:rsidR="007B0445" w:rsidRPr="00E33083">
        <w:rPr>
          <w:szCs w:val="22"/>
        </w:rPr>
        <w:t xml:space="preserve">timely file its license renewal </w:t>
      </w:r>
      <w:r w:rsidR="0061769E" w:rsidRPr="00E33083">
        <w:rPr>
          <w:szCs w:val="22"/>
        </w:rPr>
        <w:t>application</w:t>
      </w:r>
      <w:r w:rsidR="0061769E">
        <w:rPr>
          <w:szCs w:val="22"/>
        </w:rPr>
        <w:t>s</w:t>
      </w:r>
      <w:r w:rsidR="007B0445" w:rsidRPr="00E33083">
        <w:rPr>
          <w:szCs w:val="22"/>
        </w:rPr>
        <w:t xml:space="preserve"> and Section 73.352</w:t>
      </w:r>
      <w:r w:rsidR="00D0318A">
        <w:rPr>
          <w:szCs w:val="22"/>
        </w:rPr>
        <w:t>6</w:t>
      </w:r>
      <w:r w:rsidR="007B0445" w:rsidRPr="00E33083">
        <w:rPr>
          <w:szCs w:val="22"/>
        </w:rPr>
        <w:t xml:space="preserve"> of the Rules</w:t>
      </w:r>
      <w:r w:rsidR="007B0445">
        <w:rPr>
          <w:rStyle w:val="FootnoteReference"/>
          <w:szCs w:val="22"/>
        </w:rPr>
        <w:footnoteReference w:id="3"/>
      </w:r>
      <w:r w:rsidR="007B0445" w:rsidRPr="00E33083">
        <w:rPr>
          <w:szCs w:val="22"/>
        </w:rPr>
        <w:t xml:space="preserve"> by failing to retain all required documentation in the Station’s public inspection file.  Based upon our review of the facts and circumstances before us, we conclude that </w:t>
      </w:r>
      <w:r w:rsidR="00D0318A">
        <w:rPr>
          <w:szCs w:val="22"/>
        </w:rPr>
        <w:t xml:space="preserve">Radio Fiesta </w:t>
      </w:r>
      <w:r w:rsidR="007B0445" w:rsidRPr="00E33083">
        <w:rPr>
          <w:szCs w:val="22"/>
        </w:rPr>
        <w:t>is apparently liable for a monetary forfeiture in the amount of</w:t>
      </w:r>
      <w:r w:rsidR="00D0318A">
        <w:rPr>
          <w:szCs w:val="22"/>
        </w:rPr>
        <w:t xml:space="preserve"> </w:t>
      </w:r>
      <w:r w:rsidR="0034431A">
        <w:rPr>
          <w:szCs w:val="22"/>
        </w:rPr>
        <w:t>eight</w:t>
      </w:r>
      <w:r w:rsidR="00D300EE">
        <w:rPr>
          <w:szCs w:val="22"/>
        </w:rPr>
        <w:t>een t</w:t>
      </w:r>
      <w:r w:rsidR="007B0445" w:rsidRPr="00E33083">
        <w:rPr>
          <w:szCs w:val="22"/>
        </w:rPr>
        <w:t>housand dollars ($</w:t>
      </w:r>
      <w:r w:rsidR="00D300EE">
        <w:rPr>
          <w:szCs w:val="22"/>
        </w:rPr>
        <w:t>1</w:t>
      </w:r>
      <w:r w:rsidR="0034431A">
        <w:rPr>
          <w:szCs w:val="22"/>
        </w:rPr>
        <w:t>8</w:t>
      </w:r>
      <w:r w:rsidR="00D300EE">
        <w:rPr>
          <w:szCs w:val="22"/>
        </w:rPr>
        <w:t>,000</w:t>
      </w:r>
      <w:r w:rsidR="0061769E">
        <w:rPr>
          <w:szCs w:val="22"/>
        </w:rPr>
        <w:t>)</w:t>
      </w:r>
      <w:r w:rsidRPr="00E33083">
        <w:rPr>
          <w:szCs w:val="22"/>
        </w:rPr>
        <w:t>.</w:t>
      </w:r>
    </w:p>
    <w:p w:rsidR="006C1806" w:rsidRPr="00937508" w:rsidRDefault="00CF236D">
      <w:pPr>
        <w:rPr>
          <w:szCs w:val="22"/>
        </w:rPr>
      </w:pPr>
      <w:r>
        <w:rPr>
          <w:b/>
          <w:szCs w:val="22"/>
        </w:rPr>
        <w:t>II.         BACKGROUND</w:t>
      </w:r>
    </w:p>
    <w:p w:rsidR="006C1806" w:rsidRDefault="006C1806">
      <w:pPr>
        <w:rPr>
          <w:b/>
          <w:szCs w:val="22"/>
        </w:rPr>
      </w:pPr>
    </w:p>
    <w:p w:rsidR="00F33669" w:rsidRPr="008F5CC6" w:rsidRDefault="00BA00D1" w:rsidP="00BA00D1">
      <w:pPr>
        <w:pStyle w:val="ParaNum"/>
        <w:widowControl/>
        <w:jc w:val="left"/>
        <w:rPr>
          <w:szCs w:val="22"/>
        </w:rPr>
      </w:pPr>
      <w:r w:rsidRPr="008F5CC6">
        <w:rPr>
          <w:szCs w:val="22"/>
        </w:rPr>
        <w:t xml:space="preserve">Section 73.3539(a) of the Rules requires that applications for renewal of license for broadcast stations must be filed “not later than the first day of the fourth full calendar month prior to the </w:t>
      </w:r>
      <w:r w:rsidRPr="008F5CC6">
        <w:rPr>
          <w:szCs w:val="22"/>
        </w:rPr>
        <w:lastRenderedPageBreak/>
        <w:t>expiration date of the license sought to be renewed.”</w:t>
      </w:r>
      <w:r w:rsidRPr="004E2D0B">
        <w:rPr>
          <w:rStyle w:val="FootnoteReference"/>
          <w:szCs w:val="22"/>
        </w:rPr>
        <w:footnoteReference w:id="4"/>
      </w:r>
      <w:r w:rsidRPr="008F5CC6">
        <w:rPr>
          <w:szCs w:val="22"/>
        </w:rPr>
        <w:t xml:space="preserve">  An application for renewal </w:t>
      </w:r>
      <w:r w:rsidR="00FE0C4E" w:rsidRPr="008F5CC6">
        <w:rPr>
          <w:szCs w:val="22"/>
        </w:rPr>
        <w:t>of t</w:t>
      </w:r>
      <w:r w:rsidR="000324F1" w:rsidRPr="008F5CC6">
        <w:rPr>
          <w:szCs w:val="22"/>
        </w:rPr>
        <w:t>he Station’s license</w:t>
      </w:r>
      <w:r w:rsidR="00FE0C4E" w:rsidRPr="008F5CC6">
        <w:rPr>
          <w:szCs w:val="22"/>
        </w:rPr>
        <w:t xml:space="preserve"> </w:t>
      </w:r>
      <w:r w:rsidRPr="008F5CC6">
        <w:rPr>
          <w:szCs w:val="22"/>
        </w:rPr>
        <w:t xml:space="preserve">should have been filed </w:t>
      </w:r>
      <w:r w:rsidR="00FE0C4E" w:rsidRPr="008F5CC6">
        <w:rPr>
          <w:szCs w:val="22"/>
        </w:rPr>
        <w:t xml:space="preserve">four months prior to the Station’s expiration date.  For the 2005 license renewal period, an application for renewal of license should have been filed by </w:t>
      </w:r>
      <w:r w:rsidR="000324F1" w:rsidRPr="008F5CC6">
        <w:rPr>
          <w:szCs w:val="22"/>
        </w:rPr>
        <w:t xml:space="preserve">August 1, 2005, </w:t>
      </w:r>
      <w:r w:rsidRPr="008F5CC6">
        <w:rPr>
          <w:szCs w:val="22"/>
        </w:rPr>
        <w:t xml:space="preserve">four months prior to the Station’s </w:t>
      </w:r>
      <w:r w:rsidR="000324F1" w:rsidRPr="008F5CC6">
        <w:rPr>
          <w:szCs w:val="22"/>
        </w:rPr>
        <w:t xml:space="preserve">December </w:t>
      </w:r>
      <w:r w:rsidRPr="008F5CC6">
        <w:rPr>
          <w:szCs w:val="22"/>
        </w:rPr>
        <w:t>1, 20</w:t>
      </w:r>
      <w:r w:rsidR="000324F1" w:rsidRPr="008F5CC6">
        <w:rPr>
          <w:szCs w:val="22"/>
        </w:rPr>
        <w:t>05</w:t>
      </w:r>
      <w:r w:rsidR="00FE0C4E" w:rsidRPr="008F5CC6">
        <w:rPr>
          <w:szCs w:val="22"/>
        </w:rPr>
        <w:t>, expiration date, but was not filed until November 23, 2005</w:t>
      </w:r>
      <w:r w:rsidR="00F33669" w:rsidRPr="008F5CC6">
        <w:rPr>
          <w:szCs w:val="22"/>
        </w:rPr>
        <w:t>, seven days before the Station’s expiration date</w:t>
      </w:r>
      <w:r w:rsidR="00FE0C4E" w:rsidRPr="008F5CC6">
        <w:rPr>
          <w:szCs w:val="22"/>
        </w:rPr>
        <w:t>.</w:t>
      </w:r>
      <w:r w:rsidR="00FE0C4E" w:rsidRPr="008F5CC6">
        <w:rPr>
          <w:rStyle w:val="FootnoteReference"/>
          <w:color w:val="000000"/>
          <w:szCs w:val="22"/>
        </w:rPr>
        <w:t xml:space="preserve"> </w:t>
      </w:r>
      <w:r w:rsidR="00FE0C4E" w:rsidRPr="004E2D0B">
        <w:rPr>
          <w:rStyle w:val="FootnoteReference"/>
          <w:color w:val="000000"/>
          <w:szCs w:val="22"/>
        </w:rPr>
        <w:footnoteReference w:id="5"/>
      </w:r>
      <w:r w:rsidR="00FE0C4E" w:rsidRPr="008F5CC6">
        <w:rPr>
          <w:szCs w:val="22"/>
        </w:rPr>
        <w:t xml:space="preserve">   For the 2013 license renewal period, an application for renewal of license should have been filed by August 1, 2013, four months prior to the Station’s December 1, 2013, expiration date, but was not filed until September 3, 2013</w:t>
      </w:r>
      <w:r w:rsidR="00F33669" w:rsidRPr="008F5CC6">
        <w:rPr>
          <w:szCs w:val="22"/>
        </w:rPr>
        <w:t xml:space="preserve">, </w:t>
      </w:r>
      <w:r w:rsidR="004327F6" w:rsidRPr="008F5CC6">
        <w:rPr>
          <w:szCs w:val="22"/>
        </w:rPr>
        <w:t xml:space="preserve">more than 30 days after the </w:t>
      </w:r>
      <w:r w:rsidR="0050473F" w:rsidRPr="008F5CC6">
        <w:rPr>
          <w:szCs w:val="22"/>
        </w:rPr>
        <w:t xml:space="preserve">filing </w:t>
      </w:r>
      <w:r w:rsidR="004327F6" w:rsidRPr="008F5CC6">
        <w:rPr>
          <w:szCs w:val="22"/>
        </w:rPr>
        <w:t xml:space="preserve">date and less than </w:t>
      </w:r>
      <w:r w:rsidR="00F33669" w:rsidRPr="008F5CC6">
        <w:rPr>
          <w:szCs w:val="22"/>
        </w:rPr>
        <w:t xml:space="preserve">three months before the Station’s expiration date.  </w:t>
      </w:r>
      <w:r w:rsidR="0092478F" w:rsidRPr="008F5CC6">
        <w:rPr>
          <w:szCs w:val="22"/>
        </w:rPr>
        <w:t xml:space="preserve">In the 2005 Renewal Application, </w:t>
      </w:r>
      <w:r w:rsidR="00F33669" w:rsidRPr="008F5CC6">
        <w:rPr>
          <w:szCs w:val="22"/>
        </w:rPr>
        <w:t xml:space="preserve">Radio Fiesta reported that the </w:t>
      </w:r>
      <w:r w:rsidR="0092478F" w:rsidRPr="008F5CC6">
        <w:rPr>
          <w:szCs w:val="22"/>
        </w:rPr>
        <w:t>Station’s General Manager</w:t>
      </w:r>
      <w:r w:rsidR="00F33669" w:rsidRPr="008F5CC6">
        <w:rPr>
          <w:szCs w:val="22"/>
        </w:rPr>
        <w:t xml:space="preserve">, who was responsible for compliance with the Station’s regulatory obligations, </w:t>
      </w:r>
      <w:r w:rsidR="0092478F" w:rsidRPr="008F5CC6">
        <w:rPr>
          <w:szCs w:val="22"/>
        </w:rPr>
        <w:t>“had passed away in July of 2005</w:t>
      </w:r>
      <w:r w:rsidR="00F33669" w:rsidRPr="008F5CC6">
        <w:rPr>
          <w:szCs w:val="22"/>
        </w:rPr>
        <w:t>.</w:t>
      </w:r>
      <w:r w:rsidR="0092478F" w:rsidRPr="008F5CC6">
        <w:rPr>
          <w:szCs w:val="22"/>
        </w:rPr>
        <w:t>”</w:t>
      </w:r>
      <w:r w:rsidR="00F33669">
        <w:rPr>
          <w:rStyle w:val="FootnoteReference"/>
          <w:szCs w:val="22"/>
        </w:rPr>
        <w:footnoteReference w:id="6"/>
      </w:r>
      <w:r w:rsidR="00F33669" w:rsidRPr="008F5CC6">
        <w:rPr>
          <w:szCs w:val="22"/>
        </w:rPr>
        <w:t xml:space="preserve">  Licensee further noted that the new Station manager was unfamiliar “with certain of the filing and recordkeeping requirements applicable to the Station”</w:t>
      </w:r>
      <w:r w:rsidR="00F33669">
        <w:rPr>
          <w:rStyle w:val="FootnoteReference"/>
          <w:szCs w:val="22"/>
        </w:rPr>
        <w:footnoteReference w:id="7"/>
      </w:r>
      <w:r w:rsidR="00F33669" w:rsidRPr="008F5CC6">
        <w:rPr>
          <w:szCs w:val="22"/>
        </w:rPr>
        <w:t xml:space="preserve"> but had recently hired </w:t>
      </w:r>
      <w:r w:rsidR="00B418AB" w:rsidRPr="008F5CC6">
        <w:rPr>
          <w:szCs w:val="22"/>
        </w:rPr>
        <w:t>c</w:t>
      </w:r>
      <w:r w:rsidR="00F33669" w:rsidRPr="008F5CC6">
        <w:rPr>
          <w:szCs w:val="22"/>
        </w:rPr>
        <w:t xml:space="preserve">ommunications </w:t>
      </w:r>
      <w:r w:rsidR="00B418AB" w:rsidRPr="008F5CC6">
        <w:rPr>
          <w:szCs w:val="22"/>
        </w:rPr>
        <w:t>c</w:t>
      </w:r>
      <w:r w:rsidR="00F33669" w:rsidRPr="008F5CC6">
        <w:rPr>
          <w:szCs w:val="22"/>
        </w:rPr>
        <w:t>ounsel for assistance.</w:t>
      </w:r>
      <w:r w:rsidR="00FC0851" w:rsidRPr="008F5CC6">
        <w:rPr>
          <w:szCs w:val="22"/>
        </w:rPr>
        <w:t xml:space="preserve">  With respect to the 2013 Renewal Application</w:t>
      </w:r>
      <w:r w:rsidR="00B92CCE">
        <w:rPr>
          <w:szCs w:val="22"/>
        </w:rPr>
        <w:t xml:space="preserve">, </w:t>
      </w:r>
      <w:r w:rsidR="00B80250">
        <w:rPr>
          <w:szCs w:val="22"/>
        </w:rPr>
        <w:t xml:space="preserve">the staff spoke </w:t>
      </w:r>
      <w:r w:rsidR="00D86BF1">
        <w:rPr>
          <w:szCs w:val="22"/>
        </w:rPr>
        <w:t xml:space="preserve">several times </w:t>
      </w:r>
      <w:r w:rsidR="00B80250">
        <w:rPr>
          <w:szCs w:val="22"/>
        </w:rPr>
        <w:t>with the Licensee’s counsel</w:t>
      </w:r>
      <w:r w:rsidR="00FD3DEB">
        <w:rPr>
          <w:szCs w:val="22"/>
        </w:rPr>
        <w:t xml:space="preserve"> in August of 2013</w:t>
      </w:r>
      <w:r w:rsidR="00B80250">
        <w:rPr>
          <w:szCs w:val="22"/>
        </w:rPr>
        <w:t xml:space="preserve"> to remind the Licensee to file its 2013 Renewal Application.  </w:t>
      </w:r>
      <w:r w:rsidR="00FD3DEB">
        <w:rPr>
          <w:szCs w:val="22"/>
        </w:rPr>
        <w:t>T</w:t>
      </w:r>
      <w:r w:rsidR="00B80250">
        <w:rPr>
          <w:szCs w:val="22"/>
        </w:rPr>
        <w:t xml:space="preserve">he Licensee </w:t>
      </w:r>
      <w:r w:rsidR="00FD3DEB">
        <w:rPr>
          <w:szCs w:val="22"/>
        </w:rPr>
        <w:t xml:space="preserve">nevertheless </w:t>
      </w:r>
      <w:r w:rsidR="008F5CC6" w:rsidRPr="008F5CC6">
        <w:rPr>
          <w:szCs w:val="22"/>
        </w:rPr>
        <w:t>failed to</w:t>
      </w:r>
      <w:r w:rsidR="00B92CCE">
        <w:rPr>
          <w:szCs w:val="22"/>
        </w:rPr>
        <w:t xml:space="preserve"> </w:t>
      </w:r>
      <w:r w:rsidR="008F5CC6" w:rsidRPr="008F5CC6">
        <w:rPr>
          <w:szCs w:val="22"/>
        </w:rPr>
        <w:t xml:space="preserve">acknowledge or provide an explanation for </w:t>
      </w:r>
      <w:r w:rsidR="00A67460">
        <w:rPr>
          <w:szCs w:val="22"/>
        </w:rPr>
        <w:t>this</w:t>
      </w:r>
      <w:r w:rsidR="008F5CC6" w:rsidRPr="008F5CC6">
        <w:rPr>
          <w:szCs w:val="22"/>
        </w:rPr>
        <w:t xml:space="preserve"> late filing.</w:t>
      </w:r>
      <w:r w:rsidR="00F33669" w:rsidRPr="008F5CC6">
        <w:rPr>
          <w:szCs w:val="22"/>
        </w:rPr>
        <w:t xml:space="preserve">   </w:t>
      </w:r>
    </w:p>
    <w:p w:rsidR="006C1806" w:rsidRDefault="00E24E61">
      <w:pPr>
        <w:pStyle w:val="ParaNum"/>
        <w:widowControl/>
        <w:jc w:val="left"/>
        <w:rPr>
          <w:szCs w:val="22"/>
        </w:rPr>
      </w:pPr>
      <w:r>
        <w:rPr>
          <w:szCs w:val="22"/>
        </w:rPr>
        <w:t xml:space="preserve">Additionally, </w:t>
      </w:r>
      <w:r w:rsidR="00CF236D">
        <w:rPr>
          <w:szCs w:val="22"/>
        </w:rPr>
        <w:t>Section 73.352</w:t>
      </w:r>
      <w:r w:rsidR="00FC0851">
        <w:rPr>
          <w:szCs w:val="22"/>
        </w:rPr>
        <w:t>6</w:t>
      </w:r>
      <w:r w:rsidR="00CF236D">
        <w:rPr>
          <w:szCs w:val="22"/>
        </w:rPr>
        <w:t xml:space="preserve"> of the Rules requires a</w:t>
      </w:r>
      <w:r w:rsidR="00FC0851">
        <w:rPr>
          <w:szCs w:val="22"/>
        </w:rPr>
        <w:t xml:space="preserve"> broadcast </w:t>
      </w:r>
      <w:r w:rsidR="00CF236D">
        <w:rPr>
          <w:szCs w:val="22"/>
        </w:rPr>
        <w:t>licensee to maintain a public inspection file containing specific types of information related to station operations.  The purpose of this requirement is to provide the public with timely information about the station at regular intervals throughout the license period.</w:t>
      </w:r>
      <w:r w:rsidR="00CF236D">
        <w:rPr>
          <w:rStyle w:val="FootnoteReference"/>
          <w:szCs w:val="22"/>
        </w:rPr>
        <w:footnoteReference w:id="8"/>
      </w:r>
      <w:r w:rsidR="00CF236D">
        <w:rPr>
          <w:szCs w:val="22"/>
        </w:rPr>
        <w:t xml:space="preserve">  Among the materials required for inclusion in the file are the station’s quarterly issues/programs lists, which must be retained until final Commission action on the station’s next license renewal application.</w:t>
      </w:r>
      <w:r w:rsidR="00CF236D">
        <w:rPr>
          <w:rStyle w:val="FootnoteReference"/>
          <w:szCs w:val="22"/>
        </w:rPr>
        <w:footnoteReference w:id="9"/>
      </w:r>
      <w:r w:rsidR="00CF236D">
        <w:rPr>
          <w:szCs w:val="22"/>
        </w:rPr>
        <w:t xml:space="preserve"> </w:t>
      </w:r>
    </w:p>
    <w:p w:rsidR="00DA5F96" w:rsidRDefault="00CF236D">
      <w:pPr>
        <w:pStyle w:val="ParaNum"/>
        <w:widowControl/>
        <w:jc w:val="left"/>
        <w:rPr>
          <w:szCs w:val="22"/>
        </w:rPr>
      </w:pPr>
      <w:r>
        <w:rPr>
          <w:szCs w:val="22"/>
        </w:rPr>
        <w:t>Section III, Item 3 of the license renewal application form, FCC Form 303-S, requests that the licensee certify that the documentation required by Section 73.352</w:t>
      </w:r>
      <w:r w:rsidR="00FC0851">
        <w:rPr>
          <w:szCs w:val="22"/>
        </w:rPr>
        <w:t>6</w:t>
      </w:r>
      <w:r>
        <w:rPr>
          <w:szCs w:val="22"/>
        </w:rPr>
        <w:t xml:space="preserve"> has been placed in the station’s public inspection file at the appropriate times.  </w:t>
      </w:r>
      <w:r w:rsidR="001B4105">
        <w:rPr>
          <w:szCs w:val="22"/>
        </w:rPr>
        <w:t xml:space="preserve">In the </w:t>
      </w:r>
      <w:r w:rsidR="00FC0851">
        <w:rPr>
          <w:szCs w:val="22"/>
        </w:rPr>
        <w:t xml:space="preserve">2005 Renewal Application Radio Fiesta answered “No” to that </w:t>
      </w:r>
      <w:r w:rsidR="001B4105">
        <w:rPr>
          <w:szCs w:val="22"/>
        </w:rPr>
        <w:t xml:space="preserve">certification </w:t>
      </w:r>
      <w:r w:rsidR="00FC0851">
        <w:rPr>
          <w:szCs w:val="22"/>
        </w:rPr>
        <w:t xml:space="preserve">and </w:t>
      </w:r>
      <w:r w:rsidR="00BA1F93">
        <w:rPr>
          <w:szCs w:val="22"/>
        </w:rPr>
        <w:t xml:space="preserve">attached </w:t>
      </w:r>
      <w:r>
        <w:rPr>
          <w:szCs w:val="22"/>
        </w:rPr>
        <w:t xml:space="preserve">an Exhibit </w:t>
      </w:r>
      <w:r w:rsidR="006A4DB8">
        <w:rPr>
          <w:szCs w:val="22"/>
        </w:rPr>
        <w:t>stating</w:t>
      </w:r>
      <w:r w:rsidR="0012413E">
        <w:rPr>
          <w:szCs w:val="22"/>
        </w:rPr>
        <w:t>, in pertinent part</w:t>
      </w:r>
      <w:r w:rsidR="00DA5F96">
        <w:rPr>
          <w:szCs w:val="22"/>
        </w:rPr>
        <w:t>:</w:t>
      </w:r>
    </w:p>
    <w:p w:rsidR="001763F5" w:rsidRDefault="00FC0851" w:rsidP="00CD5C3A">
      <w:pPr>
        <w:pStyle w:val="ParaNum"/>
        <w:numPr>
          <w:ilvl w:val="0"/>
          <w:numId w:val="0"/>
        </w:numPr>
        <w:ind w:left="720"/>
        <w:jc w:val="left"/>
      </w:pPr>
      <w:r>
        <w:t>[A]lthough the Station broadcasts a considerable quantity of local news and public service programming</w:t>
      </w:r>
      <w:r w:rsidR="001763F5">
        <w:t xml:space="preserve"> . . . quarterly issues/programs reports from 1999 through 2005 were not found in the public file at the time the Licensee undertook its pre-renewal review of the file even though the Station believes that reports were prepared.  During the time in question, no party has requested to see the public inspection file.  The Station has been made aware of the need to ensure that the reports are placed in the Station’s public inspection file in the future.</w:t>
      </w:r>
    </w:p>
    <w:p w:rsidR="00E039DE" w:rsidRDefault="001763F5" w:rsidP="00CD5C3A">
      <w:pPr>
        <w:pStyle w:val="ParaNum"/>
        <w:numPr>
          <w:ilvl w:val="0"/>
          <w:numId w:val="0"/>
        </w:numPr>
        <w:ind w:left="720"/>
        <w:jc w:val="left"/>
        <w:rPr>
          <w:szCs w:val="22"/>
        </w:rPr>
      </w:pPr>
      <w:r>
        <w:t>As noted, these oversights were primarily due to the fact that the long-time General Manager of the Station passed away after a lengthy illness and the persons currently running the Station are new to broadcasting.  The omissions have been corrected and it is anticipated that they will not occur again in the future as the Station has secured specialized FCC counsel.</w:t>
      </w:r>
      <w:r w:rsidR="00CD5C3A">
        <w:rPr>
          <w:rStyle w:val="FootnoteReference"/>
        </w:rPr>
        <w:footnoteReference w:id="10"/>
      </w:r>
      <w:r w:rsidR="00173E98">
        <w:t xml:space="preserve">   </w:t>
      </w:r>
    </w:p>
    <w:p w:rsidR="006C1806" w:rsidRDefault="00CF236D">
      <w:pPr>
        <w:rPr>
          <w:b/>
          <w:szCs w:val="22"/>
        </w:rPr>
      </w:pPr>
      <w:r>
        <w:rPr>
          <w:b/>
          <w:szCs w:val="22"/>
        </w:rPr>
        <w:lastRenderedPageBreak/>
        <w:t>III.       DISCUSSION</w:t>
      </w:r>
    </w:p>
    <w:p w:rsidR="006C1806" w:rsidRDefault="006C1806">
      <w:pPr>
        <w:rPr>
          <w:b/>
          <w:szCs w:val="22"/>
        </w:rPr>
      </w:pPr>
    </w:p>
    <w:p w:rsidR="00E33083" w:rsidRPr="00E33083" w:rsidRDefault="00CF236D" w:rsidP="00E33083">
      <w:pPr>
        <w:pStyle w:val="ParaNum"/>
        <w:widowControl/>
        <w:jc w:val="left"/>
        <w:rPr>
          <w:szCs w:val="22"/>
        </w:rPr>
      </w:pPr>
      <w:r>
        <w:rPr>
          <w:i/>
          <w:szCs w:val="22"/>
        </w:rPr>
        <w:t>Proposed Forfeiture.</w:t>
      </w:r>
      <w:r>
        <w:rPr>
          <w:szCs w:val="22"/>
        </w:rPr>
        <w:t xml:space="preserve">  </w:t>
      </w:r>
      <w:r w:rsidR="00E33083" w:rsidRPr="00E24E61">
        <w:rPr>
          <w:szCs w:val="22"/>
          <w:u w:val="single"/>
        </w:rPr>
        <w:t xml:space="preserve">Section 73.3539 </w:t>
      </w:r>
      <w:r w:rsidR="00E24E61">
        <w:rPr>
          <w:szCs w:val="22"/>
          <w:u w:val="single"/>
        </w:rPr>
        <w:t>V</w:t>
      </w:r>
      <w:r w:rsidR="00E33083" w:rsidRPr="00E24E61">
        <w:rPr>
          <w:szCs w:val="22"/>
          <w:u w:val="single"/>
        </w:rPr>
        <w:t>iolation</w:t>
      </w:r>
      <w:r w:rsidR="00E33083" w:rsidRPr="00E33083">
        <w:rPr>
          <w:i/>
          <w:szCs w:val="22"/>
        </w:rPr>
        <w:t xml:space="preserve">.  </w:t>
      </w:r>
      <w:r w:rsidR="00E33083" w:rsidRPr="00E33083">
        <w:rPr>
          <w:szCs w:val="22"/>
        </w:rPr>
        <w:t>In light of the filing date</w:t>
      </w:r>
      <w:r w:rsidR="005D16C6">
        <w:rPr>
          <w:szCs w:val="22"/>
        </w:rPr>
        <w:t>s</w:t>
      </w:r>
      <w:r w:rsidR="00E33083" w:rsidRPr="00E33083">
        <w:rPr>
          <w:szCs w:val="22"/>
        </w:rPr>
        <w:t xml:space="preserve"> of the </w:t>
      </w:r>
      <w:r w:rsidR="005D16C6">
        <w:rPr>
          <w:szCs w:val="22"/>
        </w:rPr>
        <w:t>Renewal A</w:t>
      </w:r>
      <w:r w:rsidR="00E33083" w:rsidRPr="00E33083">
        <w:rPr>
          <w:szCs w:val="22"/>
        </w:rPr>
        <w:t>pplication</w:t>
      </w:r>
      <w:r w:rsidR="005D16C6">
        <w:rPr>
          <w:szCs w:val="22"/>
        </w:rPr>
        <w:t>s</w:t>
      </w:r>
      <w:r w:rsidR="00E33083" w:rsidRPr="00E33083">
        <w:rPr>
          <w:szCs w:val="22"/>
        </w:rPr>
        <w:t xml:space="preserve">, it is beyond dispute that the </w:t>
      </w:r>
      <w:r w:rsidR="005D16C6">
        <w:rPr>
          <w:szCs w:val="22"/>
        </w:rPr>
        <w:t xml:space="preserve">2005 Renewal Application and 2013 Renewal Application </w:t>
      </w:r>
      <w:r w:rsidR="00B9336D">
        <w:rPr>
          <w:szCs w:val="22"/>
        </w:rPr>
        <w:t xml:space="preserve">were </w:t>
      </w:r>
      <w:r w:rsidR="00E24E61">
        <w:rPr>
          <w:szCs w:val="22"/>
        </w:rPr>
        <w:t xml:space="preserve">not </w:t>
      </w:r>
      <w:r w:rsidR="00E33083" w:rsidRPr="00E33083">
        <w:rPr>
          <w:szCs w:val="22"/>
        </w:rPr>
        <w:t xml:space="preserve">timely filed.  </w:t>
      </w:r>
      <w:r w:rsidR="00940E8E">
        <w:rPr>
          <w:szCs w:val="22"/>
        </w:rPr>
        <w:t>Furthermore</w:t>
      </w:r>
      <w:r w:rsidR="00E33083" w:rsidRPr="00E33083">
        <w:rPr>
          <w:szCs w:val="22"/>
        </w:rPr>
        <w:t xml:space="preserve">, Licensee failed to provide an adequate explanation for </w:t>
      </w:r>
      <w:r w:rsidR="00B9336D">
        <w:rPr>
          <w:szCs w:val="22"/>
        </w:rPr>
        <w:t xml:space="preserve">the </w:t>
      </w:r>
      <w:r w:rsidR="00E33083" w:rsidRPr="00E33083">
        <w:rPr>
          <w:szCs w:val="22"/>
        </w:rPr>
        <w:t>late filing</w:t>
      </w:r>
      <w:r w:rsidR="00B9336D">
        <w:rPr>
          <w:szCs w:val="22"/>
        </w:rPr>
        <w:t>s</w:t>
      </w:r>
      <w:r w:rsidR="00E33083" w:rsidRPr="00E33083">
        <w:rPr>
          <w:szCs w:val="22"/>
        </w:rPr>
        <w:t>.  We will not excuse the violation</w:t>
      </w:r>
      <w:r w:rsidR="00940F4C">
        <w:rPr>
          <w:szCs w:val="22"/>
        </w:rPr>
        <w:t>s</w:t>
      </w:r>
      <w:r w:rsidR="00E33083" w:rsidRPr="00E33083">
        <w:rPr>
          <w:szCs w:val="22"/>
        </w:rPr>
        <w:t>, because licensees are responsible for the timely submission of required forms, and untimely renewal applications disrupt the orderly processing of renewal applications orchestrated by the staggering of license renewal terms in Section 73.1020 of the Rules.</w:t>
      </w:r>
      <w:r w:rsidR="00E33083" w:rsidRPr="004E2D0B">
        <w:rPr>
          <w:rStyle w:val="FootnoteReference"/>
          <w:szCs w:val="22"/>
        </w:rPr>
        <w:footnoteReference w:id="11"/>
      </w:r>
    </w:p>
    <w:p w:rsidR="006C1806" w:rsidRDefault="00E33083">
      <w:pPr>
        <w:pStyle w:val="ParaNum"/>
        <w:widowControl/>
        <w:jc w:val="left"/>
        <w:rPr>
          <w:szCs w:val="22"/>
        </w:rPr>
      </w:pPr>
      <w:r w:rsidRPr="00E24E61">
        <w:rPr>
          <w:szCs w:val="22"/>
          <w:u w:val="single"/>
        </w:rPr>
        <w:t>Section 73.352</w:t>
      </w:r>
      <w:r w:rsidR="00625E5D">
        <w:rPr>
          <w:szCs w:val="22"/>
          <w:u w:val="single"/>
        </w:rPr>
        <w:t>6</w:t>
      </w:r>
      <w:r w:rsidRPr="00E24E61">
        <w:rPr>
          <w:szCs w:val="22"/>
          <w:u w:val="single"/>
        </w:rPr>
        <w:t xml:space="preserve"> Violation</w:t>
      </w:r>
      <w:r w:rsidRPr="004E2D0B">
        <w:rPr>
          <w:i/>
          <w:szCs w:val="22"/>
        </w:rPr>
        <w:t>.</w:t>
      </w:r>
      <w:r w:rsidR="006A4DB8">
        <w:rPr>
          <w:szCs w:val="22"/>
        </w:rPr>
        <w:t xml:space="preserve">  </w:t>
      </w:r>
      <w:r w:rsidR="00CF236D">
        <w:rPr>
          <w:szCs w:val="22"/>
        </w:rPr>
        <w:t xml:space="preserve">As Licensee has acknowledged, </w:t>
      </w:r>
      <w:r w:rsidR="00B9336D">
        <w:rPr>
          <w:szCs w:val="22"/>
        </w:rPr>
        <w:t xml:space="preserve">during the previous license renewal term </w:t>
      </w:r>
      <w:r w:rsidR="00CF236D">
        <w:rPr>
          <w:szCs w:val="22"/>
        </w:rPr>
        <w:t>the Station’s public inspection file did not contain many of the items required to be retained in the file by Section 73.352</w:t>
      </w:r>
      <w:r w:rsidR="00625E5D">
        <w:rPr>
          <w:szCs w:val="22"/>
        </w:rPr>
        <w:t>6</w:t>
      </w:r>
      <w:r w:rsidR="00CF236D">
        <w:rPr>
          <w:szCs w:val="22"/>
        </w:rPr>
        <w:t xml:space="preserve"> of the Rules.  </w:t>
      </w:r>
      <w:r w:rsidR="00CD5C3A">
        <w:rPr>
          <w:szCs w:val="22"/>
        </w:rPr>
        <w:t xml:space="preserve">In particular, </w:t>
      </w:r>
      <w:r w:rsidR="007B3915">
        <w:rPr>
          <w:szCs w:val="22"/>
        </w:rPr>
        <w:t xml:space="preserve">Licensee failed to place in the Station’s public file </w:t>
      </w:r>
      <w:r w:rsidR="00CD5C3A">
        <w:rPr>
          <w:szCs w:val="22"/>
        </w:rPr>
        <w:t xml:space="preserve">issues and programs lists </w:t>
      </w:r>
      <w:r w:rsidR="00110108">
        <w:rPr>
          <w:szCs w:val="22"/>
        </w:rPr>
        <w:t xml:space="preserve">for </w:t>
      </w:r>
      <w:r w:rsidR="00625E5D">
        <w:rPr>
          <w:szCs w:val="22"/>
        </w:rPr>
        <w:t>a six</w:t>
      </w:r>
      <w:r w:rsidR="004327F6">
        <w:rPr>
          <w:szCs w:val="22"/>
        </w:rPr>
        <w:t>-</w:t>
      </w:r>
      <w:r w:rsidR="00625E5D">
        <w:rPr>
          <w:szCs w:val="22"/>
        </w:rPr>
        <w:t>year time period</w:t>
      </w:r>
      <w:r w:rsidR="007B3915">
        <w:rPr>
          <w:szCs w:val="22"/>
        </w:rPr>
        <w:t>, and as such the</w:t>
      </w:r>
      <w:r w:rsidR="00632F5E">
        <w:rPr>
          <w:szCs w:val="22"/>
        </w:rPr>
        <w:t xml:space="preserve"> public file was </w:t>
      </w:r>
      <w:r w:rsidR="00912F8F">
        <w:rPr>
          <w:szCs w:val="22"/>
        </w:rPr>
        <w:t xml:space="preserve">not in compliance with </w:t>
      </w:r>
      <w:r w:rsidR="00E6027C">
        <w:rPr>
          <w:szCs w:val="22"/>
        </w:rPr>
        <w:t xml:space="preserve">Section </w:t>
      </w:r>
      <w:r w:rsidR="00632F5E">
        <w:rPr>
          <w:szCs w:val="22"/>
        </w:rPr>
        <w:t>73.352</w:t>
      </w:r>
      <w:r w:rsidR="00625E5D">
        <w:rPr>
          <w:szCs w:val="22"/>
        </w:rPr>
        <w:t>6</w:t>
      </w:r>
      <w:r w:rsidR="00632F5E">
        <w:rPr>
          <w:szCs w:val="22"/>
        </w:rPr>
        <w:t>(e)(8)</w:t>
      </w:r>
      <w:r w:rsidR="00912F8F">
        <w:rPr>
          <w:szCs w:val="22"/>
        </w:rPr>
        <w:t>.  Additionally, i</w:t>
      </w:r>
      <w:r w:rsidR="00CF236D">
        <w:rPr>
          <w:szCs w:val="22"/>
        </w:rPr>
        <w:t>n this regard, where lapses occur in maintaining the public file, neither the negligent acts or omissions of station employees or agents, nor the subsequent remedial actions undertaken by the licensee, excuse or nullify a licensee’s rule violation.</w:t>
      </w:r>
      <w:r w:rsidR="00CF236D">
        <w:rPr>
          <w:rStyle w:val="FootnoteReference"/>
          <w:szCs w:val="22"/>
        </w:rPr>
        <w:footnoteReference w:id="12"/>
      </w:r>
      <w:r w:rsidR="00CF236D">
        <w:rPr>
          <w:szCs w:val="22"/>
        </w:rPr>
        <w:t xml:space="preserve">  </w:t>
      </w:r>
    </w:p>
    <w:p w:rsidR="006C1806" w:rsidRDefault="00CF236D">
      <w:pPr>
        <w:pStyle w:val="ParaNum"/>
        <w:widowControl/>
        <w:jc w:val="left"/>
        <w:rPr>
          <w:szCs w:val="22"/>
        </w:rPr>
      </w:pPr>
      <w:r>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3"/>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4"/>
      </w:r>
      <w:r>
        <w:rPr>
          <w:szCs w:val="22"/>
        </w:rPr>
        <w:t xml:space="preserve">  The legislative history to Section 312(f)(1) of the Act clarifies that this definition of willful applies to both Sections 312 and 503(b) of the Act,</w:t>
      </w:r>
      <w:r>
        <w:rPr>
          <w:rStyle w:val="FootnoteReference"/>
          <w:szCs w:val="22"/>
        </w:rPr>
        <w:footnoteReference w:id="15"/>
      </w:r>
      <w:r>
        <w:rPr>
          <w:szCs w:val="22"/>
        </w:rPr>
        <w:t xml:space="preserve"> and the Commission has so interpreted the term in the Section 503(b) context.</w:t>
      </w:r>
      <w:r>
        <w:rPr>
          <w:rStyle w:val="FootnoteReference"/>
          <w:szCs w:val="22"/>
        </w:rPr>
        <w:footnoteReference w:id="16"/>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7"/>
      </w:r>
      <w:r>
        <w:rPr>
          <w:szCs w:val="22"/>
        </w:rPr>
        <w:t xml:space="preserve">  </w:t>
      </w:r>
    </w:p>
    <w:p w:rsidR="00D90AC3" w:rsidRDefault="00CF236D" w:rsidP="00D90AC3">
      <w:pPr>
        <w:pStyle w:val="ParaNum"/>
        <w:widowControl/>
        <w:jc w:val="left"/>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Section 1.80(b)(</w:t>
      </w:r>
      <w:r w:rsidR="00190988">
        <w:rPr>
          <w:szCs w:val="22"/>
        </w:rPr>
        <w:t>8</w:t>
      </w:r>
      <w:r>
        <w:rPr>
          <w:szCs w:val="22"/>
        </w:rPr>
        <w:t xml:space="preserve">) of the Rules establish a base forfeiture amount of </w:t>
      </w:r>
      <w:r w:rsidR="001E5755" w:rsidRPr="004E2D0B">
        <w:rPr>
          <w:szCs w:val="22"/>
        </w:rPr>
        <w:t>$3</w:t>
      </w:r>
      <w:r w:rsidR="00940E8E">
        <w:rPr>
          <w:szCs w:val="22"/>
        </w:rPr>
        <w:t>,</w:t>
      </w:r>
      <w:r w:rsidR="001E5755" w:rsidRPr="004E2D0B">
        <w:rPr>
          <w:szCs w:val="22"/>
        </w:rPr>
        <w:t xml:space="preserve">000 for failure to file </w:t>
      </w:r>
      <w:r w:rsidR="00E24E61">
        <w:rPr>
          <w:szCs w:val="22"/>
        </w:rPr>
        <w:t xml:space="preserve">a </w:t>
      </w:r>
      <w:r w:rsidR="001E5755" w:rsidRPr="004E2D0B">
        <w:rPr>
          <w:szCs w:val="22"/>
        </w:rPr>
        <w:t>required form and of $10,000 for violation of Section 73.352</w:t>
      </w:r>
      <w:r w:rsidR="00625E5D">
        <w:rPr>
          <w:szCs w:val="22"/>
        </w:rPr>
        <w:t>6</w:t>
      </w:r>
      <w:r w:rsidR="001E5755" w:rsidRPr="004E2D0B">
        <w:rPr>
          <w:b/>
          <w:szCs w:val="22"/>
        </w:rPr>
        <w:t>.</w:t>
      </w:r>
      <w:r w:rsidR="001E5755" w:rsidRPr="004E2D0B">
        <w:rPr>
          <w:rStyle w:val="FootnoteReference"/>
          <w:szCs w:val="22"/>
        </w:rPr>
        <w:footnoteReference w:id="18"/>
      </w:r>
      <w:r w:rsidR="001E5755">
        <w:rPr>
          <w:szCs w:val="22"/>
        </w:rPr>
        <w:t xml:space="preserve">  </w:t>
      </w:r>
      <w:r w:rsidRPr="001E5755">
        <w:rPr>
          <w:szCs w:val="22"/>
        </w:rPr>
        <w:t>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9"/>
      </w:r>
      <w:r w:rsidR="00A17E6A">
        <w:rPr>
          <w:szCs w:val="22"/>
        </w:rPr>
        <w:t xml:space="preserve">  </w:t>
      </w:r>
    </w:p>
    <w:p w:rsidR="001E5755" w:rsidRPr="00CD2E67" w:rsidRDefault="00D94C8C" w:rsidP="00CD2E67">
      <w:pPr>
        <w:pStyle w:val="ParaNum"/>
        <w:widowControl/>
        <w:jc w:val="left"/>
        <w:rPr>
          <w:szCs w:val="22"/>
        </w:rPr>
      </w:pPr>
      <w:r w:rsidRPr="00D94C8C">
        <w:rPr>
          <w:shd w:val="clear" w:color="auto" w:fill="FFFFFF"/>
        </w:rPr>
        <w:t xml:space="preserve">In this case, the Licensee failed to timely file the </w:t>
      </w:r>
      <w:r w:rsidR="0042564A">
        <w:rPr>
          <w:shd w:val="clear" w:color="auto" w:fill="FFFFFF"/>
        </w:rPr>
        <w:t>Renewal Application</w:t>
      </w:r>
      <w:r w:rsidR="00533198">
        <w:rPr>
          <w:shd w:val="clear" w:color="auto" w:fill="FFFFFF"/>
        </w:rPr>
        <w:t>s</w:t>
      </w:r>
      <w:r w:rsidR="00940F4C">
        <w:rPr>
          <w:shd w:val="clear" w:color="auto" w:fill="FFFFFF"/>
        </w:rPr>
        <w:t>,</w:t>
      </w:r>
      <w:r w:rsidR="004327F6">
        <w:rPr>
          <w:shd w:val="clear" w:color="auto" w:fill="FFFFFF"/>
        </w:rPr>
        <w:t xml:space="preserve"> although it filed the applications prior to the Station’s license expiration date</w:t>
      </w:r>
      <w:r w:rsidR="007C0439">
        <w:rPr>
          <w:shd w:val="clear" w:color="auto" w:fill="FFFFFF"/>
        </w:rPr>
        <w:t>s</w:t>
      </w:r>
      <w:r w:rsidR="00C12224">
        <w:rPr>
          <w:shd w:val="clear" w:color="auto" w:fill="FFFFFF"/>
        </w:rPr>
        <w:t xml:space="preserve">.  </w:t>
      </w:r>
      <w:r w:rsidRPr="00D94C8C">
        <w:rPr>
          <w:shd w:val="clear" w:color="auto" w:fill="FFFFFF"/>
        </w:rPr>
        <w:t xml:space="preserve">Also, although it admitted to the public file rule violations, it did so only in the context of the question contained in </w:t>
      </w:r>
      <w:r w:rsidR="0042564A">
        <w:rPr>
          <w:shd w:val="clear" w:color="auto" w:fill="FFFFFF"/>
        </w:rPr>
        <w:t xml:space="preserve">the </w:t>
      </w:r>
      <w:r w:rsidRPr="00D94C8C">
        <w:rPr>
          <w:shd w:val="clear" w:color="auto" w:fill="FFFFFF"/>
        </w:rPr>
        <w:t>captioned license renewal application</w:t>
      </w:r>
      <w:r w:rsidR="0042564A">
        <w:rPr>
          <w:shd w:val="clear" w:color="auto" w:fill="FFFFFF"/>
        </w:rPr>
        <w:t>s</w:t>
      </w:r>
      <w:r w:rsidRPr="00D94C8C">
        <w:rPr>
          <w:shd w:val="clear" w:color="auto" w:fill="FFFFFF"/>
        </w:rPr>
        <w:t xml:space="preserve"> that comp</w:t>
      </w:r>
      <w:r w:rsidR="00A17E6A">
        <w:rPr>
          <w:shd w:val="clear" w:color="auto" w:fill="FFFFFF"/>
        </w:rPr>
        <w:t xml:space="preserve">elled such disclosure.  </w:t>
      </w:r>
      <w:r w:rsidRPr="00D94C8C">
        <w:rPr>
          <w:shd w:val="clear" w:color="auto" w:fill="FFFFFF"/>
        </w:rPr>
        <w:t xml:space="preserve">Moreover, the </w:t>
      </w:r>
      <w:r w:rsidR="0042564A">
        <w:rPr>
          <w:shd w:val="clear" w:color="auto" w:fill="FFFFFF"/>
        </w:rPr>
        <w:t xml:space="preserve">public file rule </w:t>
      </w:r>
      <w:r w:rsidRPr="00D94C8C">
        <w:rPr>
          <w:shd w:val="clear" w:color="auto" w:fill="FFFFFF"/>
        </w:rPr>
        <w:t xml:space="preserve">violations were extensive, occurring </w:t>
      </w:r>
      <w:r w:rsidR="0042564A">
        <w:rPr>
          <w:shd w:val="clear" w:color="auto" w:fill="FFFFFF"/>
        </w:rPr>
        <w:t>over a six</w:t>
      </w:r>
      <w:r w:rsidR="004327F6">
        <w:rPr>
          <w:shd w:val="clear" w:color="auto" w:fill="FFFFFF"/>
        </w:rPr>
        <w:t>-</w:t>
      </w:r>
      <w:r w:rsidR="0042564A">
        <w:rPr>
          <w:shd w:val="clear" w:color="auto" w:fill="FFFFFF"/>
        </w:rPr>
        <w:t xml:space="preserve">year period and </w:t>
      </w:r>
      <w:r w:rsidR="00533198">
        <w:rPr>
          <w:shd w:val="clear" w:color="auto" w:fill="FFFFFF"/>
        </w:rPr>
        <w:t xml:space="preserve">involving </w:t>
      </w:r>
      <w:r w:rsidR="00D300EE">
        <w:rPr>
          <w:shd w:val="clear" w:color="auto" w:fill="FFFFFF"/>
        </w:rPr>
        <w:t xml:space="preserve">24 </w:t>
      </w:r>
      <w:r w:rsidRPr="00D94C8C">
        <w:rPr>
          <w:shd w:val="clear" w:color="auto" w:fill="FFFFFF"/>
        </w:rPr>
        <w:t>missing issues/programs lists.</w:t>
      </w:r>
      <w:bookmarkStart w:id="1" w:name="FN[FN21]"/>
      <w:bookmarkEnd w:id="1"/>
      <w:r>
        <w:rPr>
          <w:shd w:val="clear" w:color="auto" w:fill="FFFFFF"/>
        </w:rPr>
        <w:t xml:space="preserve">  </w:t>
      </w:r>
      <w:r w:rsidRPr="00D94C8C">
        <w:rPr>
          <w:shd w:val="clear" w:color="auto" w:fill="FFFFFF"/>
        </w:rPr>
        <w:t>Considering the record as a whole, we believe that a forfeiture of $</w:t>
      </w:r>
      <w:r w:rsidR="0034431A">
        <w:rPr>
          <w:shd w:val="clear" w:color="auto" w:fill="FFFFFF"/>
        </w:rPr>
        <w:t>3</w:t>
      </w:r>
      <w:r w:rsidR="007E0B4A">
        <w:rPr>
          <w:shd w:val="clear" w:color="auto" w:fill="FFFFFF"/>
        </w:rPr>
        <w:t>,</w:t>
      </w:r>
      <w:r w:rsidR="0034431A">
        <w:rPr>
          <w:shd w:val="clear" w:color="auto" w:fill="FFFFFF"/>
        </w:rPr>
        <w:t>00</w:t>
      </w:r>
      <w:r w:rsidR="001D17DA">
        <w:rPr>
          <w:shd w:val="clear" w:color="auto" w:fill="FFFFFF"/>
        </w:rPr>
        <w:t>0</w:t>
      </w:r>
      <w:r w:rsidRPr="00D94C8C">
        <w:rPr>
          <w:shd w:val="clear" w:color="auto" w:fill="FFFFFF"/>
        </w:rPr>
        <w:t xml:space="preserve"> for </w:t>
      </w:r>
      <w:r w:rsidR="00533198">
        <w:rPr>
          <w:shd w:val="clear" w:color="auto" w:fill="FFFFFF"/>
        </w:rPr>
        <w:t>each late renewal application</w:t>
      </w:r>
      <w:r w:rsidR="004327F6">
        <w:rPr>
          <w:shd w:val="clear" w:color="auto" w:fill="FFFFFF"/>
        </w:rPr>
        <w:t>,</w:t>
      </w:r>
      <w:r w:rsidR="00533198">
        <w:rPr>
          <w:shd w:val="clear" w:color="auto" w:fill="FFFFFF"/>
        </w:rPr>
        <w:t xml:space="preserve"> </w:t>
      </w:r>
      <w:r w:rsidRPr="00D94C8C">
        <w:rPr>
          <w:shd w:val="clear" w:color="auto" w:fill="FFFFFF"/>
        </w:rPr>
        <w:t>and $1</w:t>
      </w:r>
      <w:r>
        <w:rPr>
          <w:shd w:val="clear" w:color="auto" w:fill="FFFFFF"/>
        </w:rPr>
        <w:t>2</w:t>
      </w:r>
      <w:r w:rsidRPr="00D94C8C">
        <w:rPr>
          <w:shd w:val="clear" w:color="auto" w:fill="FFFFFF"/>
        </w:rPr>
        <w:t xml:space="preserve">,000 for the </w:t>
      </w:r>
      <w:r w:rsidR="00C12224">
        <w:rPr>
          <w:shd w:val="clear" w:color="auto" w:fill="FFFFFF"/>
        </w:rPr>
        <w:t xml:space="preserve">public file </w:t>
      </w:r>
      <w:r w:rsidRPr="00D94C8C">
        <w:rPr>
          <w:shd w:val="clear" w:color="auto" w:fill="FFFFFF"/>
        </w:rPr>
        <w:t>violations, is appropriate in this case.</w:t>
      </w:r>
      <w:r w:rsidR="00D300EE">
        <w:rPr>
          <w:rStyle w:val="FootnoteReference"/>
          <w:szCs w:val="22"/>
        </w:rPr>
        <w:t xml:space="preserve"> </w:t>
      </w:r>
      <w:r w:rsidR="00D300EE">
        <w:rPr>
          <w:shd w:val="clear" w:color="auto" w:fill="FFFFFF"/>
        </w:rPr>
        <w:t xml:space="preserve"> </w:t>
      </w:r>
      <w:r w:rsidRPr="00D94C8C">
        <w:rPr>
          <w:shd w:val="clear" w:color="auto" w:fill="FFFFFF"/>
        </w:rPr>
        <w:t xml:space="preserve">Accordingly, we find that the Licensee is apparently liable for a </w:t>
      </w:r>
      <w:r w:rsidR="00940F4C">
        <w:rPr>
          <w:shd w:val="clear" w:color="auto" w:fill="FFFFFF"/>
        </w:rPr>
        <w:t>f</w:t>
      </w:r>
      <w:r w:rsidRPr="00D94C8C">
        <w:rPr>
          <w:shd w:val="clear" w:color="auto" w:fill="FFFFFF"/>
        </w:rPr>
        <w:t xml:space="preserve">orfeiture in the </w:t>
      </w:r>
      <w:r w:rsidR="004F7694">
        <w:rPr>
          <w:shd w:val="clear" w:color="auto" w:fill="FFFFFF"/>
        </w:rPr>
        <w:t xml:space="preserve">total </w:t>
      </w:r>
      <w:r w:rsidRPr="00D94C8C">
        <w:rPr>
          <w:shd w:val="clear" w:color="auto" w:fill="FFFFFF"/>
        </w:rPr>
        <w:t>amount of $1</w:t>
      </w:r>
      <w:r w:rsidR="0034431A">
        <w:rPr>
          <w:shd w:val="clear" w:color="auto" w:fill="FFFFFF"/>
        </w:rPr>
        <w:t>8</w:t>
      </w:r>
      <w:r w:rsidR="00D300EE">
        <w:rPr>
          <w:shd w:val="clear" w:color="auto" w:fill="FFFFFF"/>
        </w:rPr>
        <w:t>,0</w:t>
      </w:r>
      <w:r w:rsidRPr="00D94C8C">
        <w:rPr>
          <w:shd w:val="clear" w:color="auto" w:fill="FFFFFF"/>
        </w:rPr>
        <w:t>00.</w:t>
      </w:r>
    </w:p>
    <w:p w:rsidR="00E77B2F" w:rsidRPr="00DE4CA4" w:rsidRDefault="00940F4C" w:rsidP="00DE4CA4">
      <w:pPr>
        <w:pStyle w:val="ParaNum"/>
        <w:widowControl/>
        <w:jc w:val="left"/>
        <w:rPr>
          <w:szCs w:val="22"/>
        </w:rPr>
      </w:pPr>
      <w:r w:rsidRPr="001E5755">
        <w:rPr>
          <w:i/>
          <w:szCs w:val="22"/>
        </w:rPr>
        <w:t>License Renewal Application</w:t>
      </w:r>
      <w:r>
        <w:rPr>
          <w:i/>
          <w:szCs w:val="22"/>
        </w:rPr>
        <w:t xml:space="preserve">s and </w:t>
      </w:r>
      <w:r w:rsidR="00395C9A">
        <w:rPr>
          <w:i/>
          <w:szCs w:val="22"/>
        </w:rPr>
        <w:t>Assignment Application</w:t>
      </w:r>
      <w:r w:rsidR="00CF236D" w:rsidRPr="001E5755">
        <w:rPr>
          <w:i/>
          <w:szCs w:val="22"/>
        </w:rPr>
        <w:t>.</w:t>
      </w:r>
      <w:r>
        <w:rPr>
          <w:szCs w:val="22"/>
        </w:rPr>
        <w:t xml:space="preserve">  </w:t>
      </w:r>
      <w:r w:rsidR="00CF236D" w:rsidRPr="00DE4CA4">
        <w:rPr>
          <w:szCs w:val="22"/>
        </w:rPr>
        <w:t>In evaluating an application for license renewal, the Commission’s decision is governed by Section 309(k) of the Act.</w:t>
      </w:r>
      <w:r w:rsidR="00CF236D">
        <w:rPr>
          <w:rStyle w:val="FootnoteReference"/>
          <w:szCs w:val="22"/>
        </w:rPr>
        <w:footnoteReference w:id="20"/>
      </w:r>
      <w:r w:rsidR="000419D6">
        <w:rPr>
          <w:szCs w:val="22"/>
        </w:rPr>
        <w:t xml:space="preserve">  </w:t>
      </w:r>
      <w:r w:rsidR="00CF236D" w:rsidRPr="00DE4CA4">
        <w:rPr>
          <w:szCs w:val="22"/>
        </w:rPr>
        <w:t>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sidR="00CF236D">
        <w:rPr>
          <w:rStyle w:val="FootnoteReference"/>
          <w:szCs w:val="22"/>
        </w:rPr>
        <w:footnoteReference w:id="21"/>
      </w:r>
      <w:r w:rsidR="00CF236D" w:rsidRPr="00DE4CA4">
        <w:rPr>
          <w:szCs w:val="22"/>
        </w:rPr>
        <w:t xml:space="preserve"> </w:t>
      </w:r>
      <w:r w:rsidR="00CF236D" w:rsidRPr="00DE4CA4">
        <w:rPr>
          <w:i/>
          <w:szCs w:val="22"/>
        </w:rPr>
        <w:t xml:space="preserve"> </w:t>
      </w:r>
      <w:r w:rsidR="00CF236D" w:rsidRPr="00DE4CA4">
        <w:rPr>
          <w:szCs w:val="22"/>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sidR="00CF236D">
        <w:rPr>
          <w:rStyle w:val="FootnoteReference"/>
          <w:szCs w:val="22"/>
        </w:rPr>
        <w:footnoteReference w:id="22"/>
      </w:r>
    </w:p>
    <w:p w:rsidR="007D3611" w:rsidRPr="007D3611" w:rsidRDefault="007D3611" w:rsidP="007D3611">
      <w:pPr>
        <w:pStyle w:val="ParaNum"/>
        <w:widowControl/>
        <w:jc w:val="left"/>
        <w:rPr>
          <w:szCs w:val="22"/>
        </w:rPr>
      </w:pPr>
      <w:r>
        <w:t>We find that Licensee’s apparent violations of Section</w:t>
      </w:r>
      <w:r w:rsidR="00940F4C">
        <w:t xml:space="preserve">s 73.3539 and </w:t>
      </w:r>
      <w:r>
        <w:t>73.3526 of the Rules do not constitute “serious violations” warranting designation for evidentiary hearing.  Moreover, we find no evidence of violations that, when considered together, evidence a pattern of abuse.</w:t>
      </w:r>
      <w:r>
        <w:rPr>
          <w:rStyle w:val="FootnoteReference"/>
          <w:color w:val="000000"/>
          <w:szCs w:val="22"/>
        </w:rPr>
        <w:footnoteReference w:id="23"/>
      </w:r>
      <w:r>
        <w:t xml:space="preserve">  </w:t>
      </w:r>
      <w:r w:rsidRPr="007D3611">
        <w:rPr>
          <w:spacing w:val="-2"/>
        </w:rPr>
        <w:t>Further, we find that</w:t>
      </w:r>
      <w:r>
        <w:t xml:space="preserve"> the Station served the public interest, convenience, and necessity during the subject license term</w:t>
      </w:r>
      <w:r w:rsidR="00E31B10">
        <w:t>s</w:t>
      </w:r>
      <w:r>
        <w:t xml:space="preserve">.  </w:t>
      </w:r>
    </w:p>
    <w:p w:rsidR="000419D6" w:rsidRPr="000419D6" w:rsidRDefault="00940F4C" w:rsidP="000419D6">
      <w:pPr>
        <w:pStyle w:val="ParaNum"/>
        <w:widowControl/>
        <w:jc w:val="left"/>
        <w:rPr>
          <w:szCs w:val="22"/>
        </w:rPr>
      </w:pPr>
      <w:r>
        <w:rPr>
          <w:szCs w:val="22"/>
        </w:rPr>
        <w:t xml:space="preserve">In evaluating an application for assignment of license the Commission’s decision is governed by </w:t>
      </w:r>
      <w:r w:rsidRPr="00DE4CA4">
        <w:rPr>
          <w:color w:val="000000"/>
          <w:szCs w:val="22"/>
          <w:shd w:val="clear" w:color="auto" w:fill="FFFFFF"/>
        </w:rPr>
        <w:t>Section 310(d) of the</w:t>
      </w:r>
      <w:r>
        <w:rPr>
          <w:color w:val="000000"/>
          <w:szCs w:val="22"/>
          <w:shd w:val="clear" w:color="auto" w:fill="FFFFFF"/>
        </w:rPr>
        <w:t xml:space="preserve"> Act</w:t>
      </w:r>
      <w:bookmarkStart w:id="2" w:name="FN[FN3]"/>
      <w:bookmarkEnd w:id="2"/>
      <w:r>
        <w:rPr>
          <w:color w:val="000000"/>
          <w:szCs w:val="22"/>
          <w:shd w:val="clear" w:color="auto" w:fill="FFFFFF"/>
        </w:rPr>
        <w:t>.</w:t>
      </w:r>
      <w:r>
        <w:rPr>
          <w:rStyle w:val="FootnoteReference"/>
          <w:color w:val="000000"/>
          <w:szCs w:val="22"/>
          <w:shd w:val="clear" w:color="auto" w:fill="FFFFFF"/>
        </w:rPr>
        <w:footnoteReference w:id="24"/>
      </w:r>
      <w:r>
        <w:rPr>
          <w:color w:val="000000"/>
          <w:szCs w:val="22"/>
          <w:shd w:val="clear" w:color="auto" w:fill="FFFFFF"/>
        </w:rPr>
        <w:t xml:space="preserve">  That Section </w:t>
      </w:r>
      <w:r w:rsidRPr="00DE4CA4">
        <w:rPr>
          <w:color w:val="000000"/>
          <w:szCs w:val="22"/>
          <w:shd w:val="clear" w:color="auto" w:fill="FFFFFF"/>
        </w:rPr>
        <w:t>requires the Commission to make a determination whether the proposed transfer or assignment of a broadcast license would be in the public interest</w:t>
      </w:r>
      <w:r>
        <w:rPr>
          <w:szCs w:val="22"/>
        </w:rPr>
        <w:t xml:space="preserve">.  </w:t>
      </w:r>
      <w:r w:rsidR="00C47826">
        <w:t xml:space="preserve">We find </w:t>
      </w:r>
      <w:r w:rsidR="000419D6">
        <w:t xml:space="preserve">that </w:t>
      </w:r>
      <w:r w:rsidR="000419D6" w:rsidRPr="00CD221D">
        <w:t>nothing in th</w:t>
      </w:r>
      <w:r w:rsidR="007C0439">
        <w:t xml:space="preserve">e </w:t>
      </w:r>
      <w:r w:rsidR="000419D6" w:rsidRPr="00CD221D">
        <w:t xml:space="preserve">record creates a substantial or material question of fact </w:t>
      </w:r>
      <w:r>
        <w:t xml:space="preserve">regarding </w:t>
      </w:r>
      <w:r w:rsidR="000419D6" w:rsidRPr="00CD221D">
        <w:t xml:space="preserve">whether either </w:t>
      </w:r>
      <w:r w:rsidR="000419D6">
        <w:t>Radio Fiesta or Intelli</w:t>
      </w:r>
      <w:r w:rsidR="007C0439">
        <w:t xml:space="preserve"> </w:t>
      </w:r>
      <w:r w:rsidR="000419D6" w:rsidRPr="00CD221D">
        <w:t>possesses the basic qualifications to be a Commission licensee</w:t>
      </w:r>
      <w:r w:rsidR="007D3611">
        <w:t>.</w:t>
      </w:r>
      <w:r w:rsidR="000419D6">
        <w:t xml:space="preserve"> </w:t>
      </w:r>
      <w:r w:rsidR="00C47826">
        <w:t xml:space="preserve">  Based on the record before us, we</w:t>
      </w:r>
      <w:r w:rsidR="0050473F">
        <w:t xml:space="preserve"> further find </w:t>
      </w:r>
      <w:r w:rsidR="00C47826">
        <w:t xml:space="preserve">that </w:t>
      </w:r>
      <w:r w:rsidR="000419D6">
        <w:t>grant of the Assignment Application serves the public interest</w:t>
      </w:r>
      <w:r w:rsidR="00C47826">
        <w:t>, convenience</w:t>
      </w:r>
      <w:r w:rsidR="007C0439">
        <w:t>,</w:t>
      </w:r>
      <w:r w:rsidR="00C47826">
        <w:t xml:space="preserve"> and necessity</w:t>
      </w:r>
      <w:r w:rsidR="000419D6" w:rsidRPr="00CD221D">
        <w:t>.</w:t>
      </w:r>
    </w:p>
    <w:p w:rsidR="00395C9A" w:rsidRPr="000419D6" w:rsidRDefault="00E77B2F" w:rsidP="000419D6">
      <w:pPr>
        <w:pStyle w:val="ParaNum"/>
        <w:widowControl/>
        <w:jc w:val="left"/>
        <w:rPr>
          <w:szCs w:val="22"/>
        </w:rPr>
      </w:pPr>
      <w:r w:rsidRPr="000419D6">
        <w:rPr>
          <w:szCs w:val="22"/>
        </w:rPr>
        <w:t>Accordingly, pursuant to Section</w:t>
      </w:r>
      <w:r w:rsidR="000419D6">
        <w:rPr>
          <w:szCs w:val="22"/>
        </w:rPr>
        <w:t xml:space="preserve">s </w:t>
      </w:r>
      <w:r w:rsidRPr="000419D6">
        <w:rPr>
          <w:szCs w:val="22"/>
        </w:rPr>
        <w:t xml:space="preserve">309(k)(2) </w:t>
      </w:r>
      <w:r w:rsidR="00C47826">
        <w:rPr>
          <w:szCs w:val="22"/>
        </w:rPr>
        <w:t xml:space="preserve">and 309(d) </w:t>
      </w:r>
      <w:r w:rsidRPr="000419D6">
        <w:rPr>
          <w:szCs w:val="22"/>
        </w:rPr>
        <w:t xml:space="preserve">of the Act, we will </w:t>
      </w:r>
      <w:r w:rsidR="00E41CC4" w:rsidRPr="000419D6">
        <w:rPr>
          <w:szCs w:val="22"/>
        </w:rPr>
        <w:t xml:space="preserve">concurrently </w:t>
      </w:r>
      <w:r w:rsidRPr="000419D6">
        <w:rPr>
          <w:szCs w:val="22"/>
        </w:rPr>
        <w:t xml:space="preserve">grant the </w:t>
      </w:r>
      <w:r w:rsidR="00395C9A" w:rsidRPr="000419D6">
        <w:rPr>
          <w:szCs w:val="22"/>
        </w:rPr>
        <w:t>Renewal A</w:t>
      </w:r>
      <w:r w:rsidRPr="000419D6">
        <w:rPr>
          <w:szCs w:val="22"/>
        </w:rPr>
        <w:t>pplication</w:t>
      </w:r>
      <w:r w:rsidR="00395C9A" w:rsidRPr="000419D6">
        <w:rPr>
          <w:szCs w:val="22"/>
        </w:rPr>
        <w:t>s</w:t>
      </w:r>
      <w:r w:rsidRPr="000419D6">
        <w:rPr>
          <w:szCs w:val="22"/>
        </w:rPr>
        <w:t xml:space="preserve"> </w:t>
      </w:r>
      <w:r w:rsidR="00C47826">
        <w:rPr>
          <w:szCs w:val="22"/>
        </w:rPr>
        <w:t xml:space="preserve">and Assignment Application </w:t>
      </w:r>
      <w:r w:rsidRPr="000419D6">
        <w:rPr>
          <w:szCs w:val="22"/>
        </w:rPr>
        <w:t xml:space="preserve">by </w:t>
      </w:r>
      <w:r w:rsidR="00395C9A" w:rsidRPr="000419D6">
        <w:rPr>
          <w:szCs w:val="22"/>
        </w:rPr>
        <w:t xml:space="preserve">a </w:t>
      </w:r>
      <w:r w:rsidRPr="000419D6">
        <w:rPr>
          <w:szCs w:val="22"/>
        </w:rPr>
        <w:t>separate action upon the conclusion of this forfeiture proceeding, if there are no issues other than the apparent violations that would preclude grant of the</w:t>
      </w:r>
      <w:r w:rsidR="00E41CC4" w:rsidRPr="000419D6">
        <w:rPr>
          <w:szCs w:val="22"/>
        </w:rPr>
        <w:t xml:space="preserve"> a</w:t>
      </w:r>
      <w:r w:rsidRPr="000419D6">
        <w:rPr>
          <w:szCs w:val="22"/>
        </w:rPr>
        <w:t>pplication</w:t>
      </w:r>
      <w:r w:rsidR="00395C9A" w:rsidRPr="000419D6">
        <w:rPr>
          <w:szCs w:val="22"/>
        </w:rPr>
        <w:t>s</w:t>
      </w:r>
      <w:r w:rsidRPr="000419D6">
        <w:rPr>
          <w:szCs w:val="22"/>
        </w:rPr>
        <w:t>.</w:t>
      </w:r>
      <w:r w:rsidR="00E41CC4" w:rsidRPr="000419D6">
        <w:rPr>
          <w:szCs w:val="22"/>
        </w:rPr>
        <w:t xml:space="preserve">  </w:t>
      </w:r>
      <w:r w:rsidR="003276FD">
        <w:rPr>
          <w:szCs w:val="22"/>
        </w:rPr>
        <w:t xml:space="preserve">In the event there is an issue that would preclude grant of either Renewal Application or Assignment Application, </w:t>
      </w:r>
      <w:r w:rsidR="00E41CC4" w:rsidRPr="000419D6">
        <w:rPr>
          <w:szCs w:val="22"/>
        </w:rPr>
        <w:t xml:space="preserve">the affected application will remain pending.  </w:t>
      </w:r>
      <w:r w:rsidRPr="000419D6">
        <w:rPr>
          <w:szCs w:val="22"/>
        </w:rPr>
        <w:t xml:space="preserve"> </w:t>
      </w:r>
      <w:r w:rsidR="00DE4CA4" w:rsidRPr="000419D6">
        <w:rPr>
          <w:szCs w:val="22"/>
        </w:rPr>
        <w:t xml:space="preserve">  </w:t>
      </w:r>
      <w:r w:rsidR="00E41CC4" w:rsidRPr="000419D6">
        <w:rPr>
          <w:szCs w:val="22"/>
        </w:rPr>
        <w:t xml:space="preserve"> </w:t>
      </w:r>
    </w:p>
    <w:p w:rsidR="00BC5C0E" w:rsidRPr="00BC5C0E" w:rsidRDefault="00BC5C0E" w:rsidP="00BC5C0E">
      <w:pPr>
        <w:pStyle w:val="ParaNum"/>
        <w:numPr>
          <w:ilvl w:val="0"/>
          <w:numId w:val="0"/>
        </w:numPr>
        <w:rPr>
          <w:b/>
        </w:rPr>
      </w:pPr>
      <w:r w:rsidRPr="00BC5C0E">
        <w:rPr>
          <w:b/>
        </w:rPr>
        <w:t>IV.       ORDERING CLAUSES</w:t>
      </w:r>
    </w:p>
    <w:p w:rsidR="00BC5C0E" w:rsidRPr="00BC5C0E" w:rsidRDefault="00CF236D" w:rsidP="00BC5C0E">
      <w:pPr>
        <w:pStyle w:val="ParaNum"/>
        <w:widowControl/>
        <w:jc w:val="left"/>
        <w:rPr>
          <w:szCs w:val="22"/>
        </w:rPr>
      </w:pPr>
      <w:r>
        <w:t xml:space="preserve">Accordingly, IT IS ORDERED, pursuant to Section 503(b) of the Communications Act of 1934, as amended, and Section 1.80 of the Commission’s Rules, that </w:t>
      </w:r>
      <w:r w:rsidR="00533198">
        <w:t xml:space="preserve">Radio Fiesta Corporation </w:t>
      </w:r>
      <w:r>
        <w:t xml:space="preserve">is hereby NOTIFIED of its APPARENT LIABILITY FOR FORFEITURE in the amount of </w:t>
      </w:r>
      <w:r w:rsidR="0034431A">
        <w:t>eigh</w:t>
      </w:r>
      <w:r w:rsidR="00533198">
        <w:t xml:space="preserve">teen </w:t>
      </w:r>
      <w:r>
        <w:t>thousand dollars ($</w:t>
      </w:r>
      <w:r w:rsidR="00533198">
        <w:t>1</w:t>
      </w:r>
      <w:r w:rsidR="0034431A">
        <w:t>8</w:t>
      </w:r>
      <w:r w:rsidR="00533198">
        <w:t>,0</w:t>
      </w:r>
      <w:r>
        <w:t>00) for its apparent willful and repeated violation</w:t>
      </w:r>
      <w:r w:rsidR="00BB704C">
        <w:t>s</w:t>
      </w:r>
      <w:r>
        <w:t xml:space="preserve"> of Section</w:t>
      </w:r>
      <w:r w:rsidR="00533198">
        <w:t xml:space="preserve">s 73.3539 and </w:t>
      </w:r>
      <w:r>
        <w:t>73.352</w:t>
      </w:r>
      <w:r w:rsidR="00533198">
        <w:t>6</w:t>
      </w:r>
      <w:r>
        <w:t xml:space="preserve"> of the Commission’s Rules. </w:t>
      </w:r>
    </w:p>
    <w:p w:rsidR="007756EF" w:rsidRPr="0044640F" w:rsidRDefault="00CF236D" w:rsidP="007756EF">
      <w:pPr>
        <w:pStyle w:val="ParaNum"/>
        <w:widowControl/>
        <w:jc w:val="left"/>
        <w:rPr>
          <w:szCs w:val="22"/>
        </w:rPr>
      </w:pPr>
      <w:r>
        <w:t xml:space="preserve">IT IS FURTHER ORDERED, pursuant to Section 1.80 of the Commission’s Rules, that, within thirty (30) days of the release date of this </w:t>
      </w:r>
      <w:r w:rsidRPr="00BC5C0E">
        <w:rPr>
          <w:i/>
        </w:rPr>
        <w:t>NAL,</w:t>
      </w:r>
      <w:r w:rsidR="00912F8F">
        <w:t xml:space="preserve"> </w:t>
      </w:r>
      <w:r w:rsidR="00533198">
        <w:t>Radio Fiesta Corporation</w:t>
      </w:r>
      <w:r w:rsidR="00CF7851">
        <w:t>,</w:t>
      </w:r>
      <w:r>
        <w:t xml:space="preserve"> SHALL PAY the full amount of the proposed forfeiture or SHALL FILE a written statement seeking reduction or cancellation of the proposed forfeiture.  </w:t>
      </w:r>
    </w:p>
    <w:p w:rsidR="0044640F" w:rsidRPr="007756EF" w:rsidRDefault="0044640F" w:rsidP="007756EF">
      <w:pPr>
        <w:pStyle w:val="ParaNum"/>
        <w:widowControl/>
        <w:jc w:val="left"/>
        <w:rPr>
          <w:szCs w:val="22"/>
        </w:rPr>
      </w:pPr>
      <w:r>
        <w:t>Payment of the proposed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w:t>
      </w:r>
      <w:r w:rsidR="00E81BC0">
        <w:t xml:space="preserve"> and enter the letters “FORF” in block number 24A (payment type code).  Licensee will also send electronic notification on the date said payment is made to Penelope Dade at </w:t>
      </w:r>
      <w:r w:rsidR="00E81BC0" w:rsidRPr="00E81BC0">
        <w:t>Penelope.Dade@FCC.GOV</w:t>
      </w:r>
      <w:r w:rsidR="00E81BC0">
        <w:t xml:space="preserve"> and Kim Varner at </w:t>
      </w:r>
      <w:r w:rsidR="00E81BC0" w:rsidRPr="00E81BC0">
        <w:t>Kim.Varner@FCC.GOV</w:t>
      </w:r>
      <w:r w:rsidR="00E81BC0">
        <w:t xml:space="preserve">.  Below are additional instructions </w:t>
      </w:r>
      <w:r w:rsidR="00533198">
        <w:t xml:space="preserve">that </w:t>
      </w:r>
      <w:r w:rsidR="00E81BC0">
        <w:t xml:space="preserve">should </w:t>
      </w:r>
      <w:r w:rsidR="00533198">
        <w:t xml:space="preserve">be </w:t>
      </w:r>
      <w:r w:rsidR="00E81BC0">
        <w:t>follow</w:t>
      </w:r>
      <w:r w:rsidR="00533198">
        <w:t>ed</w:t>
      </w:r>
      <w:r w:rsidR="00E81BC0">
        <w:t xml:space="preserve"> based on the form of payment </w:t>
      </w:r>
      <w:r w:rsidR="00533198">
        <w:t>s</w:t>
      </w:r>
      <w:r w:rsidR="00E81BC0">
        <w:t>elect</w:t>
      </w:r>
      <w:r w:rsidR="00533198">
        <w:t>ed</w:t>
      </w:r>
      <w:r w:rsidR="00E81BC0">
        <w:t xml:space="preserve">: </w:t>
      </w:r>
    </w:p>
    <w:p w:rsidR="007756EF" w:rsidRDefault="007756EF" w:rsidP="007756EF">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7756EF" w:rsidRDefault="007756EF" w:rsidP="007756EF">
      <w:pPr>
        <w:spacing w:before="16" w:line="220" w:lineRule="exact"/>
      </w:pPr>
    </w:p>
    <w:p w:rsidR="007756EF" w:rsidRDefault="007756EF" w:rsidP="007756EF">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7756EF" w:rsidRDefault="007756EF" w:rsidP="007756EF">
      <w:pPr>
        <w:spacing w:before="2" w:line="240" w:lineRule="exact"/>
        <w:rPr>
          <w:sz w:val="24"/>
          <w:szCs w:val="24"/>
        </w:rPr>
      </w:pPr>
    </w:p>
    <w:p w:rsidR="007756EF" w:rsidRDefault="007756EF" w:rsidP="007756EF">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w:t>
      </w:r>
      <w:r>
        <w:rPr>
          <w:spacing w:val="27"/>
        </w:rPr>
        <w:t xml:space="preserve"> </w:t>
      </w:r>
      <w:r>
        <w:t xml:space="preserve">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 xml:space="preserve">ent </w:t>
      </w:r>
      <w:r>
        <w:rPr>
          <w:spacing w:val="1"/>
        </w:rPr>
        <w:t xml:space="preserve"> </w:t>
      </w:r>
      <w:r>
        <w:t>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7756EF" w:rsidRDefault="007756EF" w:rsidP="007756EF">
      <w:pPr>
        <w:spacing w:before="1"/>
        <w:ind w:left="1180" w:right="-20"/>
      </w:pPr>
    </w:p>
    <w:p w:rsidR="00BC5C0E" w:rsidRPr="00F93FCD" w:rsidRDefault="00CF236D" w:rsidP="00F93FCD">
      <w:pPr>
        <w:pStyle w:val="ParaNum"/>
        <w:widowControl/>
        <w:jc w:val="left"/>
        <w:rPr>
          <w:sz w:val="14"/>
          <w:szCs w:val="14"/>
        </w:rPr>
      </w:pPr>
      <w:r w:rsidRPr="00F93FCD">
        <w:rPr>
          <w:szCs w:val="22"/>
        </w:rPr>
        <w:t>The response, if any, must be mailed to Office of the Secretary, Federal Communications Commission, 445 12</w:t>
      </w:r>
      <w:r w:rsidRPr="00F93FCD">
        <w:rPr>
          <w:szCs w:val="22"/>
          <w:vertAlign w:val="superscript"/>
        </w:rPr>
        <w:t>th</w:t>
      </w:r>
      <w:r w:rsidRPr="00F93FCD">
        <w:rPr>
          <w:szCs w:val="22"/>
        </w:rPr>
        <w:t xml:space="preserve"> Street, S.W., Washington DC 20554, ATTN:  Peter H. Doyle, Chief, Audio Division, Media Bureau, and MUST INCLUDE the NAL/Acct. No. referenced above.</w:t>
      </w:r>
    </w:p>
    <w:p w:rsidR="00BC5C0E" w:rsidRDefault="00CF236D" w:rsidP="00BC5C0E">
      <w:pPr>
        <w:pStyle w:val="ParaNum"/>
        <w:widowControl/>
        <w:jc w:val="left"/>
        <w:rPr>
          <w:szCs w:val="22"/>
        </w:rPr>
      </w:pPr>
      <w:r w:rsidRPr="00BC5C0E">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BC5C0E" w:rsidRDefault="00CF236D" w:rsidP="00BC5C0E">
      <w:pPr>
        <w:pStyle w:val="ParaNum"/>
        <w:widowControl/>
        <w:jc w:val="left"/>
        <w:rPr>
          <w:szCs w:val="22"/>
        </w:rPr>
      </w:pPr>
      <w:r w:rsidRPr="00BC5C0E">
        <w:rPr>
          <w:szCs w:val="22"/>
        </w:rPr>
        <w:t xml:space="preserve">Requests for full payment of the forfeiture proposed in this </w:t>
      </w:r>
      <w:r w:rsidRPr="00BC5C0E">
        <w:rPr>
          <w:i/>
          <w:szCs w:val="22"/>
        </w:rPr>
        <w:t>NAL</w:t>
      </w:r>
      <w:r w:rsidRPr="00BC5C0E">
        <w:rPr>
          <w:szCs w:val="22"/>
        </w:rP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25"/>
      </w:r>
    </w:p>
    <w:p w:rsidR="006C1806" w:rsidRPr="003647ED" w:rsidRDefault="00BC5C0E" w:rsidP="003647ED">
      <w:pPr>
        <w:pStyle w:val="ParaNum"/>
        <w:widowControl/>
        <w:jc w:val="left"/>
        <w:rPr>
          <w:szCs w:val="22"/>
        </w:rPr>
      </w:pPr>
      <w:r>
        <w:rPr>
          <w:szCs w:val="22"/>
        </w:rPr>
        <w:t>I</w:t>
      </w:r>
      <w:r w:rsidR="00CF236D" w:rsidRPr="00BC5C0E">
        <w:rPr>
          <w:szCs w:val="22"/>
        </w:rPr>
        <w:t xml:space="preserve">T IS FURTHER ORDERED that copies of this </w:t>
      </w:r>
      <w:r w:rsidR="00CF236D" w:rsidRPr="00BC5C0E">
        <w:rPr>
          <w:i/>
          <w:szCs w:val="22"/>
        </w:rPr>
        <w:t>NAL</w:t>
      </w:r>
      <w:r w:rsidR="00CF236D" w:rsidRPr="00BC5C0E">
        <w:rPr>
          <w:szCs w:val="22"/>
        </w:rPr>
        <w:t xml:space="preserve"> shall be sent, by First Class and Certified Mail, Return Receipt Requested, to </w:t>
      </w:r>
      <w:r w:rsidR="00533198">
        <w:rPr>
          <w:szCs w:val="22"/>
        </w:rPr>
        <w:t xml:space="preserve">Radio Fiesta Corporation, </w:t>
      </w:r>
      <w:r w:rsidR="005D48D5">
        <w:rPr>
          <w:szCs w:val="22"/>
        </w:rPr>
        <w:t xml:space="preserve">c/o SIDHU, 8320 Flanders Drive, No. 138, San Diego, CA 92126 </w:t>
      </w:r>
      <w:r w:rsidR="00CF236D" w:rsidRPr="00BC5C0E">
        <w:rPr>
          <w:szCs w:val="22"/>
        </w:rPr>
        <w:t>and to its counsel,</w:t>
      </w:r>
      <w:r w:rsidR="00266227">
        <w:rPr>
          <w:szCs w:val="22"/>
        </w:rPr>
        <w:t xml:space="preserve"> Miles </w:t>
      </w:r>
      <w:r w:rsidR="007C0439">
        <w:rPr>
          <w:szCs w:val="22"/>
        </w:rPr>
        <w:t xml:space="preserve">S. </w:t>
      </w:r>
      <w:r w:rsidR="00266227">
        <w:rPr>
          <w:szCs w:val="22"/>
        </w:rPr>
        <w:t>Mason, Esq., Pillsb</w:t>
      </w:r>
      <w:r w:rsidR="003647ED">
        <w:rPr>
          <w:szCs w:val="22"/>
        </w:rPr>
        <w:t xml:space="preserve">ury Winthrop Shaw Pittman </w:t>
      </w:r>
      <w:r w:rsidR="00266227" w:rsidRPr="003647ED">
        <w:rPr>
          <w:szCs w:val="22"/>
        </w:rPr>
        <w:t>LLP</w:t>
      </w:r>
      <w:r w:rsidR="00694FC0" w:rsidRPr="003647ED">
        <w:rPr>
          <w:szCs w:val="22"/>
        </w:rPr>
        <w:t xml:space="preserve">, </w:t>
      </w:r>
      <w:r w:rsidR="00266227" w:rsidRPr="003647ED">
        <w:rPr>
          <w:szCs w:val="22"/>
        </w:rPr>
        <w:t>23</w:t>
      </w:r>
      <w:r w:rsidR="00E77B2F" w:rsidRPr="003647ED">
        <w:rPr>
          <w:szCs w:val="22"/>
        </w:rPr>
        <w:t xml:space="preserve">00 </w:t>
      </w:r>
      <w:r w:rsidR="00266227" w:rsidRPr="003647ED">
        <w:rPr>
          <w:szCs w:val="22"/>
        </w:rPr>
        <w:t>N Street, N.W.</w:t>
      </w:r>
      <w:r w:rsidR="00E9709E" w:rsidRPr="003647ED">
        <w:rPr>
          <w:szCs w:val="22"/>
        </w:rPr>
        <w:t>,</w:t>
      </w:r>
      <w:r w:rsidR="00DC134A" w:rsidRPr="003647ED">
        <w:rPr>
          <w:szCs w:val="22"/>
        </w:rPr>
        <w:t xml:space="preserve"> </w:t>
      </w:r>
      <w:r w:rsidR="00694FC0" w:rsidRPr="003647ED">
        <w:rPr>
          <w:szCs w:val="22"/>
        </w:rPr>
        <w:t>Washington, DC 200</w:t>
      </w:r>
      <w:r w:rsidR="00266227" w:rsidRPr="003647ED">
        <w:rPr>
          <w:szCs w:val="22"/>
        </w:rPr>
        <w:t>3</w:t>
      </w:r>
      <w:r w:rsidR="00E77B2F" w:rsidRPr="003647ED">
        <w:rPr>
          <w:szCs w:val="22"/>
        </w:rPr>
        <w:t>7</w:t>
      </w:r>
      <w:r w:rsidR="00940F4C">
        <w:rPr>
          <w:szCs w:val="22"/>
        </w:rPr>
        <w:t xml:space="preserve">, </w:t>
      </w:r>
      <w:r w:rsidR="005D48D5" w:rsidRPr="003647ED">
        <w:rPr>
          <w:szCs w:val="22"/>
        </w:rPr>
        <w:t>and to Intelli, LLC, 1982 Senter Road, San Jose, CA 95112 and to its counsel</w:t>
      </w:r>
      <w:r w:rsidR="00940F4C">
        <w:rPr>
          <w:szCs w:val="22"/>
        </w:rPr>
        <w:t>,</w:t>
      </w:r>
      <w:r w:rsidR="005D48D5" w:rsidRPr="003647ED">
        <w:rPr>
          <w:szCs w:val="22"/>
        </w:rPr>
        <w:t xml:space="preserve"> Dan J. Alpert, Esq., The Law Office of Dan J. Alpert, 2120 N. 21s</w:t>
      </w:r>
      <w:r w:rsidR="007C41D6" w:rsidRPr="003647ED">
        <w:rPr>
          <w:szCs w:val="22"/>
        </w:rPr>
        <w:t>t</w:t>
      </w:r>
      <w:r w:rsidR="005D48D5" w:rsidRPr="003647ED">
        <w:rPr>
          <w:szCs w:val="22"/>
        </w:rPr>
        <w:t xml:space="preserve"> Road, Arlington, VA 22201.</w:t>
      </w:r>
    </w:p>
    <w:p w:rsidR="006C1806" w:rsidRDefault="00CF236D">
      <w:pPr>
        <w:tabs>
          <w:tab w:val="left" w:pos="0"/>
        </w:tabs>
        <w:suppressAutoHyphens/>
        <w:rPr>
          <w:szCs w:val="22"/>
        </w:rPr>
      </w:pP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6C1806" w:rsidRDefault="006C1806">
      <w:pPr>
        <w:tabs>
          <w:tab w:val="left" w:pos="0"/>
        </w:tabs>
        <w:suppressAutoHyphens/>
        <w:rPr>
          <w:szCs w:val="22"/>
        </w:rPr>
      </w:pPr>
    </w:p>
    <w:p w:rsidR="006C1806" w:rsidRDefault="006C1806">
      <w:pPr>
        <w:tabs>
          <w:tab w:val="left" w:pos="0"/>
        </w:tabs>
        <w:suppressAutoHyphens/>
        <w:rPr>
          <w:szCs w:val="22"/>
        </w:rPr>
      </w:pP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6C1806" w:rsidRDefault="00CF236D">
      <w:pPr>
        <w:rPr>
          <w:szCs w:val="22"/>
        </w:rPr>
      </w:pPr>
      <w:r>
        <w:rPr>
          <w:szCs w:val="22"/>
        </w:rPr>
        <w:tab/>
      </w:r>
      <w:r>
        <w:rPr>
          <w:szCs w:val="22"/>
        </w:rPr>
        <w:tab/>
      </w:r>
      <w:r>
        <w:rPr>
          <w:szCs w:val="22"/>
        </w:rPr>
        <w:tab/>
      </w:r>
      <w:r>
        <w:rPr>
          <w:szCs w:val="22"/>
        </w:rPr>
        <w:tab/>
        <w:t xml:space="preserve">             Chief, Audio Division</w:t>
      </w:r>
    </w:p>
    <w:p w:rsidR="006C1806" w:rsidRDefault="00CF236D">
      <w:pPr>
        <w:rPr>
          <w:szCs w:val="22"/>
        </w:rPr>
      </w:pPr>
      <w:r>
        <w:rPr>
          <w:szCs w:val="22"/>
        </w:rPr>
        <w:tab/>
      </w:r>
      <w:r>
        <w:rPr>
          <w:szCs w:val="22"/>
        </w:rPr>
        <w:tab/>
      </w:r>
      <w:r>
        <w:rPr>
          <w:szCs w:val="22"/>
        </w:rPr>
        <w:tab/>
      </w:r>
      <w:r>
        <w:rPr>
          <w:szCs w:val="22"/>
        </w:rPr>
        <w:tab/>
      </w:r>
      <w:r>
        <w:rPr>
          <w:szCs w:val="22"/>
        </w:rPr>
        <w:tab/>
        <w:t>Media Bureau</w:t>
      </w:r>
    </w:p>
    <w:p w:rsidR="006C1806" w:rsidRDefault="006C1806"/>
    <w:sectPr w:rsidR="006C18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E0" w:rsidRDefault="00EA39E0">
      <w:r>
        <w:separator/>
      </w:r>
    </w:p>
  </w:endnote>
  <w:endnote w:type="continuationSeparator" w:id="0">
    <w:p w:rsidR="00EA39E0" w:rsidRDefault="00EA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06" w:rsidRDefault="006C1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828">
      <w:rPr>
        <w:rStyle w:val="PageNumber"/>
        <w:noProof/>
      </w:rPr>
      <w:t>2</w:t>
    </w:r>
    <w:r>
      <w:rPr>
        <w:rStyle w:val="PageNumber"/>
      </w:rPr>
      <w:fldChar w:fldCharType="end"/>
    </w:r>
  </w:p>
  <w:p w:rsidR="006C1806" w:rsidRDefault="006C1806">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6C180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E0" w:rsidRDefault="00EA39E0">
      <w:r>
        <w:separator/>
      </w:r>
    </w:p>
  </w:footnote>
  <w:footnote w:type="continuationSeparator" w:id="0">
    <w:p w:rsidR="00EA39E0" w:rsidRDefault="00EA39E0">
      <w:r>
        <w:continuationSeparator/>
      </w:r>
    </w:p>
  </w:footnote>
  <w:footnote w:id="1">
    <w:p w:rsidR="006C1806" w:rsidRPr="00BC5C0E" w:rsidRDefault="00CF236D">
      <w:pPr>
        <w:pStyle w:val="FootnoteText"/>
        <w:jc w:val="left"/>
        <w:rPr>
          <w:sz w:val="20"/>
        </w:rPr>
      </w:pPr>
      <w:r w:rsidRPr="00BC5C0E">
        <w:rPr>
          <w:rStyle w:val="FootnoteReference"/>
          <w:sz w:val="20"/>
        </w:rPr>
        <w:footnoteRef/>
      </w:r>
      <w:r w:rsidRPr="00BC5C0E">
        <w:rPr>
          <w:sz w:val="20"/>
        </w:rPr>
        <w:t xml:space="preserve"> This </w:t>
      </w:r>
      <w:r w:rsidRPr="00BC5C0E">
        <w:rPr>
          <w:i/>
          <w:sz w:val="20"/>
        </w:rPr>
        <w:t>NAL</w:t>
      </w:r>
      <w:r w:rsidRPr="00BC5C0E">
        <w:rPr>
          <w:sz w:val="20"/>
        </w:rPr>
        <w:t xml:space="preserve"> is issued pursuant to Sections 309(k) and 503(b) of the Communications Act of 1934, as amended (“Act”), and Section 1.80 of the Commission’s rules (“Rules”).  </w:t>
      </w:r>
      <w:r w:rsidRPr="00BC5C0E">
        <w:rPr>
          <w:i/>
          <w:sz w:val="20"/>
        </w:rPr>
        <w:t>See</w:t>
      </w:r>
      <w:r w:rsidRPr="00BC5C0E">
        <w:rPr>
          <w:sz w:val="20"/>
        </w:rPr>
        <w:t xml:space="preserve"> 47 U.S.C. §§ 309(k), 503(b); 47 C.F.R. § 1.80.  The Bureau has delegated authority to issue the </w:t>
      </w:r>
      <w:r w:rsidRPr="00BC5C0E">
        <w:rPr>
          <w:i/>
          <w:sz w:val="20"/>
        </w:rPr>
        <w:t>NAL</w:t>
      </w:r>
      <w:r w:rsidRPr="00BC5C0E">
        <w:rPr>
          <w:sz w:val="20"/>
        </w:rPr>
        <w:t xml:space="preserve"> under Section 0.283 of the Rules.  </w:t>
      </w:r>
      <w:r w:rsidRPr="00BC5C0E">
        <w:rPr>
          <w:i/>
          <w:sz w:val="20"/>
        </w:rPr>
        <w:t>See</w:t>
      </w:r>
      <w:r w:rsidRPr="00BC5C0E">
        <w:rPr>
          <w:sz w:val="20"/>
        </w:rPr>
        <w:t xml:space="preserve"> 47 C.F.R. § 0.283.</w:t>
      </w:r>
    </w:p>
  </w:footnote>
  <w:footnote w:id="2">
    <w:p w:rsidR="007B0445" w:rsidRPr="00BC5C0E" w:rsidRDefault="007B0445" w:rsidP="007B0445">
      <w:pPr>
        <w:pStyle w:val="Footer"/>
        <w:spacing w:after="120"/>
        <w:rPr>
          <w:sz w:val="20"/>
          <w:lang w:eastAsia="zh-CN"/>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w:t>
      </w:r>
      <w:r w:rsidRPr="00BC5C0E">
        <w:rPr>
          <w:sz w:val="20"/>
          <w:lang w:eastAsia="zh-CN"/>
        </w:rPr>
        <w:t>§ 73.3539.</w:t>
      </w:r>
    </w:p>
  </w:footnote>
  <w:footnote w:id="3">
    <w:p w:rsidR="007B0445" w:rsidRPr="00BC5C0E" w:rsidRDefault="007B0445" w:rsidP="007B0445">
      <w:pPr>
        <w:pStyle w:val="FootnoteText"/>
        <w:rPr>
          <w:sz w:val="20"/>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 73.352</w:t>
      </w:r>
      <w:r w:rsidR="00317CA8">
        <w:rPr>
          <w:sz w:val="20"/>
        </w:rPr>
        <w:t>6</w:t>
      </w:r>
      <w:r w:rsidRPr="00BC5C0E">
        <w:rPr>
          <w:sz w:val="20"/>
        </w:rPr>
        <w:t>.</w:t>
      </w:r>
    </w:p>
  </w:footnote>
  <w:footnote w:id="4">
    <w:p w:rsidR="00BA00D1" w:rsidRPr="00BC5C0E" w:rsidRDefault="00BA00D1" w:rsidP="00BC5C0E">
      <w:pPr>
        <w:pStyle w:val="Footer"/>
        <w:spacing w:after="120"/>
        <w:rPr>
          <w:sz w:val="20"/>
        </w:rPr>
      </w:pPr>
      <w:r w:rsidRPr="00BC5C0E">
        <w:rPr>
          <w:rStyle w:val="FootnoteReference"/>
          <w:sz w:val="20"/>
        </w:rPr>
        <w:footnoteRef/>
      </w:r>
      <w:r w:rsidRPr="00BC5C0E">
        <w:rPr>
          <w:sz w:val="20"/>
        </w:rPr>
        <w:t xml:space="preserve"> 47 C.F.R. § 73.3539(a).</w:t>
      </w:r>
    </w:p>
  </w:footnote>
  <w:footnote w:id="5">
    <w:p w:rsidR="00FE0C4E" w:rsidRPr="00BC5C0E" w:rsidRDefault="00FE0C4E" w:rsidP="00FE0C4E">
      <w:pPr>
        <w:pStyle w:val="Footer"/>
        <w:spacing w:after="120"/>
        <w:rPr>
          <w:sz w:val="20"/>
        </w:rPr>
      </w:pPr>
      <w:r w:rsidRPr="00BC5C0E">
        <w:rPr>
          <w:rStyle w:val="FootnoteReference"/>
          <w:sz w:val="20"/>
        </w:rPr>
        <w:footnoteRef/>
      </w:r>
      <w:r w:rsidRPr="00BC5C0E">
        <w:rPr>
          <w:sz w:val="20"/>
        </w:rPr>
        <w:t xml:space="preserve"> </w:t>
      </w:r>
      <w:r w:rsidRPr="00BC5C0E">
        <w:rPr>
          <w:i/>
          <w:sz w:val="20"/>
        </w:rPr>
        <w:t>See</w:t>
      </w:r>
      <w:r w:rsidRPr="00BC5C0E">
        <w:rPr>
          <w:sz w:val="20"/>
        </w:rPr>
        <w:t xml:space="preserve"> 47 C.F.R. §§ 73.1020, 73.3539(a).</w:t>
      </w:r>
    </w:p>
  </w:footnote>
  <w:footnote w:id="6">
    <w:p w:rsidR="00F33669" w:rsidRDefault="00F33669">
      <w:pPr>
        <w:pStyle w:val="FootnoteText"/>
      </w:pPr>
      <w:r>
        <w:rPr>
          <w:rStyle w:val="FootnoteReference"/>
        </w:rPr>
        <w:footnoteRef/>
      </w:r>
      <w:r>
        <w:t xml:space="preserve"> 2005 Renewal Application, Exhibit 12.</w:t>
      </w:r>
    </w:p>
  </w:footnote>
  <w:footnote w:id="7">
    <w:p w:rsidR="00F33669" w:rsidRPr="00F33669" w:rsidRDefault="00F33669">
      <w:pPr>
        <w:pStyle w:val="FootnoteText"/>
      </w:pPr>
      <w:r>
        <w:rPr>
          <w:rStyle w:val="FootnoteReference"/>
        </w:rPr>
        <w:footnoteRef/>
      </w:r>
      <w:r>
        <w:t xml:space="preserve"> </w:t>
      </w:r>
      <w:r>
        <w:rPr>
          <w:i/>
        </w:rPr>
        <w:t>Id.</w:t>
      </w:r>
    </w:p>
  </w:footnote>
  <w:footnote w:id="8">
    <w:p w:rsidR="006C1806" w:rsidRPr="00BC5C0E" w:rsidRDefault="00CF236D">
      <w:pPr>
        <w:pStyle w:val="FootnoteText"/>
        <w:jc w:val="left"/>
        <w:rPr>
          <w:sz w:val="20"/>
        </w:rPr>
      </w:pPr>
      <w:r w:rsidRPr="00BC5C0E">
        <w:rPr>
          <w:rStyle w:val="FootnoteReference"/>
          <w:sz w:val="20"/>
        </w:rPr>
        <w:footnoteRef/>
      </w:r>
      <w:r w:rsidRPr="00BC5C0E">
        <w:rPr>
          <w:sz w:val="20"/>
        </w:rPr>
        <w:t xml:space="preserve"> </w:t>
      </w:r>
      <w:r w:rsidRPr="00BC5C0E">
        <w:rPr>
          <w:i/>
          <w:sz w:val="20"/>
        </w:rPr>
        <w:t>Cf</w:t>
      </w:r>
      <w:r w:rsidRPr="00BC5C0E">
        <w:rPr>
          <w:sz w:val="20"/>
        </w:rPr>
        <w:t xml:space="preserve">. </w:t>
      </w:r>
      <w:r w:rsidRPr="00BC5C0E">
        <w:rPr>
          <w:i/>
          <w:sz w:val="20"/>
        </w:rPr>
        <w:t>Letter to Kathleen N. Benfield from Linda B. Blair, Chief, Audio Services Division</w:t>
      </w:r>
      <w:r w:rsidRPr="00BC5C0E">
        <w:rPr>
          <w:sz w:val="20"/>
        </w:rPr>
        <w:t>, 13 FCC Rcd 4102 (MMB 1997) (citing</w:t>
      </w:r>
      <w:r w:rsidRPr="00BC5C0E">
        <w:rPr>
          <w:i/>
          <w:sz w:val="20"/>
        </w:rPr>
        <w:t xml:space="preserve"> License Renewal Applications of Certain Commercial Radio Stations,</w:t>
      </w:r>
      <w:r w:rsidRPr="00BC5C0E">
        <w:rPr>
          <w:sz w:val="20"/>
        </w:rPr>
        <w:t xml:space="preserve"> Memorandum Opinion and Order, 8 FCC Rcd 6400 (MMB 1993)).  </w:t>
      </w:r>
    </w:p>
  </w:footnote>
  <w:footnote w:id="9">
    <w:p w:rsidR="006C1806" w:rsidRPr="00BC5C0E" w:rsidRDefault="00CF236D">
      <w:pPr>
        <w:pStyle w:val="FootnoteText"/>
        <w:jc w:val="left"/>
        <w:rPr>
          <w:sz w:val="20"/>
        </w:rPr>
      </w:pPr>
      <w:r w:rsidRPr="00BC5C0E">
        <w:rPr>
          <w:rStyle w:val="FootnoteReference"/>
          <w:sz w:val="20"/>
        </w:rPr>
        <w:footnoteRef/>
      </w:r>
      <w:r w:rsidRPr="00BC5C0E">
        <w:rPr>
          <w:sz w:val="20"/>
        </w:rPr>
        <w:t xml:space="preserve"> </w:t>
      </w:r>
      <w:r w:rsidRPr="00BC5C0E">
        <w:rPr>
          <w:i/>
          <w:sz w:val="20"/>
        </w:rPr>
        <w:t xml:space="preserve">See </w:t>
      </w:r>
      <w:r w:rsidRPr="00BC5C0E">
        <w:rPr>
          <w:sz w:val="20"/>
        </w:rPr>
        <w:t>47 C.F.R. § 73.</w:t>
      </w:r>
      <w:r w:rsidR="00AF7539" w:rsidRPr="00BC5C0E">
        <w:rPr>
          <w:sz w:val="20"/>
        </w:rPr>
        <w:t>352</w:t>
      </w:r>
      <w:r w:rsidR="001763F5">
        <w:rPr>
          <w:sz w:val="20"/>
        </w:rPr>
        <w:t>6</w:t>
      </w:r>
      <w:r w:rsidRPr="00BC5C0E">
        <w:rPr>
          <w:sz w:val="20"/>
        </w:rPr>
        <w:t>(e)(</w:t>
      </w:r>
      <w:r w:rsidR="000A0223" w:rsidRPr="00BC5C0E">
        <w:rPr>
          <w:sz w:val="20"/>
        </w:rPr>
        <w:t>8</w:t>
      </w:r>
      <w:r w:rsidRPr="00BC5C0E">
        <w:rPr>
          <w:sz w:val="20"/>
        </w:rPr>
        <w:t>).</w:t>
      </w:r>
    </w:p>
  </w:footnote>
  <w:footnote w:id="10">
    <w:p w:rsidR="00CD5C3A" w:rsidRPr="009A3FF4" w:rsidRDefault="00CD5C3A" w:rsidP="00CE3F8B">
      <w:pPr>
        <w:pStyle w:val="FootnoteText"/>
        <w:jc w:val="left"/>
        <w:rPr>
          <w:sz w:val="20"/>
        </w:rPr>
      </w:pPr>
      <w:r w:rsidRPr="00BC5C0E">
        <w:rPr>
          <w:rStyle w:val="FootnoteReference"/>
          <w:sz w:val="20"/>
        </w:rPr>
        <w:footnoteRef/>
      </w:r>
      <w:r w:rsidRPr="00BC5C0E">
        <w:rPr>
          <w:sz w:val="20"/>
        </w:rPr>
        <w:t xml:space="preserve"> </w:t>
      </w:r>
      <w:r w:rsidR="007A74C4" w:rsidRPr="00625E5D">
        <w:rPr>
          <w:sz w:val="20"/>
        </w:rPr>
        <w:t>2005 Renewal Application, Exhibit 12</w:t>
      </w:r>
      <w:r w:rsidR="00D30E1A" w:rsidRPr="00625E5D">
        <w:rPr>
          <w:i/>
          <w:sz w:val="20"/>
        </w:rPr>
        <w:t>.</w:t>
      </w:r>
      <w:r w:rsidR="00D13CDC" w:rsidRPr="00625E5D">
        <w:rPr>
          <w:i/>
          <w:sz w:val="20"/>
        </w:rPr>
        <w:t xml:space="preserve">  </w:t>
      </w:r>
      <w:r w:rsidR="00D13CDC" w:rsidRPr="00625E5D">
        <w:rPr>
          <w:sz w:val="20"/>
        </w:rPr>
        <w:t>A</w:t>
      </w:r>
      <w:r w:rsidR="009068BF" w:rsidRPr="00625E5D">
        <w:rPr>
          <w:sz w:val="20"/>
        </w:rPr>
        <w:t xml:space="preserve">lso in the 2005 Renewal Application </w:t>
      </w:r>
      <w:r w:rsidR="00D13CDC" w:rsidRPr="00625E5D">
        <w:rPr>
          <w:sz w:val="20"/>
        </w:rPr>
        <w:t xml:space="preserve"> Radio Fiesta acknowledged not filing </w:t>
      </w:r>
      <w:r w:rsidR="00B418AB">
        <w:rPr>
          <w:sz w:val="20"/>
        </w:rPr>
        <w:t xml:space="preserve"> Biennial </w:t>
      </w:r>
      <w:r w:rsidR="00D13CDC" w:rsidRPr="00625E5D">
        <w:rPr>
          <w:sz w:val="20"/>
        </w:rPr>
        <w:t xml:space="preserve">Ownership Reports </w:t>
      </w:r>
      <w:r w:rsidR="009068BF" w:rsidRPr="00625E5D">
        <w:rPr>
          <w:sz w:val="20"/>
        </w:rPr>
        <w:t xml:space="preserve">for 2001 and 2003.  Additionally, in the 2013 Renewal Application, it  </w:t>
      </w:r>
      <w:r w:rsidR="00B418AB">
        <w:rPr>
          <w:sz w:val="20"/>
        </w:rPr>
        <w:t xml:space="preserve">checked </w:t>
      </w:r>
      <w:r w:rsidR="009068BF" w:rsidRPr="00625E5D">
        <w:rPr>
          <w:sz w:val="20"/>
        </w:rPr>
        <w:t xml:space="preserve"> “No” </w:t>
      </w:r>
      <w:r w:rsidR="00B418AB">
        <w:rPr>
          <w:sz w:val="20"/>
        </w:rPr>
        <w:t xml:space="preserve">for </w:t>
      </w:r>
      <w:r w:rsidR="009068BF" w:rsidRPr="00625E5D">
        <w:rPr>
          <w:sz w:val="20"/>
        </w:rPr>
        <w:t xml:space="preserve">compliance with the Local Public File Rule, and noted </w:t>
      </w:r>
      <w:r w:rsidR="00D27771">
        <w:rPr>
          <w:sz w:val="20"/>
        </w:rPr>
        <w:t xml:space="preserve">in an exhibit </w:t>
      </w:r>
      <w:r w:rsidR="009068BF" w:rsidRPr="00625E5D">
        <w:rPr>
          <w:sz w:val="20"/>
        </w:rPr>
        <w:t xml:space="preserve">that the Station had failed to file certain Biennial Ownership reports, but was in the process of filing the missing reports. </w:t>
      </w:r>
      <w:r w:rsidR="00D30E1A" w:rsidRPr="00625E5D">
        <w:rPr>
          <w:i/>
          <w:sz w:val="20"/>
        </w:rPr>
        <w:t xml:space="preserve"> </w:t>
      </w:r>
      <w:r w:rsidR="009A3FF4">
        <w:rPr>
          <w:sz w:val="20"/>
        </w:rPr>
        <w:t>According to Commission records, these Biennial Ownership Reports have since been filed.</w:t>
      </w:r>
    </w:p>
  </w:footnote>
  <w:footnote w:id="11">
    <w:p w:rsidR="00E33083" w:rsidRPr="00BC5C0E" w:rsidRDefault="00E33083" w:rsidP="00BC5C0E">
      <w:pPr>
        <w:pStyle w:val="Footer"/>
        <w:spacing w:after="120"/>
        <w:rPr>
          <w:sz w:val="20"/>
        </w:rPr>
      </w:pPr>
      <w:r w:rsidRPr="00BC5C0E">
        <w:rPr>
          <w:rStyle w:val="FootnoteReference"/>
          <w:sz w:val="20"/>
        </w:rPr>
        <w:footnoteRef/>
      </w:r>
      <w:r w:rsidRPr="00BC5C0E">
        <w:rPr>
          <w:sz w:val="20"/>
        </w:rPr>
        <w:t xml:space="preserve"> 47 C.F.R. § 73.1020.</w:t>
      </w:r>
    </w:p>
  </w:footnote>
  <w:footnote w:id="12">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w:t>
      </w:r>
      <w:r w:rsidRPr="00BC5C0E">
        <w:rPr>
          <w:i/>
          <w:sz w:val="20"/>
        </w:rPr>
        <w:t>See Padre Serra Communications, Inc.</w:t>
      </w:r>
      <w:r w:rsidRPr="00BC5C0E">
        <w:rPr>
          <w:sz w:val="20"/>
        </w:rPr>
        <w:t>, Letter, 14 FCC Rcd 9709 (MMB 1999) (citing</w:t>
      </w:r>
      <w:r w:rsidRPr="00BC5C0E">
        <w:rPr>
          <w:i/>
          <w:sz w:val="20"/>
        </w:rPr>
        <w:t xml:space="preserve"> Gaffney Broadcasting, Inc</w:t>
      </w:r>
      <w:r w:rsidRPr="00BC5C0E">
        <w:rPr>
          <w:sz w:val="20"/>
        </w:rPr>
        <w:t>., Memorandum Opinion and Order, 23 FCC 2d 912, 913 (1970) and</w:t>
      </w:r>
      <w:r w:rsidRPr="00BC5C0E">
        <w:rPr>
          <w:i/>
          <w:sz w:val="20"/>
        </w:rPr>
        <w:t xml:space="preserve"> Eleven Ten Broadcasting Corp</w:t>
      </w:r>
      <w:r w:rsidRPr="00BC5C0E">
        <w:rPr>
          <w:sz w:val="20"/>
        </w:rPr>
        <w:t>., Notice of Apparent Liability, 33 FCC</w:t>
      </w:r>
      <w:r w:rsidRPr="00BC5C0E">
        <w:rPr>
          <w:b/>
          <w:sz w:val="20"/>
        </w:rPr>
        <w:t xml:space="preserve"> </w:t>
      </w:r>
      <w:r w:rsidRPr="00BC5C0E">
        <w:rPr>
          <w:sz w:val="20"/>
        </w:rPr>
        <w:t xml:space="preserve">706 (1962)); </w:t>
      </w:r>
      <w:r w:rsidRPr="00BC5C0E">
        <w:rPr>
          <w:i/>
          <w:sz w:val="20"/>
        </w:rPr>
        <w:t>Surrey Front Range Limited Partnership</w:t>
      </w:r>
      <w:r w:rsidRPr="00BC5C0E">
        <w:rPr>
          <w:sz w:val="20"/>
        </w:rPr>
        <w:t>, Notice of Apparent Liability, 7 FCC Rcd 6361 (FOB 1992).</w:t>
      </w:r>
    </w:p>
  </w:footnote>
  <w:footnote w:id="13">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503(b)(1)(B).  </w:t>
      </w:r>
      <w:r w:rsidRPr="00BC5C0E">
        <w:rPr>
          <w:i/>
          <w:sz w:val="20"/>
        </w:rPr>
        <w:t>S</w:t>
      </w:r>
      <w:r w:rsidRPr="00BC5C0E">
        <w:rPr>
          <w:i/>
          <w:iCs/>
          <w:sz w:val="20"/>
        </w:rPr>
        <w:t>ee also</w:t>
      </w:r>
      <w:r w:rsidRPr="00BC5C0E">
        <w:rPr>
          <w:sz w:val="20"/>
        </w:rPr>
        <w:t xml:space="preserve"> 47 C.F.R. 1.80(a)(1).</w:t>
      </w:r>
    </w:p>
  </w:footnote>
  <w:footnote w:id="14">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312(f)(1).</w:t>
      </w:r>
    </w:p>
  </w:footnote>
  <w:footnote w:id="15">
    <w:p w:rsidR="006C1806" w:rsidRPr="00BC5C0E" w:rsidRDefault="00CF236D" w:rsidP="00CE3F8B">
      <w:pPr>
        <w:pStyle w:val="FootnoteText"/>
        <w:jc w:val="left"/>
        <w:rPr>
          <w:sz w:val="20"/>
        </w:rPr>
      </w:pPr>
      <w:r w:rsidRPr="00BC5C0E">
        <w:rPr>
          <w:rStyle w:val="FootnoteReference"/>
          <w:sz w:val="20"/>
        </w:rPr>
        <w:footnoteRef/>
      </w:r>
      <w:r w:rsidRPr="00BC5C0E">
        <w:rPr>
          <w:i/>
          <w:sz w:val="20"/>
        </w:rPr>
        <w:t xml:space="preserve"> See</w:t>
      </w:r>
      <w:r w:rsidRPr="00BC5C0E">
        <w:rPr>
          <w:sz w:val="20"/>
        </w:rPr>
        <w:t xml:space="preserve"> H.R. Rep. No. 97-765, 97</w:t>
      </w:r>
      <w:r w:rsidRPr="00BC5C0E">
        <w:rPr>
          <w:sz w:val="20"/>
          <w:vertAlign w:val="superscript"/>
        </w:rPr>
        <w:t>th</w:t>
      </w:r>
      <w:r w:rsidRPr="00BC5C0E">
        <w:rPr>
          <w:sz w:val="20"/>
        </w:rPr>
        <w:t xml:space="preserve"> Cong. 2d Sess. 51 (1982).</w:t>
      </w:r>
    </w:p>
  </w:footnote>
  <w:footnote w:id="16">
    <w:p w:rsidR="006C1806" w:rsidRPr="00BC5C0E" w:rsidRDefault="00CF236D" w:rsidP="00CE3F8B">
      <w:pPr>
        <w:pStyle w:val="FootnoteText"/>
        <w:jc w:val="left"/>
        <w:rPr>
          <w:sz w:val="20"/>
        </w:rPr>
      </w:pPr>
      <w:r w:rsidRPr="00BC5C0E">
        <w:rPr>
          <w:rStyle w:val="FootnoteReference"/>
          <w:sz w:val="20"/>
        </w:rPr>
        <w:footnoteRef/>
      </w:r>
      <w:r w:rsidRPr="00BC5C0E">
        <w:rPr>
          <w:i/>
          <w:iCs/>
          <w:sz w:val="20"/>
        </w:rPr>
        <w:t xml:space="preserve"> See Southern California Broadcasting Co.</w:t>
      </w:r>
      <w:r w:rsidRPr="00BC5C0E">
        <w:rPr>
          <w:sz w:val="20"/>
        </w:rPr>
        <w:t>, Memorandum Opinion and Order, 6 FCC Rcd 4387, 4388 (1991).</w:t>
      </w:r>
    </w:p>
  </w:footnote>
  <w:footnote w:id="17">
    <w:p w:rsidR="006C1806" w:rsidRPr="00BC5C0E" w:rsidRDefault="00CF236D" w:rsidP="00CE3F8B">
      <w:pPr>
        <w:pStyle w:val="FootnoteText"/>
        <w:jc w:val="left"/>
        <w:rPr>
          <w:sz w:val="20"/>
        </w:rPr>
      </w:pPr>
      <w:r w:rsidRPr="00BC5C0E">
        <w:rPr>
          <w:rStyle w:val="FootnoteReference"/>
          <w:sz w:val="20"/>
        </w:rPr>
        <w:footnoteRef/>
      </w:r>
      <w:r w:rsidRPr="00BC5C0E">
        <w:rPr>
          <w:sz w:val="20"/>
        </w:rPr>
        <w:t xml:space="preserve"> 47 U.S.C. § 312(f)(2). </w:t>
      </w:r>
    </w:p>
  </w:footnote>
  <w:footnote w:id="18">
    <w:p w:rsidR="001E5755" w:rsidRPr="00BC5C0E" w:rsidRDefault="001E5755" w:rsidP="00BC5C0E">
      <w:pPr>
        <w:pStyle w:val="Footer"/>
        <w:spacing w:after="120"/>
        <w:rPr>
          <w:sz w:val="20"/>
        </w:rPr>
      </w:pPr>
      <w:r w:rsidRPr="00BC5C0E">
        <w:rPr>
          <w:rStyle w:val="FootnoteReference"/>
          <w:sz w:val="20"/>
        </w:rPr>
        <w:footnoteRef/>
      </w:r>
      <w:r w:rsidRPr="00BC5C0E">
        <w:rPr>
          <w:sz w:val="20"/>
        </w:rPr>
        <w:t xml:space="preserve"> </w:t>
      </w:r>
      <w:r w:rsidRPr="00BC5C0E">
        <w:rPr>
          <w:i/>
          <w:sz w:val="20"/>
        </w:rPr>
        <w:t>See Forfeiture Policy Statement and Amendment of Section 1.80(b) of the Rules to Incorporate the Forfeiture Guidelines</w:t>
      </w:r>
      <w:r w:rsidRPr="00BC5C0E">
        <w:rPr>
          <w:sz w:val="20"/>
        </w:rPr>
        <w:t>, Report and Order, 12 FCC Rcd 17087, 17113-15 (1997) (“</w:t>
      </w:r>
      <w:r w:rsidRPr="00BC5C0E">
        <w:rPr>
          <w:i/>
          <w:sz w:val="20"/>
        </w:rPr>
        <w:t>Forfeiture Policy Statement</w:t>
      </w:r>
      <w:r w:rsidRPr="00BC5C0E">
        <w:rPr>
          <w:sz w:val="20"/>
        </w:rPr>
        <w:t xml:space="preserve">”), </w:t>
      </w:r>
      <w:r w:rsidRPr="00BC5C0E">
        <w:rPr>
          <w:i/>
          <w:sz w:val="20"/>
        </w:rPr>
        <w:t>recon. denied</w:t>
      </w:r>
      <w:r w:rsidRPr="00BC5C0E">
        <w:rPr>
          <w:sz w:val="20"/>
        </w:rPr>
        <w:t>, 15 FCC Rcd 303 (1999); 47 C.F.R. § 1.80(b)(</w:t>
      </w:r>
      <w:r w:rsidR="006A4DB8">
        <w:rPr>
          <w:sz w:val="20"/>
        </w:rPr>
        <w:t>8</w:t>
      </w:r>
      <w:r w:rsidRPr="00BC5C0E">
        <w:rPr>
          <w:sz w:val="20"/>
        </w:rPr>
        <w:t>), note to paragraph (b)(</w:t>
      </w:r>
      <w:r w:rsidR="006A4DB8">
        <w:rPr>
          <w:sz w:val="20"/>
        </w:rPr>
        <w:t>8</w:t>
      </w:r>
      <w:r w:rsidRPr="00BC5C0E">
        <w:rPr>
          <w:sz w:val="20"/>
        </w:rPr>
        <w:t>), Section I.</w:t>
      </w:r>
    </w:p>
  </w:footnote>
  <w:footnote w:id="19">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503(b)(2)(D); </w:t>
      </w:r>
      <w:r w:rsidRPr="00E7504D">
        <w:rPr>
          <w:i/>
          <w:sz w:val="20"/>
        </w:rPr>
        <w:t xml:space="preserve">see also Forfeiture Policy Statement, </w:t>
      </w:r>
      <w:r w:rsidRPr="00E7504D">
        <w:rPr>
          <w:sz w:val="20"/>
        </w:rPr>
        <w:t>12 FCC Rcd at 17100; 47 C.F.R. § 1.80(b)(</w:t>
      </w:r>
      <w:r w:rsidR="00A17E6A">
        <w:rPr>
          <w:sz w:val="20"/>
        </w:rPr>
        <w:t>8</w:t>
      </w:r>
      <w:r w:rsidRPr="00E7504D">
        <w:rPr>
          <w:sz w:val="20"/>
        </w:rPr>
        <w:t>).</w:t>
      </w:r>
    </w:p>
  </w:footnote>
  <w:footnote w:id="20">
    <w:p w:rsidR="006C1806" w:rsidRPr="00E7504D" w:rsidRDefault="00CF236D">
      <w:pPr>
        <w:pStyle w:val="FootnoteText"/>
        <w:jc w:val="left"/>
        <w:rPr>
          <w:sz w:val="20"/>
        </w:rPr>
      </w:pPr>
      <w:r w:rsidRPr="00E7504D">
        <w:rPr>
          <w:rStyle w:val="FootnoteReference"/>
          <w:sz w:val="20"/>
        </w:rPr>
        <w:footnoteRef/>
      </w:r>
      <w:r w:rsidRPr="00E7504D">
        <w:rPr>
          <w:i/>
          <w:sz w:val="20"/>
        </w:rPr>
        <w:t xml:space="preserve"> </w:t>
      </w:r>
      <w:r w:rsidRPr="00E7504D">
        <w:rPr>
          <w:sz w:val="20"/>
        </w:rPr>
        <w:t>47 U.S.C. § 309(k).</w:t>
      </w:r>
    </w:p>
  </w:footnote>
  <w:footnote w:id="21">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309(k)(1).  </w:t>
      </w:r>
    </w:p>
  </w:footnote>
  <w:footnote w:id="22">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309(k)(2), 309(k)(3).</w:t>
      </w:r>
    </w:p>
  </w:footnote>
  <w:footnote w:id="23">
    <w:p w:rsidR="007D3611" w:rsidRPr="00E7504D" w:rsidRDefault="007D3611" w:rsidP="007D3611">
      <w:pPr>
        <w:pStyle w:val="FootnoteText"/>
        <w:jc w:val="left"/>
        <w:rPr>
          <w:sz w:val="20"/>
        </w:rPr>
      </w:pPr>
      <w:r w:rsidRPr="00E7504D">
        <w:rPr>
          <w:rStyle w:val="FootnoteReference"/>
          <w:sz w:val="20"/>
        </w:rPr>
        <w:footnoteRef/>
      </w:r>
      <w:r w:rsidRPr="00E7504D">
        <w:rPr>
          <w:sz w:val="20"/>
        </w:rPr>
        <w:t xml:space="preserve"> For example, we do not find here that Licensee's Station operation "was conducted in an exceedingly careless, inept and negligent manner and that the licensee is either incapable of correcting or unwilling to correct the operating deficiencies."  </w:t>
      </w:r>
      <w:r w:rsidRPr="00E7504D">
        <w:rPr>
          <w:i/>
          <w:sz w:val="20"/>
        </w:rPr>
        <w:t>See Heart of the Black Hills Stations</w:t>
      </w:r>
      <w:r w:rsidRPr="00E7504D">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sidRPr="00E7504D">
        <w:rPr>
          <w:i/>
          <w:sz w:val="20"/>
        </w:rPr>
        <w:t>Id</w:t>
      </w:r>
      <w:r w:rsidRPr="00E7504D">
        <w:rPr>
          <w:sz w:val="20"/>
        </w:rPr>
        <w:t xml:space="preserve">. at 200.  </w:t>
      </w:r>
      <w:r w:rsidRPr="00E7504D">
        <w:rPr>
          <w:i/>
          <w:sz w:val="20"/>
        </w:rPr>
        <w:t>See also Center for Study and Application of Black Economic Development</w:t>
      </w:r>
      <w:r w:rsidRPr="00E7504D">
        <w:rPr>
          <w:sz w:val="20"/>
        </w:rPr>
        <w:t xml:space="preserve">, Hearing Designation Order, 6 FCC Rcd 4622 (1991); </w:t>
      </w:r>
      <w:r w:rsidRPr="00E7504D">
        <w:rPr>
          <w:i/>
          <w:sz w:val="20"/>
        </w:rPr>
        <w:t>Calvary Educational Broadcasting Network, Inc</w:t>
      </w:r>
      <w:r w:rsidRPr="00E7504D">
        <w:rPr>
          <w:sz w:val="20"/>
        </w:rPr>
        <w:t>., Hearing Designation Order, 7 FCC Rcd 4037 (1992).</w:t>
      </w:r>
    </w:p>
  </w:footnote>
  <w:footnote w:id="24">
    <w:p w:rsidR="00940F4C" w:rsidRDefault="00940F4C" w:rsidP="00940F4C">
      <w:pPr>
        <w:pStyle w:val="FootnoteText"/>
      </w:pPr>
      <w:r>
        <w:rPr>
          <w:rStyle w:val="FootnoteReference"/>
        </w:rPr>
        <w:footnoteRef/>
      </w:r>
      <w:r>
        <w:t xml:space="preserve"> 47 U.S.C. § 309(d).</w:t>
      </w:r>
    </w:p>
  </w:footnote>
  <w:footnote w:id="25">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w:t>
      </w:r>
      <w:r w:rsidRPr="00E7504D">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85" w:rsidRDefault="00BD3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CE02B9" w:rsidRPr="00CE02B9">
      <w:rPr>
        <w:b/>
        <w:szCs w:val="22"/>
      </w:rPr>
      <w:t>14-1660</w:t>
    </w:r>
  </w:p>
  <w:p w:rsidR="006C1806" w:rsidRDefault="00387E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A29F3BB" wp14:editId="06780F2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CE02B9" w:rsidRPr="00CE02B9">
      <w:rPr>
        <w:b/>
        <w:szCs w:val="22"/>
      </w:rPr>
      <w:t>14-1660</w:t>
    </w:r>
  </w:p>
  <w:p w:rsidR="006C1806" w:rsidRDefault="00387E93">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20051"/>
    <w:rsid w:val="000324F1"/>
    <w:rsid w:val="00032CB2"/>
    <w:rsid w:val="00033B01"/>
    <w:rsid w:val="00037B89"/>
    <w:rsid w:val="000419D6"/>
    <w:rsid w:val="000646C8"/>
    <w:rsid w:val="000A0223"/>
    <w:rsid w:val="000C763D"/>
    <w:rsid w:val="000E1AEC"/>
    <w:rsid w:val="000E2C61"/>
    <w:rsid w:val="000E3FB6"/>
    <w:rsid w:val="00110108"/>
    <w:rsid w:val="001208B0"/>
    <w:rsid w:val="0012413E"/>
    <w:rsid w:val="00133EA8"/>
    <w:rsid w:val="00140DBC"/>
    <w:rsid w:val="00173E98"/>
    <w:rsid w:val="00174881"/>
    <w:rsid w:val="001763F5"/>
    <w:rsid w:val="00190988"/>
    <w:rsid w:val="001B4105"/>
    <w:rsid w:val="001B4B13"/>
    <w:rsid w:val="001D17DA"/>
    <w:rsid w:val="001E4DBC"/>
    <w:rsid w:val="001E5755"/>
    <w:rsid w:val="00227030"/>
    <w:rsid w:val="00266227"/>
    <w:rsid w:val="00276D49"/>
    <w:rsid w:val="002A4A25"/>
    <w:rsid w:val="002A6B0C"/>
    <w:rsid w:val="002E2D4A"/>
    <w:rsid w:val="00305CBC"/>
    <w:rsid w:val="00317CA8"/>
    <w:rsid w:val="003276FD"/>
    <w:rsid w:val="00335FE8"/>
    <w:rsid w:val="0034431A"/>
    <w:rsid w:val="0035129B"/>
    <w:rsid w:val="003647ED"/>
    <w:rsid w:val="0036644B"/>
    <w:rsid w:val="00373828"/>
    <w:rsid w:val="00387E93"/>
    <w:rsid w:val="00395C9A"/>
    <w:rsid w:val="003B5587"/>
    <w:rsid w:val="003C7029"/>
    <w:rsid w:val="003E6521"/>
    <w:rsid w:val="0042564A"/>
    <w:rsid w:val="004327F6"/>
    <w:rsid w:val="0044640F"/>
    <w:rsid w:val="0046508D"/>
    <w:rsid w:val="004A5C7A"/>
    <w:rsid w:val="004E2298"/>
    <w:rsid w:val="004F7694"/>
    <w:rsid w:val="0050473F"/>
    <w:rsid w:val="00533198"/>
    <w:rsid w:val="005C0326"/>
    <w:rsid w:val="005D16C6"/>
    <w:rsid w:val="005D48D5"/>
    <w:rsid w:val="006015C5"/>
    <w:rsid w:val="0061769E"/>
    <w:rsid w:val="00624D1E"/>
    <w:rsid w:val="00625E5D"/>
    <w:rsid w:val="00632F5E"/>
    <w:rsid w:val="006356F9"/>
    <w:rsid w:val="00653378"/>
    <w:rsid w:val="006628FF"/>
    <w:rsid w:val="00694FC0"/>
    <w:rsid w:val="006A4DB8"/>
    <w:rsid w:val="006C1806"/>
    <w:rsid w:val="00702B1A"/>
    <w:rsid w:val="00724704"/>
    <w:rsid w:val="00736FD3"/>
    <w:rsid w:val="00756680"/>
    <w:rsid w:val="007756EF"/>
    <w:rsid w:val="00791DD5"/>
    <w:rsid w:val="007A74C4"/>
    <w:rsid w:val="007B0445"/>
    <w:rsid w:val="007B3915"/>
    <w:rsid w:val="007C0439"/>
    <w:rsid w:val="007C41D6"/>
    <w:rsid w:val="007D3611"/>
    <w:rsid w:val="007D7E21"/>
    <w:rsid w:val="007E0B4A"/>
    <w:rsid w:val="007F59DF"/>
    <w:rsid w:val="008036E7"/>
    <w:rsid w:val="00835353"/>
    <w:rsid w:val="0084323D"/>
    <w:rsid w:val="008611EB"/>
    <w:rsid w:val="00873376"/>
    <w:rsid w:val="00887B7A"/>
    <w:rsid w:val="008D1221"/>
    <w:rsid w:val="008D46B0"/>
    <w:rsid w:val="008D7AD0"/>
    <w:rsid w:val="008F5CC6"/>
    <w:rsid w:val="009068BF"/>
    <w:rsid w:val="00912F8F"/>
    <w:rsid w:val="00922D72"/>
    <w:rsid w:val="0092478F"/>
    <w:rsid w:val="00934F96"/>
    <w:rsid w:val="009360B2"/>
    <w:rsid w:val="00937508"/>
    <w:rsid w:val="00940E8E"/>
    <w:rsid w:val="00940F4C"/>
    <w:rsid w:val="00980C31"/>
    <w:rsid w:val="009A3FF4"/>
    <w:rsid w:val="009A4EC0"/>
    <w:rsid w:val="009C00BA"/>
    <w:rsid w:val="009C6FB1"/>
    <w:rsid w:val="00A17E6A"/>
    <w:rsid w:val="00A33490"/>
    <w:rsid w:val="00A506BB"/>
    <w:rsid w:val="00A67460"/>
    <w:rsid w:val="00AA336E"/>
    <w:rsid w:val="00AF7539"/>
    <w:rsid w:val="00B31EA3"/>
    <w:rsid w:val="00B353FB"/>
    <w:rsid w:val="00B418AB"/>
    <w:rsid w:val="00B80250"/>
    <w:rsid w:val="00B92CCE"/>
    <w:rsid w:val="00B9336D"/>
    <w:rsid w:val="00BA00D1"/>
    <w:rsid w:val="00BA1F93"/>
    <w:rsid w:val="00BB4C07"/>
    <w:rsid w:val="00BB704C"/>
    <w:rsid w:val="00BC5507"/>
    <w:rsid w:val="00BC5C0E"/>
    <w:rsid w:val="00BD3685"/>
    <w:rsid w:val="00BF305F"/>
    <w:rsid w:val="00C12224"/>
    <w:rsid w:val="00C130C7"/>
    <w:rsid w:val="00C41531"/>
    <w:rsid w:val="00C42524"/>
    <w:rsid w:val="00C47826"/>
    <w:rsid w:val="00C74BDB"/>
    <w:rsid w:val="00CD2E67"/>
    <w:rsid w:val="00CD5C3A"/>
    <w:rsid w:val="00CE02B9"/>
    <w:rsid w:val="00CE3F8B"/>
    <w:rsid w:val="00CF236D"/>
    <w:rsid w:val="00CF7851"/>
    <w:rsid w:val="00D0318A"/>
    <w:rsid w:val="00D13CDC"/>
    <w:rsid w:val="00D27771"/>
    <w:rsid w:val="00D300EE"/>
    <w:rsid w:val="00D30E1A"/>
    <w:rsid w:val="00D36061"/>
    <w:rsid w:val="00D46D5E"/>
    <w:rsid w:val="00D64B9E"/>
    <w:rsid w:val="00D86BF1"/>
    <w:rsid w:val="00D90AC3"/>
    <w:rsid w:val="00D94C8C"/>
    <w:rsid w:val="00DA5F96"/>
    <w:rsid w:val="00DC134A"/>
    <w:rsid w:val="00DC42AA"/>
    <w:rsid w:val="00DE4CA4"/>
    <w:rsid w:val="00E039DE"/>
    <w:rsid w:val="00E16B50"/>
    <w:rsid w:val="00E24E61"/>
    <w:rsid w:val="00E31B10"/>
    <w:rsid w:val="00E33083"/>
    <w:rsid w:val="00E41CC4"/>
    <w:rsid w:val="00E6027C"/>
    <w:rsid w:val="00E7504D"/>
    <w:rsid w:val="00E77B2F"/>
    <w:rsid w:val="00E81BC0"/>
    <w:rsid w:val="00E9709E"/>
    <w:rsid w:val="00EA39E0"/>
    <w:rsid w:val="00F33669"/>
    <w:rsid w:val="00F93FCD"/>
    <w:rsid w:val="00FA4F39"/>
    <w:rsid w:val="00FC0851"/>
    <w:rsid w:val="00FD3CE4"/>
    <w:rsid w:val="00FD3DEB"/>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PlainText">
    <w:name w:val="Plain Text"/>
    <w:basedOn w:val="Normal"/>
    <w:link w:val="PlainTextChar"/>
    <w:uiPriority w:val="99"/>
    <w:unhideWhenUsed/>
    <w:rsid w:val="008F5CC6"/>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5CC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PlainText">
    <w:name w:val="Plain Text"/>
    <w:basedOn w:val="Normal"/>
    <w:link w:val="PlainTextChar"/>
    <w:uiPriority w:val="99"/>
    <w:unhideWhenUsed/>
    <w:rsid w:val="008F5CC6"/>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F5CC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853">
      <w:bodyDiv w:val="1"/>
      <w:marLeft w:val="0"/>
      <w:marRight w:val="0"/>
      <w:marTop w:val="0"/>
      <w:marBottom w:val="0"/>
      <w:divBdr>
        <w:top w:val="none" w:sz="0" w:space="0" w:color="auto"/>
        <w:left w:val="none" w:sz="0" w:space="0" w:color="auto"/>
        <w:bottom w:val="none" w:sz="0" w:space="0" w:color="auto"/>
        <w:right w:val="none" w:sz="0" w:space="0" w:color="auto"/>
      </w:divBdr>
    </w:div>
    <w:div w:id="87626157">
      <w:bodyDiv w:val="1"/>
      <w:marLeft w:val="0"/>
      <w:marRight w:val="0"/>
      <w:marTop w:val="0"/>
      <w:marBottom w:val="0"/>
      <w:divBdr>
        <w:top w:val="none" w:sz="0" w:space="0" w:color="auto"/>
        <w:left w:val="none" w:sz="0" w:space="0" w:color="auto"/>
        <w:bottom w:val="none" w:sz="0" w:space="0" w:color="auto"/>
        <w:right w:val="none" w:sz="0" w:space="0" w:color="auto"/>
      </w:divBdr>
    </w:div>
    <w:div w:id="16629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13200</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15777</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2014-11-18T13:01:00Z</dcterms:created>
  <dcterms:modified xsi:type="dcterms:W3CDTF">2014-11-18T13:01:00Z</dcterms:modified>
  <cp:category> </cp:category>
  <cp:contentStatus> </cp:contentStatus>
</cp:coreProperties>
</file>