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5825B4" w:rsidRDefault="005825B4">
      <w:pPr>
        <w:jc w:val="right"/>
        <w:rPr>
          <w:b/>
          <w:szCs w:val="22"/>
        </w:rPr>
      </w:pPr>
      <w:r w:rsidRPr="005825B4">
        <w:rPr>
          <w:b/>
          <w:szCs w:val="22"/>
        </w:rPr>
        <w:lastRenderedPageBreak/>
        <w:t>DA 14-</w:t>
      </w:r>
      <w:r w:rsidR="00174ADA">
        <w:rPr>
          <w:b/>
          <w:szCs w:val="22"/>
        </w:rPr>
        <w:t>1678</w:t>
      </w:r>
    </w:p>
    <w:p w:rsidR="00602577" w:rsidRPr="005825B4" w:rsidRDefault="005825B4">
      <w:pPr>
        <w:spacing w:before="60"/>
        <w:jc w:val="right"/>
        <w:rPr>
          <w:b/>
          <w:szCs w:val="22"/>
        </w:rPr>
      </w:pPr>
      <w:r w:rsidRPr="005825B4">
        <w:rPr>
          <w:b/>
          <w:szCs w:val="22"/>
        </w:rPr>
        <w:t xml:space="preserve">Released:  November </w:t>
      </w:r>
      <w:r w:rsidR="008B43FC">
        <w:rPr>
          <w:b/>
          <w:szCs w:val="22"/>
        </w:rPr>
        <w:t>2</w:t>
      </w:r>
      <w:r w:rsidR="001A215B">
        <w:rPr>
          <w:b/>
          <w:szCs w:val="22"/>
        </w:rPr>
        <w:t>1</w:t>
      </w:r>
      <w:r w:rsidRPr="005825B4">
        <w:rPr>
          <w:b/>
          <w:szCs w:val="22"/>
        </w:rPr>
        <w:t>, 2014</w:t>
      </w:r>
    </w:p>
    <w:p w:rsidR="00602577" w:rsidRPr="005825B4" w:rsidRDefault="00602577">
      <w:pPr>
        <w:jc w:val="right"/>
        <w:rPr>
          <w:szCs w:val="22"/>
        </w:rPr>
      </w:pPr>
    </w:p>
    <w:p w:rsidR="005825B4" w:rsidRPr="005825B4" w:rsidRDefault="005825B4" w:rsidP="005825B4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5825B4">
        <w:rPr>
          <w:b/>
          <w:bCs/>
          <w:szCs w:val="22"/>
        </w:rPr>
        <w:t>COMMISSION SEEKS COMMENT ON CENTURYLINK’S PROPOSAL FOR</w:t>
      </w:r>
    </w:p>
    <w:p w:rsidR="00093E4E" w:rsidRDefault="005825B4" w:rsidP="00093E4E">
      <w:pPr>
        <w:jc w:val="center"/>
        <w:rPr>
          <w:b/>
          <w:bCs/>
          <w:szCs w:val="22"/>
        </w:rPr>
      </w:pPr>
      <w:r w:rsidRPr="005825B4">
        <w:rPr>
          <w:b/>
          <w:bCs/>
          <w:szCs w:val="22"/>
        </w:rPr>
        <w:t>SERVICE-BASED TECHNOLOGY TRANSITIONS EXPERIMENTS</w:t>
      </w:r>
    </w:p>
    <w:p w:rsidR="00093E4E" w:rsidRPr="00093E4E" w:rsidRDefault="00093E4E" w:rsidP="00093E4E">
      <w:pPr>
        <w:spacing w:after="240"/>
        <w:jc w:val="center"/>
        <w:rPr>
          <w:b/>
          <w:bCs/>
          <w:szCs w:val="22"/>
        </w:rPr>
      </w:pPr>
      <w:r>
        <w:rPr>
          <w:b/>
          <w:bCs/>
          <w:szCs w:val="22"/>
        </w:rPr>
        <w:t>AND REQUEST FOR DECLARATORY RULING</w:t>
      </w:r>
    </w:p>
    <w:p w:rsidR="00602577" w:rsidRPr="005825B4" w:rsidRDefault="005825B4" w:rsidP="005825B4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5825B4">
        <w:rPr>
          <w:b/>
          <w:bCs/>
          <w:szCs w:val="22"/>
        </w:rPr>
        <w:t>GN Docket Nos. 12-353 and 13-5</w:t>
      </w:r>
    </w:p>
    <w:p w:rsidR="00602577" w:rsidRDefault="00602577">
      <w:pPr>
        <w:jc w:val="center"/>
        <w:rPr>
          <w:sz w:val="24"/>
        </w:rPr>
      </w:pPr>
    </w:p>
    <w:p w:rsidR="005825B4" w:rsidRPr="005825B4" w:rsidRDefault="005825B4" w:rsidP="005825B4">
      <w:pPr>
        <w:autoSpaceDE w:val="0"/>
        <w:autoSpaceDN w:val="0"/>
        <w:adjustRightInd w:val="0"/>
        <w:rPr>
          <w:b/>
          <w:bCs/>
          <w:szCs w:val="22"/>
        </w:rPr>
      </w:pPr>
      <w:r w:rsidRPr="005825B4">
        <w:rPr>
          <w:b/>
          <w:bCs/>
          <w:szCs w:val="22"/>
        </w:rPr>
        <w:t xml:space="preserve">Comment Date: </w:t>
      </w:r>
      <w:r w:rsidR="009102BF">
        <w:rPr>
          <w:b/>
          <w:bCs/>
          <w:szCs w:val="22"/>
        </w:rPr>
        <w:t>December</w:t>
      </w:r>
      <w:r w:rsidRPr="005825B4">
        <w:rPr>
          <w:b/>
          <w:bCs/>
          <w:szCs w:val="22"/>
        </w:rPr>
        <w:t xml:space="preserve"> </w:t>
      </w:r>
      <w:r w:rsidR="008B43FC">
        <w:rPr>
          <w:b/>
          <w:bCs/>
          <w:szCs w:val="22"/>
        </w:rPr>
        <w:t>22</w:t>
      </w:r>
      <w:r w:rsidRPr="005825B4">
        <w:rPr>
          <w:b/>
          <w:bCs/>
          <w:szCs w:val="22"/>
        </w:rPr>
        <w:t>, 2014</w:t>
      </w:r>
    </w:p>
    <w:p w:rsidR="005825B4" w:rsidRPr="005825B4" w:rsidRDefault="005825B4" w:rsidP="005825B4">
      <w:pPr>
        <w:autoSpaceDE w:val="0"/>
        <w:autoSpaceDN w:val="0"/>
        <w:adjustRightInd w:val="0"/>
        <w:rPr>
          <w:b/>
          <w:bCs/>
          <w:szCs w:val="22"/>
        </w:rPr>
      </w:pPr>
      <w:r w:rsidRPr="005825B4">
        <w:rPr>
          <w:b/>
          <w:bCs/>
          <w:szCs w:val="22"/>
        </w:rPr>
        <w:t xml:space="preserve">Reply Comment Date: </w:t>
      </w:r>
      <w:r w:rsidR="008B43FC">
        <w:rPr>
          <w:b/>
          <w:bCs/>
          <w:szCs w:val="22"/>
        </w:rPr>
        <w:t>January 7</w:t>
      </w:r>
      <w:r w:rsidRPr="005825B4">
        <w:rPr>
          <w:b/>
          <w:bCs/>
          <w:szCs w:val="22"/>
        </w:rPr>
        <w:t>, 201</w:t>
      </w:r>
      <w:r w:rsidR="00DB0B59">
        <w:rPr>
          <w:b/>
          <w:bCs/>
          <w:szCs w:val="22"/>
        </w:rPr>
        <w:t>5</w:t>
      </w:r>
    </w:p>
    <w:p w:rsidR="005825B4" w:rsidRPr="005825B4" w:rsidRDefault="005825B4" w:rsidP="005825B4">
      <w:pPr>
        <w:autoSpaceDE w:val="0"/>
        <w:autoSpaceDN w:val="0"/>
        <w:adjustRightInd w:val="0"/>
        <w:rPr>
          <w:szCs w:val="22"/>
        </w:rPr>
      </w:pPr>
    </w:p>
    <w:p w:rsidR="00602577" w:rsidRDefault="005825B4" w:rsidP="005825B4">
      <w:pPr>
        <w:autoSpaceDE w:val="0"/>
        <w:autoSpaceDN w:val="0"/>
        <w:adjustRightInd w:val="0"/>
        <w:ind w:firstLine="720"/>
        <w:rPr>
          <w:szCs w:val="22"/>
        </w:rPr>
      </w:pPr>
      <w:r w:rsidRPr="005825B4">
        <w:rPr>
          <w:szCs w:val="22"/>
        </w:rPr>
        <w:t xml:space="preserve">In the </w:t>
      </w:r>
      <w:r w:rsidRPr="005825B4">
        <w:rPr>
          <w:i/>
          <w:iCs/>
          <w:szCs w:val="22"/>
        </w:rPr>
        <w:t>Technology Transitions Order</w:t>
      </w:r>
      <w:r w:rsidRPr="005825B4">
        <w:rPr>
          <w:szCs w:val="22"/>
        </w:rPr>
        <w:t>, the Commission initiated a proceeding for a diverse set of</w:t>
      </w:r>
      <w:r>
        <w:rPr>
          <w:szCs w:val="22"/>
        </w:rPr>
        <w:t xml:space="preserve"> </w:t>
      </w:r>
      <w:r w:rsidRPr="005825B4">
        <w:rPr>
          <w:szCs w:val="22"/>
        </w:rPr>
        <w:t>experiments and data collection initiatives that will allow the Commission and the public to evaluate how</w:t>
      </w:r>
      <w:r>
        <w:rPr>
          <w:szCs w:val="22"/>
        </w:rPr>
        <w:t xml:space="preserve"> </w:t>
      </w:r>
      <w:r w:rsidRPr="005825B4">
        <w:rPr>
          <w:szCs w:val="22"/>
        </w:rPr>
        <w:t>customers are affected by the historic technology transitions that are transforming our nation’s</w:t>
      </w:r>
      <w:r>
        <w:rPr>
          <w:szCs w:val="22"/>
        </w:rPr>
        <w:t xml:space="preserve"> </w:t>
      </w:r>
      <w:r w:rsidRPr="005825B4">
        <w:rPr>
          <w:szCs w:val="22"/>
        </w:rPr>
        <w:t>communications networks.</w:t>
      </w:r>
      <w:r>
        <w:rPr>
          <w:rStyle w:val="FootnoteReference"/>
          <w:szCs w:val="22"/>
        </w:rPr>
        <w:footnoteReference w:id="2"/>
      </w:r>
      <w:r w:rsidRPr="005825B4">
        <w:rPr>
          <w:szCs w:val="22"/>
        </w:rPr>
        <w:t xml:space="preserve"> </w:t>
      </w:r>
      <w:r>
        <w:rPr>
          <w:szCs w:val="22"/>
        </w:rPr>
        <w:t xml:space="preserve"> </w:t>
      </w:r>
      <w:r w:rsidRPr="005825B4">
        <w:rPr>
          <w:szCs w:val="22"/>
        </w:rPr>
        <w:t>Among other things, the Commission established a framework within which</w:t>
      </w:r>
      <w:r>
        <w:rPr>
          <w:szCs w:val="22"/>
        </w:rPr>
        <w:t xml:space="preserve"> </w:t>
      </w:r>
      <w:r w:rsidRPr="005825B4">
        <w:rPr>
          <w:szCs w:val="22"/>
        </w:rPr>
        <w:t>providers can conduct “service-based” experiments.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</w:t>
      </w:r>
      <w:r w:rsidRPr="005825B4">
        <w:rPr>
          <w:szCs w:val="22"/>
        </w:rPr>
        <w:t xml:space="preserve"> The </w:t>
      </w:r>
      <w:r w:rsidRPr="005825B4">
        <w:rPr>
          <w:i/>
          <w:iCs/>
          <w:szCs w:val="22"/>
        </w:rPr>
        <w:t xml:space="preserve">Technology Transitions Order </w:t>
      </w:r>
      <w:r w:rsidRPr="005825B4">
        <w:rPr>
          <w:szCs w:val="22"/>
        </w:rPr>
        <w:t>invited</w:t>
      </w:r>
      <w:r>
        <w:rPr>
          <w:szCs w:val="22"/>
        </w:rPr>
        <w:t xml:space="preserve"> </w:t>
      </w:r>
      <w:r w:rsidRPr="005825B4">
        <w:rPr>
          <w:szCs w:val="22"/>
        </w:rPr>
        <w:t>providers to submit voluntary proposals to test real-world applications of planned changes in technology</w:t>
      </w:r>
      <w:r>
        <w:rPr>
          <w:szCs w:val="22"/>
        </w:rPr>
        <w:t xml:space="preserve"> </w:t>
      </w:r>
      <w:r w:rsidRPr="005825B4">
        <w:rPr>
          <w:szCs w:val="22"/>
        </w:rPr>
        <w:t>that are likely to have tangible effects on consumers.</w:t>
      </w:r>
      <w:r w:rsidR="003163C4">
        <w:rPr>
          <w:rStyle w:val="FootnoteReference"/>
          <w:szCs w:val="22"/>
        </w:rPr>
        <w:footnoteReference w:id="4"/>
      </w:r>
      <w:r w:rsidR="003163C4">
        <w:rPr>
          <w:szCs w:val="22"/>
        </w:rPr>
        <w:t xml:space="preserve"> </w:t>
      </w:r>
      <w:r w:rsidRPr="005825B4">
        <w:rPr>
          <w:szCs w:val="22"/>
        </w:rPr>
        <w:t xml:space="preserve"> Proposals will be evaluated according to the value</w:t>
      </w:r>
      <w:r>
        <w:rPr>
          <w:szCs w:val="22"/>
        </w:rPr>
        <w:t>-</w:t>
      </w:r>
      <w:r w:rsidRPr="005825B4">
        <w:rPr>
          <w:szCs w:val="22"/>
        </w:rPr>
        <w:t>based</w:t>
      </w:r>
      <w:r>
        <w:rPr>
          <w:szCs w:val="22"/>
        </w:rPr>
        <w:t xml:space="preserve"> </w:t>
      </w:r>
      <w:r w:rsidRPr="005825B4">
        <w:rPr>
          <w:szCs w:val="22"/>
        </w:rPr>
        <w:t xml:space="preserve">conditions, presumptions and relevant factors set forth in the </w:t>
      </w:r>
      <w:r w:rsidRPr="005825B4">
        <w:rPr>
          <w:i/>
          <w:iCs/>
          <w:szCs w:val="22"/>
        </w:rPr>
        <w:t xml:space="preserve">Technology Transitions Order </w:t>
      </w:r>
      <w:r w:rsidRPr="005825B4">
        <w:rPr>
          <w:szCs w:val="22"/>
        </w:rPr>
        <w:t>and</w:t>
      </w:r>
      <w:r>
        <w:rPr>
          <w:szCs w:val="22"/>
        </w:rPr>
        <w:t xml:space="preserve"> </w:t>
      </w:r>
      <w:r w:rsidRPr="005825B4">
        <w:rPr>
          <w:szCs w:val="22"/>
        </w:rPr>
        <w:t>described more fully in its Appendix B.</w:t>
      </w:r>
    </w:p>
    <w:p w:rsidR="009102BF" w:rsidRDefault="009102BF" w:rsidP="005825B4">
      <w:pPr>
        <w:autoSpaceDE w:val="0"/>
        <w:autoSpaceDN w:val="0"/>
        <w:adjustRightInd w:val="0"/>
        <w:ind w:firstLine="720"/>
        <w:rPr>
          <w:szCs w:val="22"/>
        </w:rPr>
      </w:pPr>
    </w:p>
    <w:p w:rsidR="009F37FC" w:rsidRPr="009F37FC" w:rsidRDefault="000B5702" w:rsidP="007D4DC3">
      <w:pPr>
        <w:autoSpaceDE w:val="0"/>
        <w:autoSpaceDN w:val="0"/>
        <w:adjustRightInd w:val="0"/>
        <w:ind w:firstLine="720"/>
        <w:rPr>
          <w:szCs w:val="22"/>
        </w:rPr>
      </w:pPr>
      <w:r w:rsidRPr="000B5702">
        <w:rPr>
          <w:szCs w:val="22"/>
        </w:rPr>
        <w:t xml:space="preserve">Expressing a desire to begin the experiments as soon as possible, the </w:t>
      </w:r>
      <w:r w:rsidRPr="000B5702">
        <w:rPr>
          <w:i/>
          <w:iCs/>
          <w:szCs w:val="22"/>
        </w:rPr>
        <w:t xml:space="preserve">Technology Transitions Order </w:t>
      </w:r>
      <w:r w:rsidRPr="000B5702">
        <w:rPr>
          <w:szCs w:val="22"/>
        </w:rPr>
        <w:t>established a deadline of February 20, 2014 for submission of an initial round of service-based experiment proposals, and encouraged additional proposals that are submitted after the initial deadline, for up to one year after Commission action on any proposals submitted by the initial deadline.</w:t>
      </w:r>
      <w:r>
        <w:rPr>
          <w:rStyle w:val="FootnoteReference"/>
          <w:szCs w:val="22"/>
        </w:rPr>
        <w:footnoteReference w:id="5"/>
      </w:r>
      <w:r w:rsidR="00BC66FB" w:rsidRPr="00BC66FB">
        <w:rPr>
          <w:szCs w:val="22"/>
        </w:rPr>
        <w:t xml:space="preserve">  On February 27, 2014, the Wireline Competition Bureau released two protective orders to govern the </w:t>
      </w:r>
      <w:r w:rsidR="00BC66FB" w:rsidRPr="00BC66FB">
        <w:rPr>
          <w:szCs w:val="22"/>
        </w:rPr>
        <w:lastRenderedPageBreak/>
        <w:t>submission of certain proprietary or confidential, or highly confidential information.</w:t>
      </w:r>
      <w:r w:rsidR="00BC66FB" w:rsidRPr="00BC66FB">
        <w:rPr>
          <w:rStyle w:val="FootnoteReference"/>
          <w:szCs w:val="22"/>
        </w:rPr>
        <w:footnoteReference w:id="6"/>
      </w:r>
      <w:r w:rsidR="009F37FC">
        <w:rPr>
          <w:szCs w:val="22"/>
        </w:rPr>
        <w:t xml:space="preserve"> </w:t>
      </w:r>
      <w:r w:rsidR="009F37FC" w:rsidRPr="009F37FC">
        <w:rPr>
          <w:szCs w:val="22"/>
        </w:rPr>
        <w:t xml:space="preserve"> On</w:t>
      </w:r>
      <w:r w:rsidR="009F37FC">
        <w:rPr>
          <w:szCs w:val="22"/>
        </w:rPr>
        <w:t xml:space="preserve"> November 1</w:t>
      </w:r>
      <w:r w:rsidR="00BE29C4">
        <w:rPr>
          <w:szCs w:val="22"/>
        </w:rPr>
        <w:t>2</w:t>
      </w:r>
      <w:r w:rsidR="009F37FC" w:rsidRPr="009F37FC">
        <w:rPr>
          <w:szCs w:val="22"/>
        </w:rPr>
        <w:t xml:space="preserve">, 2014, </w:t>
      </w:r>
      <w:r w:rsidR="009F37FC">
        <w:rPr>
          <w:szCs w:val="22"/>
        </w:rPr>
        <w:t>CenturyLink, Inc. (CenturyLink)</w:t>
      </w:r>
      <w:r w:rsidR="009F37FC" w:rsidRPr="009F37FC">
        <w:rPr>
          <w:szCs w:val="22"/>
        </w:rPr>
        <w:t xml:space="preserve"> submitted a </w:t>
      </w:r>
      <w:r w:rsidR="009F37FC">
        <w:rPr>
          <w:szCs w:val="22"/>
        </w:rPr>
        <w:t>Proposal for IP Service Trial and Request for Declaratory Ruling (the CenturyLink Proposal</w:t>
      </w:r>
      <w:r w:rsidR="004F2582">
        <w:rPr>
          <w:szCs w:val="22"/>
        </w:rPr>
        <w:t xml:space="preserve"> and Request</w:t>
      </w:r>
      <w:r w:rsidR="009F37FC">
        <w:rPr>
          <w:szCs w:val="22"/>
        </w:rPr>
        <w:t xml:space="preserve">) proposing </w:t>
      </w:r>
      <w:r w:rsidR="009F37FC">
        <w:t>to</w:t>
      </w:r>
      <w:r w:rsidR="009F37FC" w:rsidRPr="002F3674">
        <w:t xml:space="preserve"> conduct</w:t>
      </w:r>
      <w:r w:rsidR="009F37FC">
        <w:t xml:space="preserve"> trials of IP business services and IP exchange of business voice traffic </w:t>
      </w:r>
      <w:r w:rsidR="009F37FC" w:rsidRPr="002F3674">
        <w:t xml:space="preserve">in </w:t>
      </w:r>
      <w:r w:rsidR="009F37FC">
        <w:t xml:space="preserve">12 </w:t>
      </w:r>
      <w:r w:rsidR="009F37FC" w:rsidRPr="002F3674">
        <w:t xml:space="preserve">wire centers in </w:t>
      </w:r>
      <w:r w:rsidR="009F37FC">
        <w:t xml:space="preserve">Las Vegas, Nevada and requesting a declaratory ruling that CenturyLink’s </w:t>
      </w:r>
      <w:r w:rsidR="009F37FC" w:rsidRPr="00211C2C">
        <w:t>participation in the trial</w:t>
      </w:r>
      <w:r w:rsidR="009F37FC">
        <w:t>s</w:t>
      </w:r>
      <w:r w:rsidR="009F37FC" w:rsidRPr="00211C2C">
        <w:t xml:space="preserve"> will not in any way affect its preexisting regulatory obligations</w:t>
      </w:r>
      <w:r w:rsidR="00BE29C4">
        <w:t xml:space="preserve"> </w:t>
      </w:r>
      <w:r w:rsidR="009F37FC" w:rsidRPr="00211C2C">
        <w:t>related to the exchange of voice traffic with other providers</w:t>
      </w:r>
      <w:r w:rsidR="00BE29C4">
        <w:t xml:space="preserve"> or create any new obligations</w:t>
      </w:r>
      <w:r w:rsidR="009F37FC">
        <w:rPr>
          <w:szCs w:val="22"/>
        </w:rPr>
        <w:t>.</w:t>
      </w:r>
      <w:r w:rsidR="00146729">
        <w:rPr>
          <w:rStyle w:val="FootnoteReference"/>
          <w:szCs w:val="22"/>
        </w:rPr>
        <w:footnoteReference w:id="7"/>
      </w:r>
    </w:p>
    <w:p w:rsidR="009102BF" w:rsidRDefault="009102BF" w:rsidP="005825B4">
      <w:pPr>
        <w:autoSpaceDE w:val="0"/>
        <w:autoSpaceDN w:val="0"/>
        <w:adjustRightInd w:val="0"/>
        <w:ind w:firstLine="720"/>
        <w:rPr>
          <w:szCs w:val="22"/>
        </w:rPr>
      </w:pPr>
    </w:p>
    <w:p w:rsidR="009102BF" w:rsidRDefault="009102BF" w:rsidP="005825B4">
      <w:pPr>
        <w:autoSpaceDE w:val="0"/>
        <w:autoSpaceDN w:val="0"/>
        <w:adjustRightInd w:val="0"/>
        <w:ind w:firstLine="720"/>
        <w:rPr>
          <w:szCs w:val="22"/>
        </w:rPr>
      </w:pPr>
      <w:r>
        <w:rPr>
          <w:szCs w:val="22"/>
        </w:rPr>
        <w:t>We seek comment on the CenturyLink Proposal</w:t>
      </w:r>
      <w:r w:rsidR="004F2582">
        <w:rPr>
          <w:szCs w:val="22"/>
        </w:rPr>
        <w:t xml:space="preserve"> and Request</w:t>
      </w:r>
      <w:r w:rsidR="007601AE">
        <w:rPr>
          <w:szCs w:val="22"/>
        </w:rPr>
        <w:t xml:space="preserve"> for Declaratory Ruling</w:t>
      </w:r>
      <w:r>
        <w:rPr>
          <w:szCs w:val="22"/>
        </w:rPr>
        <w:t xml:space="preserve">.  Comments are due by </w:t>
      </w:r>
      <w:r w:rsidR="000B5702">
        <w:rPr>
          <w:szCs w:val="22"/>
        </w:rPr>
        <w:t xml:space="preserve">December </w:t>
      </w:r>
      <w:r w:rsidR="00174ADA">
        <w:rPr>
          <w:szCs w:val="22"/>
        </w:rPr>
        <w:t>22</w:t>
      </w:r>
      <w:r>
        <w:rPr>
          <w:szCs w:val="22"/>
        </w:rPr>
        <w:t xml:space="preserve">, 2014.  Reply comments are due by </w:t>
      </w:r>
      <w:r w:rsidR="004D25F8">
        <w:rPr>
          <w:szCs w:val="22"/>
        </w:rPr>
        <w:t>January</w:t>
      </w:r>
      <w:r w:rsidR="000B5702">
        <w:rPr>
          <w:szCs w:val="22"/>
        </w:rPr>
        <w:t xml:space="preserve"> </w:t>
      </w:r>
      <w:r w:rsidR="00E90046">
        <w:rPr>
          <w:szCs w:val="22"/>
        </w:rPr>
        <w:t>7</w:t>
      </w:r>
      <w:r>
        <w:rPr>
          <w:szCs w:val="22"/>
        </w:rPr>
        <w:t>, 201</w:t>
      </w:r>
      <w:r w:rsidR="004D25F8">
        <w:rPr>
          <w:szCs w:val="22"/>
        </w:rPr>
        <w:t>5</w:t>
      </w:r>
      <w:r>
        <w:rPr>
          <w:szCs w:val="22"/>
        </w:rPr>
        <w:t>.</w:t>
      </w:r>
    </w:p>
    <w:p w:rsidR="005C5A55" w:rsidRDefault="005C5A55" w:rsidP="005825B4">
      <w:pPr>
        <w:autoSpaceDE w:val="0"/>
        <w:autoSpaceDN w:val="0"/>
        <w:adjustRightInd w:val="0"/>
        <w:ind w:firstLine="720"/>
        <w:rPr>
          <w:szCs w:val="22"/>
        </w:rPr>
      </w:pPr>
    </w:p>
    <w:p w:rsidR="005C5A55" w:rsidRDefault="005C5A55" w:rsidP="007F5B39">
      <w:pPr>
        <w:autoSpaceDE w:val="0"/>
        <w:autoSpaceDN w:val="0"/>
        <w:adjustRightInd w:val="0"/>
        <w:ind w:firstLine="720"/>
        <w:rPr>
          <w:szCs w:val="22"/>
        </w:rPr>
      </w:pPr>
      <w:r w:rsidRPr="005C5A55">
        <w:rPr>
          <w:szCs w:val="22"/>
          <w:u w:val="single"/>
        </w:rPr>
        <w:t>Filing Instructions</w:t>
      </w:r>
      <w:r w:rsidRPr="005C5A55">
        <w:rPr>
          <w:szCs w:val="22"/>
        </w:rPr>
        <w:t xml:space="preserve">. </w:t>
      </w:r>
      <w:r>
        <w:rPr>
          <w:szCs w:val="22"/>
        </w:rPr>
        <w:t xml:space="preserve"> </w:t>
      </w:r>
      <w:r w:rsidR="00BE3A09">
        <w:rPr>
          <w:szCs w:val="22"/>
        </w:rPr>
        <w:t>Pursuant to section</w:t>
      </w:r>
      <w:r w:rsidRPr="005C5A55">
        <w:rPr>
          <w:szCs w:val="22"/>
        </w:rPr>
        <w:t xml:space="preserve"> 1.419 of the Commission’s rules, 47 C</w:t>
      </w:r>
      <w:r w:rsidR="00340C7E">
        <w:rPr>
          <w:szCs w:val="22"/>
        </w:rPr>
        <w:t>.</w:t>
      </w:r>
      <w:r w:rsidRPr="005C5A55">
        <w:rPr>
          <w:szCs w:val="22"/>
        </w:rPr>
        <w:t>F</w:t>
      </w:r>
      <w:r w:rsidR="00340C7E">
        <w:rPr>
          <w:szCs w:val="22"/>
        </w:rPr>
        <w:t>.</w:t>
      </w:r>
      <w:r w:rsidRPr="005C5A55">
        <w:rPr>
          <w:szCs w:val="22"/>
        </w:rPr>
        <w:t>R</w:t>
      </w:r>
      <w:r w:rsidR="00340C7E">
        <w:rPr>
          <w:szCs w:val="22"/>
        </w:rPr>
        <w:t>.</w:t>
      </w:r>
      <w:r w:rsidRPr="005C5A55">
        <w:rPr>
          <w:szCs w:val="22"/>
        </w:rPr>
        <w:t xml:space="preserve"> §</w:t>
      </w:r>
      <w:r w:rsidR="00340C7E">
        <w:rPr>
          <w:szCs w:val="22"/>
        </w:rPr>
        <w:t xml:space="preserve"> </w:t>
      </w:r>
      <w:r w:rsidRPr="005C5A55">
        <w:rPr>
          <w:szCs w:val="22"/>
        </w:rPr>
        <w:t>1.419, interested parties may file comments and reply comments on or before the dates indicated above.</w:t>
      </w:r>
      <w:r>
        <w:rPr>
          <w:szCs w:val="22"/>
        </w:rPr>
        <w:t xml:space="preserve">  </w:t>
      </w:r>
      <w:r w:rsidRPr="005C5A55">
        <w:rPr>
          <w:szCs w:val="22"/>
        </w:rPr>
        <w:t xml:space="preserve">Comments may be filed </w:t>
      </w:r>
      <w:r w:rsidR="00340C7E">
        <w:rPr>
          <w:szCs w:val="22"/>
        </w:rPr>
        <w:t xml:space="preserve">by paper copies or by </w:t>
      </w:r>
      <w:r w:rsidRPr="005C5A55">
        <w:rPr>
          <w:szCs w:val="22"/>
        </w:rPr>
        <w:t>using the Commission’s Electronic Comment Filing System (ECFS).</w:t>
      </w:r>
      <w:r w:rsidR="001977FB">
        <w:rPr>
          <w:rStyle w:val="FootnoteReference"/>
          <w:szCs w:val="22"/>
        </w:rPr>
        <w:footnoteReference w:id="8"/>
      </w:r>
      <w:r>
        <w:rPr>
          <w:szCs w:val="22"/>
        </w:rPr>
        <w:t xml:space="preserve"> </w:t>
      </w:r>
      <w:r w:rsidRPr="005C5A55">
        <w:rPr>
          <w:szCs w:val="22"/>
        </w:rPr>
        <w:t xml:space="preserve"> </w:t>
      </w:r>
    </w:p>
    <w:p w:rsidR="0070257C" w:rsidRDefault="0070257C" w:rsidP="005C5A55">
      <w:pPr>
        <w:autoSpaceDE w:val="0"/>
        <w:autoSpaceDN w:val="0"/>
        <w:adjustRightInd w:val="0"/>
        <w:rPr>
          <w:szCs w:val="22"/>
        </w:rPr>
      </w:pPr>
    </w:p>
    <w:p w:rsidR="0070257C" w:rsidRDefault="0070257C" w:rsidP="0070257C">
      <w:pPr>
        <w:numPr>
          <w:ilvl w:val="0"/>
          <w:numId w:val="15"/>
        </w:numPr>
      </w:pPr>
      <w:r>
        <w:t xml:space="preserve">Electronic Filers:  Comments may be filed electronically using the Internet by accessing the ECFS:  </w:t>
      </w:r>
      <w:r w:rsidRPr="007D4DC3">
        <w:t>http://fjallfoss.fcc.gov/ecfs2/</w:t>
      </w:r>
      <w:r>
        <w:t xml:space="preserve">.  </w:t>
      </w:r>
    </w:p>
    <w:p w:rsidR="0070257C" w:rsidRDefault="0070257C" w:rsidP="0070257C"/>
    <w:p w:rsidR="0070257C" w:rsidRDefault="0070257C" w:rsidP="0070257C">
      <w:pPr>
        <w:numPr>
          <w:ilvl w:val="0"/>
          <w:numId w:val="13"/>
        </w:numPr>
      </w:pPr>
      <w:r>
        <w:t xml:space="preserve">Paper Filers:  Parties who choose to file by </w:t>
      </w:r>
      <w:r w:rsidR="00BE3A09">
        <w:t>paper must file an original and</w:t>
      </w:r>
      <w:r>
        <w:t xml:space="preserve"> one copy of each filing.  </w:t>
      </w:r>
      <w:r w:rsidR="00223441">
        <w:t>Because</w:t>
      </w:r>
      <w:r>
        <w:t xml:space="preserve"> more than one docket number appears in the caption of this proceeding, filers must submit two additional copies for </w:t>
      </w:r>
      <w:r w:rsidR="00223441">
        <w:t>the</w:t>
      </w:r>
      <w:r>
        <w:t xml:space="preserve"> additional docket number.</w:t>
      </w:r>
    </w:p>
    <w:p w:rsidR="0070257C" w:rsidRDefault="0070257C" w:rsidP="0070257C"/>
    <w:p w:rsidR="0070257C" w:rsidRDefault="0070257C" w:rsidP="0070257C">
      <w:pPr>
        <w:ind w:left="720"/>
      </w:pPr>
      <w:r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:rsidR="0070257C" w:rsidRDefault="0070257C" w:rsidP="0070257C"/>
    <w:p w:rsidR="0070257C" w:rsidRDefault="0070257C" w:rsidP="0070257C">
      <w:pPr>
        <w:numPr>
          <w:ilvl w:val="0"/>
          <w:numId w:val="14"/>
        </w:numPr>
      </w:pPr>
      <w:r>
        <w:t xml:space="preserve">All hand-delivered or messenger-delivered paper filings for the Commission’s Secretary must be delivered to FCC Headquarters at </w:t>
      </w:r>
      <w:smartTag w:uri="urn:schemas-microsoft-com:office:smarttags" w:element="Street">
        <w:smartTag w:uri="urn:schemas-microsoft-com:office:smarttags" w:element="address">
          <w:r>
            <w:t>445 12</w:t>
          </w:r>
          <w:r w:rsidRPr="000B6EED">
            <w:rPr>
              <w:vertAlign w:val="superscript"/>
            </w:rPr>
            <w:t>th</w:t>
          </w:r>
          <w:r>
            <w:t xml:space="preserve"> St., SW</w:t>
          </w:r>
        </w:smartTag>
      </w:smartTag>
      <w:r>
        <w:t xml:space="preserve">, Room TW-A325,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Washington</w:t>
            </w:r>
          </w:smartTag>
          <w:r>
            <w:t xml:space="preserve">, </w:t>
          </w:r>
          <w:smartTag w:uri="urn:schemas-microsoft-com:office:smarttags" w:element="State">
            <w:r>
              <w:t>DC</w:t>
            </w:r>
          </w:smartTag>
          <w:r>
            <w:t xml:space="preserve"> </w:t>
          </w:r>
          <w:smartTag w:uri="urn:schemas-microsoft-com:office:smarttags" w:element="PostalCode">
            <w:r>
              <w:t>20554</w:t>
            </w:r>
          </w:smartTag>
        </w:smartTag>
      </w:smartTag>
      <w:r>
        <w:t xml:space="preserve">.  The filing hours are 8:00 a.m. to 7:00 p.m.   All hand deliveries must be held together with rubber bands or fasteners.  Any envelopes and boxes must be disposed of </w:t>
      </w:r>
      <w:r>
        <w:rPr>
          <w:u w:val="single"/>
        </w:rPr>
        <w:t>before</w:t>
      </w:r>
      <w:r>
        <w:t xml:space="preserve"> entering the building.  </w:t>
      </w:r>
    </w:p>
    <w:p w:rsidR="0070257C" w:rsidRDefault="0070257C" w:rsidP="0070257C">
      <w:pPr>
        <w:ind w:left="1080"/>
      </w:pPr>
    </w:p>
    <w:p w:rsidR="0070257C" w:rsidRDefault="0070257C" w:rsidP="0070257C">
      <w:pPr>
        <w:numPr>
          <w:ilvl w:val="0"/>
          <w:numId w:val="14"/>
        </w:numPr>
      </w:pPr>
      <w:r>
        <w:t xml:space="preserve">Commercial overnight mail (other than U.S. Postal Service Express Mail and Priority Mail) must be sent to </w:t>
      </w:r>
      <w:smartTag w:uri="urn:schemas-microsoft-com:office:smarttags" w:element="address">
        <w:smartTag w:uri="urn:schemas-microsoft-com:office:smarttags" w:element="Street">
          <w:r>
            <w:t>9300 East Hampton Drive</w:t>
          </w:r>
        </w:smartTag>
        <w:r>
          <w:t xml:space="preserve">, </w:t>
        </w:r>
        <w:smartTag w:uri="urn:schemas-microsoft-com:office:smarttags" w:element="City">
          <w:r>
            <w:t>Capitol Heights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  <w:r>
          <w:t xml:space="preserve">  </w:t>
        </w:r>
        <w:smartTag w:uri="urn:schemas-microsoft-com:office:smarttags" w:element="PostalCode">
          <w:r>
            <w:t>20743</w:t>
          </w:r>
        </w:smartTag>
      </w:smartTag>
      <w:r>
        <w:t>.</w:t>
      </w:r>
    </w:p>
    <w:p w:rsidR="0070257C" w:rsidRDefault="0070257C" w:rsidP="0070257C"/>
    <w:p w:rsidR="0070257C" w:rsidRDefault="0070257C" w:rsidP="0070257C">
      <w:pPr>
        <w:numPr>
          <w:ilvl w:val="0"/>
          <w:numId w:val="14"/>
        </w:numPr>
      </w:pPr>
      <w:r>
        <w:t xml:space="preserve">U.S. Postal Service first-class, Express, and Priority mail must be addressed to </w:t>
      </w:r>
      <w:smartTag w:uri="urn:schemas-microsoft-com:office:smarttags" w:element="address">
        <w:smartTag w:uri="urn:schemas-microsoft-com:office:smarttags" w:element="Street">
          <w:r>
            <w:t>445 12</w:t>
          </w:r>
          <w:r>
            <w:rPr>
              <w:vertAlign w:val="superscript"/>
            </w:rPr>
            <w:t>th</w:t>
          </w:r>
          <w:r>
            <w:t xml:space="preserve"> Street, SW</w:t>
          </w:r>
        </w:smartTag>
        <w:r>
          <w:t xml:space="preserve">, </w:t>
        </w:r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DC</w:t>
          </w:r>
        </w:smartTag>
        <w:r>
          <w:t xml:space="preserve">  </w:t>
        </w:r>
        <w:smartTag w:uri="urn:schemas-microsoft-com:office:smarttags" w:element="PostalCode">
          <w:r>
            <w:t>20554</w:t>
          </w:r>
        </w:smartTag>
      </w:smartTag>
      <w:r>
        <w:t>.</w:t>
      </w:r>
    </w:p>
    <w:p w:rsidR="0070257C" w:rsidRDefault="0070257C" w:rsidP="0070257C"/>
    <w:p w:rsidR="0070257C" w:rsidRDefault="0070257C" w:rsidP="007F5B39">
      <w:pPr>
        <w:autoSpaceDE w:val="0"/>
        <w:autoSpaceDN w:val="0"/>
        <w:adjustRightInd w:val="0"/>
        <w:ind w:firstLine="720"/>
      </w:pPr>
      <w:r>
        <w:t xml:space="preserve">People with Disabilities:  To request materials in accessible formats for people with disabilities (braille, large print, electronic files, audio format), send an e-mail to </w:t>
      </w:r>
      <w:r w:rsidRPr="007D4DC3">
        <w:t>fcc504@fcc.gov</w:t>
      </w:r>
      <w:r>
        <w:t xml:space="preserve"> or call the Consumer &amp; Governmental Affairs Bureau at 202-418-0530 (voice), 202-418-0432 (tty).</w:t>
      </w:r>
    </w:p>
    <w:p w:rsidR="0070257C" w:rsidRPr="0070257C" w:rsidRDefault="0070257C" w:rsidP="0070257C">
      <w:pPr>
        <w:autoSpaceDE w:val="0"/>
        <w:autoSpaceDN w:val="0"/>
        <w:adjustRightInd w:val="0"/>
        <w:rPr>
          <w:szCs w:val="22"/>
        </w:rPr>
      </w:pPr>
    </w:p>
    <w:p w:rsidR="0070257C" w:rsidRDefault="0070257C" w:rsidP="003C2F84">
      <w:pPr>
        <w:autoSpaceDE w:val="0"/>
        <w:autoSpaceDN w:val="0"/>
        <w:adjustRightInd w:val="0"/>
        <w:ind w:firstLine="720"/>
        <w:rPr>
          <w:szCs w:val="22"/>
        </w:rPr>
      </w:pPr>
      <w:r w:rsidRPr="00FA680C">
        <w:rPr>
          <w:i/>
          <w:szCs w:val="22"/>
          <w:u w:val="single"/>
        </w:rPr>
        <w:t>Ex Parte</w:t>
      </w:r>
      <w:r w:rsidRPr="0070257C">
        <w:rPr>
          <w:szCs w:val="22"/>
          <w:u w:val="single"/>
        </w:rPr>
        <w:t xml:space="preserve"> Presentations</w:t>
      </w:r>
      <w:r w:rsidRPr="0070257C">
        <w:rPr>
          <w:szCs w:val="22"/>
        </w:rPr>
        <w:t xml:space="preserve">. </w:t>
      </w:r>
      <w:r>
        <w:rPr>
          <w:szCs w:val="22"/>
        </w:rPr>
        <w:t xml:space="preserve"> </w:t>
      </w:r>
      <w:r w:rsidRPr="0070257C">
        <w:rPr>
          <w:szCs w:val="22"/>
        </w:rPr>
        <w:t xml:space="preserve">As provided by the </w:t>
      </w:r>
      <w:r w:rsidRPr="0070257C">
        <w:rPr>
          <w:i/>
          <w:iCs/>
          <w:szCs w:val="22"/>
        </w:rPr>
        <w:t>Technology Transitions Order</w:t>
      </w:r>
      <w:r w:rsidRPr="0070257C">
        <w:rPr>
          <w:szCs w:val="22"/>
        </w:rPr>
        <w:t>,</w:t>
      </w:r>
      <w:r>
        <w:rPr>
          <w:rStyle w:val="FootnoteReference"/>
          <w:szCs w:val="22"/>
        </w:rPr>
        <w:footnoteReference w:id="9"/>
      </w:r>
      <w:r w:rsidRPr="0070257C">
        <w:rPr>
          <w:szCs w:val="22"/>
        </w:rPr>
        <w:t xml:space="preserve"> this proceeding shall</w:t>
      </w:r>
      <w:r w:rsidR="003C2F84">
        <w:rPr>
          <w:szCs w:val="22"/>
        </w:rPr>
        <w:t xml:space="preserve"> </w:t>
      </w:r>
      <w:r w:rsidRPr="0070257C">
        <w:rPr>
          <w:szCs w:val="22"/>
        </w:rPr>
        <w:t xml:space="preserve">be treated as a “permit-but-disclose” proceeding in accordance with the Commission’s </w:t>
      </w:r>
      <w:r w:rsidRPr="0070257C">
        <w:rPr>
          <w:i/>
          <w:iCs/>
          <w:szCs w:val="22"/>
        </w:rPr>
        <w:t xml:space="preserve">ex parte </w:t>
      </w:r>
      <w:r w:rsidRPr="0070257C">
        <w:rPr>
          <w:szCs w:val="22"/>
        </w:rPr>
        <w:t>rules.</w:t>
      </w:r>
      <w:r w:rsidR="003C2F84">
        <w:rPr>
          <w:rStyle w:val="FootnoteReference"/>
          <w:szCs w:val="22"/>
        </w:rPr>
        <w:footnoteReference w:id="10"/>
      </w:r>
      <w:r w:rsidR="003C2F84">
        <w:rPr>
          <w:szCs w:val="22"/>
        </w:rPr>
        <w:t xml:space="preserve">  </w:t>
      </w:r>
      <w:r w:rsidRPr="0070257C">
        <w:rPr>
          <w:szCs w:val="22"/>
        </w:rPr>
        <w:t xml:space="preserve">Persons making </w:t>
      </w:r>
      <w:r w:rsidRPr="0070257C">
        <w:rPr>
          <w:i/>
          <w:iCs/>
          <w:szCs w:val="22"/>
        </w:rPr>
        <w:t xml:space="preserve">ex parte </w:t>
      </w:r>
      <w:r w:rsidRPr="0070257C">
        <w:rPr>
          <w:szCs w:val="22"/>
        </w:rPr>
        <w:t>presentations must file a copy of any written presentation or a memorandum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summarizing any oral presentation within two business days after the presentation (unless a different</w:t>
      </w:r>
      <w:r w:rsidR="003C2F84">
        <w:rPr>
          <w:szCs w:val="22"/>
        </w:rPr>
        <w:t xml:space="preserve"> </w:t>
      </w:r>
      <w:r w:rsidRPr="0070257C">
        <w:rPr>
          <w:szCs w:val="22"/>
        </w:rPr>
        <w:t xml:space="preserve">deadline applicable to the Sunshine period applies). </w:t>
      </w:r>
      <w:r w:rsidR="000A0C6A">
        <w:rPr>
          <w:szCs w:val="22"/>
        </w:rPr>
        <w:t xml:space="preserve"> </w:t>
      </w:r>
      <w:r w:rsidRPr="0070257C">
        <w:rPr>
          <w:szCs w:val="22"/>
        </w:rPr>
        <w:t xml:space="preserve">Persons making oral </w:t>
      </w:r>
      <w:r w:rsidRPr="0070257C">
        <w:rPr>
          <w:i/>
          <w:iCs/>
          <w:szCs w:val="22"/>
        </w:rPr>
        <w:t xml:space="preserve">ex parte </w:t>
      </w:r>
      <w:r w:rsidRPr="0070257C">
        <w:rPr>
          <w:szCs w:val="22"/>
        </w:rPr>
        <w:t>presentations are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reminded that memoranda summarizing the presentation must (1) list all persons attending or otherwise</w:t>
      </w:r>
      <w:r w:rsidR="003C2F84">
        <w:rPr>
          <w:szCs w:val="22"/>
        </w:rPr>
        <w:t xml:space="preserve"> </w:t>
      </w:r>
      <w:r w:rsidRPr="0070257C">
        <w:rPr>
          <w:szCs w:val="22"/>
        </w:rPr>
        <w:t xml:space="preserve">participating in the meeting at which the </w:t>
      </w:r>
      <w:r w:rsidRPr="0070257C">
        <w:rPr>
          <w:i/>
          <w:iCs/>
          <w:szCs w:val="22"/>
        </w:rPr>
        <w:t xml:space="preserve">ex parte </w:t>
      </w:r>
      <w:r w:rsidRPr="0070257C">
        <w:rPr>
          <w:szCs w:val="22"/>
        </w:rPr>
        <w:t>presentation was made, and (2) summarize all data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presented and arguments made during the presentation. If the presentation consisted in whole or in part of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the presentation of data or arguments already reflected in the presenter’s written comments, memoranda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or other filings in the proceeding, the presenter may provide citations to such data or arguments in his or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her prior comments, memoranda, or other filings (specifying the relevant page and/or paragraph numbers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where such data or arguments can be found) in lieu of summarizing them in the memorandum.</w:t>
      </w:r>
      <w:r w:rsidR="003C2F84">
        <w:rPr>
          <w:szCs w:val="22"/>
        </w:rPr>
        <w:t xml:space="preserve">  </w:t>
      </w:r>
      <w:r w:rsidRPr="0070257C">
        <w:rPr>
          <w:szCs w:val="22"/>
        </w:rPr>
        <w:t xml:space="preserve">Documents shown or given to Commission staff during </w:t>
      </w:r>
      <w:r w:rsidRPr="0070257C">
        <w:rPr>
          <w:i/>
          <w:iCs/>
          <w:szCs w:val="22"/>
        </w:rPr>
        <w:t xml:space="preserve">ex parte </w:t>
      </w:r>
      <w:r w:rsidRPr="0070257C">
        <w:rPr>
          <w:szCs w:val="22"/>
        </w:rPr>
        <w:t xml:space="preserve">meetings are deemed to be written </w:t>
      </w:r>
      <w:r w:rsidRPr="0070257C">
        <w:rPr>
          <w:i/>
          <w:iCs/>
          <w:szCs w:val="22"/>
        </w:rPr>
        <w:t>ex</w:t>
      </w:r>
      <w:r w:rsidR="003C2F84">
        <w:rPr>
          <w:i/>
          <w:iCs/>
          <w:szCs w:val="22"/>
        </w:rPr>
        <w:t xml:space="preserve"> </w:t>
      </w:r>
      <w:r w:rsidRPr="0070257C">
        <w:rPr>
          <w:i/>
          <w:iCs/>
          <w:szCs w:val="22"/>
        </w:rPr>
        <w:t xml:space="preserve">parte </w:t>
      </w:r>
      <w:r w:rsidRPr="0070257C">
        <w:rPr>
          <w:szCs w:val="22"/>
        </w:rPr>
        <w:t>presentations and must be filed consistent with rule 1.1206(b). In proceedings governed by rule</w:t>
      </w:r>
      <w:r w:rsidR="003C2F84">
        <w:rPr>
          <w:szCs w:val="22"/>
        </w:rPr>
        <w:t xml:space="preserve"> </w:t>
      </w:r>
      <w:r w:rsidRPr="0070257C">
        <w:rPr>
          <w:szCs w:val="22"/>
        </w:rPr>
        <w:t xml:space="preserve">1.49(f) or for which the Commission has made available a method of electronic filing, written </w:t>
      </w:r>
      <w:r w:rsidRPr="0070257C">
        <w:rPr>
          <w:i/>
          <w:iCs/>
          <w:szCs w:val="22"/>
        </w:rPr>
        <w:t>ex parte</w:t>
      </w:r>
      <w:r w:rsidR="003C2F84">
        <w:rPr>
          <w:i/>
          <w:iCs/>
          <w:szCs w:val="22"/>
        </w:rPr>
        <w:t xml:space="preserve"> </w:t>
      </w:r>
      <w:r w:rsidRPr="0070257C">
        <w:rPr>
          <w:szCs w:val="22"/>
        </w:rPr>
        <w:t xml:space="preserve">presentations and memoranda summarizing oral </w:t>
      </w:r>
      <w:r w:rsidRPr="0070257C">
        <w:rPr>
          <w:i/>
          <w:iCs/>
          <w:szCs w:val="22"/>
        </w:rPr>
        <w:t xml:space="preserve">ex parte </w:t>
      </w:r>
      <w:r w:rsidRPr="0070257C">
        <w:rPr>
          <w:szCs w:val="22"/>
        </w:rPr>
        <w:t>presentations, and all attachments thereto, must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be filed through the electronic comment filing system available for that proceeding, and must be filed in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their native format (e.g., .doc, .xml, .ppt, searchable .pdf). Participants in this proceeding should</w:t>
      </w:r>
      <w:r w:rsidR="003C2F84">
        <w:rPr>
          <w:szCs w:val="22"/>
        </w:rPr>
        <w:t xml:space="preserve"> </w:t>
      </w:r>
      <w:r w:rsidRPr="0070257C">
        <w:rPr>
          <w:szCs w:val="22"/>
        </w:rPr>
        <w:t xml:space="preserve">familiarize themselves with the Commission’s </w:t>
      </w:r>
      <w:r w:rsidRPr="0070257C">
        <w:rPr>
          <w:i/>
          <w:iCs/>
          <w:szCs w:val="22"/>
        </w:rPr>
        <w:t xml:space="preserve">ex parte </w:t>
      </w:r>
      <w:r w:rsidRPr="0070257C">
        <w:rPr>
          <w:szCs w:val="22"/>
        </w:rPr>
        <w:t>rules.</w:t>
      </w:r>
    </w:p>
    <w:p w:rsidR="003C2F84" w:rsidRPr="0070257C" w:rsidRDefault="003C2F84" w:rsidP="003C2F84">
      <w:pPr>
        <w:autoSpaceDE w:val="0"/>
        <w:autoSpaceDN w:val="0"/>
        <w:adjustRightInd w:val="0"/>
        <w:ind w:firstLine="720"/>
        <w:rPr>
          <w:szCs w:val="22"/>
        </w:rPr>
      </w:pPr>
    </w:p>
    <w:p w:rsidR="0070257C" w:rsidRDefault="0070257C" w:rsidP="003C2F84">
      <w:pPr>
        <w:autoSpaceDE w:val="0"/>
        <w:autoSpaceDN w:val="0"/>
        <w:adjustRightInd w:val="0"/>
        <w:ind w:firstLine="720"/>
        <w:rPr>
          <w:szCs w:val="22"/>
        </w:rPr>
      </w:pPr>
      <w:r w:rsidRPr="0070257C">
        <w:rPr>
          <w:szCs w:val="22"/>
        </w:rPr>
        <w:t xml:space="preserve">For further information, contact </w:t>
      </w:r>
      <w:r w:rsidR="003C2F84">
        <w:rPr>
          <w:szCs w:val="22"/>
        </w:rPr>
        <w:t>Michele Levy Berlove</w:t>
      </w:r>
      <w:r w:rsidRPr="0070257C">
        <w:rPr>
          <w:szCs w:val="22"/>
        </w:rPr>
        <w:t xml:space="preserve">, </w:t>
      </w:r>
      <w:r w:rsidR="003C2F84">
        <w:rPr>
          <w:szCs w:val="22"/>
        </w:rPr>
        <w:t>Attorney Advisor</w:t>
      </w:r>
      <w:r w:rsidRPr="0070257C">
        <w:rPr>
          <w:szCs w:val="22"/>
        </w:rPr>
        <w:t>, Competition Policy</w:t>
      </w:r>
      <w:r w:rsidR="003C2F84">
        <w:rPr>
          <w:szCs w:val="22"/>
        </w:rPr>
        <w:t xml:space="preserve"> </w:t>
      </w:r>
      <w:r w:rsidRPr="0070257C">
        <w:rPr>
          <w:szCs w:val="22"/>
        </w:rPr>
        <w:t>Division, Wireline Competition Bureau at (202) 418-</w:t>
      </w:r>
      <w:r w:rsidR="003C2F84">
        <w:rPr>
          <w:szCs w:val="22"/>
        </w:rPr>
        <w:t>1477</w:t>
      </w:r>
      <w:r w:rsidRPr="0070257C">
        <w:rPr>
          <w:szCs w:val="22"/>
        </w:rPr>
        <w:t xml:space="preserve"> or </w:t>
      </w:r>
      <w:r w:rsidR="003C2F84" w:rsidRPr="003C5039">
        <w:rPr>
          <w:szCs w:val="22"/>
        </w:rPr>
        <w:t>Michele.Berlove@fcc.gov</w:t>
      </w:r>
      <w:r w:rsidRPr="0070257C">
        <w:rPr>
          <w:szCs w:val="22"/>
        </w:rPr>
        <w:t>.</w:t>
      </w:r>
    </w:p>
    <w:p w:rsidR="003C2F84" w:rsidRPr="0070257C" w:rsidRDefault="003C2F84" w:rsidP="003C2F84">
      <w:pPr>
        <w:autoSpaceDE w:val="0"/>
        <w:autoSpaceDN w:val="0"/>
        <w:adjustRightInd w:val="0"/>
        <w:ind w:firstLine="720"/>
        <w:rPr>
          <w:szCs w:val="22"/>
        </w:rPr>
      </w:pPr>
    </w:p>
    <w:p w:rsidR="0070257C" w:rsidRPr="0070257C" w:rsidRDefault="0070257C" w:rsidP="003C2F84">
      <w:pPr>
        <w:autoSpaceDE w:val="0"/>
        <w:autoSpaceDN w:val="0"/>
        <w:adjustRightInd w:val="0"/>
        <w:jc w:val="center"/>
        <w:rPr>
          <w:szCs w:val="22"/>
        </w:rPr>
      </w:pPr>
      <w:r w:rsidRPr="0070257C">
        <w:rPr>
          <w:b/>
          <w:bCs/>
          <w:szCs w:val="22"/>
        </w:rPr>
        <w:t>- FCC -</w:t>
      </w:r>
    </w:p>
    <w:sectPr w:rsidR="0070257C" w:rsidRPr="0070257C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B8" w:rsidRDefault="004569B8">
      <w:r>
        <w:separator/>
      </w:r>
    </w:p>
  </w:endnote>
  <w:endnote w:type="continuationSeparator" w:id="0">
    <w:p w:rsidR="004569B8" w:rsidRDefault="0045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D" w:rsidRDefault="00DA1C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9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82D" w:rsidRDefault="00045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B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82D" w:rsidRDefault="0004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D" w:rsidRDefault="00DA1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B8" w:rsidRDefault="004569B8">
      <w:r>
        <w:separator/>
      </w:r>
    </w:p>
  </w:footnote>
  <w:footnote w:type="continuationSeparator" w:id="0">
    <w:p w:rsidR="004569B8" w:rsidRDefault="004569B8">
      <w:r w:rsidRPr="00F70BD8">
        <w:rPr>
          <w:sz w:val="20"/>
        </w:rPr>
        <w:t xml:space="preserve">(Continued from previous page) </w:t>
      </w:r>
      <w:r w:rsidRPr="00F70BD8">
        <w:rPr>
          <w:sz w:val="20"/>
        </w:rPr>
        <w:separator/>
      </w:r>
    </w:p>
  </w:footnote>
  <w:footnote w:type="continuationNotice" w:id="1">
    <w:p w:rsidR="004569B8" w:rsidRPr="00F70BD8" w:rsidRDefault="004569B8" w:rsidP="00F70BD8">
      <w:pPr>
        <w:jc w:val="right"/>
        <w:rPr>
          <w:sz w:val="20"/>
        </w:rPr>
      </w:pPr>
      <w:r>
        <w:rPr>
          <w:sz w:val="20"/>
        </w:rPr>
        <w:t>(continued…)</w:t>
      </w:r>
    </w:p>
  </w:footnote>
  <w:footnote w:id="2">
    <w:p w:rsidR="005825B4" w:rsidRDefault="005825B4" w:rsidP="003163C4">
      <w:pPr>
        <w:autoSpaceDE w:val="0"/>
        <w:autoSpaceDN w:val="0"/>
        <w:adjustRightInd w:val="0"/>
        <w:spacing w:after="120"/>
      </w:pPr>
      <w:r>
        <w:rPr>
          <w:rStyle w:val="FootnoteReference"/>
        </w:rPr>
        <w:footnoteRef/>
      </w:r>
      <w:r w:rsidRPr="005825B4">
        <w:t xml:space="preserve"> </w:t>
      </w:r>
      <w:r w:rsidRPr="005825B4">
        <w:rPr>
          <w:i/>
          <w:iCs/>
          <w:sz w:val="20"/>
        </w:rPr>
        <w:t>See Technology Transitions, et al.</w:t>
      </w:r>
      <w:r w:rsidRPr="005825B4">
        <w:rPr>
          <w:sz w:val="20"/>
        </w:rPr>
        <w:t>, GN Docket No. 13-5</w:t>
      </w:r>
      <w:r w:rsidR="00660690">
        <w:rPr>
          <w:sz w:val="20"/>
        </w:rPr>
        <w:t>,</w:t>
      </w:r>
      <w:r w:rsidRPr="005825B4">
        <w:rPr>
          <w:sz w:val="20"/>
        </w:rPr>
        <w:t xml:space="preserve"> et al., Order, Report and Order and Further Notice of</w:t>
      </w:r>
      <w:r>
        <w:rPr>
          <w:sz w:val="20"/>
        </w:rPr>
        <w:t xml:space="preserve"> </w:t>
      </w:r>
      <w:r w:rsidRPr="005825B4">
        <w:rPr>
          <w:sz w:val="20"/>
        </w:rPr>
        <w:t>Proposed Rulemaking, Report and Order, Order and Further Notice of Proposed Rulemaking, Proposal for Ongoing</w:t>
      </w:r>
      <w:r>
        <w:rPr>
          <w:sz w:val="20"/>
        </w:rPr>
        <w:t xml:space="preserve"> </w:t>
      </w:r>
      <w:r w:rsidRPr="005825B4">
        <w:rPr>
          <w:sz w:val="20"/>
        </w:rPr>
        <w:t xml:space="preserve">Data Initiative, </w:t>
      </w:r>
      <w:r w:rsidR="003163C4">
        <w:rPr>
          <w:sz w:val="20"/>
        </w:rPr>
        <w:t xml:space="preserve">29 FCC Rcd </w:t>
      </w:r>
      <w:r w:rsidR="00632F62">
        <w:rPr>
          <w:sz w:val="20"/>
        </w:rPr>
        <w:t>1433</w:t>
      </w:r>
      <w:r w:rsidRPr="005825B4">
        <w:rPr>
          <w:sz w:val="20"/>
        </w:rPr>
        <w:t xml:space="preserve"> (2014) (</w:t>
      </w:r>
      <w:r w:rsidRPr="005825B4">
        <w:rPr>
          <w:i/>
          <w:iCs/>
          <w:sz w:val="20"/>
        </w:rPr>
        <w:t>Technology Transitions Order</w:t>
      </w:r>
      <w:r w:rsidRPr="005825B4">
        <w:rPr>
          <w:sz w:val="20"/>
        </w:rPr>
        <w:t>).</w:t>
      </w:r>
    </w:p>
  </w:footnote>
  <w:footnote w:id="3">
    <w:p w:rsidR="005825B4" w:rsidRDefault="005825B4" w:rsidP="003163C4">
      <w:pPr>
        <w:autoSpaceDE w:val="0"/>
        <w:autoSpaceDN w:val="0"/>
        <w:adjustRightInd w:val="0"/>
        <w:spacing w:after="120"/>
      </w:pPr>
      <w:r w:rsidRPr="005825B4">
        <w:rPr>
          <w:rStyle w:val="FootnoteReference"/>
          <w:sz w:val="20"/>
        </w:rPr>
        <w:footnoteRef/>
      </w:r>
      <w:r w:rsidRPr="005825B4">
        <w:rPr>
          <w:sz w:val="20"/>
        </w:rPr>
        <w:t xml:space="preserve"> A “service-based” experiment is one in which providers seek to substitute new communications technologies for</w:t>
      </w:r>
      <w:r>
        <w:rPr>
          <w:sz w:val="20"/>
        </w:rPr>
        <w:t xml:space="preserve"> </w:t>
      </w:r>
      <w:r w:rsidRPr="005825B4">
        <w:rPr>
          <w:sz w:val="20"/>
        </w:rPr>
        <w:t>the TDM-based services over copper lines that they currently are providing to customers, with an eye toward</w:t>
      </w:r>
      <w:r>
        <w:rPr>
          <w:sz w:val="20"/>
        </w:rPr>
        <w:t xml:space="preserve"> </w:t>
      </w:r>
      <w:r w:rsidRPr="005825B4">
        <w:rPr>
          <w:sz w:val="20"/>
        </w:rPr>
        <w:t>discontinuing those legacy services and in which others may propose new and innovative services that bring benefits</w:t>
      </w:r>
      <w:r>
        <w:rPr>
          <w:sz w:val="20"/>
        </w:rPr>
        <w:t xml:space="preserve"> </w:t>
      </w:r>
      <w:r w:rsidRPr="005825B4">
        <w:rPr>
          <w:sz w:val="20"/>
        </w:rPr>
        <w:t>to consumers while preserving the enduring values of our nation’s communications networks.</w:t>
      </w:r>
      <w:r w:rsidR="003163C4">
        <w:rPr>
          <w:sz w:val="20"/>
        </w:rPr>
        <w:t xml:space="preserve"> </w:t>
      </w:r>
      <w:r w:rsidRPr="005825B4">
        <w:rPr>
          <w:sz w:val="20"/>
        </w:rPr>
        <w:t xml:space="preserve"> </w:t>
      </w:r>
      <w:r w:rsidRPr="005825B4">
        <w:rPr>
          <w:i/>
          <w:iCs/>
          <w:sz w:val="20"/>
        </w:rPr>
        <w:t>Id</w:t>
      </w:r>
      <w:r w:rsidRPr="005825B4">
        <w:rPr>
          <w:sz w:val="20"/>
        </w:rPr>
        <w:t xml:space="preserve">. at </w:t>
      </w:r>
      <w:r w:rsidR="00632F62">
        <w:rPr>
          <w:sz w:val="20"/>
        </w:rPr>
        <w:t>1441</w:t>
      </w:r>
      <w:r w:rsidR="005D302E">
        <w:rPr>
          <w:sz w:val="20"/>
        </w:rPr>
        <w:t xml:space="preserve">, </w:t>
      </w:r>
      <w:r w:rsidRPr="005825B4">
        <w:rPr>
          <w:sz w:val="20"/>
        </w:rPr>
        <w:t>para. 22.</w:t>
      </w:r>
    </w:p>
  </w:footnote>
  <w:footnote w:id="4">
    <w:p w:rsidR="003163C4" w:rsidRPr="003163C4" w:rsidRDefault="003163C4" w:rsidP="003163C4">
      <w:pPr>
        <w:pStyle w:val="FootnoteText"/>
        <w:spacing w:after="120"/>
        <w:rPr>
          <w:sz w:val="20"/>
        </w:rPr>
      </w:pPr>
      <w:r w:rsidRPr="003163C4">
        <w:rPr>
          <w:rStyle w:val="FootnoteReference"/>
          <w:sz w:val="20"/>
        </w:rPr>
        <w:footnoteRef/>
      </w:r>
      <w:r w:rsidRPr="003163C4">
        <w:rPr>
          <w:sz w:val="20"/>
        </w:rPr>
        <w:t xml:space="preserve"> </w:t>
      </w:r>
      <w:r w:rsidRPr="003163C4">
        <w:rPr>
          <w:i/>
          <w:iCs/>
          <w:sz w:val="20"/>
        </w:rPr>
        <w:t xml:space="preserve">Id. </w:t>
      </w:r>
      <w:r w:rsidRPr="003163C4">
        <w:rPr>
          <w:sz w:val="20"/>
        </w:rPr>
        <w:t xml:space="preserve">at </w:t>
      </w:r>
      <w:r w:rsidR="00F754BE">
        <w:rPr>
          <w:sz w:val="20"/>
        </w:rPr>
        <w:t>1443</w:t>
      </w:r>
      <w:r w:rsidR="000B5702">
        <w:rPr>
          <w:sz w:val="20"/>
        </w:rPr>
        <w:t xml:space="preserve">, </w:t>
      </w:r>
      <w:r w:rsidRPr="003163C4">
        <w:rPr>
          <w:sz w:val="20"/>
        </w:rPr>
        <w:t>para. 30.</w:t>
      </w:r>
    </w:p>
  </w:footnote>
  <w:footnote w:id="5">
    <w:p w:rsidR="000B5702" w:rsidRPr="000B5702" w:rsidRDefault="000B5702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0B5702">
        <w:rPr>
          <w:i/>
          <w:sz w:val="20"/>
        </w:rPr>
        <w:t>Id</w:t>
      </w:r>
      <w:r w:rsidRPr="000B5702">
        <w:rPr>
          <w:sz w:val="20"/>
        </w:rPr>
        <w:t xml:space="preserve">. at </w:t>
      </w:r>
      <w:r w:rsidR="00F754BE">
        <w:rPr>
          <w:sz w:val="20"/>
        </w:rPr>
        <w:t>1462</w:t>
      </w:r>
      <w:r>
        <w:rPr>
          <w:sz w:val="20"/>
        </w:rPr>
        <w:t xml:space="preserve">, </w:t>
      </w:r>
      <w:r w:rsidRPr="000B5702">
        <w:rPr>
          <w:sz w:val="20"/>
        </w:rPr>
        <w:t>para. 81.</w:t>
      </w:r>
    </w:p>
  </w:footnote>
  <w:footnote w:id="6">
    <w:p w:rsidR="00BC66FB" w:rsidRDefault="00BC66FB" w:rsidP="00F70BD8">
      <w:pPr>
        <w:autoSpaceDE w:val="0"/>
        <w:autoSpaceDN w:val="0"/>
        <w:adjustRightInd w:val="0"/>
        <w:spacing w:after="120"/>
      </w:pPr>
      <w:r w:rsidRPr="00BC66FB">
        <w:rPr>
          <w:rStyle w:val="FootnoteReference"/>
          <w:sz w:val="20"/>
        </w:rPr>
        <w:footnoteRef/>
      </w:r>
      <w:r w:rsidRPr="00BC66FB">
        <w:rPr>
          <w:sz w:val="20"/>
        </w:rPr>
        <w:t xml:space="preserve"> </w:t>
      </w:r>
      <w:r w:rsidR="005D302E" w:rsidRPr="006A7BF2">
        <w:rPr>
          <w:i/>
          <w:iCs/>
          <w:color w:val="000000"/>
          <w:sz w:val="20"/>
        </w:rPr>
        <w:t>See Technology Transitions</w:t>
      </w:r>
      <w:r w:rsidR="00B556A6">
        <w:rPr>
          <w:i/>
          <w:iCs/>
          <w:color w:val="000000"/>
          <w:sz w:val="20"/>
        </w:rPr>
        <w:t xml:space="preserve">; </w:t>
      </w:r>
      <w:r w:rsidR="00B556A6" w:rsidRPr="00B556A6">
        <w:rPr>
          <w:i/>
          <w:iCs/>
          <w:color w:val="000000"/>
          <w:sz w:val="20"/>
        </w:rPr>
        <w:t>AT&amp;T Petition to Launch a Proceeding Concerning</w:t>
      </w:r>
      <w:r w:rsidR="000B5DA2">
        <w:rPr>
          <w:i/>
          <w:iCs/>
          <w:color w:val="000000"/>
          <w:sz w:val="20"/>
        </w:rPr>
        <w:t xml:space="preserve"> </w:t>
      </w:r>
      <w:r w:rsidR="00B556A6" w:rsidRPr="00B556A6">
        <w:rPr>
          <w:i/>
          <w:iCs/>
          <w:color w:val="000000"/>
          <w:sz w:val="20"/>
        </w:rPr>
        <w:t>the TDM-to-IP Transition</w:t>
      </w:r>
      <w:r w:rsidR="005D302E" w:rsidRPr="006A7BF2">
        <w:rPr>
          <w:color w:val="000000"/>
          <w:sz w:val="20"/>
        </w:rPr>
        <w:t xml:space="preserve">, GN Docket Nos. 13-5, 12-353, Protective Order, </w:t>
      </w:r>
      <w:r w:rsidR="00B556A6">
        <w:rPr>
          <w:color w:val="000000"/>
          <w:sz w:val="20"/>
        </w:rPr>
        <w:t>29 FCC Rcd 2014</w:t>
      </w:r>
      <w:r w:rsidR="005D302E" w:rsidRPr="006A7BF2">
        <w:rPr>
          <w:color w:val="000000"/>
          <w:sz w:val="20"/>
        </w:rPr>
        <w:t xml:space="preserve"> (Wireline Comp. Bur. 2014)</w:t>
      </w:r>
      <w:r w:rsidR="00B556A6">
        <w:rPr>
          <w:color w:val="000000"/>
          <w:sz w:val="20"/>
        </w:rPr>
        <w:t>,</w:t>
      </w:r>
      <w:r w:rsidR="005D302E" w:rsidRPr="006A7BF2">
        <w:rPr>
          <w:color w:val="000000"/>
          <w:sz w:val="20"/>
        </w:rPr>
        <w:t>,</w:t>
      </w:r>
      <w:r w:rsidR="00B556A6">
        <w:rPr>
          <w:i/>
          <w:color w:val="000000"/>
          <w:sz w:val="20"/>
        </w:rPr>
        <w:t>available at</w:t>
      </w:r>
      <w:r w:rsidR="005D302E" w:rsidRPr="006A7BF2">
        <w:rPr>
          <w:color w:val="000000"/>
          <w:sz w:val="20"/>
        </w:rPr>
        <w:t xml:space="preserve"> </w:t>
      </w:r>
      <w:r w:rsidR="005D302E" w:rsidRPr="006A7BF2">
        <w:rPr>
          <w:sz w:val="20"/>
        </w:rPr>
        <w:t>http://transition.fcc.gov/Daily_Releases/Daily_Business/2014/db0227/DA-14-272A1.pdf</w:t>
      </w:r>
      <w:r w:rsidR="00B556A6">
        <w:rPr>
          <w:color w:val="000000"/>
          <w:sz w:val="20"/>
        </w:rPr>
        <w:t>;</w:t>
      </w:r>
      <w:r w:rsidR="005D302E" w:rsidRPr="006A7BF2">
        <w:rPr>
          <w:color w:val="000000"/>
          <w:sz w:val="20"/>
        </w:rPr>
        <w:t xml:space="preserve"> </w:t>
      </w:r>
      <w:r w:rsidR="005D302E" w:rsidRPr="006A7BF2">
        <w:rPr>
          <w:i/>
          <w:iCs/>
          <w:color w:val="000000"/>
          <w:sz w:val="20"/>
        </w:rPr>
        <w:t>Technology Transitions</w:t>
      </w:r>
      <w:r w:rsidR="00B556A6">
        <w:rPr>
          <w:i/>
          <w:iCs/>
          <w:color w:val="000000"/>
          <w:sz w:val="20"/>
        </w:rPr>
        <w:t xml:space="preserve">; </w:t>
      </w:r>
      <w:r w:rsidR="00B556A6" w:rsidRPr="00B556A6">
        <w:rPr>
          <w:i/>
          <w:iCs/>
          <w:color w:val="000000"/>
          <w:sz w:val="20"/>
        </w:rPr>
        <w:t>AT&amp;T Petition to Launch a Proceeding Concerning</w:t>
      </w:r>
      <w:r w:rsidR="000A553C">
        <w:rPr>
          <w:i/>
          <w:iCs/>
          <w:color w:val="000000"/>
          <w:sz w:val="20"/>
        </w:rPr>
        <w:t xml:space="preserve"> </w:t>
      </w:r>
      <w:r w:rsidR="00B556A6" w:rsidRPr="00B556A6">
        <w:rPr>
          <w:i/>
          <w:iCs/>
          <w:color w:val="000000"/>
          <w:sz w:val="20"/>
        </w:rPr>
        <w:t>the TDM-to-IP Transition</w:t>
      </w:r>
      <w:r w:rsidR="005D302E" w:rsidRPr="006A7BF2">
        <w:rPr>
          <w:color w:val="000000"/>
          <w:sz w:val="20"/>
        </w:rPr>
        <w:t xml:space="preserve">, GN Docket Nos. 13-5, 12-353, Second Protective Order, </w:t>
      </w:r>
      <w:r w:rsidR="00E11C29">
        <w:rPr>
          <w:color w:val="000000"/>
          <w:sz w:val="20"/>
        </w:rPr>
        <w:t>29 FCC Rcd 2022</w:t>
      </w:r>
      <w:r w:rsidR="005D302E" w:rsidRPr="006A7BF2">
        <w:rPr>
          <w:color w:val="000000"/>
          <w:sz w:val="20"/>
        </w:rPr>
        <w:t xml:space="preserve"> (Wireline Comp. Bur. 2014), </w:t>
      </w:r>
      <w:r w:rsidR="00E11C29">
        <w:rPr>
          <w:i/>
          <w:color w:val="000000"/>
          <w:sz w:val="20"/>
        </w:rPr>
        <w:t xml:space="preserve">available at </w:t>
      </w:r>
      <w:r w:rsidR="005D302E" w:rsidRPr="006A7BF2">
        <w:rPr>
          <w:sz w:val="20"/>
        </w:rPr>
        <w:t>http://transition.fcc.gov/Daily_Releases/Daily_Business/2014/db0227/DA-14-273A1.pdf</w:t>
      </w:r>
      <w:r w:rsidR="005D302E" w:rsidRPr="006A7BF2">
        <w:rPr>
          <w:color w:val="000000"/>
          <w:sz w:val="20"/>
        </w:rPr>
        <w:t>.</w:t>
      </w:r>
    </w:p>
  </w:footnote>
  <w:footnote w:id="7">
    <w:p w:rsidR="00146729" w:rsidRPr="00146729" w:rsidRDefault="00146729" w:rsidP="00F70BD8">
      <w:pPr>
        <w:pStyle w:val="FootnoteText"/>
        <w:spacing w:after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146729">
        <w:rPr>
          <w:i/>
          <w:sz w:val="20"/>
        </w:rPr>
        <w:t>See</w:t>
      </w:r>
      <w:r w:rsidRPr="00146729">
        <w:rPr>
          <w:sz w:val="20"/>
        </w:rPr>
        <w:t xml:space="preserve"> Letter from Timothy M. Boucher, Ass</w:t>
      </w:r>
      <w:r w:rsidR="004F0904">
        <w:rPr>
          <w:sz w:val="20"/>
        </w:rPr>
        <w:t>oc</w:t>
      </w:r>
      <w:r w:rsidR="00520DFC">
        <w:rPr>
          <w:sz w:val="20"/>
        </w:rPr>
        <w:t>iate</w:t>
      </w:r>
      <w:r w:rsidRPr="00146729">
        <w:rPr>
          <w:sz w:val="20"/>
        </w:rPr>
        <w:t xml:space="preserve"> General Counsel, CenturyLink, to Marlene H. Dortch, Secretary, FCC, GN Docket Nos. 13-5 and 12-353, at Attachs. (filed Nov. 12, 2014), http://apps.fcc.gov/ecfs/document/view?id=60000982599 (cover letter), http://apps.fcc.gov/ecfs/document/view?id=60000982600 (narrative proposal), http://apps.fcc.gov/ecfs/document/view?id=60000982601 (IP Trial Operating Plan).</w:t>
      </w:r>
    </w:p>
  </w:footnote>
  <w:footnote w:id="8">
    <w:p w:rsidR="001977FB" w:rsidRPr="00F70BD8" w:rsidRDefault="001977FB" w:rsidP="00F70BD8">
      <w:pPr>
        <w:pStyle w:val="FootnoteText"/>
        <w:spacing w:after="120"/>
        <w:rPr>
          <w:sz w:val="20"/>
        </w:rPr>
      </w:pPr>
      <w:r w:rsidRPr="00F70BD8">
        <w:rPr>
          <w:rStyle w:val="FootnoteReference"/>
          <w:sz w:val="20"/>
        </w:rPr>
        <w:footnoteRef/>
      </w:r>
      <w:r w:rsidRPr="00F70BD8">
        <w:rPr>
          <w:sz w:val="20"/>
        </w:rPr>
        <w:t xml:space="preserve"> </w:t>
      </w:r>
      <w:r w:rsidRPr="00F70BD8">
        <w:rPr>
          <w:i/>
          <w:iCs/>
          <w:sz w:val="20"/>
        </w:rPr>
        <w:t>See Electronic Filing of Documents in Rulemaking Proceedings</w:t>
      </w:r>
      <w:r w:rsidRPr="00F70BD8">
        <w:rPr>
          <w:sz w:val="20"/>
        </w:rPr>
        <w:t>, 63 FR 24121 (1998).</w:t>
      </w:r>
    </w:p>
  </w:footnote>
  <w:footnote w:id="9">
    <w:p w:rsidR="0070257C" w:rsidRPr="0070257C" w:rsidRDefault="0070257C" w:rsidP="00F70BD8">
      <w:pPr>
        <w:pStyle w:val="FootnoteText"/>
        <w:spacing w:after="120"/>
        <w:rPr>
          <w:sz w:val="20"/>
        </w:rPr>
      </w:pPr>
      <w:r w:rsidRPr="0070257C">
        <w:rPr>
          <w:rStyle w:val="FootnoteReference"/>
          <w:sz w:val="20"/>
        </w:rPr>
        <w:footnoteRef/>
      </w:r>
      <w:r w:rsidRPr="0070257C">
        <w:rPr>
          <w:sz w:val="20"/>
        </w:rPr>
        <w:t xml:space="preserve"> </w:t>
      </w:r>
      <w:r w:rsidRPr="0070257C">
        <w:rPr>
          <w:i/>
          <w:iCs/>
          <w:sz w:val="20"/>
        </w:rPr>
        <w:t>Technology Transitions Order</w:t>
      </w:r>
      <w:r>
        <w:rPr>
          <w:iCs/>
          <w:sz w:val="20"/>
        </w:rPr>
        <w:t xml:space="preserve">, 29 FCC Rcd at </w:t>
      </w:r>
      <w:r w:rsidR="00A47586">
        <w:rPr>
          <w:iCs/>
          <w:sz w:val="20"/>
        </w:rPr>
        <w:t>1506</w:t>
      </w:r>
      <w:r>
        <w:rPr>
          <w:iCs/>
          <w:sz w:val="20"/>
        </w:rPr>
        <w:t>,</w:t>
      </w:r>
      <w:r w:rsidRPr="0070257C">
        <w:rPr>
          <w:sz w:val="20"/>
        </w:rPr>
        <w:t xml:space="preserve"> para. 231.</w:t>
      </w:r>
    </w:p>
  </w:footnote>
  <w:footnote w:id="10">
    <w:p w:rsidR="003C2F84" w:rsidRPr="003C2F84" w:rsidRDefault="003C2F84" w:rsidP="00F70BD8">
      <w:pPr>
        <w:pStyle w:val="FootnoteText"/>
        <w:spacing w:after="120"/>
        <w:rPr>
          <w:sz w:val="20"/>
        </w:rPr>
      </w:pPr>
      <w:r w:rsidRPr="003C2F84">
        <w:rPr>
          <w:rStyle w:val="FootnoteReference"/>
          <w:sz w:val="20"/>
        </w:rPr>
        <w:footnoteRef/>
      </w:r>
      <w:r w:rsidRPr="003C2F84">
        <w:rPr>
          <w:sz w:val="20"/>
        </w:rPr>
        <w:t xml:space="preserve"> 47 C.F.R. §§ 1.1200 </w:t>
      </w:r>
      <w:r w:rsidRPr="003C2F84">
        <w:rPr>
          <w:i/>
          <w:iCs/>
          <w:sz w:val="20"/>
        </w:rPr>
        <w:t>et seq.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D" w:rsidRDefault="00DA1C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BD" w:rsidRDefault="00DA1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5825B4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16C95D10" wp14:editId="4603F6BE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5825B4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1DBF40" wp14:editId="0D3EC72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69FE67" wp14:editId="49517ED9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67C24F8" wp14:editId="73A32BA3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6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6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4"/>
    <w:rsid w:val="000265AE"/>
    <w:rsid w:val="0004582D"/>
    <w:rsid w:val="00093E4E"/>
    <w:rsid w:val="000A0C6A"/>
    <w:rsid w:val="000A553C"/>
    <w:rsid w:val="000B5702"/>
    <w:rsid w:val="000B5DA2"/>
    <w:rsid w:val="00146729"/>
    <w:rsid w:val="00174ADA"/>
    <w:rsid w:val="001977FB"/>
    <w:rsid w:val="001A215B"/>
    <w:rsid w:val="00216D1A"/>
    <w:rsid w:val="00223441"/>
    <w:rsid w:val="003163C4"/>
    <w:rsid w:val="00340C7E"/>
    <w:rsid w:val="0039112F"/>
    <w:rsid w:val="003C2F84"/>
    <w:rsid w:val="003C5039"/>
    <w:rsid w:val="004569B8"/>
    <w:rsid w:val="004D25F8"/>
    <w:rsid w:val="004F0904"/>
    <w:rsid w:val="004F2582"/>
    <w:rsid w:val="00520DFC"/>
    <w:rsid w:val="005825B4"/>
    <w:rsid w:val="005862C6"/>
    <w:rsid w:val="005C5A55"/>
    <w:rsid w:val="005D302E"/>
    <w:rsid w:val="005D48E3"/>
    <w:rsid w:val="00602577"/>
    <w:rsid w:val="00632F62"/>
    <w:rsid w:val="00660690"/>
    <w:rsid w:val="006E3B02"/>
    <w:rsid w:val="0070257C"/>
    <w:rsid w:val="007601AE"/>
    <w:rsid w:val="007A252B"/>
    <w:rsid w:val="007D4DC3"/>
    <w:rsid w:val="007E4C9B"/>
    <w:rsid w:val="007F5B39"/>
    <w:rsid w:val="008B43FC"/>
    <w:rsid w:val="009102BF"/>
    <w:rsid w:val="009B66D8"/>
    <w:rsid w:val="009F37FC"/>
    <w:rsid w:val="00A47586"/>
    <w:rsid w:val="00B26469"/>
    <w:rsid w:val="00B556A6"/>
    <w:rsid w:val="00BC66FB"/>
    <w:rsid w:val="00BE29C4"/>
    <w:rsid w:val="00BE3A09"/>
    <w:rsid w:val="00C3739A"/>
    <w:rsid w:val="00CD3DB7"/>
    <w:rsid w:val="00CF0B19"/>
    <w:rsid w:val="00D17DC0"/>
    <w:rsid w:val="00D60EFF"/>
    <w:rsid w:val="00DA1CBD"/>
    <w:rsid w:val="00DB0B59"/>
    <w:rsid w:val="00E11C29"/>
    <w:rsid w:val="00E90046"/>
    <w:rsid w:val="00F24CF5"/>
    <w:rsid w:val="00F70BD8"/>
    <w:rsid w:val="00F754BE"/>
    <w:rsid w:val="00F946CD"/>
    <w:rsid w:val="00FA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82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C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C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C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82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944</Words>
  <Characters>5435</Characters>
  <Application>Microsoft Office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6388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2014-11-21T17:27:00Z</dcterms:created>
  <dcterms:modified xsi:type="dcterms:W3CDTF">2014-11-21T17:27:00Z</dcterms:modified>
  <cp:category> </cp:category>
  <cp:contentStatus> </cp:contentStatus>
</cp:coreProperties>
</file>