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BA" w:rsidRPr="005B22BA" w:rsidRDefault="005B22BA" w:rsidP="005B22BA">
      <w:pPr>
        <w:pStyle w:val="Header"/>
        <w:rPr>
          <w:b/>
        </w:rPr>
      </w:pPr>
      <w:bookmarkStart w:id="0" w:name="_GoBack"/>
      <w:bookmarkEnd w:id="0"/>
      <w:r w:rsidRPr="005B22BA">
        <w:rPr>
          <w:b/>
        </w:rPr>
        <w:t xml:space="preserve">                                                 </w:t>
      </w:r>
      <w:r>
        <w:rPr>
          <w:b/>
        </w:rPr>
        <w:t xml:space="preserve">    </w:t>
      </w:r>
      <w:r w:rsidRPr="005B22BA">
        <w:rPr>
          <w:b/>
        </w:rPr>
        <w:t xml:space="preserve">Federal Communications Commission  </w:t>
      </w:r>
      <w:r>
        <w:rPr>
          <w:b/>
        </w:rPr>
        <w:t xml:space="preserve">                           </w:t>
      </w:r>
      <w:r w:rsidRPr="005B22BA">
        <w:rPr>
          <w:b/>
        </w:rPr>
        <w:t xml:space="preserve">DA </w:t>
      </w:r>
      <w:r w:rsidR="00274B24" w:rsidRPr="00274B24">
        <w:rPr>
          <w:b/>
        </w:rPr>
        <w:t>14-1683</w:t>
      </w:r>
    </w:p>
    <w:p w:rsidR="005B22BA" w:rsidRDefault="005B22BA" w:rsidP="005B22BA">
      <w:pPr>
        <w:pStyle w:val="Header"/>
      </w:pPr>
      <w:r>
        <w:rPr>
          <w:noProof/>
          <w:snapToGrid/>
        </w:rPr>
        <mc:AlternateContent>
          <mc:Choice Requires="wps">
            <w:drawing>
              <wp:anchor distT="0" distB="0" distL="114300" distR="114300" simplePos="0" relativeHeight="251659264" behindDoc="0" locked="0" layoutInCell="0" allowOverlap="1" wp14:anchorId="316CFE39" wp14:editId="3D61A41A">
                <wp:simplePos x="0" y="0"/>
                <wp:positionH relativeFrom="column">
                  <wp:posOffset>0</wp:posOffset>
                </wp:positionH>
                <wp:positionV relativeFrom="paragraph">
                  <wp:posOffset>22225</wp:posOffset>
                </wp:positionV>
                <wp:extent cx="5943600" cy="0"/>
                <wp:effectExtent l="9525" t="11430" r="9525"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5B22BA" w:rsidRDefault="005B22BA" w:rsidP="00C56A38">
      <w:pPr>
        <w:suppressAutoHyphens/>
        <w:spacing w:line="225" w:lineRule="auto"/>
        <w:jc w:val="center"/>
        <w:rPr>
          <w:b/>
          <w:spacing w:val="-3"/>
          <w:szCs w:val="22"/>
        </w:rPr>
      </w:pPr>
    </w:p>
    <w:p w:rsidR="00C56A38" w:rsidRPr="00670AF5" w:rsidRDefault="00C56A38" w:rsidP="00C56A38">
      <w:pPr>
        <w:suppressAutoHyphens/>
        <w:spacing w:line="225" w:lineRule="auto"/>
        <w:jc w:val="center"/>
        <w:rPr>
          <w:b/>
          <w:spacing w:val="-3"/>
          <w:szCs w:val="22"/>
        </w:rPr>
      </w:pPr>
      <w:r w:rsidRPr="00670AF5">
        <w:rPr>
          <w:b/>
          <w:spacing w:val="-3"/>
          <w:szCs w:val="22"/>
        </w:rPr>
        <w:t>Before the</w:t>
      </w:r>
      <w:r w:rsidRPr="00670AF5">
        <w:rPr>
          <w:b/>
          <w:spacing w:val="-3"/>
          <w:szCs w:val="22"/>
        </w:rPr>
        <w:fldChar w:fldCharType="begin"/>
      </w:r>
      <w:r w:rsidRPr="00670AF5">
        <w:rPr>
          <w:b/>
          <w:spacing w:val="-3"/>
          <w:szCs w:val="22"/>
        </w:rPr>
        <w:instrText xml:space="preserve">PRIVATE </w:instrText>
      </w:r>
      <w:r w:rsidRPr="00670AF5">
        <w:rPr>
          <w:b/>
          <w:spacing w:val="-3"/>
          <w:szCs w:val="22"/>
        </w:rPr>
        <w:fldChar w:fldCharType="end"/>
      </w:r>
    </w:p>
    <w:p w:rsidR="00C56A38" w:rsidRPr="00670AF5" w:rsidRDefault="00C56A38" w:rsidP="00C56A38">
      <w:pPr>
        <w:tabs>
          <w:tab w:val="center" w:pos="4680"/>
        </w:tabs>
        <w:suppressAutoHyphens/>
        <w:spacing w:line="225" w:lineRule="auto"/>
        <w:jc w:val="both"/>
        <w:rPr>
          <w:b/>
          <w:spacing w:val="-3"/>
          <w:szCs w:val="22"/>
        </w:rPr>
      </w:pPr>
      <w:r w:rsidRPr="00670AF5">
        <w:rPr>
          <w:b/>
          <w:spacing w:val="-3"/>
          <w:szCs w:val="22"/>
        </w:rPr>
        <w:tab/>
        <w:t>Federal Communications Commission</w:t>
      </w:r>
    </w:p>
    <w:p w:rsidR="00C56A38" w:rsidRPr="00670AF5" w:rsidRDefault="00C56A38" w:rsidP="00C56A38">
      <w:pPr>
        <w:tabs>
          <w:tab w:val="center" w:pos="4680"/>
        </w:tabs>
        <w:suppressAutoHyphens/>
        <w:spacing w:line="225" w:lineRule="auto"/>
        <w:jc w:val="both"/>
        <w:rPr>
          <w:spacing w:val="-3"/>
          <w:szCs w:val="22"/>
        </w:rPr>
      </w:pPr>
      <w:r w:rsidRPr="00670AF5">
        <w:rPr>
          <w:b/>
          <w:spacing w:val="-3"/>
          <w:szCs w:val="22"/>
        </w:rPr>
        <w:tab/>
        <w:t>Washington, D.C. 20554</w:t>
      </w:r>
    </w:p>
    <w:p w:rsidR="00C56A38" w:rsidRPr="00670AF5" w:rsidRDefault="00C56A38" w:rsidP="00C56A38">
      <w:pPr>
        <w:tabs>
          <w:tab w:val="left" w:pos="-720"/>
        </w:tabs>
        <w:suppressAutoHyphens/>
        <w:spacing w:line="225" w:lineRule="auto"/>
        <w:jc w:val="both"/>
        <w:rPr>
          <w:spacing w:val="-3"/>
          <w:szCs w:val="22"/>
        </w:rPr>
      </w:pPr>
    </w:p>
    <w:p w:rsidR="00C56A38" w:rsidRPr="00670AF5" w:rsidRDefault="00C56A38" w:rsidP="005759B5">
      <w:pPr>
        <w:tabs>
          <w:tab w:val="left" w:pos="-720"/>
          <w:tab w:val="left" w:pos="4680"/>
        </w:tabs>
        <w:suppressAutoHyphens/>
        <w:spacing w:line="225" w:lineRule="auto"/>
        <w:jc w:val="both"/>
        <w:rPr>
          <w:spacing w:val="-3"/>
          <w:szCs w:val="22"/>
        </w:rPr>
      </w:pPr>
      <w:r w:rsidRPr="00670AF5">
        <w:rPr>
          <w:spacing w:val="-3"/>
          <w:szCs w:val="22"/>
        </w:rPr>
        <w:t>In the Matter of</w:t>
      </w:r>
      <w:r w:rsidRPr="00670AF5">
        <w:rPr>
          <w:spacing w:val="-3"/>
          <w:szCs w:val="22"/>
        </w:rPr>
        <w:tab/>
        <w:t>)</w:t>
      </w:r>
    </w:p>
    <w:p w:rsidR="00C56A38" w:rsidRPr="00670AF5" w:rsidRDefault="00C56A38" w:rsidP="005759B5">
      <w:pPr>
        <w:tabs>
          <w:tab w:val="left" w:pos="-720"/>
          <w:tab w:val="left" w:pos="4680"/>
        </w:tabs>
        <w:suppressAutoHyphens/>
        <w:spacing w:line="225" w:lineRule="auto"/>
        <w:jc w:val="both"/>
        <w:rPr>
          <w:spacing w:val="-3"/>
          <w:szCs w:val="22"/>
        </w:rPr>
      </w:pPr>
      <w:r w:rsidRPr="00670AF5">
        <w:rPr>
          <w:spacing w:val="-3"/>
          <w:szCs w:val="22"/>
        </w:rPr>
        <w:tab/>
        <w:t>)</w:t>
      </w:r>
      <w:r w:rsidRPr="00670AF5">
        <w:rPr>
          <w:spacing w:val="-3"/>
          <w:szCs w:val="22"/>
        </w:rPr>
        <w:tab/>
      </w:r>
      <w:r w:rsidRPr="00670AF5">
        <w:rPr>
          <w:spacing w:val="-3"/>
          <w:szCs w:val="22"/>
        </w:rPr>
        <w:tab/>
      </w:r>
    </w:p>
    <w:p w:rsidR="0099063B" w:rsidRDefault="00C56A38" w:rsidP="005759B5">
      <w:pPr>
        <w:tabs>
          <w:tab w:val="left" w:pos="-720"/>
          <w:tab w:val="left" w:pos="4680"/>
          <w:tab w:val="left" w:pos="5040"/>
          <w:tab w:val="left" w:pos="5400"/>
        </w:tabs>
        <w:suppressAutoHyphens/>
        <w:spacing w:line="225" w:lineRule="auto"/>
        <w:jc w:val="both"/>
        <w:rPr>
          <w:spacing w:val="-3"/>
          <w:szCs w:val="22"/>
        </w:rPr>
      </w:pPr>
      <w:r w:rsidRPr="00670AF5">
        <w:rPr>
          <w:spacing w:val="-3"/>
          <w:szCs w:val="22"/>
        </w:rPr>
        <w:t>Amendment of Section 73.202(b),</w:t>
      </w:r>
      <w:r w:rsidRPr="00670AF5">
        <w:rPr>
          <w:spacing w:val="-3"/>
          <w:szCs w:val="22"/>
        </w:rPr>
        <w:tab/>
        <w:t>)</w:t>
      </w:r>
      <w:r>
        <w:rPr>
          <w:spacing w:val="-3"/>
          <w:szCs w:val="22"/>
        </w:rPr>
        <w:t xml:space="preserve">   </w:t>
      </w:r>
      <w:r w:rsidR="005B22BA">
        <w:rPr>
          <w:spacing w:val="-3"/>
          <w:szCs w:val="22"/>
        </w:rPr>
        <w:tab/>
      </w:r>
      <w:r>
        <w:rPr>
          <w:spacing w:val="-3"/>
          <w:szCs w:val="22"/>
        </w:rPr>
        <w:t>MB</w:t>
      </w:r>
      <w:r w:rsidRPr="00670AF5">
        <w:rPr>
          <w:spacing w:val="-3"/>
          <w:szCs w:val="22"/>
        </w:rPr>
        <w:t xml:space="preserve"> Docket No. </w:t>
      </w:r>
      <w:r>
        <w:rPr>
          <w:spacing w:val="-3"/>
          <w:szCs w:val="22"/>
        </w:rPr>
        <w:t>1</w:t>
      </w:r>
      <w:r w:rsidR="0099063B">
        <w:rPr>
          <w:spacing w:val="-3"/>
          <w:szCs w:val="22"/>
        </w:rPr>
        <w:t>2-271</w:t>
      </w:r>
    </w:p>
    <w:p w:rsidR="00C56A38" w:rsidRPr="00670AF5" w:rsidRDefault="005B22BA" w:rsidP="005759B5">
      <w:pPr>
        <w:tabs>
          <w:tab w:val="left" w:pos="-720"/>
          <w:tab w:val="left" w:pos="4680"/>
          <w:tab w:val="left" w:pos="5040"/>
          <w:tab w:val="left" w:pos="5400"/>
        </w:tabs>
        <w:suppressAutoHyphens/>
        <w:spacing w:line="225" w:lineRule="auto"/>
        <w:jc w:val="both"/>
        <w:rPr>
          <w:spacing w:val="-3"/>
          <w:szCs w:val="22"/>
        </w:rPr>
      </w:pPr>
      <w:r>
        <w:rPr>
          <w:spacing w:val="-3"/>
          <w:szCs w:val="22"/>
        </w:rPr>
        <w:t>Table of Allotments,</w:t>
      </w:r>
      <w:r>
        <w:rPr>
          <w:spacing w:val="-3"/>
          <w:szCs w:val="22"/>
        </w:rPr>
        <w:tab/>
      </w:r>
      <w:r w:rsidR="00C56A38" w:rsidRPr="00670AF5">
        <w:rPr>
          <w:spacing w:val="-3"/>
          <w:szCs w:val="22"/>
        </w:rPr>
        <w:t>)</w:t>
      </w:r>
      <w:r w:rsidR="00C56A38">
        <w:rPr>
          <w:spacing w:val="-3"/>
          <w:szCs w:val="22"/>
        </w:rPr>
        <w:t xml:space="preserve">   </w:t>
      </w:r>
      <w:r>
        <w:rPr>
          <w:spacing w:val="-3"/>
          <w:szCs w:val="22"/>
        </w:rPr>
        <w:tab/>
      </w:r>
      <w:r w:rsidR="00C56A38">
        <w:rPr>
          <w:spacing w:val="-3"/>
          <w:szCs w:val="22"/>
        </w:rPr>
        <w:t>RM-116</w:t>
      </w:r>
      <w:r w:rsidR="0099063B">
        <w:rPr>
          <w:spacing w:val="-3"/>
          <w:szCs w:val="22"/>
        </w:rPr>
        <w:t>78</w:t>
      </w:r>
    </w:p>
    <w:p w:rsidR="00C56A38" w:rsidRPr="00670AF5" w:rsidRDefault="00C56A38" w:rsidP="005759B5">
      <w:pPr>
        <w:tabs>
          <w:tab w:val="left" w:pos="-720"/>
          <w:tab w:val="left" w:pos="4680"/>
        </w:tabs>
        <w:suppressAutoHyphens/>
        <w:spacing w:line="225" w:lineRule="auto"/>
        <w:jc w:val="both"/>
        <w:rPr>
          <w:spacing w:val="-3"/>
          <w:szCs w:val="22"/>
        </w:rPr>
      </w:pPr>
      <w:r w:rsidRPr="00670AF5">
        <w:rPr>
          <w:spacing w:val="-3"/>
          <w:szCs w:val="22"/>
        </w:rPr>
        <w:t>FM Broadcast Stations.</w:t>
      </w:r>
      <w:r w:rsidRPr="00670AF5">
        <w:rPr>
          <w:spacing w:val="-3"/>
          <w:szCs w:val="22"/>
        </w:rPr>
        <w:tab/>
        <w:t xml:space="preserve">) </w:t>
      </w:r>
    </w:p>
    <w:p w:rsidR="00C56A38" w:rsidRDefault="00C56A38" w:rsidP="005759B5">
      <w:pPr>
        <w:tabs>
          <w:tab w:val="left" w:pos="-720"/>
          <w:tab w:val="left" w:pos="4680"/>
        </w:tabs>
        <w:suppressAutoHyphens/>
        <w:spacing w:line="225" w:lineRule="auto"/>
        <w:jc w:val="both"/>
        <w:rPr>
          <w:spacing w:val="-3"/>
          <w:szCs w:val="22"/>
        </w:rPr>
      </w:pPr>
      <w:r w:rsidRPr="00670AF5">
        <w:rPr>
          <w:spacing w:val="-3"/>
          <w:szCs w:val="22"/>
        </w:rPr>
        <w:t>(</w:t>
      </w:r>
      <w:r w:rsidR="00E4780D">
        <w:rPr>
          <w:spacing w:val="-3"/>
          <w:szCs w:val="22"/>
        </w:rPr>
        <w:t>Pike Road</w:t>
      </w:r>
      <w:r w:rsidR="004C08FF">
        <w:rPr>
          <w:spacing w:val="-3"/>
          <w:szCs w:val="22"/>
        </w:rPr>
        <w:t>, Alabama</w:t>
      </w:r>
      <w:r>
        <w:rPr>
          <w:spacing w:val="-3"/>
          <w:szCs w:val="22"/>
        </w:rPr>
        <w:t xml:space="preserve">)  </w:t>
      </w:r>
      <w:r>
        <w:rPr>
          <w:spacing w:val="-3"/>
          <w:szCs w:val="22"/>
        </w:rPr>
        <w:tab/>
        <w:t>)</w:t>
      </w:r>
    </w:p>
    <w:p w:rsidR="00C80FC8" w:rsidRDefault="00C80FC8" w:rsidP="005759B5">
      <w:pPr>
        <w:tabs>
          <w:tab w:val="left" w:pos="-720"/>
          <w:tab w:val="left" w:pos="4680"/>
        </w:tabs>
        <w:suppressAutoHyphens/>
        <w:spacing w:line="225" w:lineRule="auto"/>
        <w:jc w:val="both"/>
        <w:rPr>
          <w:spacing w:val="-3"/>
          <w:szCs w:val="22"/>
        </w:rPr>
      </w:pPr>
      <w:r>
        <w:rPr>
          <w:b/>
          <w:spacing w:val="-3"/>
          <w:szCs w:val="22"/>
        </w:rPr>
        <w:tab/>
      </w:r>
      <w:r>
        <w:rPr>
          <w:spacing w:val="-3"/>
          <w:szCs w:val="22"/>
        </w:rPr>
        <w:t>)</w:t>
      </w:r>
    </w:p>
    <w:p w:rsidR="00C80FC8" w:rsidRDefault="00C80FC8" w:rsidP="005759B5">
      <w:pPr>
        <w:tabs>
          <w:tab w:val="left" w:pos="-720"/>
          <w:tab w:val="left" w:pos="4680"/>
          <w:tab w:val="left" w:pos="5040"/>
          <w:tab w:val="left" w:pos="5400"/>
        </w:tabs>
        <w:suppressAutoHyphens/>
        <w:spacing w:line="225" w:lineRule="auto"/>
        <w:jc w:val="both"/>
        <w:rPr>
          <w:spacing w:val="-3"/>
          <w:szCs w:val="22"/>
        </w:rPr>
      </w:pPr>
      <w:r>
        <w:rPr>
          <w:spacing w:val="-3"/>
          <w:szCs w:val="22"/>
        </w:rPr>
        <w:t>Applic</w:t>
      </w:r>
      <w:r w:rsidR="005B22BA">
        <w:rPr>
          <w:spacing w:val="-3"/>
          <w:szCs w:val="22"/>
        </w:rPr>
        <w:t xml:space="preserve">ations of Stations WLDA(FM), </w:t>
      </w:r>
      <w:r w:rsidR="005B22BA">
        <w:rPr>
          <w:spacing w:val="-3"/>
          <w:szCs w:val="22"/>
        </w:rPr>
        <w:tab/>
      </w:r>
      <w:r>
        <w:rPr>
          <w:spacing w:val="-3"/>
          <w:szCs w:val="22"/>
        </w:rPr>
        <w:t>)</w:t>
      </w:r>
      <w:r w:rsidR="007F7BD2" w:rsidRPr="007F7BD2">
        <w:rPr>
          <w:rFonts w:eastAsiaTheme="minorHAnsi"/>
          <w:snapToGrid/>
          <w:color w:val="010101"/>
          <w:kern w:val="0"/>
          <w:szCs w:val="22"/>
        </w:rPr>
        <w:t xml:space="preserve"> </w:t>
      </w:r>
      <w:r w:rsidR="005B22BA">
        <w:rPr>
          <w:rFonts w:eastAsiaTheme="minorHAnsi"/>
          <w:snapToGrid/>
          <w:color w:val="010101"/>
          <w:kern w:val="0"/>
          <w:szCs w:val="22"/>
        </w:rPr>
        <w:tab/>
      </w:r>
      <w:r w:rsidR="007F7BD2" w:rsidRPr="00442393">
        <w:rPr>
          <w:rFonts w:eastAsiaTheme="minorHAnsi"/>
          <w:snapToGrid/>
          <w:color w:val="010101"/>
          <w:kern w:val="0"/>
          <w:szCs w:val="22"/>
        </w:rPr>
        <w:t>File No. BPH-20121119ANF</w:t>
      </w:r>
    </w:p>
    <w:p w:rsidR="00C80FC8" w:rsidRDefault="00C80FC8" w:rsidP="005759B5">
      <w:pPr>
        <w:tabs>
          <w:tab w:val="left" w:pos="-720"/>
          <w:tab w:val="left" w:pos="4680"/>
          <w:tab w:val="left" w:pos="5040"/>
          <w:tab w:val="left" w:pos="5400"/>
        </w:tabs>
        <w:suppressAutoHyphens/>
        <w:spacing w:line="225" w:lineRule="auto"/>
        <w:jc w:val="both"/>
        <w:rPr>
          <w:spacing w:val="-3"/>
          <w:szCs w:val="22"/>
        </w:rPr>
      </w:pPr>
      <w:r>
        <w:rPr>
          <w:spacing w:val="-3"/>
          <w:szCs w:val="22"/>
        </w:rPr>
        <w:t>Fort Rucker, Alabama (Facility ID No.</w:t>
      </w:r>
      <w:r w:rsidRPr="00C80FC8">
        <w:rPr>
          <w:spacing w:val="-3"/>
          <w:szCs w:val="22"/>
        </w:rPr>
        <w:t xml:space="preserve"> </w:t>
      </w:r>
      <w:r>
        <w:rPr>
          <w:spacing w:val="-3"/>
          <w:szCs w:val="22"/>
        </w:rPr>
        <w:t>63945),</w:t>
      </w:r>
      <w:r>
        <w:rPr>
          <w:spacing w:val="-3"/>
          <w:szCs w:val="22"/>
        </w:rPr>
        <w:tab/>
        <w:t>)</w:t>
      </w:r>
      <w:r w:rsidR="007F7BD2" w:rsidRPr="007F7BD2">
        <w:rPr>
          <w:spacing w:val="-3"/>
          <w:szCs w:val="22"/>
        </w:rPr>
        <w:t xml:space="preserve"> </w:t>
      </w:r>
      <w:r w:rsidR="005B22BA">
        <w:rPr>
          <w:spacing w:val="-3"/>
          <w:szCs w:val="22"/>
        </w:rPr>
        <w:tab/>
      </w:r>
      <w:r w:rsidR="007F7BD2">
        <w:rPr>
          <w:spacing w:val="-3"/>
          <w:szCs w:val="22"/>
        </w:rPr>
        <w:t xml:space="preserve">File No. </w:t>
      </w:r>
      <w:r w:rsidR="007F7BD2" w:rsidRPr="00664C1B">
        <w:rPr>
          <w:rFonts w:eastAsiaTheme="minorHAnsi"/>
          <w:snapToGrid/>
          <w:color w:val="010101"/>
          <w:kern w:val="0"/>
          <w:szCs w:val="22"/>
        </w:rPr>
        <w:t>BPH-20121119AOD</w:t>
      </w:r>
    </w:p>
    <w:p w:rsidR="00C80FC8" w:rsidRDefault="00C80FC8" w:rsidP="005759B5">
      <w:pPr>
        <w:tabs>
          <w:tab w:val="left" w:pos="-720"/>
          <w:tab w:val="left" w:pos="4680"/>
          <w:tab w:val="left" w:pos="5040"/>
          <w:tab w:val="left" w:pos="5400"/>
        </w:tabs>
        <w:suppressAutoHyphens/>
        <w:spacing w:line="225" w:lineRule="auto"/>
        <w:jc w:val="both"/>
        <w:rPr>
          <w:spacing w:val="-3"/>
          <w:szCs w:val="22"/>
        </w:rPr>
      </w:pPr>
      <w:r>
        <w:rPr>
          <w:spacing w:val="-3"/>
          <w:szCs w:val="22"/>
        </w:rPr>
        <w:t>WDJR(FM), Enterprise, Alabama</w:t>
      </w:r>
      <w:r w:rsidR="005759B5">
        <w:rPr>
          <w:spacing w:val="-3"/>
          <w:szCs w:val="22"/>
        </w:rPr>
        <w:t xml:space="preserve"> </w:t>
      </w:r>
      <w:r>
        <w:rPr>
          <w:spacing w:val="-3"/>
          <w:szCs w:val="22"/>
        </w:rPr>
        <w:t>(Facility ID</w:t>
      </w:r>
      <w:r>
        <w:rPr>
          <w:spacing w:val="-3"/>
          <w:szCs w:val="22"/>
        </w:rPr>
        <w:tab/>
        <w:t>)</w:t>
      </w:r>
      <w:r w:rsidR="007F7BD2" w:rsidRPr="007F7BD2">
        <w:rPr>
          <w:spacing w:val="-3"/>
          <w:szCs w:val="22"/>
        </w:rPr>
        <w:t xml:space="preserve"> </w:t>
      </w:r>
      <w:r w:rsidR="005B22BA">
        <w:rPr>
          <w:spacing w:val="-3"/>
          <w:szCs w:val="22"/>
        </w:rPr>
        <w:tab/>
      </w:r>
      <w:r w:rsidR="007F7BD2">
        <w:rPr>
          <w:spacing w:val="-3"/>
          <w:szCs w:val="22"/>
        </w:rPr>
        <w:t xml:space="preserve">File No. </w:t>
      </w:r>
      <w:r w:rsidR="007F7BD2" w:rsidRPr="00664C1B">
        <w:rPr>
          <w:rFonts w:eastAsiaTheme="minorHAnsi"/>
          <w:snapToGrid/>
          <w:color w:val="010101"/>
          <w:kern w:val="0"/>
          <w:szCs w:val="22"/>
        </w:rPr>
        <w:t>BPH-20121119AOG</w:t>
      </w:r>
    </w:p>
    <w:p w:rsidR="00C80FC8" w:rsidRDefault="00C80FC8" w:rsidP="005759B5">
      <w:pPr>
        <w:tabs>
          <w:tab w:val="left" w:pos="-720"/>
          <w:tab w:val="left" w:pos="4680"/>
        </w:tabs>
        <w:suppressAutoHyphens/>
        <w:spacing w:line="225" w:lineRule="auto"/>
        <w:jc w:val="both"/>
        <w:rPr>
          <w:spacing w:val="-3"/>
          <w:szCs w:val="22"/>
        </w:rPr>
      </w:pPr>
      <w:r>
        <w:rPr>
          <w:spacing w:val="-3"/>
          <w:szCs w:val="22"/>
        </w:rPr>
        <w:t>No. 25575), and WDBT(FM)</w:t>
      </w:r>
      <w:r w:rsidR="007F7BD2">
        <w:rPr>
          <w:spacing w:val="-3"/>
          <w:szCs w:val="22"/>
        </w:rPr>
        <w:t>, Hartford, Alabama</w:t>
      </w:r>
      <w:r>
        <w:rPr>
          <w:spacing w:val="-3"/>
          <w:szCs w:val="22"/>
        </w:rPr>
        <w:tab/>
        <w:t>)</w:t>
      </w:r>
    </w:p>
    <w:p w:rsidR="00C80FC8" w:rsidRDefault="007F7BD2" w:rsidP="005759B5">
      <w:pPr>
        <w:tabs>
          <w:tab w:val="left" w:pos="-720"/>
          <w:tab w:val="left" w:pos="4680"/>
        </w:tabs>
        <w:suppressAutoHyphens/>
        <w:spacing w:line="225" w:lineRule="auto"/>
        <w:jc w:val="both"/>
        <w:rPr>
          <w:spacing w:val="-3"/>
          <w:szCs w:val="22"/>
        </w:rPr>
      </w:pPr>
      <w:r>
        <w:rPr>
          <w:spacing w:val="-3"/>
          <w:szCs w:val="22"/>
        </w:rPr>
        <w:t>(Facility ID No. 62206), to Upgrade and Change</w:t>
      </w:r>
      <w:r w:rsidR="005759B5">
        <w:rPr>
          <w:spacing w:val="-3"/>
          <w:szCs w:val="22"/>
        </w:rPr>
        <w:tab/>
      </w:r>
      <w:r w:rsidR="00C80FC8">
        <w:rPr>
          <w:spacing w:val="-3"/>
          <w:szCs w:val="22"/>
        </w:rPr>
        <w:t>)</w:t>
      </w:r>
    </w:p>
    <w:p w:rsidR="00C80FC8" w:rsidRDefault="007F7BD2" w:rsidP="005759B5">
      <w:pPr>
        <w:tabs>
          <w:tab w:val="left" w:pos="-720"/>
          <w:tab w:val="left" w:pos="4680"/>
        </w:tabs>
        <w:suppressAutoHyphens/>
        <w:spacing w:line="225" w:lineRule="auto"/>
        <w:jc w:val="both"/>
        <w:rPr>
          <w:spacing w:val="-3"/>
          <w:szCs w:val="22"/>
        </w:rPr>
      </w:pPr>
      <w:r>
        <w:rPr>
          <w:spacing w:val="-3"/>
          <w:szCs w:val="22"/>
        </w:rPr>
        <w:t>Communities of License</w:t>
      </w:r>
      <w:r>
        <w:rPr>
          <w:rStyle w:val="FootnoteReference"/>
          <w:spacing w:val="-3"/>
          <w:szCs w:val="22"/>
        </w:rPr>
        <w:footnoteReference w:id="1"/>
      </w:r>
      <w:r w:rsidR="00C80FC8">
        <w:rPr>
          <w:spacing w:val="-3"/>
          <w:szCs w:val="22"/>
        </w:rPr>
        <w:tab/>
        <w:t>)</w:t>
      </w:r>
    </w:p>
    <w:p w:rsidR="00C80FC8" w:rsidRPr="00C80FC8" w:rsidRDefault="00241AC4" w:rsidP="005759B5">
      <w:pPr>
        <w:tabs>
          <w:tab w:val="left" w:pos="4680"/>
        </w:tabs>
        <w:ind w:right="-18"/>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rsidR="00C56A38" w:rsidRPr="000378F2" w:rsidRDefault="00C56A38" w:rsidP="00C56A38">
      <w:pPr>
        <w:tabs>
          <w:tab w:val="center" w:pos="4680"/>
        </w:tabs>
        <w:suppressAutoHyphens/>
        <w:spacing w:line="225" w:lineRule="auto"/>
        <w:jc w:val="center"/>
        <w:rPr>
          <w:b/>
          <w:spacing w:val="-3"/>
          <w:szCs w:val="22"/>
        </w:rPr>
      </w:pPr>
      <w:r w:rsidRPr="000378F2">
        <w:rPr>
          <w:b/>
          <w:spacing w:val="-3"/>
          <w:szCs w:val="22"/>
        </w:rPr>
        <w:t>REPORT AND ORDER</w:t>
      </w:r>
    </w:p>
    <w:p w:rsidR="00E90E0C" w:rsidRDefault="00C56A38" w:rsidP="00E90E0C">
      <w:pPr>
        <w:tabs>
          <w:tab w:val="center" w:pos="4680"/>
        </w:tabs>
        <w:suppressAutoHyphens/>
        <w:spacing w:line="225" w:lineRule="auto"/>
        <w:jc w:val="center"/>
        <w:rPr>
          <w:spacing w:val="-3"/>
          <w:szCs w:val="22"/>
        </w:rPr>
      </w:pPr>
      <w:r w:rsidRPr="000378F2">
        <w:rPr>
          <w:b/>
          <w:spacing w:val="-3"/>
          <w:szCs w:val="22"/>
        </w:rPr>
        <w:t>(Proceeding Terminated)</w:t>
      </w:r>
    </w:p>
    <w:p w:rsidR="00E90E0C" w:rsidRPr="000378F2" w:rsidRDefault="00E90E0C" w:rsidP="00C56A38">
      <w:pPr>
        <w:tabs>
          <w:tab w:val="left" w:pos="-720"/>
        </w:tabs>
        <w:suppressAutoHyphens/>
        <w:spacing w:line="225" w:lineRule="auto"/>
        <w:jc w:val="both"/>
        <w:rPr>
          <w:spacing w:val="-3"/>
          <w:szCs w:val="22"/>
        </w:rPr>
      </w:pPr>
    </w:p>
    <w:p w:rsidR="000207C6" w:rsidRDefault="00C56A38" w:rsidP="00C56A38">
      <w:pPr>
        <w:tabs>
          <w:tab w:val="left" w:pos="-720"/>
        </w:tabs>
        <w:suppressAutoHyphens/>
        <w:spacing w:line="225" w:lineRule="auto"/>
        <w:jc w:val="both"/>
        <w:rPr>
          <w:spacing w:val="-3"/>
          <w:szCs w:val="22"/>
        </w:rPr>
      </w:pPr>
      <w:r w:rsidRPr="000378F2">
        <w:rPr>
          <w:b/>
          <w:spacing w:val="-3"/>
          <w:szCs w:val="22"/>
        </w:rPr>
        <w:t xml:space="preserve">Adopted: </w:t>
      </w:r>
      <w:r w:rsidR="00762CB4">
        <w:rPr>
          <w:b/>
          <w:spacing w:val="-3"/>
          <w:szCs w:val="22"/>
        </w:rPr>
        <w:t>November</w:t>
      </w:r>
      <w:r w:rsidR="00FB5E52" w:rsidRPr="00621BD5">
        <w:rPr>
          <w:b/>
          <w:spacing w:val="-3"/>
          <w:szCs w:val="22"/>
        </w:rPr>
        <w:t xml:space="preserve"> </w:t>
      </w:r>
      <w:r w:rsidR="008E4EB4">
        <w:rPr>
          <w:b/>
          <w:spacing w:val="-3"/>
          <w:szCs w:val="22"/>
        </w:rPr>
        <w:t>20</w:t>
      </w:r>
      <w:r w:rsidR="00FB5E52" w:rsidRPr="00621BD5">
        <w:rPr>
          <w:b/>
          <w:spacing w:val="-3"/>
          <w:szCs w:val="22"/>
        </w:rPr>
        <w:t>, 2014</w:t>
      </w:r>
      <w:r w:rsidRPr="000378F2">
        <w:rPr>
          <w:b/>
          <w:spacing w:val="-3"/>
          <w:szCs w:val="22"/>
        </w:rPr>
        <w:tab/>
      </w:r>
      <w:r w:rsidRPr="000378F2">
        <w:rPr>
          <w:b/>
          <w:spacing w:val="-3"/>
          <w:szCs w:val="22"/>
        </w:rPr>
        <w:tab/>
        <w:t xml:space="preserve">                        </w:t>
      </w:r>
      <w:r>
        <w:rPr>
          <w:b/>
          <w:spacing w:val="-3"/>
          <w:szCs w:val="22"/>
        </w:rPr>
        <w:t xml:space="preserve">   </w:t>
      </w:r>
      <w:r>
        <w:rPr>
          <w:b/>
          <w:spacing w:val="-3"/>
          <w:szCs w:val="22"/>
        </w:rPr>
        <w:tab/>
        <w:t xml:space="preserve">          Released: </w:t>
      </w:r>
      <w:r w:rsidR="00762CB4">
        <w:rPr>
          <w:b/>
          <w:spacing w:val="-3"/>
          <w:szCs w:val="22"/>
        </w:rPr>
        <w:t>November</w:t>
      </w:r>
      <w:r w:rsidR="008E4EB4">
        <w:rPr>
          <w:b/>
          <w:spacing w:val="-3"/>
          <w:szCs w:val="22"/>
        </w:rPr>
        <w:t xml:space="preserve"> 21</w:t>
      </w:r>
      <w:r w:rsidR="00FB5E52">
        <w:rPr>
          <w:b/>
          <w:spacing w:val="-3"/>
          <w:szCs w:val="22"/>
        </w:rPr>
        <w:t>, 2014</w:t>
      </w:r>
      <w:r w:rsidR="000207C6" w:rsidRPr="000207C6">
        <w:rPr>
          <w:spacing w:val="-3"/>
          <w:szCs w:val="22"/>
        </w:rPr>
        <w:t xml:space="preserve"> </w:t>
      </w:r>
    </w:p>
    <w:p w:rsidR="00E90E0C" w:rsidRDefault="00E90E0C" w:rsidP="00C56A38">
      <w:pPr>
        <w:tabs>
          <w:tab w:val="left" w:pos="-720"/>
        </w:tabs>
        <w:suppressAutoHyphens/>
        <w:spacing w:line="225" w:lineRule="auto"/>
        <w:jc w:val="both"/>
        <w:rPr>
          <w:spacing w:val="-3"/>
          <w:szCs w:val="22"/>
        </w:rPr>
      </w:pPr>
    </w:p>
    <w:p w:rsidR="00E90E0C" w:rsidRPr="00E90E0C" w:rsidRDefault="00E90E0C" w:rsidP="00E90E0C">
      <w:pPr>
        <w:pStyle w:val="BodyText"/>
        <w:jc w:val="left"/>
        <w:rPr>
          <w:sz w:val="22"/>
          <w:szCs w:val="22"/>
        </w:rPr>
      </w:pPr>
      <w:r w:rsidRPr="00A12895">
        <w:rPr>
          <w:sz w:val="22"/>
          <w:szCs w:val="22"/>
        </w:rPr>
        <w:t>By the Assistant Chief, Audio Division, Media Bureau:</w:t>
      </w:r>
      <w:r>
        <w:rPr>
          <w:sz w:val="22"/>
          <w:szCs w:val="22"/>
        </w:rPr>
        <w:t xml:space="preserve">  </w:t>
      </w:r>
    </w:p>
    <w:p w:rsidR="000207C6" w:rsidRDefault="000207C6" w:rsidP="00C56A38">
      <w:pPr>
        <w:tabs>
          <w:tab w:val="left" w:pos="-720"/>
        </w:tabs>
        <w:suppressAutoHyphens/>
        <w:spacing w:line="225" w:lineRule="auto"/>
        <w:jc w:val="both"/>
        <w:rPr>
          <w:spacing w:val="-3"/>
          <w:szCs w:val="22"/>
        </w:rPr>
      </w:pPr>
    </w:p>
    <w:p w:rsidR="007120DD" w:rsidRDefault="007120DD" w:rsidP="007120DD">
      <w:pPr>
        <w:tabs>
          <w:tab w:val="left" w:pos="-720"/>
        </w:tabs>
        <w:suppressAutoHyphens/>
        <w:spacing w:line="225" w:lineRule="auto"/>
        <w:jc w:val="both"/>
        <w:rPr>
          <w:spacing w:val="-3"/>
          <w:szCs w:val="22"/>
        </w:rPr>
      </w:pPr>
    </w:p>
    <w:p w:rsidR="0065095C" w:rsidRPr="00A014A2" w:rsidRDefault="0065095C" w:rsidP="005B22BA">
      <w:pPr>
        <w:pStyle w:val="ParaNum"/>
        <w:numPr>
          <w:ilvl w:val="0"/>
          <w:numId w:val="0"/>
        </w:numPr>
        <w:tabs>
          <w:tab w:val="left" w:pos="-720"/>
          <w:tab w:val="left" w:pos="720"/>
          <w:tab w:val="left" w:pos="1440"/>
        </w:tabs>
        <w:suppressAutoHyphens/>
        <w:spacing w:after="0" w:line="225" w:lineRule="auto"/>
        <w:ind w:firstLine="360"/>
        <w:rPr>
          <w:szCs w:val="22"/>
        </w:rPr>
      </w:pPr>
      <w:r w:rsidRPr="002A286B">
        <w:rPr>
          <w:spacing w:val="-3"/>
          <w:szCs w:val="22"/>
        </w:rPr>
        <w:tab/>
        <w:t xml:space="preserve">1.  </w:t>
      </w:r>
      <w:r w:rsidR="005B22BA">
        <w:rPr>
          <w:spacing w:val="-3"/>
          <w:szCs w:val="22"/>
        </w:rPr>
        <w:tab/>
      </w:r>
      <w:r w:rsidR="007120DD" w:rsidRPr="00153855">
        <w:rPr>
          <w:spacing w:val="-3"/>
          <w:szCs w:val="22"/>
        </w:rPr>
        <w:t xml:space="preserve">The Audio Division has before it: (1) a </w:t>
      </w:r>
      <w:r w:rsidR="007120DD" w:rsidRPr="00153855">
        <w:rPr>
          <w:i/>
          <w:spacing w:val="-3"/>
          <w:szCs w:val="22"/>
        </w:rPr>
        <w:t>Notice of Proposed Rule Making (“Notice”),</w:t>
      </w:r>
      <w:r w:rsidR="007120DD">
        <w:rPr>
          <w:rStyle w:val="FootnoteReference"/>
          <w:spacing w:val="-3"/>
          <w:szCs w:val="22"/>
        </w:rPr>
        <w:footnoteReference w:id="2"/>
      </w:r>
      <w:r w:rsidR="007120DD" w:rsidRPr="002A286B">
        <w:rPr>
          <w:spacing w:val="-3"/>
          <w:szCs w:val="22"/>
        </w:rPr>
        <w:t xml:space="preserve"> issued in response to a Petition for Rule Making (“Petition”) filed by </w:t>
      </w:r>
      <w:r w:rsidR="007120DD" w:rsidRPr="00A014A2">
        <w:rPr>
          <w:color w:val="000000"/>
          <w:szCs w:val="22"/>
        </w:rPr>
        <w:t>Alatron Corporation, Inc</w:t>
      </w:r>
      <w:r w:rsidR="007120DD" w:rsidRPr="00A014A2">
        <w:rPr>
          <w:color w:val="000000"/>
          <w:sz w:val="20"/>
        </w:rPr>
        <w:t xml:space="preserve">. </w:t>
      </w:r>
      <w:r w:rsidR="007120DD" w:rsidRPr="00A014A2">
        <w:rPr>
          <w:szCs w:val="22"/>
        </w:rPr>
        <w:t>(“Petitioner”)</w:t>
      </w:r>
      <w:r w:rsidR="007120DD" w:rsidRPr="002A286B">
        <w:rPr>
          <w:szCs w:val="22"/>
        </w:rPr>
        <w:t>;</w:t>
      </w:r>
      <w:r w:rsidR="007120DD" w:rsidRPr="00153855">
        <w:rPr>
          <w:szCs w:val="22"/>
        </w:rPr>
        <w:t xml:space="preserve"> (2) </w:t>
      </w:r>
      <w:r w:rsidR="007120DD" w:rsidRPr="00A014A2">
        <w:rPr>
          <w:color w:val="000000"/>
          <w:szCs w:val="22"/>
        </w:rPr>
        <w:t xml:space="preserve">a </w:t>
      </w:r>
      <w:r w:rsidR="00D27C80" w:rsidRPr="00A014A2">
        <w:rPr>
          <w:color w:val="000000"/>
          <w:szCs w:val="22"/>
        </w:rPr>
        <w:t xml:space="preserve">Joint </w:t>
      </w:r>
      <w:r w:rsidR="007120DD" w:rsidRPr="00A014A2">
        <w:rPr>
          <w:bCs/>
          <w:color w:val="000000"/>
          <w:szCs w:val="22"/>
        </w:rPr>
        <w:t>Counterproposal</w:t>
      </w:r>
      <w:r w:rsidR="00C57C9F" w:rsidRPr="00A014A2">
        <w:rPr>
          <w:color w:val="000000"/>
          <w:szCs w:val="22"/>
        </w:rPr>
        <w:t xml:space="preserve"> </w:t>
      </w:r>
      <w:r w:rsidR="007174F9">
        <w:rPr>
          <w:color w:val="000000"/>
          <w:szCs w:val="22"/>
        </w:rPr>
        <w:t>consisting of three hybrid Applications</w:t>
      </w:r>
      <w:r w:rsidR="00762CB4">
        <w:rPr>
          <w:color w:val="000000"/>
          <w:szCs w:val="22"/>
        </w:rPr>
        <w:t xml:space="preserve"> </w:t>
      </w:r>
      <w:r w:rsidR="007120DD" w:rsidRPr="00A014A2">
        <w:rPr>
          <w:color w:val="000000"/>
          <w:szCs w:val="22"/>
        </w:rPr>
        <w:t>(the</w:t>
      </w:r>
      <w:r w:rsidR="002119B5" w:rsidRPr="00A014A2">
        <w:rPr>
          <w:color w:val="000000"/>
          <w:szCs w:val="22"/>
        </w:rPr>
        <w:t xml:space="preserve"> </w:t>
      </w:r>
      <w:r w:rsidR="00762CB4">
        <w:rPr>
          <w:color w:val="000000"/>
          <w:szCs w:val="22"/>
        </w:rPr>
        <w:t>“</w:t>
      </w:r>
      <w:r w:rsidR="002119B5" w:rsidRPr="00A014A2">
        <w:rPr>
          <w:color w:val="000000"/>
          <w:szCs w:val="22"/>
        </w:rPr>
        <w:t>Applications</w:t>
      </w:r>
      <w:r w:rsidR="00762CB4">
        <w:rPr>
          <w:color w:val="000000"/>
          <w:szCs w:val="22"/>
        </w:rPr>
        <w:t>”</w:t>
      </w:r>
      <w:r w:rsidR="002119B5" w:rsidRPr="00A014A2">
        <w:rPr>
          <w:color w:val="000000"/>
          <w:szCs w:val="22"/>
        </w:rPr>
        <w:t xml:space="preserve"> or</w:t>
      </w:r>
      <w:r w:rsidR="007120DD" w:rsidRPr="00EF3900">
        <w:rPr>
          <w:color w:val="000000"/>
          <w:szCs w:val="22"/>
        </w:rPr>
        <w:t xml:space="preserve"> “</w:t>
      </w:r>
      <w:r w:rsidR="007120DD" w:rsidRPr="00C83755">
        <w:rPr>
          <w:bCs/>
          <w:color w:val="000000"/>
          <w:szCs w:val="22"/>
        </w:rPr>
        <w:t>Counterproposa</w:t>
      </w:r>
      <w:r w:rsidR="007120DD" w:rsidRPr="00335795">
        <w:rPr>
          <w:bCs/>
          <w:color w:val="000000"/>
          <w:szCs w:val="22"/>
        </w:rPr>
        <w:t>l</w:t>
      </w:r>
      <w:r w:rsidR="007120DD" w:rsidRPr="00C83755">
        <w:rPr>
          <w:color w:val="000000"/>
          <w:szCs w:val="22"/>
        </w:rPr>
        <w:t xml:space="preserve">”) </w:t>
      </w:r>
      <w:r w:rsidR="00D27C80" w:rsidRPr="009F4309">
        <w:rPr>
          <w:color w:val="000000"/>
          <w:szCs w:val="22"/>
        </w:rPr>
        <w:t>filed on November 19</w:t>
      </w:r>
      <w:r w:rsidR="007120DD" w:rsidRPr="00FF659C">
        <w:rPr>
          <w:color w:val="000000"/>
          <w:szCs w:val="22"/>
        </w:rPr>
        <w:t xml:space="preserve">, 2012, by </w:t>
      </w:r>
      <w:r w:rsidR="00B6796B" w:rsidRPr="00FF659C">
        <w:rPr>
          <w:color w:val="000000"/>
          <w:szCs w:val="22"/>
        </w:rPr>
        <w:t>Southe</w:t>
      </w:r>
      <w:r w:rsidR="00D27C80" w:rsidRPr="00FF659C">
        <w:rPr>
          <w:color w:val="000000"/>
          <w:szCs w:val="22"/>
        </w:rPr>
        <w:t>ast Alabama Broadcasters, LLC</w:t>
      </w:r>
      <w:r w:rsidR="00762CB4">
        <w:rPr>
          <w:color w:val="000000"/>
          <w:szCs w:val="22"/>
        </w:rPr>
        <w:t xml:space="preserve"> </w:t>
      </w:r>
      <w:r w:rsidR="00FF659C">
        <w:rPr>
          <w:color w:val="000000"/>
          <w:szCs w:val="22"/>
        </w:rPr>
        <w:t>(“Southeast”)</w:t>
      </w:r>
      <w:r w:rsidR="000F2430" w:rsidRPr="00FF659C">
        <w:rPr>
          <w:color w:val="000000"/>
          <w:szCs w:val="22"/>
        </w:rPr>
        <w:t>, licensee of Station WLDA(FM), Fort Rucker, Alabama</w:t>
      </w:r>
      <w:r w:rsidR="00D27C80" w:rsidRPr="00FF659C">
        <w:rPr>
          <w:color w:val="000000"/>
          <w:szCs w:val="22"/>
        </w:rPr>
        <w:t xml:space="preserve"> and Gulf South Communications, Inc.</w:t>
      </w:r>
      <w:r w:rsidR="00FF659C">
        <w:rPr>
          <w:color w:val="000000"/>
          <w:szCs w:val="22"/>
        </w:rPr>
        <w:t xml:space="preserve"> (“Gulf South”)</w:t>
      </w:r>
      <w:r w:rsidR="000F2430" w:rsidRPr="00FF659C">
        <w:rPr>
          <w:color w:val="000000"/>
          <w:szCs w:val="22"/>
        </w:rPr>
        <w:t>, licensee of Stations WDJR(FM), Enterprise, Alabama</w:t>
      </w:r>
      <w:r w:rsidR="0038649A" w:rsidRPr="00FF659C">
        <w:rPr>
          <w:color w:val="000000"/>
          <w:szCs w:val="22"/>
        </w:rPr>
        <w:t xml:space="preserve"> and WDBT(FM), Hartford, Alabama</w:t>
      </w:r>
      <w:r w:rsidR="00762CB4">
        <w:rPr>
          <w:color w:val="000000"/>
          <w:szCs w:val="22"/>
        </w:rPr>
        <w:t xml:space="preserve"> </w:t>
      </w:r>
      <w:r w:rsidR="007120DD" w:rsidRPr="00FF659C">
        <w:rPr>
          <w:color w:val="000000"/>
          <w:szCs w:val="22"/>
        </w:rPr>
        <w:t>(“</w:t>
      </w:r>
      <w:r w:rsidR="008713FA" w:rsidRPr="00FF659C">
        <w:rPr>
          <w:color w:val="000000"/>
          <w:szCs w:val="22"/>
        </w:rPr>
        <w:t>Joint Parties”)</w:t>
      </w:r>
      <w:r w:rsidR="0038649A" w:rsidRPr="00FF659C">
        <w:rPr>
          <w:color w:val="000000"/>
          <w:szCs w:val="22"/>
        </w:rPr>
        <w:t xml:space="preserve">; </w:t>
      </w:r>
      <w:r w:rsidR="007120DD" w:rsidRPr="002A286B">
        <w:rPr>
          <w:color w:val="000000"/>
          <w:szCs w:val="22"/>
        </w:rPr>
        <w:t xml:space="preserve"> </w:t>
      </w:r>
      <w:r w:rsidR="00D27C80" w:rsidRPr="00153855">
        <w:rPr>
          <w:color w:val="000000"/>
          <w:szCs w:val="22"/>
        </w:rPr>
        <w:t>(3)</w:t>
      </w:r>
      <w:r w:rsidR="002119B5" w:rsidRPr="00153855">
        <w:rPr>
          <w:color w:val="000000"/>
          <w:szCs w:val="22"/>
        </w:rPr>
        <w:t xml:space="preserve"> Comments filed by the Petitioner; </w:t>
      </w:r>
      <w:r w:rsidR="00D65621" w:rsidRPr="00A014A2">
        <w:rPr>
          <w:color w:val="000000"/>
          <w:szCs w:val="22"/>
        </w:rPr>
        <w:t xml:space="preserve">and (4) </w:t>
      </w:r>
      <w:r w:rsidR="007120DD" w:rsidRPr="00A014A2">
        <w:rPr>
          <w:color w:val="000000"/>
          <w:szCs w:val="22"/>
        </w:rPr>
        <w:t>related pleadings.</w:t>
      </w:r>
      <w:r w:rsidR="00D65621">
        <w:rPr>
          <w:rStyle w:val="FootnoteReference"/>
          <w:color w:val="000000"/>
          <w:szCs w:val="22"/>
        </w:rPr>
        <w:footnoteReference w:id="3"/>
      </w:r>
      <w:r w:rsidR="00D54BF6" w:rsidRPr="002A286B">
        <w:rPr>
          <w:color w:val="000000"/>
          <w:szCs w:val="22"/>
          <w:vertAlign w:val="superscript"/>
        </w:rPr>
        <w:t xml:space="preserve"> </w:t>
      </w:r>
      <w:r w:rsidR="007120DD" w:rsidRPr="002A286B">
        <w:rPr>
          <w:color w:val="000000"/>
          <w:szCs w:val="22"/>
          <w:vertAlign w:val="superscript"/>
        </w:rPr>
        <w:t xml:space="preserve"> </w:t>
      </w:r>
      <w:r w:rsidR="007120DD" w:rsidRPr="002A286B">
        <w:rPr>
          <w:szCs w:val="22"/>
        </w:rPr>
        <w:t xml:space="preserve">For the reasons set forth below, we </w:t>
      </w:r>
      <w:r w:rsidR="00502FEB">
        <w:rPr>
          <w:szCs w:val="22"/>
        </w:rPr>
        <w:t>deny</w:t>
      </w:r>
      <w:r w:rsidRPr="00153855">
        <w:rPr>
          <w:szCs w:val="22"/>
        </w:rPr>
        <w:t xml:space="preserve"> </w:t>
      </w:r>
      <w:r w:rsidR="005D7D6A" w:rsidRPr="00153855">
        <w:rPr>
          <w:szCs w:val="22"/>
        </w:rPr>
        <w:t xml:space="preserve">the Petition and </w:t>
      </w:r>
      <w:r w:rsidRPr="00A014A2">
        <w:rPr>
          <w:szCs w:val="22"/>
        </w:rPr>
        <w:t xml:space="preserve">grant </w:t>
      </w:r>
      <w:r w:rsidR="005D7D6A" w:rsidRPr="00A014A2">
        <w:rPr>
          <w:szCs w:val="22"/>
        </w:rPr>
        <w:t xml:space="preserve">the </w:t>
      </w:r>
      <w:r w:rsidR="00160EA6" w:rsidRPr="00A014A2">
        <w:rPr>
          <w:szCs w:val="22"/>
        </w:rPr>
        <w:t>Counterproposal</w:t>
      </w:r>
      <w:r w:rsidRPr="00A014A2">
        <w:rPr>
          <w:szCs w:val="22"/>
        </w:rPr>
        <w:t xml:space="preserve">. </w:t>
      </w:r>
    </w:p>
    <w:p w:rsidR="0065095C" w:rsidRPr="0065095C" w:rsidRDefault="0065095C" w:rsidP="0065095C">
      <w:pPr>
        <w:pStyle w:val="ListParagraph"/>
        <w:tabs>
          <w:tab w:val="left" w:pos="-720"/>
        </w:tabs>
        <w:suppressAutoHyphens/>
        <w:spacing w:line="225" w:lineRule="auto"/>
        <w:ind w:left="1080"/>
        <w:rPr>
          <w:szCs w:val="22"/>
        </w:rPr>
      </w:pPr>
    </w:p>
    <w:p w:rsidR="007120DD" w:rsidRDefault="007120DD" w:rsidP="005B22BA">
      <w:pPr>
        <w:tabs>
          <w:tab w:val="left" w:pos="-720"/>
          <w:tab w:val="left" w:pos="720"/>
          <w:tab w:val="left" w:pos="1440"/>
        </w:tabs>
        <w:suppressAutoHyphens/>
        <w:spacing w:line="225" w:lineRule="auto"/>
        <w:rPr>
          <w:szCs w:val="22"/>
        </w:rPr>
      </w:pPr>
      <w:r>
        <w:rPr>
          <w:szCs w:val="22"/>
        </w:rPr>
        <w:tab/>
        <w:t xml:space="preserve">2.  </w:t>
      </w:r>
      <w:r w:rsidR="005B22BA">
        <w:rPr>
          <w:szCs w:val="22"/>
        </w:rPr>
        <w:tab/>
      </w:r>
      <w:r w:rsidRPr="00621BD5">
        <w:rPr>
          <w:b/>
          <w:szCs w:val="22"/>
        </w:rPr>
        <w:t>Background.</w:t>
      </w:r>
      <w:r>
        <w:rPr>
          <w:szCs w:val="22"/>
        </w:rPr>
        <w:t xml:space="preserve">  The </w:t>
      </w:r>
      <w:r w:rsidRPr="00F80702">
        <w:rPr>
          <w:i/>
          <w:szCs w:val="22"/>
        </w:rPr>
        <w:t>Notice</w:t>
      </w:r>
      <w:r>
        <w:rPr>
          <w:szCs w:val="22"/>
        </w:rPr>
        <w:t xml:space="preserve"> propose</w:t>
      </w:r>
      <w:r w:rsidR="00762CB4">
        <w:rPr>
          <w:szCs w:val="22"/>
        </w:rPr>
        <w:t>d</w:t>
      </w:r>
      <w:r>
        <w:rPr>
          <w:szCs w:val="22"/>
        </w:rPr>
        <w:t xml:space="preserve"> to amend the FM Table of Allotments, Section 73.202(b) of the Commission’s Rules,</w:t>
      </w:r>
      <w:r>
        <w:rPr>
          <w:rStyle w:val="FootnoteReference"/>
          <w:szCs w:val="22"/>
        </w:rPr>
        <w:footnoteReference w:id="4"/>
      </w:r>
      <w:r>
        <w:rPr>
          <w:szCs w:val="22"/>
        </w:rPr>
        <w:t xml:space="preserve"> by adding FM Channel 228A as a second local service at Pike Road, Alabama.</w:t>
      </w:r>
      <w:r>
        <w:rPr>
          <w:rStyle w:val="FootnoteReference"/>
          <w:szCs w:val="22"/>
        </w:rPr>
        <w:footnoteReference w:id="5"/>
      </w:r>
      <w:r w:rsidR="005759B5">
        <w:rPr>
          <w:szCs w:val="22"/>
        </w:rPr>
        <w:t xml:space="preserve">  </w:t>
      </w:r>
      <w:r w:rsidR="00D54BF6">
        <w:rPr>
          <w:szCs w:val="22"/>
        </w:rPr>
        <w:t>Petitioner submitted timely comments, reiterating its interest in the allotment.</w:t>
      </w:r>
    </w:p>
    <w:p w:rsidR="00D54BF6" w:rsidRDefault="00D54BF6" w:rsidP="007120DD">
      <w:pPr>
        <w:tabs>
          <w:tab w:val="left" w:pos="-720"/>
        </w:tabs>
        <w:suppressAutoHyphens/>
        <w:spacing w:line="225" w:lineRule="auto"/>
        <w:rPr>
          <w:szCs w:val="22"/>
        </w:rPr>
      </w:pPr>
    </w:p>
    <w:p w:rsidR="00B06635" w:rsidRPr="00B06635" w:rsidRDefault="005B6A28" w:rsidP="005759B5">
      <w:pPr>
        <w:pStyle w:val="ParaNum"/>
        <w:numPr>
          <w:ilvl w:val="0"/>
          <w:numId w:val="0"/>
        </w:numPr>
        <w:tabs>
          <w:tab w:val="left" w:pos="1440"/>
          <w:tab w:val="left" w:pos="4680"/>
        </w:tabs>
        <w:spacing w:after="0"/>
        <w:ind w:firstLine="720"/>
        <w:rPr>
          <w:szCs w:val="28"/>
        </w:rPr>
      </w:pPr>
      <w:r>
        <w:rPr>
          <w:szCs w:val="22"/>
        </w:rPr>
        <w:lastRenderedPageBreak/>
        <w:t xml:space="preserve">3.  </w:t>
      </w:r>
      <w:r w:rsidR="005B22BA">
        <w:rPr>
          <w:szCs w:val="22"/>
        </w:rPr>
        <w:tab/>
      </w:r>
      <w:r w:rsidR="00C81C72">
        <w:rPr>
          <w:szCs w:val="22"/>
        </w:rPr>
        <w:t xml:space="preserve">In response to the </w:t>
      </w:r>
      <w:r w:rsidR="00C81C72">
        <w:rPr>
          <w:i/>
          <w:szCs w:val="22"/>
        </w:rPr>
        <w:t>Notice,</w:t>
      </w:r>
      <w:r w:rsidR="00E50855">
        <w:rPr>
          <w:szCs w:val="22"/>
        </w:rPr>
        <w:t xml:space="preserve"> t</w:t>
      </w:r>
      <w:r w:rsidR="00D54BF6">
        <w:rPr>
          <w:szCs w:val="22"/>
        </w:rPr>
        <w:t xml:space="preserve">he Joint Parties </w:t>
      </w:r>
      <w:r w:rsidR="00C81C72">
        <w:rPr>
          <w:szCs w:val="22"/>
        </w:rPr>
        <w:t>filed</w:t>
      </w:r>
      <w:r w:rsidR="00D54BF6">
        <w:rPr>
          <w:szCs w:val="22"/>
        </w:rPr>
        <w:t xml:space="preserve"> a Counterproposal</w:t>
      </w:r>
      <w:r w:rsidR="00C81C72">
        <w:rPr>
          <w:szCs w:val="22"/>
        </w:rPr>
        <w:t xml:space="preserve"> and three </w:t>
      </w:r>
      <w:r w:rsidR="00E55623">
        <w:rPr>
          <w:szCs w:val="22"/>
        </w:rPr>
        <w:t xml:space="preserve">hybrid </w:t>
      </w:r>
      <w:r w:rsidR="0076123E">
        <w:rPr>
          <w:szCs w:val="22"/>
        </w:rPr>
        <w:t>A</w:t>
      </w:r>
      <w:r w:rsidR="00C81C72">
        <w:rPr>
          <w:szCs w:val="22"/>
        </w:rPr>
        <w:t>pplications</w:t>
      </w:r>
      <w:r w:rsidR="00E55623">
        <w:rPr>
          <w:szCs w:val="22"/>
        </w:rPr>
        <w:t xml:space="preserve"> pursuant to Section 73.3517(e) of the Commission’s rules</w:t>
      </w:r>
      <w:r w:rsidR="00C81C72">
        <w:rPr>
          <w:szCs w:val="22"/>
        </w:rPr>
        <w:t>.</w:t>
      </w:r>
      <w:r w:rsidR="00FC25C4">
        <w:rPr>
          <w:rStyle w:val="FootnoteReference"/>
          <w:szCs w:val="22"/>
        </w:rPr>
        <w:footnoteReference w:id="6"/>
      </w:r>
      <w:r w:rsidR="00D54BF6">
        <w:rPr>
          <w:szCs w:val="22"/>
        </w:rPr>
        <w:t xml:space="preserve"> </w:t>
      </w:r>
      <w:r w:rsidR="005759B5">
        <w:rPr>
          <w:szCs w:val="22"/>
        </w:rPr>
        <w:t xml:space="preserve"> </w:t>
      </w:r>
      <w:r w:rsidR="0076123E">
        <w:rPr>
          <w:szCs w:val="22"/>
        </w:rPr>
        <w:t>One of the Applications</w:t>
      </w:r>
      <w:r w:rsidR="00FC25C4">
        <w:rPr>
          <w:szCs w:val="22"/>
        </w:rPr>
        <w:t xml:space="preserve"> requests to </w:t>
      </w:r>
      <w:r w:rsidR="0076123E">
        <w:rPr>
          <w:szCs w:val="22"/>
        </w:rPr>
        <w:t xml:space="preserve">change transmitter site and </w:t>
      </w:r>
      <w:r>
        <w:rPr>
          <w:szCs w:val="22"/>
        </w:rPr>
        <w:t>upgrade the facilities of</w:t>
      </w:r>
      <w:r w:rsidR="005F5B81">
        <w:rPr>
          <w:szCs w:val="22"/>
        </w:rPr>
        <w:t xml:space="preserve"> Station W</w:t>
      </w:r>
      <w:r w:rsidR="008A07BA">
        <w:rPr>
          <w:szCs w:val="22"/>
        </w:rPr>
        <w:t>LDA(FM) (formerly WJLR(</w:t>
      </w:r>
      <w:r>
        <w:rPr>
          <w:szCs w:val="22"/>
        </w:rPr>
        <w:t>FM)</w:t>
      </w:r>
      <w:r w:rsidR="005759B5">
        <w:rPr>
          <w:szCs w:val="22"/>
        </w:rPr>
        <w:t>)</w:t>
      </w:r>
      <w:r w:rsidR="005F5B81">
        <w:rPr>
          <w:szCs w:val="22"/>
        </w:rPr>
        <w:t xml:space="preserve">, </w:t>
      </w:r>
      <w:r w:rsidR="00C81C72">
        <w:rPr>
          <w:szCs w:val="22"/>
        </w:rPr>
        <w:t xml:space="preserve">from </w:t>
      </w:r>
      <w:r w:rsidR="00D8119B">
        <w:rPr>
          <w:szCs w:val="22"/>
        </w:rPr>
        <w:t>Channel 280C3,</w:t>
      </w:r>
      <w:r w:rsidR="0076123E">
        <w:rPr>
          <w:szCs w:val="22"/>
        </w:rPr>
        <w:t xml:space="preserve"> to Channel 280C2</w:t>
      </w:r>
      <w:r w:rsidR="00C200DD">
        <w:rPr>
          <w:szCs w:val="22"/>
        </w:rPr>
        <w:t xml:space="preserve"> at</w:t>
      </w:r>
      <w:r w:rsidR="0076123E">
        <w:rPr>
          <w:szCs w:val="22"/>
        </w:rPr>
        <w:t xml:space="preserve"> </w:t>
      </w:r>
      <w:r w:rsidR="005F5B81">
        <w:rPr>
          <w:szCs w:val="22"/>
        </w:rPr>
        <w:t>Fort Rucker, Alabama</w:t>
      </w:r>
      <w:r w:rsidR="00D8119B">
        <w:rPr>
          <w:szCs w:val="22"/>
        </w:rPr>
        <w:t>.</w:t>
      </w:r>
      <w:r w:rsidR="00B06635">
        <w:rPr>
          <w:rStyle w:val="FootnoteReference"/>
          <w:szCs w:val="22"/>
        </w:rPr>
        <w:footnoteReference w:id="7"/>
      </w:r>
      <w:r w:rsidR="005759B5">
        <w:rPr>
          <w:szCs w:val="22"/>
        </w:rPr>
        <w:t xml:space="preserve">  I</w:t>
      </w:r>
      <w:r w:rsidR="00D8119B">
        <w:rPr>
          <w:szCs w:val="22"/>
        </w:rPr>
        <w:t xml:space="preserve">n order to facilitate that upgrade, </w:t>
      </w:r>
      <w:r w:rsidR="008435E2">
        <w:rPr>
          <w:szCs w:val="22"/>
        </w:rPr>
        <w:t xml:space="preserve">we issued, at </w:t>
      </w:r>
      <w:r w:rsidR="00D8119B">
        <w:rPr>
          <w:szCs w:val="22"/>
        </w:rPr>
        <w:t>the Jo</w:t>
      </w:r>
      <w:r>
        <w:rPr>
          <w:szCs w:val="22"/>
        </w:rPr>
        <w:t>in</w:t>
      </w:r>
      <w:r w:rsidR="00D65621">
        <w:rPr>
          <w:szCs w:val="22"/>
        </w:rPr>
        <w:t>t</w:t>
      </w:r>
      <w:r>
        <w:rPr>
          <w:szCs w:val="22"/>
        </w:rPr>
        <w:t xml:space="preserve"> Parties</w:t>
      </w:r>
      <w:r w:rsidR="00C81C72">
        <w:rPr>
          <w:szCs w:val="22"/>
        </w:rPr>
        <w:t>’</w:t>
      </w:r>
      <w:r>
        <w:rPr>
          <w:szCs w:val="22"/>
        </w:rPr>
        <w:t xml:space="preserve"> request</w:t>
      </w:r>
      <w:r w:rsidR="00762CB4">
        <w:rPr>
          <w:szCs w:val="22"/>
        </w:rPr>
        <w:t>,</w:t>
      </w:r>
      <w:r w:rsidR="008435E2">
        <w:rPr>
          <w:szCs w:val="22"/>
        </w:rPr>
        <w:t xml:space="preserve"> an </w:t>
      </w:r>
      <w:r w:rsidR="008435E2">
        <w:rPr>
          <w:i/>
          <w:szCs w:val="22"/>
        </w:rPr>
        <w:t>Order to Show Cause</w:t>
      </w:r>
      <w:r w:rsidR="004C5B15">
        <w:rPr>
          <w:rStyle w:val="FootnoteReference"/>
          <w:i/>
          <w:szCs w:val="22"/>
        </w:rPr>
        <w:footnoteReference w:id="8"/>
      </w:r>
      <w:r w:rsidR="008435E2">
        <w:rPr>
          <w:i/>
          <w:szCs w:val="22"/>
        </w:rPr>
        <w:t xml:space="preserve"> </w:t>
      </w:r>
      <w:r w:rsidR="008435E2">
        <w:rPr>
          <w:szCs w:val="22"/>
        </w:rPr>
        <w:t>to</w:t>
      </w:r>
      <w:r>
        <w:rPr>
          <w:szCs w:val="22"/>
        </w:rPr>
        <w:t xml:space="preserve"> </w:t>
      </w:r>
      <w:r w:rsidR="00866A45">
        <w:rPr>
          <w:szCs w:val="22"/>
        </w:rPr>
        <w:t>Three Notch</w:t>
      </w:r>
      <w:r w:rsidR="004C5B15">
        <w:rPr>
          <w:szCs w:val="22"/>
        </w:rPr>
        <w:t xml:space="preserve"> </w:t>
      </w:r>
      <w:r w:rsidR="008435E2">
        <w:rPr>
          <w:szCs w:val="22"/>
        </w:rPr>
        <w:t xml:space="preserve">as why its channel for </w:t>
      </w:r>
      <w:r>
        <w:rPr>
          <w:szCs w:val="22"/>
        </w:rPr>
        <w:t>Station WAAO</w:t>
      </w:r>
      <w:r w:rsidR="008435E2">
        <w:rPr>
          <w:szCs w:val="22"/>
        </w:rPr>
        <w:t>(FM)</w:t>
      </w:r>
      <w:r w:rsidR="00D8119B">
        <w:rPr>
          <w:szCs w:val="22"/>
        </w:rPr>
        <w:t xml:space="preserve">, </w:t>
      </w:r>
      <w:r>
        <w:rPr>
          <w:szCs w:val="22"/>
        </w:rPr>
        <w:t>Andalusia</w:t>
      </w:r>
      <w:r w:rsidR="00D8119B">
        <w:rPr>
          <w:szCs w:val="22"/>
        </w:rPr>
        <w:t>, Alabama</w:t>
      </w:r>
      <w:r w:rsidR="004C5B15">
        <w:rPr>
          <w:szCs w:val="22"/>
        </w:rPr>
        <w:t>, should not be changed from Channel 279A to Channel 229A</w:t>
      </w:r>
      <w:r w:rsidR="00D8119B">
        <w:rPr>
          <w:szCs w:val="22"/>
        </w:rPr>
        <w:t>.</w:t>
      </w:r>
      <w:r w:rsidR="00621420">
        <w:rPr>
          <w:rStyle w:val="FootnoteReference"/>
          <w:szCs w:val="22"/>
        </w:rPr>
        <w:footnoteReference w:id="9"/>
      </w:r>
      <w:r w:rsidR="00D8119B">
        <w:rPr>
          <w:szCs w:val="22"/>
        </w:rPr>
        <w:t xml:space="preserve"> </w:t>
      </w:r>
      <w:r w:rsidR="00762CB4">
        <w:rPr>
          <w:szCs w:val="22"/>
        </w:rPr>
        <w:t>T</w:t>
      </w:r>
      <w:r w:rsidR="0076123E">
        <w:rPr>
          <w:szCs w:val="22"/>
        </w:rPr>
        <w:t xml:space="preserve">he second of the Applications requests a change of community of license for </w:t>
      </w:r>
      <w:r w:rsidR="00D8119B">
        <w:rPr>
          <w:szCs w:val="22"/>
        </w:rPr>
        <w:t xml:space="preserve">Station WDBT(FM), </w:t>
      </w:r>
      <w:r w:rsidR="00B06635">
        <w:rPr>
          <w:szCs w:val="22"/>
        </w:rPr>
        <w:t xml:space="preserve">from </w:t>
      </w:r>
      <w:r w:rsidR="00D8119B">
        <w:rPr>
          <w:szCs w:val="22"/>
        </w:rPr>
        <w:t>Channel 229C</w:t>
      </w:r>
      <w:r w:rsidR="00B06635">
        <w:rPr>
          <w:szCs w:val="22"/>
        </w:rPr>
        <w:t>1 at</w:t>
      </w:r>
      <w:r w:rsidR="00D8119B">
        <w:rPr>
          <w:szCs w:val="22"/>
        </w:rPr>
        <w:t xml:space="preserve"> Hartford, Alabama,</w:t>
      </w:r>
      <w:r w:rsidR="00B06635">
        <w:rPr>
          <w:szCs w:val="22"/>
        </w:rPr>
        <w:t xml:space="preserve"> to Channel 228A at Hope Hull, Alabama, as the community’s first local service, and a change of transmitter site.</w:t>
      </w:r>
      <w:r w:rsidR="00B06635">
        <w:rPr>
          <w:rStyle w:val="FootnoteReference"/>
          <w:szCs w:val="22"/>
        </w:rPr>
        <w:footnoteReference w:id="10"/>
      </w:r>
      <w:r w:rsidR="005759B5">
        <w:rPr>
          <w:szCs w:val="22"/>
        </w:rPr>
        <w:t xml:space="preserve">  </w:t>
      </w:r>
      <w:r w:rsidR="005B5A4C">
        <w:rPr>
          <w:szCs w:val="22"/>
        </w:rPr>
        <w:t>To prevent the removal of Hartfor</w:t>
      </w:r>
      <w:r w:rsidR="00C200DD">
        <w:rPr>
          <w:szCs w:val="22"/>
        </w:rPr>
        <w:t>d</w:t>
      </w:r>
      <w:r w:rsidR="005B5A4C">
        <w:rPr>
          <w:szCs w:val="22"/>
        </w:rPr>
        <w:t>’s sole local service, the third</w:t>
      </w:r>
      <w:r w:rsidR="00377D45">
        <w:rPr>
          <w:szCs w:val="22"/>
        </w:rPr>
        <w:t xml:space="preserve"> </w:t>
      </w:r>
      <w:r w:rsidR="005B5A4C">
        <w:rPr>
          <w:szCs w:val="22"/>
        </w:rPr>
        <w:t xml:space="preserve">Application requests a change of community of license </w:t>
      </w:r>
      <w:r w:rsidR="00762CB4">
        <w:rPr>
          <w:szCs w:val="22"/>
        </w:rPr>
        <w:t xml:space="preserve">but no facility modification </w:t>
      </w:r>
      <w:r w:rsidR="00FC25C4">
        <w:rPr>
          <w:szCs w:val="22"/>
        </w:rPr>
        <w:t>for</w:t>
      </w:r>
      <w:r w:rsidR="00D8119B">
        <w:rPr>
          <w:szCs w:val="22"/>
        </w:rPr>
        <w:t xml:space="preserve"> Station WDJR(FM), </w:t>
      </w:r>
      <w:r>
        <w:rPr>
          <w:szCs w:val="22"/>
        </w:rPr>
        <w:t>Channel</w:t>
      </w:r>
      <w:r w:rsidR="00621420">
        <w:rPr>
          <w:szCs w:val="22"/>
        </w:rPr>
        <w:t xml:space="preserve"> 245C0</w:t>
      </w:r>
      <w:r>
        <w:rPr>
          <w:szCs w:val="22"/>
        </w:rPr>
        <w:t xml:space="preserve">, </w:t>
      </w:r>
      <w:r w:rsidR="00D8119B">
        <w:rPr>
          <w:szCs w:val="22"/>
        </w:rPr>
        <w:t xml:space="preserve">from Enterprise, Alabama, to Hartford, </w:t>
      </w:r>
      <w:r w:rsidR="005B5A4C">
        <w:rPr>
          <w:szCs w:val="22"/>
        </w:rPr>
        <w:t>as a “backfill.”</w:t>
      </w:r>
      <w:r w:rsidR="005B5A4C">
        <w:rPr>
          <w:rStyle w:val="FootnoteReference"/>
          <w:szCs w:val="22"/>
        </w:rPr>
        <w:footnoteReference w:id="11"/>
      </w:r>
      <w:r w:rsidR="00B06635" w:rsidRPr="00B06635">
        <w:rPr>
          <w:szCs w:val="28"/>
        </w:rPr>
        <w:t xml:space="preserve"> </w:t>
      </w:r>
    </w:p>
    <w:p w:rsidR="00D54BF6" w:rsidRDefault="00D54BF6" w:rsidP="007120DD">
      <w:pPr>
        <w:tabs>
          <w:tab w:val="left" w:pos="-720"/>
        </w:tabs>
        <w:suppressAutoHyphens/>
        <w:spacing w:line="225" w:lineRule="auto"/>
        <w:rPr>
          <w:szCs w:val="22"/>
        </w:rPr>
      </w:pPr>
    </w:p>
    <w:p w:rsidR="00D05A3C" w:rsidRDefault="00FF659C" w:rsidP="005B22BA">
      <w:pPr>
        <w:tabs>
          <w:tab w:val="left" w:pos="-720"/>
          <w:tab w:val="left" w:pos="720"/>
          <w:tab w:val="left" w:pos="1440"/>
        </w:tabs>
        <w:suppressAutoHyphens/>
        <w:spacing w:line="225" w:lineRule="auto"/>
        <w:rPr>
          <w:szCs w:val="22"/>
        </w:rPr>
      </w:pPr>
      <w:r>
        <w:rPr>
          <w:szCs w:val="22"/>
        </w:rPr>
        <w:tab/>
      </w:r>
      <w:r w:rsidR="00520096">
        <w:rPr>
          <w:szCs w:val="22"/>
        </w:rPr>
        <w:t>4</w:t>
      </w:r>
      <w:r w:rsidR="00486D28">
        <w:rPr>
          <w:szCs w:val="22"/>
        </w:rPr>
        <w:t xml:space="preserve">.  </w:t>
      </w:r>
      <w:r w:rsidR="005B22BA">
        <w:rPr>
          <w:szCs w:val="22"/>
        </w:rPr>
        <w:tab/>
      </w:r>
      <w:r w:rsidR="00D05A3C">
        <w:rPr>
          <w:szCs w:val="22"/>
        </w:rPr>
        <w:t xml:space="preserve">The Joint Parties </w:t>
      </w:r>
      <w:r w:rsidR="009F4309">
        <w:rPr>
          <w:szCs w:val="22"/>
        </w:rPr>
        <w:t>state</w:t>
      </w:r>
      <w:r w:rsidR="00D05A3C">
        <w:rPr>
          <w:szCs w:val="22"/>
        </w:rPr>
        <w:t xml:space="preserve"> that the primary public interest benefit of the three applications is the provision of a first local service </w:t>
      </w:r>
      <w:r w:rsidR="00AD726B">
        <w:rPr>
          <w:szCs w:val="22"/>
        </w:rPr>
        <w:t xml:space="preserve">by relocating WDBT </w:t>
      </w:r>
      <w:r w:rsidR="00D05A3C">
        <w:rPr>
          <w:szCs w:val="22"/>
        </w:rPr>
        <w:t>t</w:t>
      </w:r>
      <w:r w:rsidR="00AD726B">
        <w:rPr>
          <w:szCs w:val="22"/>
        </w:rPr>
        <w:t xml:space="preserve">o Hope Hull, an allotment which is mutually exclusive with the </w:t>
      </w:r>
      <w:r w:rsidR="00762CB4">
        <w:rPr>
          <w:szCs w:val="22"/>
        </w:rPr>
        <w:t xml:space="preserve">proposed new </w:t>
      </w:r>
      <w:r w:rsidR="00AD726B">
        <w:rPr>
          <w:szCs w:val="22"/>
        </w:rPr>
        <w:t>allotment of Channel 228A at Pike Road</w:t>
      </w:r>
      <w:r w:rsidR="00342364">
        <w:rPr>
          <w:szCs w:val="22"/>
        </w:rPr>
        <w:t xml:space="preserve">.  </w:t>
      </w:r>
      <w:r w:rsidR="00D05A3C">
        <w:rPr>
          <w:szCs w:val="22"/>
        </w:rPr>
        <w:t xml:space="preserve">The Joint Parties state that Hope Hull has a population of 1,260 persons, its own post office </w:t>
      </w:r>
      <w:r w:rsidR="00762CB4">
        <w:rPr>
          <w:szCs w:val="22"/>
        </w:rPr>
        <w:t xml:space="preserve">and </w:t>
      </w:r>
      <w:r w:rsidR="00D05A3C">
        <w:rPr>
          <w:szCs w:val="22"/>
        </w:rPr>
        <w:t xml:space="preserve">zip code, an elementary school, a private school, the Hope Hull Women’s Club, several churches, and numerous businesses. </w:t>
      </w:r>
      <w:r w:rsidR="005759B5">
        <w:rPr>
          <w:szCs w:val="22"/>
        </w:rPr>
        <w:t xml:space="preserve"> </w:t>
      </w:r>
      <w:r w:rsidR="00D05A3C">
        <w:rPr>
          <w:szCs w:val="22"/>
        </w:rPr>
        <w:t>The Joint Parties argue that Hope Hull is a community deserving of a first local service, and that grant of the Counterprop</w:t>
      </w:r>
      <w:r w:rsidR="002C4E4C">
        <w:rPr>
          <w:szCs w:val="22"/>
        </w:rPr>
        <w:t>osal therefore would constitute the</w:t>
      </w:r>
      <w:r w:rsidR="00D05A3C">
        <w:rPr>
          <w:szCs w:val="22"/>
        </w:rPr>
        <w:t xml:space="preserve"> preferred arrangement of allotments.</w:t>
      </w:r>
      <w:r w:rsidR="00783EAF">
        <w:rPr>
          <w:rStyle w:val="FootnoteReference"/>
          <w:szCs w:val="22"/>
        </w:rPr>
        <w:footnoteReference w:id="12"/>
      </w:r>
      <w:r w:rsidR="00D05A3C">
        <w:rPr>
          <w:szCs w:val="22"/>
        </w:rPr>
        <w:t xml:space="preserve"> </w:t>
      </w:r>
      <w:r w:rsidR="005759B5">
        <w:rPr>
          <w:szCs w:val="22"/>
        </w:rPr>
        <w:t xml:space="preserve"> </w:t>
      </w:r>
      <w:r w:rsidR="00520096" w:rsidRPr="00B06635">
        <w:rPr>
          <w:szCs w:val="28"/>
        </w:rPr>
        <w:t>The Counterproposa</w:t>
      </w:r>
      <w:r w:rsidR="00520096">
        <w:rPr>
          <w:szCs w:val="28"/>
        </w:rPr>
        <w:t xml:space="preserve">l is </w:t>
      </w:r>
      <w:r w:rsidR="00520096" w:rsidRPr="00B06635">
        <w:rPr>
          <w:szCs w:val="28"/>
        </w:rPr>
        <w:t xml:space="preserve">mutually exclusive with the </w:t>
      </w:r>
      <w:r w:rsidR="00520096" w:rsidRPr="00B06635">
        <w:rPr>
          <w:i/>
          <w:szCs w:val="28"/>
        </w:rPr>
        <w:t>Notice</w:t>
      </w:r>
      <w:r w:rsidR="00520096">
        <w:rPr>
          <w:szCs w:val="28"/>
        </w:rPr>
        <w:t xml:space="preserve">’s proposal.  Specifically, </w:t>
      </w:r>
      <w:r w:rsidR="00520096" w:rsidRPr="00B06635">
        <w:rPr>
          <w:szCs w:val="28"/>
        </w:rPr>
        <w:t>Channel 2</w:t>
      </w:r>
      <w:r w:rsidR="00520096">
        <w:rPr>
          <w:szCs w:val="28"/>
        </w:rPr>
        <w:t>28A</w:t>
      </w:r>
      <w:r w:rsidR="00520096" w:rsidRPr="00B06635">
        <w:rPr>
          <w:szCs w:val="28"/>
        </w:rPr>
        <w:t xml:space="preserve"> allotment at </w:t>
      </w:r>
      <w:r w:rsidR="00520096">
        <w:rPr>
          <w:szCs w:val="28"/>
        </w:rPr>
        <w:t xml:space="preserve">Pike Road </w:t>
      </w:r>
      <w:r w:rsidR="00520096" w:rsidRPr="00B06635">
        <w:rPr>
          <w:szCs w:val="28"/>
        </w:rPr>
        <w:t>conflict</w:t>
      </w:r>
      <w:r w:rsidR="00520096">
        <w:rPr>
          <w:szCs w:val="28"/>
        </w:rPr>
        <w:t>s</w:t>
      </w:r>
      <w:r w:rsidR="00520096" w:rsidRPr="00B06635">
        <w:rPr>
          <w:szCs w:val="28"/>
        </w:rPr>
        <w:t xml:space="preserve"> </w:t>
      </w:r>
      <w:r w:rsidR="00520096">
        <w:rPr>
          <w:szCs w:val="28"/>
        </w:rPr>
        <w:t>with Channel 228A at Hope Hull, Alabama</w:t>
      </w:r>
      <w:r w:rsidR="00520096" w:rsidRPr="00B06635">
        <w:rPr>
          <w:szCs w:val="28"/>
        </w:rPr>
        <w:t>, under the Commission’s minimum distance separation requirements.</w:t>
      </w:r>
      <w:r w:rsidR="00520096" w:rsidRPr="00B06635">
        <w:rPr>
          <w:sz w:val="20"/>
          <w:szCs w:val="28"/>
          <w:vertAlign w:val="superscript"/>
        </w:rPr>
        <w:footnoteReference w:id="13"/>
      </w:r>
      <w:r w:rsidR="00520096">
        <w:rPr>
          <w:szCs w:val="28"/>
        </w:rPr>
        <w:t xml:space="preserve"> </w:t>
      </w:r>
      <w:r w:rsidR="005759B5">
        <w:rPr>
          <w:szCs w:val="28"/>
        </w:rPr>
        <w:t xml:space="preserve"> </w:t>
      </w:r>
      <w:r w:rsidR="00520096">
        <w:rPr>
          <w:szCs w:val="28"/>
        </w:rPr>
        <w:t xml:space="preserve">Accordingly, we will consider the </w:t>
      </w:r>
      <w:r w:rsidR="00762CB4">
        <w:rPr>
          <w:szCs w:val="28"/>
        </w:rPr>
        <w:t xml:space="preserve">Counterproposal </w:t>
      </w:r>
      <w:r w:rsidR="00520096">
        <w:rPr>
          <w:szCs w:val="28"/>
        </w:rPr>
        <w:t>in this proceeding.</w:t>
      </w:r>
    </w:p>
    <w:p w:rsidR="00241AC4" w:rsidRDefault="00241AC4" w:rsidP="007120DD">
      <w:pPr>
        <w:tabs>
          <w:tab w:val="left" w:pos="-720"/>
        </w:tabs>
        <w:suppressAutoHyphens/>
        <w:spacing w:line="225" w:lineRule="auto"/>
        <w:rPr>
          <w:szCs w:val="22"/>
        </w:rPr>
      </w:pPr>
    </w:p>
    <w:p w:rsidR="00520096" w:rsidRDefault="00520096" w:rsidP="005B22BA">
      <w:pPr>
        <w:tabs>
          <w:tab w:val="left" w:pos="-720"/>
          <w:tab w:val="left" w:pos="720"/>
          <w:tab w:val="left" w:pos="1440"/>
          <w:tab w:val="left" w:pos="2160"/>
        </w:tabs>
        <w:suppressAutoHyphens/>
        <w:spacing w:line="225" w:lineRule="auto"/>
        <w:rPr>
          <w:szCs w:val="22"/>
        </w:rPr>
      </w:pPr>
      <w:r>
        <w:rPr>
          <w:szCs w:val="22"/>
        </w:rPr>
        <w:tab/>
        <w:t xml:space="preserve">5.  </w:t>
      </w:r>
      <w:r w:rsidR="005B22BA">
        <w:rPr>
          <w:szCs w:val="22"/>
        </w:rPr>
        <w:tab/>
      </w:r>
      <w:r>
        <w:rPr>
          <w:szCs w:val="22"/>
        </w:rPr>
        <w:t xml:space="preserve">In response to the </w:t>
      </w:r>
      <w:r w:rsidR="00D1416C" w:rsidRPr="00D31539">
        <w:rPr>
          <w:i/>
          <w:szCs w:val="22"/>
        </w:rPr>
        <w:t>OSC</w:t>
      </w:r>
      <w:r w:rsidR="00D1416C">
        <w:rPr>
          <w:szCs w:val="22"/>
        </w:rPr>
        <w:t xml:space="preserve">, </w:t>
      </w:r>
      <w:r>
        <w:rPr>
          <w:szCs w:val="22"/>
        </w:rPr>
        <w:t>Three Notch filed an Opposition to Order to Show Cause (“Opposition”)</w:t>
      </w:r>
      <w:r w:rsidR="00762CB4">
        <w:rPr>
          <w:szCs w:val="22"/>
        </w:rPr>
        <w:t>.</w:t>
      </w:r>
      <w:r w:rsidR="005759B5">
        <w:rPr>
          <w:szCs w:val="22"/>
        </w:rPr>
        <w:t xml:space="preserve">  </w:t>
      </w:r>
      <w:r>
        <w:rPr>
          <w:szCs w:val="22"/>
        </w:rPr>
        <w:t>Three Notch argues that it has made significant capital investment to replace worn-out equipment and to improve the functionality of WAAO’s facilities, and the Joint Parties have been unable to demonstrate the logistics of a workable plan to reimburse WAAO for the cost of implementing the proposed channel substitution.</w:t>
      </w:r>
    </w:p>
    <w:p w:rsidR="005759B5" w:rsidRDefault="005759B5" w:rsidP="005B22BA">
      <w:pPr>
        <w:tabs>
          <w:tab w:val="left" w:pos="-720"/>
          <w:tab w:val="left" w:pos="720"/>
          <w:tab w:val="left" w:pos="1440"/>
          <w:tab w:val="left" w:pos="2160"/>
        </w:tabs>
        <w:suppressAutoHyphens/>
        <w:spacing w:line="225" w:lineRule="auto"/>
        <w:rPr>
          <w:szCs w:val="22"/>
        </w:rPr>
      </w:pPr>
    </w:p>
    <w:p w:rsidR="00486D28" w:rsidRDefault="00636EDA" w:rsidP="007120DD">
      <w:pPr>
        <w:tabs>
          <w:tab w:val="left" w:pos="-720"/>
        </w:tabs>
        <w:suppressAutoHyphens/>
        <w:spacing w:line="225" w:lineRule="auto"/>
        <w:rPr>
          <w:szCs w:val="22"/>
        </w:rPr>
      </w:pPr>
      <w:r>
        <w:rPr>
          <w:szCs w:val="22"/>
        </w:rPr>
        <w:tab/>
      </w:r>
    </w:p>
    <w:p w:rsidR="00520096" w:rsidRDefault="005535CD" w:rsidP="005B22BA">
      <w:pPr>
        <w:tabs>
          <w:tab w:val="left" w:pos="-720"/>
          <w:tab w:val="left" w:pos="720"/>
          <w:tab w:val="left" w:pos="1440"/>
        </w:tabs>
        <w:suppressAutoHyphens/>
        <w:spacing w:line="225" w:lineRule="auto"/>
        <w:rPr>
          <w:color w:val="000000"/>
          <w:sz w:val="24"/>
          <w:szCs w:val="24"/>
        </w:rPr>
      </w:pPr>
      <w:r w:rsidRPr="005535CD">
        <w:rPr>
          <w:szCs w:val="22"/>
        </w:rPr>
        <w:lastRenderedPageBreak/>
        <w:tab/>
      </w:r>
      <w:r w:rsidR="00486D28">
        <w:rPr>
          <w:szCs w:val="22"/>
        </w:rPr>
        <w:t xml:space="preserve">6.  </w:t>
      </w:r>
      <w:r w:rsidR="005B22BA">
        <w:rPr>
          <w:szCs w:val="22"/>
        </w:rPr>
        <w:tab/>
      </w:r>
      <w:r w:rsidRPr="005535CD">
        <w:rPr>
          <w:b/>
          <w:szCs w:val="22"/>
        </w:rPr>
        <w:t>Discussion.</w:t>
      </w:r>
      <w:r w:rsidRPr="005535CD">
        <w:rPr>
          <w:szCs w:val="22"/>
        </w:rPr>
        <w:t xml:space="preserve">  </w:t>
      </w:r>
      <w:r w:rsidR="0078465A">
        <w:rPr>
          <w:color w:val="000000"/>
          <w:szCs w:val="22"/>
        </w:rPr>
        <w:t>A</w:t>
      </w:r>
      <w:r w:rsidR="00E55623" w:rsidRPr="00AD26DA">
        <w:rPr>
          <w:color w:val="000000"/>
          <w:szCs w:val="22"/>
        </w:rPr>
        <w:t xml:space="preserve"> staff engineering analysis has revealed that there are no alternate channels available at </w:t>
      </w:r>
      <w:r w:rsidR="00340547" w:rsidRPr="00AD26DA">
        <w:rPr>
          <w:color w:val="000000"/>
          <w:szCs w:val="22"/>
        </w:rPr>
        <w:t xml:space="preserve">Pike Road, Alabama.  Accordingly, the proposals must be compared. </w:t>
      </w:r>
    </w:p>
    <w:p w:rsidR="00E7711B" w:rsidRDefault="00340547" w:rsidP="00520096">
      <w:pPr>
        <w:tabs>
          <w:tab w:val="left" w:pos="-720"/>
        </w:tabs>
        <w:suppressAutoHyphens/>
        <w:spacing w:line="225" w:lineRule="auto"/>
        <w:rPr>
          <w:color w:val="000000"/>
          <w:sz w:val="24"/>
          <w:szCs w:val="24"/>
        </w:rPr>
      </w:pPr>
      <w:r>
        <w:rPr>
          <w:color w:val="000000"/>
          <w:sz w:val="24"/>
          <w:szCs w:val="24"/>
        </w:rPr>
        <w:t xml:space="preserve"> </w:t>
      </w:r>
    </w:p>
    <w:p w:rsidR="00BD7E5F" w:rsidRDefault="00520096" w:rsidP="005B22BA">
      <w:pPr>
        <w:tabs>
          <w:tab w:val="left" w:pos="-720"/>
          <w:tab w:val="left" w:pos="720"/>
          <w:tab w:val="left" w:pos="1440"/>
        </w:tabs>
        <w:suppressAutoHyphens/>
        <w:spacing w:line="225" w:lineRule="auto"/>
        <w:rPr>
          <w:szCs w:val="22"/>
        </w:rPr>
      </w:pPr>
      <w:r>
        <w:rPr>
          <w:color w:val="000000"/>
          <w:szCs w:val="22"/>
        </w:rPr>
        <w:tab/>
      </w:r>
      <w:r w:rsidR="00E7711B" w:rsidRPr="004013BC">
        <w:rPr>
          <w:color w:val="000000"/>
          <w:szCs w:val="22"/>
        </w:rPr>
        <w:t xml:space="preserve">7.  </w:t>
      </w:r>
      <w:r w:rsidR="005B22BA">
        <w:rPr>
          <w:color w:val="000000"/>
          <w:szCs w:val="22"/>
        </w:rPr>
        <w:tab/>
      </w:r>
      <w:r w:rsidR="005301BE">
        <w:rPr>
          <w:color w:val="000000"/>
          <w:szCs w:val="22"/>
        </w:rPr>
        <w:t>We find that the Counterprop</w:t>
      </w:r>
      <w:r w:rsidR="00A657E3">
        <w:rPr>
          <w:color w:val="000000"/>
          <w:szCs w:val="22"/>
        </w:rPr>
        <w:t>o</w:t>
      </w:r>
      <w:r w:rsidR="005301BE">
        <w:rPr>
          <w:color w:val="000000"/>
          <w:szCs w:val="22"/>
        </w:rPr>
        <w:t>s</w:t>
      </w:r>
      <w:r w:rsidR="00A657E3">
        <w:rPr>
          <w:color w:val="000000"/>
          <w:szCs w:val="22"/>
        </w:rPr>
        <w:t>a</w:t>
      </w:r>
      <w:r w:rsidR="005301BE">
        <w:rPr>
          <w:color w:val="000000"/>
          <w:szCs w:val="22"/>
        </w:rPr>
        <w:t xml:space="preserve">l would result in preferential arrangement of </w:t>
      </w:r>
      <w:r>
        <w:rPr>
          <w:color w:val="000000"/>
          <w:szCs w:val="22"/>
        </w:rPr>
        <w:t>allotments</w:t>
      </w:r>
      <w:r w:rsidR="005301BE">
        <w:rPr>
          <w:color w:val="000000"/>
          <w:szCs w:val="22"/>
        </w:rPr>
        <w:t xml:space="preserve"> </w:t>
      </w:r>
      <w:r w:rsidR="005571F1">
        <w:rPr>
          <w:color w:val="000000"/>
          <w:szCs w:val="22"/>
        </w:rPr>
        <w:t xml:space="preserve">under </w:t>
      </w:r>
      <w:r w:rsidR="00E7711B" w:rsidRPr="004013BC">
        <w:rPr>
          <w:i/>
          <w:color w:val="000000"/>
          <w:szCs w:val="22"/>
        </w:rPr>
        <w:t>FM Allotment Priorities</w:t>
      </w:r>
      <w:r w:rsidR="00462732">
        <w:rPr>
          <w:i/>
          <w:color w:val="000000"/>
          <w:szCs w:val="22"/>
        </w:rPr>
        <w:t xml:space="preserve">.  </w:t>
      </w:r>
      <w:r w:rsidR="00462732">
        <w:rPr>
          <w:color w:val="000000"/>
          <w:szCs w:val="22"/>
        </w:rPr>
        <w:t xml:space="preserve">First, </w:t>
      </w:r>
      <w:r w:rsidR="0078465A">
        <w:rPr>
          <w:color w:val="000000"/>
          <w:szCs w:val="22"/>
        </w:rPr>
        <w:t>the allotment of</w:t>
      </w:r>
      <w:r w:rsidR="00F56B0C" w:rsidRPr="004013BC">
        <w:rPr>
          <w:color w:val="000000"/>
          <w:szCs w:val="22"/>
        </w:rPr>
        <w:t xml:space="preserve"> Channel 228A to Hope Hull, Alabama, as the community</w:t>
      </w:r>
      <w:r w:rsidR="00627241">
        <w:rPr>
          <w:color w:val="000000"/>
          <w:szCs w:val="22"/>
        </w:rPr>
        <w:t>’s</w:t>
      </w:r>
      <w:r w:rsidR="00F56B0C" w:rsidRPr="004013BC">
        <w:rPr>
          <w:color w:val="000000"/>
          <w:szCs w:val="22"/>
        </w:rPr>
        <w:t xml:space="preserve"> first local service </w:t>
      </w:r>
      <w:r w:rsidR="0078465A">
        <w:rPr>
          <w:color w:val="000000"/>
          <w:szCs w:val="22"/>
        </w:rPr>
        <w:t>(</w:t>
      </w:r>
      <w:r w:rsidR="00F56B0C" w:rsidRPr="004013BC">
        <w:rPr>
          <w:color w:val="000000"/>
          <w:szCs w:val="22"/>
        </w:rPr>
        <w:t>Priority 3</w:t>
      </w:r>
      <w:r w:rsidR="0078465A">
        <w:rPr>
          <w:color w:val="000000"/>
          <w:szCs w:val="22"/>
        </w:rPr>
        <w:t>)</w:t>
      </w:r>
      <w:r w:rsidR="00F56B0C" w:rsidRPr="004013BC">
        <w:rPr>
          <w:color w:val="000000"/>
          <w:szCs w:val="22"/>
        </w:rPr>
        <w:t xml:space="preserve"> </w:t>
      </w:r>
      <w:r w:rsidR="0078465A">
        <w:rPr>
          <w:color w:val="000000"/>
          <w:szCs w:val="22"/>
        </w:rPr>
        <w:t xml:space="preserve">is preferred to the allotment of </w:t>
      </w:r>
      <w:r w:rsidR="00F56B0C" w:rsidRPr="004013BC">
        <w:rPr>
          <w:color w:val="000000"/>
          <w:szCs w:val="22"/>
        </w:rPr>
        <w:t>Channel 228A to Pike Road, Alabama, as the community’s secon</w:t>
      </w:r>
      <w:r w:rsidR="00462732" w:rsidRPr="00462732">
        <w:rPr>
          <w:color w:val="000000"/>
          <w:szCs w:val="22"/>
        </w:rPr>
        <w:t xml:space="preserve">d local service </w:t>
      </w:r>
      <w:r w:rsidR="0078465A">
        <w:rPr>
          <w:color w:val="000000"/>
          <w:szCs w:val="22"/>
        </w:rPr>
        <w:t>(</w:t>
      </w:r>
      <w:r w:rsidR="00462732" w:rsidRPr="00462732">
        <w:rPr>
          <w:color w:val="000000"/>
          <w:szCs w:val="22"/>
        </w:rPr>
        <w:t>Priority</w:t>
      </w:r>
      <w:r w:rsidR="005571F1">
        <w:rPr>
          <w:color w:val="000000"/>
          <w:szCs w:val="22"/>
        </w:rPr>
        <w:t xml:space="preserve"> </w:t>
      </w:r>
      <w:r w:rsidR="00462732" w:rsidRPr="00462732">
        <w:rPr>
          <w:color w:val="000000"/>
          <w:szCs w:val="22"/>
        </w:rPr>
        <w:t>4</w:t>
      </w:r>
      <w:r w:rsidR="0078465A">
        <w:rPr>
          <w:color w:val="000000"/>
          <w:szCs w:val="22"/>
        </w:rPr>
        <w:t>)</w:t>
      </w:r>
      <w:r w:rsidR="00342364">
        <w:rPr>
          <w:color w:val="000000"/>
          <w:szCs w:val="22"/>
        </w:rPr>
        <w:t xml:space="preserve">.  </w:t>
      </w:r>
      <w:r>
        <w:rPr>
          <w:color w:val="000000"/>
          <w:szCs w:val="22"/>
        </w:rPr>
        <w:t xml:space="preserve">In addition, </w:t>
      </w:r>
      <w:r w:rsidR="00A657E3">
        <w:rPr>
          <w:color w:val="000000"/>
          <w:szCs w:val="22"/>
        </w:rPr>
        <w:t xml:space="preserve">the proposed change of community of license </w:t>
      </w:r>
      <w:r w:rsidR="002A72ED">
        <w:rPr>
          <w:color w:val="000000"/>
          <w:szCs w:val="22"/>
        </w:rPr>
        <w:t>by Station WDBT from Hartford, Alabama to Hope Hull</w:t>
      </w:r>
      <w:r w:rsidR="0078465A">
        <w:rPr>
          <w:color w:val="000000"/>
          <w:szCs w:val="22"/>
        </w:rPr>
        <w:t>,</w:t>
      </w:r>
      <w:r w:rsidR="002A72ED">
        <w:rPr>
          <w:color w:val="000000"/>
          <w:szCs w:val="22"/>
        </w:rPr>
        <w:t xml:space="preserve"> Alabama would accommodate the upgrade </w:t>
      </w:r>
      <w:r w:rsidR="00B63E5F">
        <w:rPr>
          <w:color w:val="000000"/>
          <w:szCs w:val="22"/>
        </w:rPr>
        <w:t>of Station</w:t>
      </w:r>
      <w:r w:rsidR="002A72ED">
        <w:rPr>
          <w:color w:val="000000"/>
          <w:szCs w:val="22"/>
        </w:rPr>
        <w:t xml:space="preserve"> WLDA(FM), from Channel 280C3 to Channel 280C2.</w:t>
      </w:r>
      <w:r w:rsidR="002A72ED" w:rsidRPr="002A72ED">
        <w:rPr>
          <w:rStyle w:val="FootnoteReference"/>
          <w:szCs w:val="22"/>
        </w:rPr>
        <w:t xml:space="preserve"> </w:t>
      </w:r>
      <w:r w:rsidR="002A72ED">
        <w:rPr>
          <w:rStyle w:val="FootnoteReference"/>
          <w:szCs w:val="22"/>
        </w:rPr>
        <w:footnoteReference w:id="14"/>
      </w:r>
      <w:r w:rsidR="005759B5">
        <w:rPr>
          <w:szCs w:val="22"/>
        </w:rPr>
        <w:t xml:space="preserve">  </w:t>
      </w:r>
      <w:r w:rsidR="0078465A">
        <w:rPr>
          <w:szCs w:val="22"/>
        </w:rPr>
        <w:t xml:space="preserve">Although </w:t>
      </w:r>
      <w:r w:rsidR="005E73FF">
        <w:rPr>
          <w:szCs w:val="22"/>
        </w:rPr>
        <w:t>Hope Hull is not incorporated</w:t>
      </w:r>
      <w:r w:rsidR="00054C3B">
        <w:rPr>
          <w:szCs w:val="22"/>
        </w:rPr>
        <w:t xml:space="preserve"> and </w:t>
      </w:r>
      <w:r w:rsidR="005E73FF">
        <w:rPr>
          <w:szCs w:val="22"/>
        </w:rPr>
        <w:t xml:space="preserve">is </w:t>
      </w:r>
      <w:r w:rsidR="00054C3B">
        <w:rPr>
          <w:szCs w:val="22"/>
        </w:rPr>
        <w:t xml:space="preserve">not </w:t>
      </w:r>
      <w:r w:rsidR="005E73FF">
        <w:rPr>
          <w:szCs w:val="22"/>
        </w:rPr>
        <w:t>listed in the 2010 U.S. Census</w:t>
      </w:r>
      <w:r w:rsidR="00054C3B">
        <w:rPr>
          <w:szCs w:val="22"/>
        </w:rPr>
        <w:t xml:space="preserve">, </w:t>
      </w:r>
      <w:r w:rsidR="00F602B1">
        <w:rPr>
          <w:szCs w:val="22"/>
        </w:rPr>
        <w:t>Gulf South has presented enough evidence to support Hope Hull’s community status.</w:t>
      </w:r>
      <w:r w:rsidR="00865C12">
        <w:rPr>
          <w:rStyle w:val="FootnoteReference"/>
          <w:szCs w:val="22"/>
        </w:rPr>
        <w:footnoteReference w:id="15"/>
      </w:r>
      <w:r w:rsidR="005759B5">
        <w:rPr>
          <w:szCs w:val="22"/>
        </w:rPr>
        <w:t xml:space="preserve">  </w:t>
      </w:r>
      <w:r w:rsidR="00BD7E5F">
        <w:rPr>
          <w:szCs w:val="22"/>
        </w:rPr>
        <w:t>Accordingly, we find Hope Hull is a community deserving of its own local service.</w:t>
      </w:r>
      <w:r w:rsidR="00E8654A">
        <w:rPr>
          <w:rStyle w:val="FootnoteReference"/>
          <w:szCs w:val="22"/>
        </w:rPr>
        <w:footnoteReference w:id="16"/>
      </w:r>
      <w:r w:rsidR="00BD7E5F">
        <w:rPr>
          <w:szCs w:val="22"/>
        </w:rPr>
        <w:t xml:space="preserve">  </w:t>
      </w:r>
    </w:p>
    <w:p w:rsidR="00604E3F" w:rsidRDefault="00BD7E5F" w:rsidP="007120DD">
      <w:pPr>
        <w:tabs>
          <w:tab w:val="left" w:pos="-720"/>
        </w:tabs>
        <w:suppressAutoHyphens/>
        <w:spacing w:line="225" w:lineRule="auto"/>
        <w:rPr>
          <w:szCs w:val="22"/>
        </w:rPr>
      </w:pPr>
      <w:r>
        <w:rPr>
          <w:szCs w:val="22"/>
        </w:rPr>
        <w:tab/>
      </w:r>
    </w:p>
    <w:p w:rsidR="00345D82" w:rsidRPr="00B77BD7" w:rsidRDefault="00B77BD7" w:rsidP="005B22BA">
      <w:pPr>
        <w:tabs>
          <w:tab w:val="left" w:pos="-720"/>
          <w:tab w:val="left" w:pos="720"/>
          <w:tab w:val="left" w:pos="1440"/>
          <w:tab w:val="left" w:pos="2160"/>
        </w:tabs>
        <w:suppressAutoHyphens/>
        <w:spacing w:line="225" w:lineRule="auto"/>
        <w:rPr>
          <w:szCs w:val="22"/>
        </w:rPr>
      </w:pPr>
      <w:r>
        <w:rPr>
          <w:color w:val="000000"/>
          <w:szCs w:val="22"/>
          <w:shd w:val="clear" w:color="auto" w:fill="FFFFFF"/>
        </w:rPr>
        <w:tab/>
      </w:r>
      <w:r w:rsidR="00CF7304">
        <w:rPr>
          <w:color w:val="000000"/>
          <w:szCs w:val="22"/>
          <w:shd w:val="clear" w:color="auto" w:fill="FFFFFF"/>
        </w:rPr>
        <w:t>8</w:t>
      </w:r>
      <w:r>
        <w:rPr>
          <w:color w:val="000000"/>
          <w:szCs w:val="22"/>
          <w:shd w:val="clear" w:color="auto" w:fill="FFFFFF"/>
        </w:rPr>
        <w:t xml:space="preserve">.  </w:t>
      </w:r>
      <w:r w:rsidR="005B22BA">
        <w:rPr>
          <w:color w:val="000000"/>
          <w:szCs w:val="22"/>
          <w:shd w:val="clear" w:color="auto" w:fill="FFFFFF"/>
        </w:rPr>
        <w:tab/>
      </w:r>
      <w:r>
        <w:rPr>
          <w:color w:val="000000"/>
          <w:szCs w:val="22"/>
          <w:shd w:val="clear" w:color="auto" w:fill="FFFFFF"/>
        </w:rPr>
        <w:t xml:space="preserve">As to the involuntary modification of the license of </w:t>
      </w:r>
      <w:r w:rsidR="00CF7304">
        <w:rPr>
          <w:color w:val="000000"/>
          <w:szCs w:val="22"/>
          <w:shd w:val="clear" w:color="auto" w:fill="FFFFFF"/>
        </w:rPr>
        <w:t xml:space="preserve">Station </w:t>
      </w:r>
      <w:r>
        <w:rPr>
          <w:color w:val="000000"/>
          <w:szCs w:val="22"/>
          <w:shd w:val="clear" w:color="auto" w:fill="FFFFFF"/>
        </w:rPr>
        <w:t>WAAO</w:t>
      </w:r>
      <w:r w:rsidR="00CF7304">
        <w:rPr>
          <w:color w:val="000000"/>
          <w:szCs w:val="22"/>
          <w:shd w:val="clear" w:color="auto" w:fill="FFFFFF"/>
        </w:rPr>
        <w:t>(FM)</w:t>
      </w:r>
      <w:r>
        <w:rPr>
          <w:color w:val="000000"/>
          <w:szCs w:val="22"/>
          <w:shd w:val="clear" w:color="auto" w:fill="FFFFFF"/>
        </w:rPr>
        <w:t>, we find that Three Notch</w:t>
      </w:r>
      <w:r w:rsidRPr="00B77BD7">
        <w:rPr>
          <w:color w:val="000000"/>
          <w:szCs w:val="22"/>
          <w:shd w:val="clear" w:color="auto" w:fill="FFFFFF"/>
        </w:rPr>
        <w:t xml:space="preserve"> has not raised a substantial and material question </w:t>
      </w:r>
      <w:r w:rsidR="00B10350">
        <w:rPr>
          <w:color w:val="000000"/>
          <w:szCs w:val="22"/>
          <w:shd w:val="clear" w:color="auto" w:fill="FFFFFF"/>
        </w:rPr>
        <w:t xml:space="preserve">of </w:t>
      </w:r>
      <w:r w:rsidRPr="00B77BD7">
        <w:rPr>
          <w:color w:val="000000"/>
          <w:szCs w:val="22"/>
          <w:shd w:val="clear" w:color="auto" w:fill="FFFFFF"/>
        </w:rPr>
        <w:t xml:space="preserve">fact that would warrant a hearing on the modification of </w:t>
      </w:r>
      <w:r w:rsidR="00CF7304">
        <w:rPr>
          <w:color w:val="000000"/>
          <w:szCs w:val="22"/>
          <w:shd w:val="clear" w:color="auto" w:fill="FFFFFF"/>
        </w:rPr>
        <w:t xml:space="preserve">Station </w:t>
      </w:r>
      <w:r w:rsidR="00B10350">
        <w:rPr>
          <w:color w:val="000000"/>
          <w:szCs w:val="22"/>
          <w:shd w:val="clear" w:color="auto" w:fill="FFFFFF"/>
        </w:rPr>
        <w:t>WAAO</w:t>
      </w:r>
      <w:r w:rsidR="00CF7304">
        <w:rPr>
          <w:color w:val="000000"/>
          <w:szCs w:val="22"/>
          <w:shd w:val="clear" w:color="auto" w:fill="FFFFFF"/>
        </w:rPr>
        <w:t>(FM)</w:t>
      </w:r>
      <w:r w:rsidR="00B10350">
        <w:rPr>
          <w:color w:val="000000"/>
          <w:szCs w:val="22"/>
          <w:shd w:val="clear" w:color="auto" w:fill="FFFFFF"/>
        </w:rPr>
        <w:t>’s</w:t>
      </w:r>
      <w:r w:rsidRPr="00B77BD7">
        <w:rPr>
          <w:color w:val="000000"/>
          <w:szCs w:val="22"/>
          <w:shd w:val="clear" w:color="auto" w:fill="FFFFFF"/>
        </w:rPr>
        <w:t xml:space="preserve"> license to specify operation on Cha</w:t>
      </w:r>
      <w:r>
        <w:rPr>
          <w:color w:val="000000"/>
          <w:szCs w:val="22"/>
          <w:shd w:val="clear" w:color="auto" w:fill="FFFFFF"/>
        </w:rPr>
        <w:t>nnel 229A in lieu of Channel 279</w:t>
      </w:r>
      <w:r w:rsidRPr="00B77BD7">
        <w:rPr>
          <w:color w:val="000000"/>
          <w:szCs w:val="22"/>
          <w:shd w:val="clear" w:color="auto" w:fill="FFFFFF"/>
        </w:rPr>
        <w:t xml:space="preserve">A at </w:t>
      </w:r>
      <w:r>
        <w:rPr>
          <w:color w:val="000000"/>
          <w:szCs w:val="22"/>
          <w:shd w:val="clear" w:color="auto" w:fill="FFFFFF"/>
        </w:rPr>
        <w:t>Andalusia</w:t>
      </w:r>
      <w:r w:rsidR="00342364">
        <w:rPr>
          <w:color w:val="000000"/>
          <w:szCs w:val="22"/>
          <w:shd w:val="clear" w:color="auto" w:fill="FFFFFF"/>
        </w:rPr>
        <w:t xml:space="preserve">.  </w:t>
      </w:r>
      <w:r w:rsidRPr="00B77BD7">
        <w:rPr>
          <w:color w:val="000000"/>
          <w:szCs w:val="22"/>
          <w:shd w:val="clear" w:color="auto" w:fill="FFFFFF"/>
        </w:rPr>
        <w:t>As we have previously stated, “[i]t is well settled that the substitution of an existing station's channel serves the public interest where the substitution permits the provision of new or expanded service at another community.”</w:t>
      </w:r>
      <w:bookmarkStart w:id="2" w:name="FN[FN7]"/>
      <w:bookmarkEnd w:id="2"/>
      <w:r w:rsidR="00621420">
        <w:rPr>
          <w:rStyle w:val="FootnoteReference"/>
          <w:color w:val="000000"/>
          <w:szCs w:val="22"/>
          <w:shd w:val="clear" w:color="auto" w:fill="FFFFFF"/>
        </w:rPr>
        <w:footnoteReference w:id="17"/>
      </w:r>
      <w:r w:rsidRPr="00B77BD7">
        <w:rPr>
          <w:rStyle w:val="apple-converted-space"/>
          <w:color w:val="000000"/>
          <w:szCs w:val="22"/>
          <w:shd w:val="clear" w:color="auto" w:fill="FFFFFF"/>
        </w:rPr>
        <w:t> </w:t>
      </w:r>
      <w:r w:rsidR="005759B5">
        <w:rPr>
          <w:rStyle w:val="apple-converted-space"/>
          <w:color w:val="000000"/>
          <w:szCs w:val="22"/>
          <w:shd w:val="clear" w:color="auto" w:fill="FFFFFF"/>
        </w:rPr>
        <w:t xml:space="preserve"> </w:t>
      </w:r>
      <w:r w:rsidRPr="00B77BD7">
        <w:rPr>
          <w:color w:val="000000"/>
          <w:szCs w:val="22"/>
          <w:shd w:val="clear" w:color="auto" w:fill="FFFFFF"/>
        </w:rPr>
        <w:t xml:space="preserve">In this instance, the proposed channel substitution and license modification for </w:t>
      </w:r>
      <w:r w:rsidR="00CF7304">
        <w:rPr>
          <w:color w:val="000000"/>
          <w:szCs w:val="22"/>
          <w:shd w:val="clear" w:color="auto" w:fill="FFFFFF"/>
        </w:rPr>
        <w:t xml:space="preserve">Station </w:t>
      </w:r>
      <w:r w:rsidR="00525F35">
        <w:rPr>
          <w:color w:val="000000"/>
          <w:szCs w:val="22"/>
          <w:shd w:val="clear" w:color="auto" w:fill="FFFFFF"/>
        </w:rPr>
        <w:t>WAAO</w:t>
      </w:r>
      <w:r w:rsidR="00CF7304">
        <w:rPr>
          <w:color w:val="000000"/>
          <w:szCs w:val="22"/>
          <w:shd w:val="clear" w:color="auto" w:fill="FFFFFF"/>
        </w:rPr>
        <w:t>(FM)</w:t>
      </w:r>
      <w:r w:rsidRPr="00B77BD7">
        <w:rPr>
          <w:color w:val="000000"/>
          <w:szCs w:val="22"/>
          <w:shd w:val="clear" w:color="auto" w:fill="FFFFFF"/>
        </w:rPr>
        <w:t xml:space="preserve"> is in the public interest and, therefore, permissible under Section 316(a) of the Communications Act of 1934, as amended,</w:t>
      </w:r>
      <w:bookmarkStart w:id="3" w:name="FN[FN9]"/>
      <w:bookmarkEnd w:id="3"/>
      <w:r w:rsidR="00525F35">
        <w:rPr>
          <w:rStyle w:val="FootnoteReference"/>
          <w:color w:val="000000"/>
          <w:szCs w:val="22"/>
          <w:shd w:val="clear" w:color="auto" w:fill="FFFFFF"/>
        </w:rPr>
        <w:footnoteReference w:id="18"/>
      </w:r>
      <w:r w:rsidRPr="00B77BD7">
        <w:rPr>
          <w:rStyle w:val="apple-converted-space"/>
          <w:color w:val="000000"/>
          <w:szCs w:val="22"/>
          <w:shd w:val="clear" w:color="auto" w:fill="FFFFFF"/>
        </w:rPr>
        <w:t> </w:t>
      </w:r>
      <w:r w:rsidRPr="00B77BD7">
        <w:rPr>
          <w:color w:val="000000"/>
          <w:szCs w:val="22"/>
          <w:shd w:val="clear" w:color="auto" w:fill="FFFFFF"/>
        </w:rPr>
        <w:t xml:space="preserve">because it will </w:t>
      </w:r>
      <w:r w:rsidR="00B10350">
        <w:rPr>
          <w:color w:val="000000"/>
          <w:szCs w:val="22"/>
          <w:shd w:val="clear" w:color="auto" w:fill="FFFFFF"/>
        </w:rPr>
        <w:t>permit expanded service at Fort Rucker, and promote the provision of a first local service at Hope Hull.</w:t>
      </w:r>
      <w:r w:rsidRPr="00B77BD7">
        <w:rPr>
          <w:color w:val="000000"/>
          <w:szCs w:val="22"/>
        </w:rPr>
        <w:br/>
      </w:r>
      <w:r w:rsidRPr="00B77BD7">
        <w:rPr>
          <w:color w:val="000000"/>
          <w:szCs w:val="22"/>
        </w:rPr>
        <w:br/>
      </w:r>
      <w:bookmarkStart w:id="4" w:name="sp_999_2"/>
      <w:bookmarkStart w:id="5" w:name="SDU_2"/>
      <w:bookmarkEnd w:id="4"/>
      <w:bookmarkEnd w:id="5"/>
      <w:r w:rsidR="006B3568">
        <w:rPr>
          <w:color w:val="000000"/>
          <w:szCs w:val="22"/>
          <w:shd w:val="clear" w:color="auto" w:fill="FFFFFF"/>
        </w:rPr>
        <w:tab/>
      </w:r>
      <w:r w:rsidR="00CF7304">
        <w:rPr>
          <w:color w:val="000000"/>
          <w:szCs w:val="22"/>
          <w:shd w:val="clear" w:color="auto" w:fill="FFFFFF"/>
        </w:rPr>
        <w:t>9</w:t>
      </w:r>
      <w:r w:rsidR="006B3568">
        <w:rPr>
          <w:color w:val="000000"/>
          <w:szCs w:val="22"/>
          <w:shd w:val="clear" w:color="auto" w:fill="FFFFFF"/>
        </w:rPr>
        <w:t xml:space="preserve">.  </w:t>
      </w:r>
      <w:r w:rsidR="005B22BA">
        <w:rPr>
          <w:color w:val="000000"/>
          <w:szCs w:val="22"/>
          <w:shd w:val="clear" w:color="auto" w:fill="FFFFFF"/>
        </w:rPr>
        <w:tab/>
      </w:r>
      <w:r w:rsidRPr="00B77BD7">
        <w:rPr>
          <w:color w:val="000000"/>
          <w:szCs w:val="22"/>
          <w:shd w:val="clear" w:color="auto" w:fill="FFFFFF"/>
        </w:rPr>
        <w:t>Consistent with</w:t>
      </w:r>
      <w:r w:rsidRPr="00B77BD7">
        <w:rPr>
          <w:rStyle w:val="apple-converted-space"/>
          <w:color w:val="000000"/>
          <w:szCs w:val="22"/>
          <w:shd w:val="clear" w:color="auto" w:fill="FFFFFF"/>
        </w:rPr>
        <w:t> </w:t>
      </w:r>
      <w:r w:rsidRPr="00B77BD7">
        <w:rPr>
          <w:i/>
          <w:iCs/>
          <w:szCs w:val="22"/>
        </w:rPr>
        <w:t>Circleville,</w:t>
      </w:r>
      <w:r w:rsidRPr="00B77BD7">
        <w:rPr>
          <w:color w:val="000000"/>
          <w:szCs w:val="22"/>
          <w:shd w:val="clear" w:color="auto" w:fill="FFFFFF"/>
        </w:rPr>
        <w:t xml:space="preserve"> </w:t>
      </w:r>
      <w:r w:rsidR="00AA032F" w:rsidRPr="0065095C">
        <w:rPr>
          <w:color w:val="000000"/>
          <w:szCs w:val="22"/>
        </w:rPr>
        <w:t>South</w:t>
      </w:r>
      <w:r w:rsidR="00AA032F">
        <w:rPr>
          <w:color w:val="000000"/>
          <w:szCs w:val="22"/>
        </w:rPr>
        <w:t xml:space="preserve">east </w:t>
      </w:r>
      <w:r w:rsidRPr="00B77BD7">
        <w:rPr>
          <w:color w:val="000000"/>
          <w:szCs w:val="22"/>
          <w:shd w:val="clear" w:color="auto" w:fill="FFFFFF"/>
        </w:rPr>
        <w:t xml:space="preserve">will be required to reimburse </w:t>
      </w:r>
      <w:r w:rsidR="00AA032F">
        <w:rPr>
          <w:color w:val="000000"/>
          <w:szCs w:val="22"/>
          <w:shd w:val="clear" w:color="auto" w:fill="FFFFFF"/>
        </w:rPr>
        <w:t xml:space="preserve">Three Notch </w:t>
      </w:r>
      <w:r w:rsidRPr="00B77BD7">
        <w:rPr>
          <w:color w:val="000000"/>
          <w:szCs w:val="22"/>
          <w:shd w:val="clear" w:color="auto" w:fill="FFFFFF"/>
        </w:rPr>
        <w:t xml:space="preserve">for its reasonable and prudent costs associated with the involuntary channel change at </w:t>
      </w:r>
      <w:bookmarkStart w:id="6" w:name="FN[FN11]"/>
      <w:bookmarkEnd w:id="6"/>
      <w:r w:rsidR="00AA032F">
        <w:rPr>
          <w:color w:val="000000"/>
          <w:szCs w:val="22"/>
          <w:shd w:val="clear" w:color="auto" w:fill="FFFFFF"/>
        </w:rPr>
        <w:t xml:space="preserve">Andalusia, and </w:t>
      </w:r>
      <w:r w:rsidR="00346550">
        <w:rPr>
          <w:color w:val="000000"/>
          <w:szCs w:val="22"/>
          <w:shd w:val="clear" w:color="auto" w:fill="FFFFFF"/>
        </w:rPr>
        <w:t xml:space="preserve">Southeast </w:t>
      </w:r>
      <w:r w:rsidR="00342364">
        <w:rPr>
          <w:color w:val="000000"/>
          <w:szCs w:val="22"/>
          <w:shd w:val="clear" w:color="auto" w:fill="FFFFFF"/>
        </w:rPr>
        <w:t xml:space="preserve">has already committed to do so.  </w:t>
      </w:r>
      <w:r w:rsidRPr="00B77BD7">
        <w:rPr>
          <w:color w:val="000000"/>
          <w:szCs w:val="22"/>
          <w:shd w:val="clear" w:color="auto" w:fill="FFFFFF"/>
        </w:rPr>
        <w:t xml:space="preserve">Although </w:t>
      </w:r>
      <w:r w:rsidR="00346550">
        <w:rPr>
          <w:color w:val="000000"/>
          <w:szCs w:val="22"/>
          <w:shd w:val="clear" w:color="auto" w:fill="FFFFFF"/>
        </w:rPr>
        <w:t>Three Notch</w:t>
      </w:r>
      <w:r w:rsidRPr="00B77BD7">
        <w:rPr>
          <w:color w:val="000000"/>
          <w:szCs w:val="22"/>
          <w:shd w:val="clear" w:color="auto" w:fill="FFFFFF"/>
        </w:rPr>
        <w:t xml:space="preserve"> claims that it does not have the wherewithal to </w:t>
      </w:r>
      <w:r w:rsidR="00346550">
        <w:rPr>
          <w:color w:val="000000"/>
          <w:szCs w:val="22"/>
          <w:shd w:val="clear" w:color="auto" w:fill="FFFFFF"/>
        </w:rPr>
        <w:t>incur</w:t>
      </w:r>
      <w:r w:rsidRPr="00B77BD7">
        <w:rPr>
          <w:color w:val="000000"/>
          <w:szCs w:val="22"/>
          <w:shd w:val="clear" w:color="auto" w:fill="FFFFFF"/>
        </w:rPr>
        <w:t xml:space="preserve"> the</w:t>
      </w:r>
      <w:r w:rsidRPr="00B77BD7">
        <w:rPr>
          <w:rStyle w:val="apple-converted-space"/>
          <w:color w:val="000000"/>
          <w:szCs w:val="22"/>
          <w:shd w:val="clear" w:color="auto" w:fill="FFFFFF"/>
        </w:rPr>
        <w:t> </w:t>
      </w:r>
      <w:bookmarkStart w:id="7" w:name="sp_1511_1149"/>
      <w:bookmarkStart w:id="8" w:name="SDU_1149"/>
      <w:bookmarkStart w:id="9" w:name="citeas((Cite_as:_25_F.C.C.R._1147,_*1149"/>
      <w:bookmarkEnd w:id="7"/>
      <w:bookmarkEnd w:id="8"/>
      <w:bookmarkEnd w:id="9"/>
      <w:r w:rsidR="00346550">
        <w:rPr>
          <w:color w:val="000000"/>
          <w:szCs w:val="22"/>
          <w:shd w:val="clear" w:color="auto" w:fill="FFFFFF"/>
        </w:rPr>
        <w:t>engineering and equipment</w:t>
      </w:r>
      <w:r w:rsidRPr="00B77BD7">
        <w:rPr>
          <w:color w:val="000000"/>
          <w:szCs w:val="22"/>
          <w:shd w:val="clear" w:color="auto" w:fill="FFFFFF"/>
        </w:rPr>
        <w:t xml:space="preserve"> costs </w:t>
      </w:r>
      <w:r w:rsidR="00346550">
        <w:rPr>
          <w:color w:val="000000"/>
          <w:szCs w:val="22"/>
          <w:shd w:val="clear" w:color="auto" w:fill="FFFFFF"/>
        </w:rPr>
        <w:t>of implementing the channel change</w:t>
      </w:r>
      <w:r w:rsidRPr="00B77BD7">
        <w:rPr>
          <w:color w:val="000000"/>
          <w:szCs w:val="22"/>
          <w:shd w:val="clear" w:color="auto" w:fill="FFFFFF"/>
        </w:rPr>
        <w:t>, it has not provided a sufficient basis for departing from the procedures set forth in</w:t>
      </w:r>
      <w:r w:rsidRPr="00B77BD7">
        <w:rPr>
          <w:rStyle w:val="apple-converted-space"/>
          <w:color w:val="000000"/>
          <w:szCs w:val="22"/>
          <w:shd w:val="clear" w:color="auto" w:fill="FFFFFF"/>
        </w:rPr>
        <w:t> </w:t>
      </w:r>
      <w:r w:rsidRPr="00B77BD7">
        <w:rPr>
          <w:i/>
          <w:iCs/>
          <w:szCs w:val="22"/>
        </w:rPr>
        <w:t>Circleville</w:t>
      </w:r>
      <w:r w:rsidR="005759B5">
        <w:rPr>
          <w:szCs w:val="22"/>
        </w:rPr>
        <w:t xml:space="preserve">.  </w:t>
      </w:r>
      <w:r w:rsidRPr="00B77BD7">
        <w:rPr>
          <w:color w:val="000000"/>
          <w:szCs w:val="22"/>
          <w:shd w:val="clear" w:color="auto" w:fill="FFFFFF"/>
        </w:rPr>
        <w:t xml:space="preserve">Specifically, </w:t>
      </w:r>
      <w:r w:rsidR="00346550">
        <w:rPr>
          <w:color w:val="000000"/>
          <w:szCs w:val="22"/>
          <w:shd w:val="clear" w:color="auto" w:fill="FFFFFF"/>
        </w:rPr>
        <w:t>Three Notch</w:t>
      </w:r>
      <w:r w:rsidRPr="00B77BD7">
        <w:rPr>
          <w:color w:val="000000"/>
          <w:szCs w:val="22"/>
          <w:shd w:val="clear" w:color="auto" w:fill="FFFFFF"/>
        </w:rPr>
        <w:t xml:space="preserve"> has not cited any case in support of its position and has not provided </w:t>
      </w:r>
      <w:r w:rsidR="00346550">
        <w:rPr>
          <w:color w:val="000000"/>
          <w:szCs w:val="22"/>
          <w:shd w:val="clear" w:color="auto" w:fill="FFFFFF"/>
        </w:rPr>
        <w:t xml:space="preserve">specific </w:t>
      </w:r>
      <w:r w:rsidRPr="00B77BD7">
        <w:rPr>
          <w:color w:val="000000"/>
          <w:szCs w:val="22"/>
          <w:shd w:val="clear" w:color="auto" w:fill="FFFFFF"/>
        </w:rPr>
        <w:t>documentation regarding its financial circumstances</w:t>
      </w:r>
      <w:bookmarkStart w:id="10" w:name="FN[FN12]"/>
      <w:bookmarkEnd w:id="10"/>
      <w:r w:rsidR="005759B5">
        <w:rPr>
          <w:color w:val="000000"/>
          <w:szCs w:val="22"/>
          <w:shd w:val="clear" w:color="auto" w:fill="FFFFFF"/>
        </w:rPr>
        <w:t xml:space="preserve">.  </w:t>
      </w:r>
      <w:r w:rsidR="004E1109">
        <w:rPr>
          <w:color w:val="000000"/>
          <w:szCs w:val="22"/>
          <w:shd w:val="clear" w:color="auto" w:fill="FFFFFF"/>
        </w:rPr>
        <w:t>Finally</w:t>
      </w:r>
      <w:r w:rsidRPr="00B77BD7">
        <w:rPr>
          <w:color w:val="000000"/>
          <w:szCs w:val="22"/>
          <w:shd w:val="clear" w:color="auto" w:fill="FFFFFF"/>
        </w:rPr>
        <w:t xml:space="preserve">, </w:t>
      </w:r>
      <w:r w:rsidR="004E1109">
        <w:rPr>
          <w:color w:val="000000"/>
          <w:szCs w:val="22"/>
          <w:shd w:val="clear" w:color="auto" w:fill="FFFFFF"/>
        </w:rPr>
        <w:t>it is not necessary to delay our decision pending the development “</w:t>
      </w:r>
      <w:r w:rsidR="00346550">
        <w:rPr>
          <w:color w:val="000000"/>
          <w:szCs w:val="22"/>
          <w:shd w:val="clear" w:color="auto" w:fill="FFFFFF"/>
        </w:rPr>
        <w:t>of a workable [reimbursement] plan</w:t>
      </w:r>
      <w:r w:rsidR="004E1109">
        <w:rPr>
          <w:color w:val="000000"/>
          <w:szCs w:val="22"/>
          <w:shd w:val="clear" w:color="auto" w:fill="FFFFFF"/>
        </w:rPr>
        <w:t>;</w:t>
      </w:r>
      <w:r w:rsidR="00346550">
        <w:rPr>
          <w:color w:val="000000"/>
          <w:szCs w:val="22"/>
          <w:shd w:val="clear" w:color="auto" w:fill="FFFFFF"/>
        </w:rPr>
        <w:t>”</w:t>
      </w:r>
      <w:r w:rsidRPr="00B77BD7">
        <w:rPr>
          <w:color w:val="000000"/>
          <w:szCs w:val="22"/>
          <w:shd w:val="clear" w:color="auto" w:fill="FFFFFF"/>
        </w:rPr>
        <w:t xml:space="preserve"> </w:t>
      </w:r>
      <w:r w:rsidR="004E1109">
        <w:rPr>
          <w:color w:val="000000"/>
          <w:szCs w:val="22"/>
          <w:shd w:val="clear" w:color="auto" w:fill="FFFFFF"/>
        </w:rPr>
        <w:t xml:space="preserve">the </w:t>
      </w:r>
      <w:r w:rsidR="007C123E">
        <w:rPr>
          <w:color w:val="000000"/>
          <w:szCs w:val="22"/>
          <w:shd w:val="clear" w:color="auto" w:fill="FFFFFF"/>
        </w:rPr>
        <w:t xml:space="preserve">parties are responsible for negotiating the </w:t>
      </w:r>
      <w:r w:rsidR="004E1109">
        <w:rPr>
          <w:color w:val="000000"/>
          <w:szCs w:val="22"/>
          <w:shd w:val="clear" w:color="auto" w:fill="FFFFFF"/>
        </w:rPr>
        <w:t>details and logistics of reimbursement</w:t>
      </w:r>
      <w:r w:rsidRPr="00B77BD7">
        <w:rPr>
          <w:color w:val="000000"/>
          <w:szCs w:val="22"/>
          <w:shd w:val="clear" w:color="auto" w:fill="FFFFFF"/>
        </w:rPr>
        <w:t>.</w:t>
      </w:r>
      <w:bookmarkStart w:id="11" w:name="FN[FN13]"/>
      <w:bookmarkEnd w:id="11"/>
      <w:r w:rsidR="004E1109">
        <w:rPr>
          <w:rStyle w:val="FootnoteReference"/>
          <w:color w:val="000000"/>
          <w:szCs w:val="22"/>
          <w:shd w:val="clear" w:color="auto" w:fill="FFFFFF"/>
        </w:rPr>
        <w:footnoteReference w:id="19"/>
      </w:r>
      <w:r w:rsidR="00CF2E4D">
        <w:rPr>
          <w:color w:val="000000"/>
          <w:szCs w:val="22"/>
          <w:shd w:val="clear" w:color="auto" w:fill="FFFFFF"/>
        </w:rPr>
        <w:t xml:space="preserve"> </w:t>
      </w:r>
    </w:p>
    <w:p w:rsidR="00604E3F" w:rsidRDefault="00604E3F" w:rsidP="007120DD">
      <w:pPr>
        <w:tabs>
          <w:tab w:val="left" w:pos="-720"/>
        </w:tabs>
        <w:suppressAutoHyphens/>
        <w:spacing w:line="225" w:lineRule="auto"/>
        <w:rPr>
          <w:szCs w:val="22"/>
        </w:rPr>
      </w:pPr>
    </w:p>
    <w:p w:rsidR="007120DD" w:rsidRPr="00B6796B" w:rsidRDefault="006B3568" w:rsidP="005B22BA">
      <w:pPr>
        <w:tabs>
          <w:tab w:val="left" w:pos="1440"/>
        </w:tabs>
        <w:autoSpaceDE w:val="0"/>
        <w:autoSpaceDN w:val="0"/>
        <w:adjustRightInd w:val="0"/>
        <w:ind w:firstLine="720"/>
        <w:jc w:val="both"/>
        <w:rPr>
          <w:szCs w:val="22"/>
        </w:rPr>
      </w:pPr>
      <w:r>
        <w:rPr>
          <w:szCs w:val="22"/>
        </w:rPr>
        <w:t>1</w:t>
      </w:r>
      <w:r w:rsidR="00CF7304">
        <w:rPr>
          <w:szCs w:val="22"/>
        </w:rPr>
        <w:t>0</w:t>
      </w:r>
      <w:r w:rsidR="007120DD" w:rsidRPr="00B6796B">
        <w:rPr>
          <w:szCs w:val="22"/>
        </w:rPr>
        <w:t xml:space="preserve">.  </w:t>
      </w:r>
      <w:r w:rsidR="005B22BA">
        <w:rPr>
          <w:szCs w:val="22"/>
        </w:rPr>
        <w:tab/>
      </w:r>
      <w:r w:rsidR="007120DD" w:rsidRPr="00B6796B">
        <w:rPr>
          <w:b/>
          <w:szCs w:val="22"/>
        </w:rPr>
        <w:t>Ordering Clauses.</w:t>
      </w:r>
      <w:r w:rsidR="002E5018">
        <w:rPr>
          <w:b/>
          <w:szCs w:val="22"/>
        </w:rPr>
        <w:t xml:space="preserve"> </w:t>
      </w:r>
      <w:r w:rsidR="007120DD" w:rsidRPr="00B6796B">
        <w:rPr>
          <w:szCs w:val="22"/>
        </w:rPr>
        <w:t>Accordingly</w:t>
      </w:r>
      <w:r w:rsidR="00B6796B" w:rsidRPr="00B6796B">
        <w:rPr>
          <w:szCs w:val="22"/>
        </w:rPr>
        <w:t xml:space="preserve">, </w:t>
      </w:r>
      <w:r w:rsidR="005E5E7C" w:rsidRPr="00B6796B">
        <w:rPr>
          <w:color w:val="000000"/>
          <w:szCs w:val="22"/>
          <w:shd w:val="clear" w:color="auto" w:fill="FFFFFF"/>
        </w:rPr>
        <w:t xml:space="preserve">IT IS ORDERED, </w:t>
      </w:r>
      <w:r w:rsidR="00502FEB">
        <w:rPr>
          <w:color w:val="000000"/>
          <w:szCs w:val="22"/>
          <w:shd w:val="clear" w:color="auto" w:fill="FFFFFF"/>
        </w:rPr>
        <w:t>t</w:t>
      </w:r>
      <w:r w:rsidR="005E5E7C" w:rsidRPr="00B6796B">
        <w:rPr>
          <w:color w:val="000000"/>
          <w:szCs w:val="22"/>
          <w:shd w:val="clear" w:color="auto" w:fill="FFFFFF"/>
        </w:rPr>
        <w:t>hat the</w:t>
      </w:r>
      <w:r w:rsidR="00B6796B">
        <w:rPr>
          <w:color w:val="000000"/>
          <w:szCs w:val="22"/>
          <w:shd w:val="clear" w:color="auto" w:fill="FFFFFF"/>
        </w:rPr>
        <w:t xml:space="preserve"> petition for rule making</w:t>
      </w:r>
      <w:bookmarkStart w:id="12" w:name="SR;1074"/>
      <w:bookmarkStart w:id="13" w:name="SR;1076"/>
      <w:bookmarkStart w:id="14" w:name="SR;1077"/>
      <w:bookmarkStart w:id="15" w:name="SearchTerm"/>
      <w:bookmarkEnd w:id="12"/>
      <w:bookmarkEnd w:id="13"/>
      <w:bookmarkEnd w:id="14"/>
      <w:r w:rsidR="005E5E7C" w:rsidRPr="00B6796B">
        <w:rPr>
          <w:rStyle w:val="apple-converted-space"/>
          <w:color w:val="000000"/>
          <w:szCs w:val="22"/>
          <w:shd w:val="clear" w:color="auto" w:fill="FFFFFF"/>
        </w:rPr>
        <w:t> </w:t>
      </w:r>
      <w:r w:rsidR="00C349E6">
        <w:rPr>
          <w:color w:val="000000"/>
          <w:szCs w:val="22"/>
          <w:shd w:val="clear" w:color="auto" w:fill="FFFFFF"/>
        </w:rPr>
        <w:t xml:space="preserve">filed </w:t>
      </w:r>
      <w:r w:rsidR="00B6796B" w:rsidRPr="0065095C">
        <w:rPr>
          <w:spacing w:val="-3"/>
          <w:szCs w:val="22"/>
        </w:rPr>
        <w:t xml:space="preserve">by </w:t>
      </w:r>
      <w:r w:rsidR="00B6796B" w:rsidRPr="0065095C">
        <w:rPr>
          <w:color w:val="000000"/>
          <w:szCs w:val="22"/>
        </w:rPr>
        <w:t>Alatron Corporation, Inc</w:t>
      </w:r>
      <w:r w:rsidR="00B6796B">
        <w:rPr>
          <w:color w:val="000000"/>
          <w:szCs w:val="22"/>
        </w:rPr>
        <w:t>.,</w:t>
      </w:r>
      <w:r w:rsidR="00B6796B">
        <w:rPr>
          <w:color w:val="000000"/>
          <w:szCs w:val="22"/>
          <w:shd w:val="clear" w:color="auto" w:fill="FFFFFF"/>
        </w:rPr>
        <w:t xml:space="preserve"> to </w:t>
      </w:r>
      <w:r w:rsidR="005E5E7C" w:rsidRPr="00B6796B">
        <w:rPr>
          <w:color w:val="000000"/>
          <w:szCs w:val="22"/>
          <w:shd w:val="clear" w:color="auto" w:fill="FFFFFF"/>
        </w:rPr>
        <w:t>allot Channel 2</w:t>
      </w:r>
      <w:r w:rsidR="00B6796B">
        <w:rPr>
          <w:color w:val="000000"/>
          <w:szCs w:val="22"/>
          <w:shd w:val="clear" w:color="auto" w:fill="FFFFFF"/>
        </w:rPr>
        <w:t>28A at Pike Road, Alabama</w:t>
      </w:r>
      <w:r w:rsidR="005E5E7C" w:rsidRPr="00B6796B">
        <w:rPr>
          <w:color w:val="000000"/>
          <w:szCs w:val="22"/>
          <w:shd w:val="clear" w:color="auto" w:fill="FFFFFF"/>
        </w:rPr>
        <w:t>, IS</w:t>
      </w:r>
      <w:r w:rsidR="00B6796B">
        <w:rPr>
          <w:color w:val="000000"/>
          <w:szCs w:val="22"/>
          <w:shd w:val="clear" w:color="auto" w:fill="FFFFFF"/>
        </w:rPr>
        <w:t xml:space="preserve"> DENIED</w:t>
      </w:r>
      <w:bookmarkStart w:id="16" w:name="SR;1094"/>
      <w:bookmarkEnd w:id="15"/>
      <w:bookmarkEnd w:id="16"/>
      <w:r w:rsidR="007B406B">
        <w:rPr>
          <w:color w:val="000000"/>
          <w:szCs w:val="22"/>
          <w:shd w:val="clear" w:color="auto" w:fill="FFFFFF"/>
        </w:rPr>
        <w:t>; and</w:t>
      </w:r>
    </w:p>
    <w:p w:rsidR="007120DD" w:rsidRDefault="007120DD" w:rsidP="007120DD">
      <w:pPr>
        <w:tabs>
          <w:tab w:val="left" w:pos="-720"/>
        </w:tabs>
        <w:suppressAutoHyphens/>
        <w:spacing w:line="225" w:lineRule="auto"/>
        <w:rPr>
          <w:szCs w:val="22"/>
        </w:rPr>
      </w:pPr>
    </w:p>
    <w:p w:rsidR="007120DD" w:rsidRDefault="007120DD" w:rsidP="005B22BA">
      <w:pPr>
        <w:tabs>
          <w:tab w:val="left" w:pos="-720"/>
          <w:tab w:val="left" w:pos="720"/>
          <w:tab w:val="left" w:pos="1440"/>
        </w:tabs>
        <w:suppressAutoHyphens/>
        <w:spacing w:line="225" w:lineRule="auto"/>
        <w:rPr>
          <w:spacing w:val="-3"/>
          <w:szCs w:val="22"/>
        </w:rPr>
      </w:pPr>
      <w:r>
        <w:rPr>
          <w:szCs w:val="22"/>
        </w:rPr>
        <w:tab/>
      </w:r>
      <w:r w:rsidR="006B3568">
        <w:rPr>
          <w:szCs w:val="22"/>
        </w:rPr>
        <w:t>1</w:t>
      </w:r>
      <w:r w:rsidR="00CF7304">
        <w:rPr>
          <w:szCs w:val="22"/>
        </w:rPr>
        <w:t>1</w:t>
      </w:r>
      <w:r>
        <w:rPr>
          <w:szCs w:val="22"/>
        </w:rPr>
        <w:t xml:space="preserve">. </w:t>
      </w:r>
      <w:r w:rsidRPr="007B406B">
        <w:rPr>
          <w:b/>
          <w:szCs w:val="22"/>
        </w:rPr>
        <w:t xml:space="preserve"> </w:t>
      </w:r>
      <w:r w:rsidR="005B22BA">
        <w:rPr>
          <w:b/>
          <w:szCs w:val="22"/>
        </w:rPr>
        <w:tab/>
      </w:r>
      <w:r w:rsidRPr="0086355E">
        <w:rPr>
          <w:szCs w:val="22"/>
        </w:rPr>
        <w:t>IT IS FURTHER ORDERED</w:t>
      </w:r>
      <w:r>
        <w:rPr>
          <w:szCs w:val="22"/>
        </w:rPr>
        <w:t xml:space="preserve">, that the </w:t>
      </w:r>
      <w:r w:rsidR="00C349E6">
        <w:rPr>
          <w:szCs w:val="22"/>
        </w:rPr>
        <w:t>Form 301</w:t>
      </w:r>
      <w:r>
        <w:rPr>
          <w:szCs w:val="22"/>
        </w:rPr>
        <w:t xml:space="preserve">minor change application </w:t>
      </w:r>
      <w:r w:rsidRPr="0065592C">
        <w:rPr>
          <w:spacing w:val="-3"/>
          <w:szCs w:val="22"/>
        </w:rPr>
        <w:t xml:space="preserve">filed by </w:t>
      </w:r>
      <w:r w:rsidR="00B6796B" w:rsidRPr="0065095C">
        <w:rPr>
          <w:color w:val="000000"/>
          <w:szCs w:val="22"/>
        </w:rPr>
        <w:t>South</w:t>
      </w:r>
      <w:r w:rsidR="00B6796B">
        <w:rPr>
          <w:color w:val="000000"/>
          <w:szCs w:val="22"/>
        </w:rPr>
        <w:t>east Alabama Broadcasters, LLC</w:t>
      </w:r>
      <w:r>
        <w:rPr>
          <w:szCs w:val="22"/>
        </w:rPr>
        <w:t>, licensee of Station W</w:t>
      </w:r>
      <w:r w:rsidR="001E4148">
        <w:rPr>
          <w:szCs w:val="22"/>
        </w:rPr>
        <w:t>DLA</w:t>
      </w:r>
      <w:r>
        <w:rPr>
          <w:szCs w:val="22"/>
        </w:rPr>
        <w:t xml:space="preserve">(FM), </w:t>
      </w:r>
      <w:r w:rsidR="001E4148">
        <w:rPr>
          <w:szCs w:val="22"/>
        </w:rPr>
        <w:t>Fort Rucker, Alabama,</w:t>
      </w:r>
      <w:r w:rsidR="00F5663C">
        <w:rPr>
          <w:szCs w:val="22"/>
        </w:rPr>
        <w:t xml:space="preserve"> to</w:t>
      </w:r>
      <w:r w:rsidR="001E4148">
        <w:rPr>
          <w:szCs w:val="22"/>
        </w:rPr>
        <w:t xml:space="preserve"> </w:t>
      </w:r>
      <w:r>
        <w:rPr>
          <w:szCs w:val="22"/>
        </w:rPr>
        <w:t xml:space="preserve"> upgrade the facilities of that station to operate on Channel 2</w:t>
      </w:r>
      <w:r w:rsidR="001E4148">
        <w:rPr>
          <w:szCs w:val="22"/>
        </w:rPr>
        <w:t>80C2,</w:t>
      </w:r>
      <w:r>
        <w:rPr>
          <w:szCs w:val="22"/>
        </w:rPr>
        <w:t xml:space="preserve"> </w:t>
      </w:r>
      <w:r>
        <w:rPr>
          <w:spacing w:val="-3"/>
          <w:szCs w:val="22"/>
        </w:rPr>
        <w:t xml:space="preserve">File No. </w:t>
      </w:r>
      <w:r w:rsidR="001E4148" w:rsidRPr="00442393">
        <w:rPr>
          <w:rFonts w:eastAsiaTheme="minorHAnsi"/>
          <w:snapToGrid/>
          <w:color w:val="010101"/>
          <w:kern w:val="0"/>
          <w:szCs w:val="22"/>
        </w:rPr>
        <w:t>BPH-20121119ANF</w:t>
      </w:r>
      <w:r w:rsidR="001E4148">
        <w:rPr>
          <w:rFonts w:eastAsiaTheme="minorHAnsi"/>
          <w:snapToGrid/>
          <w:color w:val="010101"/>
          <w:kern w:val="0"/>
          <w:szCs w:val="22"/>
        </w:rPr>
        <w:t>,</w:t>
      </w:r>
      <w:r w:rsidR="007B406B">
        <w:rPr>
          <w:spacing w:val="-3"/>
          <w:szCs w:val="22"/>
        </w:rPr>
        <w:t xml:space="preserve"> IS GRANTED; and</w:t>
      </w:r>
    </w:p>
    <w:p w:rsidR="007120DD" w:rsidRDefault="007120DD" w:rsidP="007120DD">
      <w:pPr>
        <w:tabs>
          <w:tab w:val="left" w:pos="-720"/>
        </w:tabs>
        <w:suppressAutoHyphens/>
        <w:spacing w:line="225" w:lineRule="auto"/>
        <w:rPr>
          <w:spacing w:val="-3"/>
          <w:szCs w:val="22"/>
        </w:rPr>
      </w:pPr>
    </w:p>
    <w:p w:rsidR="007B406B" w:rsidRDefault="007B406B" w:rsidP="005B22BA">
      <w:pPr>
        <w:tabs>
          <w:tab w:val="left" w:pos="-720"/>
          <w:tab w:val="left" w:pos="720"/>
          <w:tab w:val="left" w:pos="1440"/>
        </w:tabs>
        <w:suppressAutoHyphens/>
        <w:spacing w:line="225" w:lineRule="auto"/>
        <w:jc w:val="both"/>
        <w:rPr>
          <w:spacing w:val="-3"/>
          <w:szCs w:val="22"/>
        </w:rPr>
      </w:pPr>
      <w:r>
        <w:rPr>
          <w:szCs w:val="22"/>
        </w:rPr>
        <w:tab/>
      </w:r>
      <w:r w:rsidR="006B3568">
        <w:rPr>
          <w:szCs w:val="22"/>
        </w:rPr>
        <w:t>1</w:t>
      </w:r>
      <w:r w:rsidR="00CF7304">
        <w:rPr>
          <w:szCs w:val="22"/>
        </w:rPr>
        <w:t>2</w:t>
      </w:r>
      <w:r>
        <w:rPr>
          <w:szCs w:val="22"/>
        </w:rPr>
        <w:t xml:space="preserve">.  </w:t>
      </w:r>
      <w:r w:rsidR="005B22BA">
        <w:rPr>
          <w:szCs w:val="22"/>
        </w:rPr>
        <w:tab/>
      </w:r>
      <w:r w:rsidRPr="0086355E">
        <w:rPr>
          <w:szCs w:val="22"/>
        </w:rPr>
        <w:t>IT IS FURTHER ORDERED</w:t>
      </w:r>
      <w:r>
        <w:rPr>
          <w:szCs w:val="22"/>
        </w:rPr>
        <w:t xml:space="preserve">, that the </w:t>
      </w:r>
      <w:r w:rsidR="00C349E6">
        <w:rPr>
          <w:szCs w:val="22"/>
        </w:rPr>
        <w:t xml:space="preserve">Form 301 </w:t>
      </w:r>
      <w:r>
        <w:rPr>
          <w:szCs w:val="22"/>
        </w:rPr>
        <w:t xml:space="preserve">minor change application </w:t>
      </w:r>
      <w:r w:rsidR="00C349E6">
        <w:rPr>
          <w:szCs w:val="22"/>
        </w:rPr>
        <w:t xml:space="preserve">of </w:t>
      </w:r>
      <w:r w:rsidR="00C349E6" w:rsidRPr="0065095C">
        <w:rPr>
          <w:color w:val="000000"/>
          <w:szCs w:val="22"/>
        </w:rPr>
        <w:t>Gulf South Communications, Inc.</w:t>
      </w:r>
      <w:r w:rsidR="00C349E6">
        <w:rPr>
          <w:szCs w:val="22"/>
        </w:rPr>
        <w:t xml:space="preserve">, licensee of Station WDJR(FM), Channel 245C0, </w:t>
      </w:r>
      <w:r w:rsidR="00C349E6" w:rsidRPr="00F5663C">
        <w:rPr>
          <w:szCs w:val="22"/>
        </w:rPr>
        <w:t xml:space="preserve">to </w:t>
      </w:r>
      <w:r w:rsidR="00C349E6" w:rsidRPr="00F5663C">
        <w:rPr>
          <w:color w:val="000000"/>
          <w:szCs w:val="22"/>
          <w:shd w:val="clear" w:color="auto" w:fill="FFFFFF"/>
        </w:rPr>
        <w:t xml:space="preserve">change the </w:t>
      </w:r>
      <w:r w:rsidR="00C349E6">
        <w:rPr>
          <w:color w:val="000000"/>
          <w:szCs w:val="22"/>
          <w:shd w:val="clear" w:color="auto" w:fill="FFFFFF"/>
        </w:rPr>
        <w:t xml:space="preserve">station’s </w:t>
      </w:r>
      <w:r w:rsidR="00C349E6" w:rsidRPr="00F5663C">
        <w:rPr>
          <w:rStyle w:val="apple-converted-space"/>
          <w:color w:val="000000"/>
          <w:szCs w:val="22"/>
          <w:shd w:val="clear" w:color="auto" w:fill="FFFFFF"/>
        </w:rPr>
        <w:t xml:space="preserve">community </w:t>
      </w:r>
      <w:r w:rsidR="00C349E6" w:rsidRPr="00F5663C">
        <w:rPr>
          <w:color w:val="000000"/>
          <w:szCs w:val="22"/>
          <w:shd w:val="clear" w:color="auto" w:fill="FFFFFF"/>
        </w:rPr>
        <w:t>of license</w:t>
      </w:r>
      <w:r w:rsidR="00C349E6">
        <w:rPr>
          <w:color w:val="000000"/>
          <w:szCs w:val="22"/>
          <w:shd w:val="clear" w:color="auto" w:fill="FFFFFF"/>
        </w:rPr>
        <w:t>, from Enterprise, Alabama</w:t>
      </w:r>
      <w:r w:rsidR="00C349E6" w:rsidRPr="00F5663C">
        <w:rPr>
          <w:color w:val="000000"/>
          <w:szCs w:val="22"/>
          <w:shd w:val="clear" w:color="auto" w:fill="FFFFFF"/>
        </w:rPr>
        <w:t>, to</w:t>
      </w:r>
      <w:r w:rsidR="00C349E6">
        <w:rPr>
          <w:color w:val="000000"/>
          <w:szCs w:val="22"/>
          <w:shd w:val="clear" w:color="auto" w:fill="FFFFFF"/>
        </w:rPr>
        <w:t xml:space="preserve"> Hartford, Alabama</w:t>
      </w:r>
      <w:r w:rsidR="00C349E6" w:rsidRPr="00F5663C">
        <w:rPr>
          <w:szCs w:val="22"/>
        </w:rPr>
        <w:t>,</w:t>
      </w:r>
      <w:r w:rsidR="00C349E6" w:rsidRPr="00F5663C">
        <w:rPr>
          <w:rStyle w:val="apple-converted-space"/>
          <w:szCs w:val="22"/>
        </w:rPr>
        <w:t> </w:t>
      </w:r>
      <w:r w:rsidR="00C349E6" w:rsidRPr="00F5663C">
        <w:rPr>
          <w:spacing w:val="-3"/>
          <w:szCs w:val="22"/>
        </w:rPr>
        <w:t xml:space="preserve">File No. </w:t>
      </w:r>
      <w:r w:rsidR="00C349E6" w:rsidRPr="00F5663C">
        <w:rPr>
          <w:rFonts w:eastAsiaTheme="minorHAnsi"/>
          <w:snapToGrid/>
          <w:color w:val="010101"/>
          <w:kern w:val="0"/>
          <w:szCs w:val="22"/>
        </w:rPr>
        <w:t>BPH-</w:t>
      </w:r>
      <w:r w:rsidR="00C349E6" w:rsidRPr="00664C1B">
        <w:rPr>
          <w:rFonts w:eastAsiaTheme="minorHAnsi"/>
          <w:snapToGrid/>
          <w:color w:val="010101"/>
          <w:kern w:val="0"/>
          <w:szCs w:val="22"/>
        </w:rPr>
        <w:t>20121119AOD</w:t>
      </w:r>
      <w:r w:rsidR="00C349E6" w:rsidRPr="00F5663C">
        <w:rPr>
          <w:rFonts w:eastAsiaTheme="minorHAnsi"/>
          <w:snapToGrid/>
          <w:color w:val="010101"/>
          <w:kern w:val="0"/>
          <w:szCs w:val="22"/>
        </w:rPr>
        <w:t>,</w:t>
      </w:r>
      <w:r w:rsidR="00C349E6" w:rsidRPr="00F5663C">
        <w:rPr>
          <w:spacing w:val="-3"/>
          <w:szCs w:val="22"/>
        </w:rPr>
        <w:t xml:space="preserve"> IS GRANTED</w:t>
      </w:r>
      <w:r w:rsidR="00C349E6">
        <w:rPr>
          <w:spacing w:val="-3"/>
          <w:szCs w:val="22"/>
        </w:rPr>
        <w:t xml:space="preserve">; and </w:t>
      </w:r>
    </w:p>
    <w:p w:rsidR="00775B59" w:rsidRPr="00775B59" w:rsidRDefault="00775B59" w:rsidP="00D16A86">
      <w:pPr>
        <w:tabs>
          <w:tab w:val="left" w:pos="-720"/>
        </w:tabs>
        <w:suppressAutoHyphens/>
        <w:spacing w:line="225" w:lineRule="auto"/>
        <w:jc w:val="both"/>
        <w:rPr>
          <w:b/>
          <w:spacing w:val="-3"/>
          <w:szCs w:val="22"/>
        </w:rPr>
      </w:pPr>
    </w:p>
    <w:p w:rsidR="00F5663C" w:rsidRDefault="00775B59" w:rsidP="005B22BA">
      <w:pPr>
        <w:tabs>
          <w:tab w:val="left" w:pos="-720"/>
          <w:tab w:val="left" w:pos="720"/>
          <w:tab w:val="left" w:pos="1440"/>
        </w:tabs>
        <w:suppressAutoHyphens/>
        <w:spacing w:line="225" w:lineRule="auto"/>
        <w:jc w:val="both"/>
        <w:rPr>
          <w:spacing w:val="-3"/>
          <w:szCs w:val="22"/>
        </w:rPr>
      </w:pPr>
      <w:r w:rsidRPr="00775B59">
        <w:rPr>
          <w:b/>
          <w:spacing w:val="-3"/>
          <w:szCs w:val="22"/>
        </w:rPr>
        <w:tab/>
      </w:r>
      <w:r w:rsidR="00CF7304">
        <w:rPr>
          <w:szCs w:val="22"/>
        </w:rPr>
        <w:t>1</w:t>
      </w:r>
      <w:r w:rsidR="00444F9E">
        <w:rPr>
          <w:szCs w:val="22"/>
        </w:rPr>
        <w:t>3</w:t>
      </w:r>
      <w:r w:rsidR="00F5663C">
        <w:rPr>
          <w:szCs w:val="22"/>
        </w:rPr>
        <w:t xml:space="preserve">.  </w:t>
      </w:r>
      <w:r w:rsidR="005B22BA">
        <w:rPr>
          <w:szCs w:val="22"/>
        </w:rPr>
        <w:tab/>
      </w:r>
      <w:r w:rsidR="00F5663C" w:rsidRPr="0086355E">
        <w:rPr>
          <w:szCs w:val="22"/>
        </w:rPr>
        <w:t>IT IS FURTHER ORDERED</w:t>
      </w:r>
      <w:r w:rsidR="00F5663C">
        <w:rPr>
          <w:szCs w:val="22"/>
        </w:rPr>
        <w:t xml:space="preserve">, that the </w:t>
      </w:r>
      <w:r w:rsidR="00C349E6">
        <w:rPr>
          <w:szCs w:val="22"/>
        </w:rPr>
        <w:t xml:space="preserve">Form 301 </w:t>
      </w:r>
      <w:r w:rsidR="00F5663C">
        <w:rPr>
          <w:szCs w:val="22"/>
        </w:rPr>
        <w:t xml:space="preserve">minor change application </w:t>
      </w:r>
      <w:r w:rsidR="00C349E6">
        <w:rPr>
          <w:spacing w:val="-3"/>
          <w:szCs w:val="22"/>
        </w:rPr>
        <w:t>of</w:t>
      </w:r>
      <w:r w:rsidR="00F5663C" w:rsidRPr="0065592C">
        <w:rPr>
          <w:spacing w:val="-3"/>
          <w:szCs w:val="22"/>
        </w:rPr>
        <w:t xml:space="preserve"> </w:t>
      </w:r>
      <w:r w:rsidR="00F5663C" w:rsidRPr="0065095C">
        <w:rPr>
          <w:color w:val="000000"/>
          <w:szCs w:val="22"/>
        </w:rPr>
        <w:t>Gulf South Communications, Inc.</w:t>
      </w:r>
      <w:r w:rsidR="00F5663C">
        <w:rPr>
          <w:szCs w:val="22"/>
        </w:rPr>
        <w:t>, licensee of Station WDBT(FM)</w:t>
      </w:r>
      <w:r w:rsidR="00C349E6">
        <w:rPr>
          <w:szCs w:val="22"/>
        </w:rPr>
        <w:t>,</w:t>
      </w:r>
      <w:r w:rsidR="00F5663C">
        <w:rPr>
          <w:szCs w:val="22"/>
        </w:rPr>
        <w:t xml:space="preserve"> </w:t>
      </w:r>
      <w:r w:rsidR="00F5663C" w:rsidRPr="00F5663C">
        <w:rPr>
          <w:szCs w:val="22"/>
        </w:rPr>
        <w:t xml:space="preserve">to </w:t>
      </w:r>
      <w:r w:rsidR="00F5663C" w:rsidRPr="00F5663C">
        <w:rPr>
          <w:color w:val="000000"/>
          <w:szCs w:val="22"/>
          <w:shd w:val="clear" w:color="auto" w:fill="FFFFFF"/>
        </w:rPr>
        <w:t>change the station's</w:t>
      </w:r>
      <w:r w:rsidR="00F5663C" w:rsidRPr="00F5663C">
        <w:rPr>
          <w:rStyle w:val="apple-converted-space"/>
          <w:color w:val="000000"/>
          <w:szCs w:val="22"/>
          <w:shd w:val="clear" w:color="auto" w:fill="FFFFFF"/>
        </w:rPr>
        <w:t xml:space="preserve"> channel and community </w:t>
      </w:r>
      <w:r w:rsidR="00F5663C" w:rsidRPr="00F5663C">
        <w:rPr>
          <w:color w:val="000000"/>
          <w:szCs w:val="22"/>
          <w:shd w:val="clear" w:color="auto" w:fill="FFFFFF"/>
        </w:rPr>
        <w:t>of license from Channel 2</w:t>
      </w:r>
      <w:r w:rsidR="00F5663C">
        <w:rPr>
          <w:color w:val="000000"/>
          <w:szCs w:val="22"/>
          <w:shd w:val="clear" w:color="auto" w:fill="FFFFFF"/>
        </w:rPr>
        <w:t>2</w:t>
      </w:r>
      <w:r w:rsidR="00F5663C" w:rsidRPr="00F5663C">
        <w:rPr>
          <w:color w:val="000000"/>
          <w:szCs w:val="22"/>
          <w:shd w:val="clear" w:color="auto" w:fill="FFFFFF"/>
        </w:rPr>
        <w:t xml:space="preserve">9C2, </w:t>
      </w:r>
      <w:r w:rsidR="00F5663C">
        <w:rPr>
          <w:color w:val="000000"/>
          <w:szCs w:val="22"/>
          <w:shd w:val="clear" w:color="auto" w:fill="FFFFFF"/>
        </w:rPr>
        <w:t>Hartford, Alabama</w:t>
      </w:r>
      <w:r w:rsidR="00F5663C" w:rsidRPr="00F5663C">
        <w:rPr>
          <w:color w:val="000000"/>
          <w:szCs w:val="22"/>
          <w:shd w:val="clear" w:color="auto" w:fill="FFFFFF"/>
        </w:rPr>
        <w:t>, to Channel 2</w:t>
      </w:r>
      <w:r w:rsidR="00D16A86">
        <w:rPr>
          <w:color w:val="000000"/>
          <w:szCs w:val="22"/>
          <w:shd w:val="clear" w:color="auto" w:fill="FFFFFF"/>
        </w:rPr>
        <w:t>28</w:t>
      </w:r>
      <w:r w:rsidR="00F5663C">
        <w:rPr>
          <w:color w:val="000000"/>
          <w:szCs w:val="22"/>
          <w:shd w:val="clear" w:color="auto" w:fill="FFFFFF"/>
        </w:rPr>
        <w:t>A</w:t>
      </w:r>
      <w:r w:rsidR="00F5663C" w:rsidRPr="00F5663C">
        <w:rPr>
          <w:color w:val="000000"/>
          <w:szCs w:val="22"/>
          <w:shd w:val="clear" w:color="auto" w:fill="FFFFFF"/>
        </w:rPr>
        <w:t xml:space="preserve">, </w:t>
      </w:r>
      <w:r w:rsidR="00F5663C">
        <w:rPr>
          <w:color w:val="000000"/>
          <w:szCs w:val="22"/>
          <w:shd w:val="clear" w:color="auto" w:fill="FFFFFF"/>
        </w:rPr>
        <w:t>Hope Hull, Alabama</w:t>
      </w:r>
      <w:r w:rsidR="00F5663C" w:rsidRPr="00F5663C">
        <w:rPr>
          <w:szCs w:val="22"/>
        </w:rPr>
        <w:t>,</w:t>
      </w:r>
      <w:r w:rsidR="00F5663C" w:rsidRPr="00F5663C">
        <w:rPr>
          <w:rStyle w:val="apple-converted-space"/>
          <w:szCs w:val="22"/>
        </w:rPr>
        <w:t> </w:t>
      </w:r>
      <w:r w:rsidR="00F5663C" w:rsidRPr="00F5663C">
        <w:rPr>
          <w:spacing w:val="-3"/>
          <w:szCs w:val="22"/>
        </w:rPr>
        <w:t xml:space="preserve">File No. </w:t>
      </w:r>
      <w:r w:rsidR="00F5663C" w:rsidRPr="00F5663C">
        <w:rPr>
          <w:rFonts w:eastAsiaTheme="minorHAnsi"/>
          <w:snapToGrid/>
          <w:color w:val="010101"/>
          <w:kern w:val="0"/>
          <w:szCs w:val="22"/>
        </w:rPr>
        <w:t>BPH-20121119AOG,</w:t>
      </w:r>
      <w:r w:rsidR="00F5663C" w:rsidRPr="00F5663C">
        <w:rPr>
          <w:spacing w:val="-3"/>
          <w:szCs w:val="22"/>
        </w:rPr>
        <w:t xml:space="preserve"> IS GRANTED; and</w:t>
      </w:r>
    </w:p>
    <w:p w:rsidR="00444F9E" w:rsidRDefault="00444F9E" w:rsidP="00444F9E">
      <w:pPr>
        <w:tabs>
          <w:tab w:val="left" w:pos="-720"/>
        </w:tabs>
        <w:suppressAutoHyphens/>
        <w:spacing w:line="225" w:lineRule="auto"/>
        <w:jc w:val="both"/>
        <w:rPr>
          <w:spacing w:val="-3"/>
          <w:szCs w:val="22"/>
        </w:rPr>
      </w:pPr>
    </w:p>
    <w:p w:rsidR="00444F9E" w:rsidRDefault="00444F9E" w:rsidP="005B22BA">
      <w:pPr>
        <w:tabs>
          <w:tab w:val="left" w:pos="1440"/>
        </w:tabs>
        <w:ind w:firstLine="720"/>
        <w:rPr>
          <w:spacing w:val="-3"/>
          <w:szCs w:val="22"/>
        </w:rPr>
      </w:pPr>
      <w:r w:rsidRPr="00444F9E">
        <w:rPr>
          <w:spacing w:val="-3"/>
          <w:szCs w:val="22"/>
        </w:rPr>
        <w:t>1</w:t>
      </w:r>
      <w:r>
        <w:rPr>
          <w:spacing w:val="-3"/>
          <w:szCs w:val="22"/>
        </w:rPr>
        <w:t>4</w:t>
      </w:r>
      <w:r w:rsidRPr="00444F9E">
        <w:rPr>
          <w:spacing w:val="-3"/>
          <w:szCs w:val="22"/>
        </w:rPr>
        <w:t xml:space="preserve">.  </w:t>
      </w:r>
      <w:r w:rsidR="005B22BA">
        <w:rPr>
          <w:spacing w:val="-3"/>
          <w:szCs w:val="22"/>
        </w:rPr>
        <w:tab/>
      </w:r>
      <w:r w:rsidRPr="00444F9E">
        <w:rPr>
          <w:szCs w:val="22"/>
        </w:rPr>
        <w:t xml:space="preserve">IT IS FURTHER ORDERED, </w:t>
      </w:r>
      <w:r w:rsidR="00215718">
        <w:rPr>
          <w:szCs w:val="22"/>
        </w:rPr>
        <w:t>t</w:t>
      </w:r>
      <w:r w:rsidR="00215718" w:rsidRPr="00215718">
        <w:rPr>
          <w:kern w:val="0"/>
          <w:sz w:val="24"/>
          <w:szCs w:val="24"/>
        </w:rPr>
        <w:t xml:space="preserve">hat effective </w:t>
      </w:r>
      <w:r w:rsidR="008E4EB4">
        <w:rPr>
          <w:kern w:val="0"/>
          <w:sz w:val="24"/>
          <w:szCs w:val="24"/>
        </w:rPr>
        <w:t>January 5, 2015</w:t>
      </w:r>
      <w:r w:rsidR="00215718" w:rsidRPr="00215718">
        <w:rPr>
          <w:kern w:val="0"/>
          <w:sz w:val="24"/>
          <w:szCs w:val="24"/>
        </w:rPr>
        <w:t xml:space="preserve">, the </w:t>
      </w:r>
      <w:r w:rsidR="00215718" w:rsidRPr="00215718">
        <w:rPr>
          <w:snapToGrid/>
          <w:kern w:val="0"/>
        </w:rPr>
        <w:t xml:space="preserve">Media Bureau's </w:t>
      </w:r>
      <w:bookmarkStart w:id="17" w:name="SR;2853"/>
      <w:bookmarkEnd w:id="17"/>
      <w:r w:rsidR="00215718" w:rsidRPr="00215718">
        <w:rPr>
          <w:snapToGrid/>
          <w:kern w:val="0"/>
        </w:rPr>
        <w:t xml:space="preserve">Consolidated </w:t>
      </w:r>
      <w:bookmarkStart w:id="18" w:name="SR;2854"/>
      <w:bookmarkEnd w:id="18"/>
      <w:r w:rsidR="00215718" w:rsidRPr="00215718">
        <w:rPr>
          <w:snapToGrid/>
          <w:kern w:val="0"/>
        </w:rPr>
        <w:t xml:space="preserve">Data </w:t>
      </w:r>
      <w:bookmarkStart w:id="19" w:name="SR;2855"/>
      <w:bookmarkEnd w:id="19"/>
      <w:r w:rsidR="00215718" w:rsidRPr="00215718">
        <w:rPr>
          <w:snapToGrid/>
          <w:kern w:val="0"/>
        </w:rPr>
        <w:t>Base System will reflect Channel 2</w:t>
      </w:r>
      <w:r w:rsidR="00215718">
        <w:rPr>
          <w:snapToGrid/>
          <w:kern w:val="0"/>
        </w:rPr>
        <w:t>29A</w:t>
      </w:r>
      <w:r w:rsidR="00215718" w:rsidRPr="00215718">
        <w:rPr>
          <w:snapToGrid/>
          <w:kern w:val="0"/>
        </w:rPr>
        <w:t xml:space="preserve"> at </w:t>
      </w:r>
      <w:r w:rsidR="00215718">
        <w:rPr>
          <w:snapToGrid/>
          <w:kern w:val="0"/>
        </w:rPr>
        <w:t>Andalusia, Alabama</w:t>
      </w:r>
      <w:r w:rsidR="00215718" w:rsidRPr="00215718">
        <w:rPr>
          <w:snapToGrid/>
          <w:kern w:val="0"/>
        </w:rPr>
        <w:t>, as the reserved assignment for Station W</w:t>
      </w:r>
      <w:r w:rsidR="00215718">
        <w:rPr>
          <w:snapToGrid/>
          <w:kern w:val="0"/>
        </w:rPr>
        <w:t>AAO(FM), in lieu of Channel 27</w:t>
      </w:r>
      <w:r w:rsidR="00215718" w:rsidRPr="00215718">
        <w:rPr>
          <w:snapToGrid/>
          <w:kern w:val="0"/>
        </w:rPr>
        <w:t>9</w:t>
      </w:r>
      <w:r w:rsidR="00215718">
        <w:rPr>
          <w:snapToGrid/>
          <w:kern w:val="0"/>
        </w:rPr>
        <w:t>A; and</w:t>
      </w:r>
    </w:p>
    <w:p w:rsidR="008713FA" w:rsidRDefault="008713FA" w:rsidP="008713FA">
      <w:pPr>
        <w:autoSpaceDE w:val="0"/>
        <w:autoSpaceDN w:val="0"/>
        <w:adjustRightInd w:val="0"/>
        <w:jc w:val="both"/>
        <w:rPr>
          <w:spacing w:val="-3"/>
          <w:szCs w:val="22"/>
        </w:rPr>
      </w:pPr>
    </w:p>
    <w:p w:rsidR="00952F87" w:rsidRDefault="008713FA" w:rsidP="005B22BA">
      <w:pPr>
        <w:tabs>
          <w:tab w:val="left" w:pos="720"/>
          <w:tab w:val="left" w:pos="1440"/>
        </w:tabs>
        <w:autoSpaceDE w:val="0"/>
        <w:autoSpaceDN w:val="0"/>
        <w:adjustRightInd w:val="0"/>
        <w:jc w:val="both"/>
        <w:rPr>
          <w:szCs w:val="22"/>
        </w:rPr>
      </w:pPr>
      <w:r>
        <w:rPr>
          <w:szCs w:val="22"/>
        </w:rPr>
        <w:tab/>
        <w:t>1</w:t>
      </w:r>
      <w:r w:rsidR="00775B59">
        <w:rPr>
          <w:szCs w:val="22"/>
        </w:rPr>
        <w:t>5</w:t>
      </w:r>
      <w:r>
        <w:rPr>
          <w:szCs w:val="22"/>
        </w:rPr>
        <w:t xml:space="preserve">.  </w:t>
      </w:r>
      <w:r w:rsidR="005B22BA">
        <w:rPr>
          <w:szCs w:val="22"/>
        </w:rPr>
        <w:tab/>
      </w:r>
      <w:r w:rsidR="00952F87" w:rsidRPr="00952F87">
        <w:rPr>
          <w:szCs w:val="22"/>
        </w:rPr>
        <w:t xml:space="preserve">IT IS FURTHER ORDERED, </w:t>
      </w:r>
      <w:r w:rsidR="00442F6A">
        <w:rPr>
          <w:szCs w:val="22"/>
        </w:rPr>
        <w:t>t</w:t>
      </w:r>
      <w:r w:rsidR="00952F87" w:rsidRPr="00952F87">
        <w:rPr>
          <w:szCs w:val="22"/>
        </w:rPr>
        <w:t>hat pursuant to Section 316 of the Communications Act of 1934, as amended, the license for Station W</w:t>
      </w:r>
      <w:r w:rsidR="00952F87">
        <w:rPr>
          <w:szCs w:val="22"/>
        </w:rPr>
        <w:t>AAO-FM</w:t>
      </w:r>
      <w:r w:rsidR="00952F87" w:rsidRPr="00952F87">
        <w:rPr>
          <w:szCs w:val="22"/>
        </w:rPr>
        <w:t xml:space="preserve">, </w:t>
      </w:r>
      <w:r w:rsidR="00952F87">
        <w:rPr>
          <w:szCs w:val="22"/>
        </w:rPr>
        <w:t>Andalusia, Alabama</w:t>
      </w:r>
      <w:r w:rsidR="00952F87" w:rsidRPr="00952F87">
        <w:rPr>
          <w:szCs w:val="22"/>
        </w:rPr>
        <w:t>, is modified to specify operation on Channel 229A, subject to the following conditions:</w:t>
      </w:r>
    </w:p>
    <w:p w:rsidR="00952F87" w:rsidRPr="00952F87" w:rsidRDefault="00952F87" w:rsidP="00952F87">
      <w:pPr>
        <w:autoSpaceDE w:val="0"/>
        <w:autoSpaceDN w:val="0"/>
        <w:adjustRightInd w:val="0"/>
        <w:ind w:firstLine="360"/>
        <w:jc w:val="both"/>
        <w:rPr>
          <w:szCs w:val="22"/>
        </w:rPr>
      </w:pPr>
    </w:p>
    <w:p w:rsidR="00952F87" w:rsidRPr="008713FA" w:rsidRDefault="00952F87" w:rsidP="005B22BA">
      <w:pPr>
        <w:pStyle w:val="ListParagraph"/>
        <w:numPr>
          <w:ilvl w:val="0"/>
          <w:numId w:val="6"/>
        </w:numPr>
        <w:tabs>
          <w:tab w:val="left" w:pos="1440"/>
        </w:tabs>
        <w:autoSpaceDE w:val="0"/>
        <w:autoSpaceDN w:val="0"/>
        <w:adjustRightInd w:val="0"/>
        <w:ind w:hanging="720"/>
        <w:jc w:val="both"/>
        <w:rPr>
          <w:szCs w:val="22"/>
        </w:rPr>
      </w:pPr>
      <w:r w:rsidRPr="008713FA">
        <w:rPr>
          <w:szCs w:val="22"/>
        </w:rPr>
        <w:t xml:space="preserve">Within 90 days of the effective date of this </w:t>
      </w:r>
      <w:r w:rsidRPr="008713FA">
        <w:rPr>
          <w:i/>
          <w:iCs/>
          <w:szCs w:val="22"/>
        </w:rPr>
        <w:t>Order</w:t>
      </w:r>
      <w:r w:rsidRPr="008713FA">
        <w:rPr>
          <w:szCs w:val="22"/>
        </w:rPr>
        <w:t>, the licensee shall submit to the Commission a minor change application for a construction permit (Form 301), specifying the new facilities;</w:t>
      </w:r>
    </w:p>
    <w:p w:rsidR="00952F87" w:rsidRPr="008713FA" w:rsidRDefault="00952F87" w:rsidP="005B22BA">
      <w:pPr>
        <w:pStyle w:val="ListParagraph"/>
        <w:numPr>
          <w:ilvl w:val="0"/>
          <w:numId w:val="6"/>
        </w:numPr>
        <w:autoSpaceDE w:val="0"/>
        <w:autoSpaceDN w:val="0"/>
        <w:adjustRightInd w:val="0"/>
        <w:ind w:hanging="720"/>
        <w:jc w:val="both"/>
        <w:rPr>
          <w:szCs w:val="22"/>
        </w:rPr>
      </w:pPr>
      <w:r w:rsidRPr="008713FA">
        <w:rPr>
          <w:szCs w:val="22"/>
        </w:rPr>
        <w:t xml:space="preserve">Upon grant of the construction permit, program tests may be conducted in accordance with </w:t>
      </w:r>
      <w:hyperlink r:id="rId8" w:history="1">
        <w:r w:rsidRPr="008713FA">
          <w:rPr>
            <w:rStyle w:val="Hyperlink"/>
            <w:color w:val="auto"/>
            <w:szCs w:val="22"/>
            <w:u w:val="none"/>
          </w:rPr>
          <w:t>47 C.F.R. Section 73.1620</w:t>
        </w:r>
      </w:hyperlink>
      <w:r w:rsidRPr="008713FA">
        <w:rPr>
          <w:szCs w:val="22"/>
        </w:rPr>
        <w:t>; and</w:t>
      </w:r>
    </w:p>
    <w:p w:rsidR="00952F87" w:rsidRPr="006B3568" w:rsidRDefault="00952F87" w:rsidP="005B22BA">
      <w:pPr>
        <w:pStyle w:val="ListParagraph"/>
        <w:numPr>
          <w:ilvl w:val="0"/>
          <w:numId w:val="6"/>
        </w:numPr>
        <w:autoSpaceDE w:val="0"/>
        <w:autoSpaceDN w:val="0"/>
        <w:adjustRightInd w:val="0"/>
        <w:ind w:hanging="720"/>
        <w:jc w:val="both"/>
        <w:rPr>
          <w:szCs w:val="22"/>
        </w:rPr>
      </w:pPr>
      <w:r w:rsidRPr="006B3568">
        <w:rPr>
          <w:szCs w:val="22"/>
        </w:rPr>
        <w:t xml:space="preserve">Nothing contained herein shall be construed to authorize changes in transmitter location or to avoid the necessity of filing environmental assessments pursuant to </w:t>
      </w:r>
      <w:hyperlink r:id="rId9" w:history="1">
        <w:r w:rsidRPr="006B3568">
          <w:rPr>
            <w:rStyle w:val="Hyperlink"/>
            <w:color w:val="auto"/>
            <w:szCs w:val="22"/>
            <w:u w:val="none"/>
          </w:rPr>
          <w:t>47 C.F.R. § 1.1307</w:t>
        </w:r>
      </w:hyperlink>
      <w:r w:rsidR="006B3568" w:rsidRPr="006B3568">
        <w:rPr>
          <w:szCs w:val="22"/>
        </w:rPr>
        <w:t>; and</w:t>
      </w:r>
    </w:p>
    <w:p w:rsidR="006B3568" w:rsidRDefault="006B3568" w:rsidP="006B3568">
      <w:pPr>
        <w:autoSpaceDE w:val="0"/>
        <w:autoSpaceDN w:val="0"/>
        <w:adjustRightInd w:val="0"/>
        <w:jc w:val="both"/>
        <w:rPr>
          <w:szCs w:val="22"/>
        </w:rPr>
      </w:pPr>
    </w:p>
    <w:p w:rsidR="006B3568" w:rsidRPr="006B3568" w:rsidRDefault="006B3568" w:rsidP="005B22BA">
      <w:pPr>
        <w:tabs>
          <w:tab w:val="left" w:pos="1440"/>
        </w:tabs>
        <w:autoSpaceDE w:val="0"/>
        <w:autoSpaceDN w:val="0"/>
        <w:adjustRightInd w:val="0"/>
        <w:ind w:firstLine="720"/>
        <w:jc w:val="both"/>
        <w:rPr>
          <w:szCs w:val="22"/>
        </w:rPr>
      </w:pPr>
      <w:r>
        <w:rPr>
          <w:szCs w:val="22"/>
        </w:rPr>
        <w:t>1</w:t>
      </w:r>
      <w:r w:rsidR="00775B59">
        <w:rPr>
          <w:szCs w:val="22"/>
        </w:rPr>
        <w:t>6</w:t>
      </w:r>
      <w:r>
        <w:rPr>
          <w:szCs w:val="22"/>
        </w:rPr>
        <w:t xml:space="preserve">.  </w:t>
      </w:r>
      <w:r w:rsidR="005B22BA">
        <w:rPr>
          <w:szCs w:val="22"/>
        </w:rPr>
        <w:tab/>
      </w:r>
      <w:r>
        <w:rPr>
          <w:szCs w:val="22"/>
        </w:rPr>
        <w:t xml:space="preserve">IT IS FURTHER ORDERED, that </w:t>
      </w:r>
      <w:r w:rsidRPr="0065095C">
        <w:rPr>
          <w:color w:val="000000"/>
          <w:szCs w:val="22"/>
        </w:rPr>
        <w:t>South</w:t>
      </w:r>
      <w:r>
        <w:rPr>
          <w:color w:val="000000"/>
          <w:szCs w:val="22"/>
        </w:rPr>
        <w:t>east Alabama Broadcasters, LLC</w:t>
      </w:r>
      <w:r>
        <w:rPr>
          <w:szCs w:val="22"/>
        </w:rPr>
        <w:t>, shall reimburse Station WAAO</w:t>
      </w:r>
      <w:r w:rsidR="009B6D09">
        <w:rPr>
          <w:szCs w:val="22"/>
        </w:rPr>
        <w:t>(</w:t>
      </w:r>
      <w:r>
        <w:rPr>
          <w:szCs w:val="22"/>
        </w:rPr>
        <w:t>FM</w:t>
      </w:r>
      <w:r w:rsidR="009B6D09">
        <w:rPr>
          <w:szCs w:val="22"/>
        </w:rPr>
        <w:t>)</w:t>
      </w:r>
      <w:r>
        <w:rPr>
          <w:szCs w:val="22"/>
        </w:rPr>
        <w:t xml:space="preserve"> </w:t>
      </w:r>
      <w:r w:rsidRPr="00B77BD7">
        <w:rPr>
          <w:color w:val="000000"/>
          <w:szCs w:val="22"/>
          <w:shd w:val="clear" w:color="auto" w:fill="FFFFFF"/>
        </w:rPr>
        <w:t>for its reasonable and pr</w:t>
      </w:r>
      <w:r>
        <w:rPr>
          <w:color w:val="000000"/>
          <w:szCs w:val="22"/>
          <w:shd w:val="clear" w:color="auto" w:fill="FFFFFF"/>
        </w:rPr>
        <w:t>udent costs associated with changing from operation on FM Channel 279A to Channel 229A at</w:t>
      </w:r>
      <w:r w:rsidRPr="00B77BD7">
        <w:rPr>
          <w:color w:val="000000"/>
          <w:szCs w:val="22"/>
          <w:shd w:val="clear" w:color="auto" w:fill="FFFFFF"/>
        </w:rPr>
        <w:t xml:space="preserve"> </w:t>
      </w:r>
      <w:r>
        <w:rPr>
          <w:color w:val="000000"/>
          <w:szCs w:val="22"/>
          <w:shd w:val="clear" w:color="auto" w:fill="FFFFFF"/>
        </w:rPr>
        <w:t>Andalusia, Alabama; and</w:t>
      </w:r>
    </w:p>
    <w:p w:rsidR="008713FA" w:rsidRDefault="008713FA" w:rsidP="007120DD">
      <w:pPr>
        <w:tabs>
          <w:tab w:val="left" w:pos="-720"/>
        </w:tabs>
        <w:suppressAutoHyphens/>
        <w:spacing w:line="225" w:lineRule="auto"/>
        <w:rPr>
          <w:szCs w:val="22"/>
        </w:rPr>
      </w:pPr>
    </w:p>
    <w:p w:rsidR="007120DD" w:rsidRDefault="008713FA" w:rsidP="005B22BA">
      <w:pPr>
        <w:tabs>
          <w:tab w:val="left" w:pos="-720"/>
          <w:tab w:val="left" w:pos="720"/>
          <w:tab w:val="left" w:pos="1440"/>
        </w:tabs>
        <w:suppressAutoHyphens/>
        <w:spacing w:line="225" w:lineRule="auto"/>
        <w:rPr>
          <w:szCs w:val="22"/>
        </w:rPr>
      </w:pPr>
      <w:r>
        <w:rPr>
          <w:szCs w:val="22"/>
        </w:rPr>
        <w:tab/>
        <w:t>1</w:t>
      </w:r>
      <w:r w:rsidR="00775B59">
        <w:rPr>
          <w:szCs w:val="22"/>
        </w:rPr>
        <w:t>7</w:t>
      </w:r>
      <w:r>
        <w:rPr>
          <w:szCs w:val="22"/>
        </w:rPr>
        <w:t xml:space="preserve">.  </w:t>
      </w:r>
      <w:r w:rsidR="005B22BA">
        <w:rPr>
          <w:szCs w:val="22"/>
        </w:rPr>
        <w:tab/>
      </w:r>
      <w:r w:rsidR="007120DD">
        <w:rPr>
          <w:szCs w:val="22"/>
        </w:rPr>
        <w:t>IT IS FURTHER ORDERED, that this proceeding IS TERMINATED.</w:t>
      </w:r>
    </w:p>
    <w:p w:rsidR="008713FA" w:rsidRDefault="008713FA" w:rsidP="007120DD">
      <w:pPr>
        <w:tabs>
          <w:tab w:val="left" w:pos="-720"/>
        </w:tabs>
        <w:suppressAutoHyphens/>
        <w:spacing w:line="225" w:lineRule="auto"/>
        <w:rPr>
          <w:szCs w:val="22"/>
        </w:rPr>
      </w:pPr>
    </w:p>
    <w:p w:rsidR="008713FA" w:rsidRPr="005E5E7C" w:rsidRDefault="008713FA" w:rsidP="005B22BA">
      <w:pPr>
        <w:tabs>
          <w:tab w:val="left" w:pos="1440"/>
        </w:tabs>
        <w:autoSpaceDE w:val="0"/>
        <w:autoSpaceDN w:val="0"/>
        <w:adjustRightInd w:val="0"/>
        <w:ind w:firstLine="720"/>
        <w:jc w:val="both"/>
        <w:rPr>
          <w:szCs w:val="22"/>
        </w:rPr>
      </w:pPr>
      <w:r>
        <w:rPr>
          <w:spacing w:val="-3"/>
          <w:szCs w:val="22"/>
        </w:rPr>
        <w:t>1</w:t>
      </w:r>
      <w:r w:rsidR="00775B59">
        <w:rPr>
          <w:spacing w:val="-3"/>
          <w:szCs w:val="22"/>
        </w:rPr>
        <w:t>8</w:t>
      </w:r>
      <w:r w:rsidRPr="005E5E7C">
        <w:rPr>
          <w:spacing w:val="-3"/>
          <w:szCs w:val="22"/>
        </w:rPr>
        <w:t xml:space="preserve">.  </w:t>
      </w:r>
      <w:r w:rsidRPr="005E5E7C">
        <w:rPr>
          <w:rStyle w:val="apple-converted-space"/>
          <w:color w:val="000000"/>
          <w:szCs w:val="22"/>
          <w:shd w:val="clear" w:color="auto" w:fill="FFFFFF"/>
        </w:rPr>
        <w:t> </w:t>
      </w:r>
      <w:r w:rsidR="005B22BA">
        <w:rPr>
          <w:rStyle w:val="apple-converted-space"/>
          <w:color w:val="000000"/>
          <w:szCs w:val="22"/>
          <w:shd w:val="clear" w:color="auto" w:fill="FFFFFF"/>
        </w:rPr>
        <w:tab/>
      </w:r>
      <w:r w:rsidRPr="005E5E7C">
        <w:rPr>
          <w:color w:val="000000"/>
          <w:szCs w:val="22"/>
          <w:shd w:val="clear" w:color="auto" w:fill="FFFFFF"/>
        </w:rPr>
        <w:t>This document is not subject to the Congressional Review Act. The Commission is, therefore, not required to submit a copy of this Report and Order to the Government Accountability Office, pursuant to the Congressional Review Act,</w:t>
      </w:r>
      <w:r w:rsidRPr="005E5E7C">
        <w:rPr>
          <w:rStyle w:val="apple-converted-space"/>
          <w:color w:val="000000"/>
          <w:szCs w:val="22"/>
          <w:shd w:val="clear" w:color="auto" w:fill="FFFFFF"/>
        </w:rPr>
        <w:t> </w:t>
      </w:r>
      <w:r w:rsidRPr="005E5E7C">
        <w:rPr>
          <w:i/>
          <w:iCs/>
          <w:color w:val="000000"/>
          <w:szCs w:val="22"/>
          <w:shd w:val="clear" w:color="auto" w:fill="FFFFFF"/>
        </w:rPr>
        <w:t>see</w:t>
      </w:r>
      <w:r w:rsidRPr="005E5E7C">
        <w:rPr>
          <w:rStyle w:val="apple-converted-space"/>
          <w:color w:val="000000"/>
          <w:szCs w:val="22"/>
          <w:shd w:val="clear" w:color="auto" w:fill="FFFFFF"/>
        </w:rPr>
        <w:t> </w:t>
      </w:r>
      <w:hyperlink r:id="rId10" w:tgtFrame="_top" w:history="1">
        <w:r w:rsidRPr="005E5E7C">
          <w:rPr>
            <w:rStyle w:val="Hyperlink"/>
            <w:color w:val="auto"/>
            <w:szCs w:val="22"/>
            <w:u w:val="none"/>
            <w:shd w:val="clear" w:color="auto" w:fill="FFFFFF"/>
          </w:rPr>
          <w:t>5 U.S.C. § 801(a)(1)(A)</w:t>
        </w:r>
      </w:hyperlink>
      <w:r w:rsidRPr="005E5E7C">
        <w:rPr>
          <w:color w:val="000000"/>
          <w:szCs w:val="22"/>
          <w:shd w:val="clear" w:color="auto" w:fill="FFFFFF"/>
        </w:rPr>
        <w:t>, because the proposed rule was denied.</w:t>
      </w:r>
    </w:p>
    <w:p w:rsidR="007120DD" w:rsidRDefault="007120DD" w:rsidP="007120DD">
      <w:pPr>
        <w:tabs>
          <w:tab w:val="left" w:pos="-720"/>
        </w:tabs>
        <w:suppressAutoHyphens/>
        <w:spacing w:line="225" w:lineRule="auto"/>
        <w:rPr>
          <w:szCs w:val="22"/>
        </w:rPr>
      </w:pPr>
    </w:p>
    <w:p w:rsidR="007120DD" w:rsidRPr="00621BD5" w:rsidRDefault="006B3568" w:rsidP="005B22BA">
      <w:pPr>
        <w:tabs>
          <w:tab w:val="left" w:pos="1440"/>
        </w:tabs>
        <w:autoSpaceDE w:val="0"/>
        <w:autoSpaceDN w:val="0"/>
        <w:adjustRightInd w:val="0"/>
        <w:ind w:firstLine="720"/>
        <w:jc w:val="both"/>
        <w:rPr>
          <w:color w:val="000000"/>
          <w:szCs w:val="22"/>
        </w:rPr>
      </w:pPr>
      <w:r>
        <w:rPr>
          <w:color w:val="000000"/>
          <w:szCs w:val="22"/>
        </w:rPr>
        <w:t>1</w:t>
      </w:r>
      <w:r w:rsidR="00775B59">
        <w:rPr>
          <w:color w:val="000000"/>
          <w:szCs w:val="22"/>
        </w:rPr>
        <w:t>9</w:t>
      </w:r>
      <w:r w:rsidR="007120DD">
        <w:rPr>
          <w:color w:val="000000"/>
          <w:szCs w:val="22"/>
        </w:rPr>
        <w:t xml:space="preserve">.  </w:t>
      </w:r>
      <w:r w:rsidR="005B22BA">
        <w:rPr>
          <w:color w:val="000000"/>
          <w:szCs w:val="22"/>
        </w:rPr>
        <w:tab/>
      </w:r>
      <w:r w:rsidR="007120DD" w:rsidRPr="00621BD5">
        <w:rPr>
          <w:color w:val="000000"/>
          <w:szCs w:val="22"/>
        </w:rPr>
        <w:t xml:space="preserve">For further information concerning this proceeding, contact </w:t>
      </w:r>
      <w:r w:rsidR="007120DD">
        <w:rPr>
          <w:color w:val="000000"/>
          <w:szCs w:val="22"/>
        </w:rPr>
        <w:t>Deborah A. Dupont, Media Bureau, (202) 418-7072.</w:t>
      </w:r>
    </w:p>
    <w:p w:rsidR="007120DD" w:rsidRPr="00621BD5" w:rsidRDefault="007120DD" w:rsidP="007120DD">
      <w:pPr>
        <w:tabs>
          <w:tab w:val="left" w:pos="-720"/>
        </w:tabs>
        <w:suppressAutoHyphens/>
        <w:spacing w:line="225" w:lineRule="auto"/>
        <w:rPr>
          <w:szCs w:val="22"/>
        </w:rPr>
      </w:pPr>
    </w:p>
    <w:p w:rsidR="007120DD" w:rsidRPr="00C423A7" w:rsidRDefault="007120DD" w:rsidP="00D31539">
      <w:pPr>
        <w:widowControl/>
        <w:shd w:val="clear" w:color="auto" w:fill="FFFFFF"/>
        <w:spacing w:after="240"/>
        <w:ind w:left="2880" w:firstLine="720"/>
        <w:rPr>
          <w:snapToGrid/>
          <w:color w:val="000000"/>
          <w:kern w:val="0"/>
          <w:szCs w:val="22"/>
        </w:rPr>
      </w:pPr>
      <w:r w:rsidRPr="00621BD5">
        <w:rPr>
          <w:snapToGrid/>
          <w:color w:val="000000"/>
          <w:kern w:val="0"/>
          <w:szCs w:val="22"/>
        </w:rPr>
        <w:t>FE</w:t>
      </w:r>
      <w:r>
        <w:rPr>
          <w:snapToGrid/>
          <w:color w:val="000000"/>
          <w:kern w:val="0"/>
          <w:szCs w:val="22"/>
        </w:rPr>
        <w:t>DERAL COMMUNICATIONS COMMISSION</w:t>
      </w:r>
    </w:p>
    <w:p w:rsidR="007120DD" w:rsidRDefault="007120DD" w:rsidP="007120DD">
      <w:pPr>
        <w:tabs>
          <w:tab w:val="left" w:pos="-720"/>
        </w:tabs>
        <w:suppressAutoHyphens/>
        <w:spacing w:line="225" w:lineRule="auto"/>
        <w:ind w:left="2880"/>
        <w:rPr>
          <w:snapToGrid/>
          <w:color w:val="000000"/>
          <w:kern w:val="0"/>
          <w:szCs w:val="22"/>
          <w:shd w:val="clear" w:color="auto" w:fill="FFFFFF"/>
        </w:rPr>
      </w:pPr>
    </w:p>
    <w:p w:rsidR="004D1A84" w:rsidRDefault="004D1A84" w:rsidP="007120DD">
      <w:pPr>
        <w:tabs>
          <w:tab w:val="left" w:pos="-720"/>
        </w:tabs>
        <w:suppressAutoHyphens/>
        <w:spacing w:line="225" w:lineRule="auto"/>
        <w:ind w:left="2880"/>
        <w:rPr>
          <w:snapToGrid/>
          <w:color w:val="000000"/>
          <w:kern w:val="0"/>
          <w:szCs w:val="22"/>
          <w:shd w:val="clear" w:color="auto" w:fill="FFFFFF"/>
        </w:rPr>
      </w:pPr>
    </w:p>
    <w:p w:rsidR="007120DD" w:rsidRPr="0065592C" w:rsidRDefault="007120DD" w:rsidP="00F82787">
      <w:pPr>
        <w:tabs>
          <w:tab w:val="left" w:pos="-720"/>
        </w:tabs>
        <w:suppressAutoHyphens/>
        <w:spacing w:line="225" w:lineRule="auto"/>
        <w:ind w:left="3600"/>
        <w:rPr>
          <w:b/>
          <w:spacing w:val="-3"/>
          <w:szCs w:val="22"/>
        </w:rPr>
      </w:pPr>
      <w:r w:rsidRPr="00621BD5">
        <w:rPr>
          <w:snapToGrid/>
          <w:color w:val="000000"/>
          <w:kern w:val="0"/>
          <w:szCs w:val="22"/>
          <w:shd w:val="clear" w:color="auto" w:fill="FFFFFF"/>
        </w:rPr>
        <w:t>Nazifa Sawez</w:t>
      </w:r>
      <w:r w:rsidRPr="00621BD5">
        <w:rPr>
          <w:snapToGrid/>
          <w:color w:val="000000"/>
          <w:kern w:val="0"/>
          <w:szCs w:val="22"/>
        </w:rPr>
        <w:br/>
      </w:r>
      <w:r w:rsidRPr="00621BD5">
        <w:rPr>
          <w:snapToGrid/>
          <w:color w:val="000000"/>
          <w:kern w:val="0"/>
          <w:szCs w:val="22"/>
          <w:shd w:val="clear" w:color="auto" w:fill="FFFFFF"/>
        </w:rPr>
        <w:t>Assistant Chief</w:t>
      </w:r>
      <w:r w:rsidRPr="00621BD5">
        <w:rPr>
          <w:snapToGrid/>
          <w:color w:val="000000"/>
          <w:kern w:val="0"/>
          <w:szCs w:val="22"/>
        </w:rPr>
        <w:br/>
      </w:r>
      <w:r w:rsidRPr="00621BD5">
        <w:rPr>
          <w:snapToGrid/>
          <w:color w:val="000000"/>
          <w:kern w:val="0"/>
          <w:szCs w:val="22"/>
          <w:shd w:val="clear" w:color="auto" w:fill="FFFFFF"/>
        </w:rPr>
        <w:t>Audio Division</w:t>
      </w:r>
      <w:r w:rsidRPr="00621BD5">
        <w:rPr>
          <w:snapToGrid/>
          <w:color w:val="000000"/>
          <w:kern w:val="0"/>
          <w:szCs w:val="22"/>
        </w:rPr>
        <w:br/>
      </w:r>
      <w:r w:rsidRPr="00621BD5">
        <w:rPr>
          <w:snapToGrid/>
          <w:color w:val="000000"/>
          <w:kern w:val="0"/>
          <w:szCs w:val="22"/>
          <w:shd w:val="clear" w:color="auto" w:fill="FFFFFF"/>
        </w:rPr>
        <w:t>Media Bureau</w:t>
      </w:r>
    </w:p>
    <w:p w:rsidR="007120DD" w:rsidRDefault="007120DD" w:rsidP="00E90E0C">
      <w:pPr>
        <w:tabs>
          <w:tab w:val="left" w:pos="-720"/>
        </w:tabs>
        <w:suppressAutoHyphens/>
        <w:spacing w:line="225" w:lineRule="auto"/>
        <w:rPr>
          <w:spacing w:val="-3"/>
          <w:szCs w:val="22"/>
        </w:rPr>
      </w:pPr>
    </w:p>
    <w:p w:rsidR="007120DD" w:rsidRDefault="007120DD" w:rsidP="00E90E0C">
      <w:pPr>
        <w:tabs>
          <w:tab w:val="left" w:pos="-720"/>
        </w:tabs>
        <w:suppressAutoHyphens/>
        <w:spacing w:line="225" w:lineRule="auto"/>
        <w:rPr>
          <w:spacing w:val="-3"/>
          <w:szCs w:val="22"/>
        </w:rPr>
      </w:pPr>
    </w:p>
    <w:p w:rsidR="007120DD" w:rsidRDefault="007120DD" w:rsidP="00E90E0C">
      <w:pPr>
        <w:tabs>
          <w:tab w:val="left" w:pos="-720"/>
        </w:tabs>
        <w:suppressAutoHyphens/>
        <w:spacing w:line="225" w:lineRule="auto"/>
        <w:rPr>
          <w:spacing w:val="-3"/>
          <w:szCs w:val="22"/>
        </w:rPr>
      </w:pPr>
    </w:p>
    <w:sectPr w:rsidR="007120DD" w:rsidSect="005B22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3B" w:rsidRDefault="0087053B" w:rsidP="00FB5E52">
      <w:r>
        <w:separator/>
      </w:r>
    </w:p>
  </w:endnote>
  <w:endnote w:type="continuationSeparator" w:id="0">
    <w:p w:rsidR="0087053B" w:rsidRDefault="0087053B" w:rsidP="00FB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1" w:rsidRDefault="0043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5392"/>
      <w:docPartObj>
        <w:docPartGallery w:val="Page Numbers (Bottom of Page)"/>
        <w:docPartUnique/>
      </w:docPartObj>
    </w:sdtPr>
    <w:sdtEndPr>
      <w:rPr>
        <w:noProof/>
      </w:rPr>
    </w:sdtEndPr>
    <w:sdtContent>
      <w:p w:rsidR="005B22BA" w:rsidRDefault="005B22BA">
        <w:pPr>
          <w:pStyle w:val="Footer"/>
          <w:jc w:val="center"/>
        </w:pPr>
        <w:r>
          <w:fldChar w:fldCharType="begin"/>
        </w:r>
        <w:r>
          <w:instrText xml:space="preserve"> PAGE   \* MERGEFORMAT </w:instrText>
        </w:r>
        <w:r>
          <w:fldChar w:fldCharType="separate"/>
        </w:r>
        <w:r w:rsidR="00CA0E15">
          <w:rPr>
            <w:noProof/>
          </w:rPr>
          <w:t>2</w:t>
        </w:r>
        <w:r>
          <w:rPr>
            <w:noProof/>
          </w:rPr>
          <w:fldChar w:fldCharType="end"/>
        </w:r>
      </w:p>
    </w:sdtContent>
  </w:sdt>
  <w:p w:rsidR="005B22BA" w:rsidRDefault="005B2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1" w:rsidRDefault="0043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3B" w:rsidRDefault="0087053B" w:rsidP="00FB5E52">
      <w:r>
        <w:separator/>
      </w:r>
    </w:p>
  </w:footnote>
  <w:footnote w:type="continuationSeparator" w:id="0">
    <w:p w:rsidR="0087053B" w:rsidRDefault="0087053B" w:rsidP="00FB5E52">
      <w:r>
        <w:continuationSeparator/>
      </w:r>
    </w:p>
  </w:footnote>
  <w:footnote w:id="1">
    <w:p w:rsidR="007F7BD2" w:rsidRPr="005B22BA" w:rsidRDefault="007F7BD2">
      <w:pPr>
        <w:pStyle w:val="FootnoteText"/>
        <w:rPr>
          <w:sz w:val="20"/>
        </w:rPr>
      </w:pPr>
      <w:r w:rsidRPr="005B22BA">
        <w:rPr>
          <w:rStyle w:val="FootnoteReference"/>
          <w:sz w:val="20"/>
        </w:rPr>
        <w:footnoteRef/>
      </w:r>
      <w:r w:rsidRPr="005B22BA">
        <w:rPr>
          <w:sz w:val="20"/>
        </w:rPr>
        <w:t xml:space="preserve"> The communities of Fort Rucker, Enterprise and Hartfor</w:t>
      </w:r>
      <w:r w:rsidR="000F2430" w:rsidRPr="005B22BA">
        <w:rPr>
          <w:sz w:val="20"/>
        </w:rPr>
        <w:t>d</w:t>
      </w:r>
      <w:r w:rsidRPr="005B22BA">
        <w:rPr>
          <w:sz w:val="20"/>
        </w:rPr>
        <w:t xml:space="preserve">, Alabama have been added to the caption.  </w:t>
      </w:r>
      <w:r w:rsidRPr="005B22BA">
        <w:rPr>
          <w:i/>
          <w:sz w:val="20"/>
        </w:rPr>
        <w:t xml:space="preserve">See Public Notice, </w:t>
      </w:r>
      <w:r w:rsidRPr="005B22BA">
        <w:rPr>
          <w:sz w:val="20"/>
        </w:rPr>
        <w:t>Report No. 2972 (Jan. 24, 2013).</w:t>
      </w:r>
    </w:p>
    <w:p w:rsidR="007F7BD2" w:rsidRPr="005B22BA" w:rsidRDefault="007F7BD2">
      <w:pPr>
        <w:pStyle w:val="FootnoteText"/>
        <w:rPr>
          <w:sz w:val="20"/>
        </w:rPr>
      </w:pPr>
    </w:p>
  </w:footnote>
  <w:footnote w:id="2">
    <w:p w:rsidR="007120DD" w:rsidRPr="005B22BA" w:rsidRDefault="007120DD" w:rsidP="007120DD">
      <w:pPr>
        <w:pStyle w:val="FootnoteText"/>
        <w:rPr>
          <w:sz w:val="20"/>
        </w:rPr>
      </w:pPr>
      <w:r w:rsidRPr="005B22BA">
        <w:rPr>
          <w:rStyle w:val="FootnoteReference"/>
          <w:sz w:val="20"/>
        </w:rPr>
        <w:footnoteRef/>
      </w:r>
      <w:r w:rsidRPr="005B22BA">
        <w:rPr>
          <w:sz w:val="20"/>
        </w:rPr>
        <w:t xml:space="preserve"> </w:t>
      </w:r>
      <w:r w:rsidRPr="005B22BA">
        <w:rPr>
          <w:i/>
          <w:sz w:val="20"/>
        </w:rPr>
        <w:t>Pike Road, Alabama</w:t>
      </w:r>
      <w:r w:rsidRPr="005B22BA">
        <w:rPr>
          <w:sz w:val="20"/>
        </w:rPr>
        <w:t>, Notice of Proposed Rule Making, 27 FCC Rcd 11412 (MB 2012).</w:t>
      </w:r>
    </w:p>
    <w:p w:rsidR="007120DD" w:rsidRPr="005B22BA" w:rsidRDefault="007120DD" w:rsidP="007120DD">
      <w:pPr>
        <w:pStyle w:val="FootnoteText"/>
        <w:rPr>
          <w:sz w:val="20"/>
        </w:rPr>
      </w:pPr>
    </w:p>
  </w:footnote>
  <w:footnote w:id="3">
    <w:p w:rsidR="00D65621" w:rsidRPr="005B22BA" w:rsidRDefault="00D65621">
      <w:pPr>
        <w:pStyle w:val="FootnoteText"/>
        <w:rPr>
          <w:sz w:val="20"/>
        </w:rPr>
      </w:pPr>
      <w:r w:rsidRPr="005B22BA">
        <w:rPr>
          <w:rStyle w:val="FootnoteReference"/>
          <w:sz w:val="20"/>
        </w:rPr>
        <w:footnoteRef/>
      </w:r>
      <w:r w:rsidRPr="005B22BA">
        <w:rPr>
          <w:sz w:val="20"/>
        </w:rPr>
        <w:t xml:space="preserve"> </w:t>
      </w:r>
      <w:r w:rsidR="006E50BA" w:rsidRPr="005B22BA">
        <w:rPr>
          <w:i/>
          <w:sz w:val="20"/>
        </w:rPr>
        <w:t>See</w:t>
      </w:r>
      <w:r w:rsidR="006E50BA" w:rsidRPr="005B22BA">
        <w:rPr>
          <w:sz w:val="20"/>
        </w:rPr>
        <w:t xml:space="preserve"> ¶¶ </w:t>
      </w:r>
      <w:r w:rsidR="00FC25C4" w:rsidRPr="005B22BA">
        <w:rPr>
          <w:sz w:val="20"/>
        </w:rPr>
        <w:t>4</w:t>
      </w:r>
      <w:r w:rsidR="006E50BA" w:rsidRPr="005B22BA">
        <w:rPr>
          <w:sz w:val="20"/>
        </w:rPr>
        <w:t xml:space="preserve"> and </w:t>
      </w:r>
      <w:r w:rsidR="00CF7304" w:rsidRPr="005B22BA">
        <w:rPr>
          <w:sz w:val="20"/>
        </w:rPr>
        <w:t>8</w:t>
      </w:r>
      <w:r w:rsidR="006E50BA" w:rsidRPr="005B22BA">
        <w:rPr>
          <w:i/>
          <w:sz w:val="20"/>
        </w:rPr>
        <w:t>, infra.</w:t>
      </w:r>
      <w:r w:rsidR="00FF659C" w:rsidRPr="005B22BA">
        <w:rPr>
          <w:sz w:val="20"/>
        </w:rPr>
        <w:t xml:space="preserve"> Three Notch Communications LLC (“Three Notch”) filed an </w:t>
      </w:r>
      <w:r w:rsidR="00335795" w:rsidRPr="005B22BA">
        <w:rPr>
          <w:sz w:val="20"/>
        </w:rPr>
        <w:t>Opposition</w:t>
      </w:r>
      <w:r w:rsidR="00FF659C" w:rsidRPr="005B22BA">
        <w:rPr>
          <w:sz w:val="20"/>
        </w:rPr>
        <w:t>.</w:t>
      </w:r>
    </w:p>
    <w:p w:rsidR="00335795" w:rsidRPr="005B22BA" w:rsidRDefault="00335795">
      <w:pPr>
        <w:pStyle w:val="FootnoteText"/>
        <w:rPr>
          <w:sz w:val="20"/>
        </w:rPr>
      </w:pPr>
    </w:p>
  </w:footnote>
  <w:footnote w:id="4">
    <w:p w:rsidR="007120DD" w:rsidRPr="005B22BA" w:rsidRDefault="007120DD" w:rsidP="007120DD">
      <w:pPr>
        <w:pStyle w:val="FootnoteText"/>
        <w:rPr>
          <w:sz w:val="20"/>
        </w:rPr>
      </w:pPr>
      <w:r w:rsidRPr="005B22BA">
        <w:rPr>
          <w:rStyle w:val="FootnoteReference"/>
          <w:sz w:val="20"/>
        </w:rPr>
        <w:footnoteRef/>
      </w:r>
      <w:r w:rsidRPr="005B22BA">
        <w:rPr>
          <w:sz w:val="20"/>
        </w:rPr>
        <w:t xml:space="preserve"> 47 C.F.R. §</w:t>
      </w:r>
      <w:r w:rsidR="00762CB4" w:rsidRPr="005B22BA">
        <w:rPr>
          <w:sz w:val="20"/>
        </w:rPr>
        <w:t xml:space="preserve"> </w:t>
      </w:r>
      <w:r w:rsidRPr="005B22BA">
        <w:rPr>
          <w:sz w:val="20"/>
        </w:rPr>
        <w:t>73.202(b).</w:t>
      </w:r>
    </w:p>
    <w:p w:rsidR="00D27C80" w:rsidRPr="005B22BA" w:rsidRDefault="00D27C80" w:rsidP="007120DD">
      <w:pPr>
        <w:pStyle w:val="FootnoteText"/>
        <w:rPr>
          <w:sz w:val="20"/>
        </w:rPr>
      </w:pPr>
    </w:p>
  </w:footnote>
  <w:footnote w:id="5">
    <w:p w:rsidR="007120DD" w:rsidRPr="005B22BA" w:rsidRDefault="007120DD">
      <w:pPr>
        <w:pStyle w:val="FootnoteText"/>
        <w:rPr>
          <w:rFonts w:eastAsiaTheme="minorHAnsi"/>
          <w:snapToGrid/>
          <w:color w:val="010101"/>
          <w:sz w:val="20"/>
        </w:rPr>
      </w:pPr>
      <w:r w:rsidRPr="005B22BA">
        <w:rPr>
          <w:rStyle w:val="FootnoteReference"/>
          <w:sz w:val="20"/>
        </w:rPr>
        <w:footnoteRef/>
      </w:r>
      <w:r w:rsidRPr="005B22BA">
        <w:rPr>
          <w:sz w:val="20"/>
        </w:rPr>
        <w:t xml:space="preserve"> </w:t>
      </w:r>
      <w:r w:rsidR="00A55567" w:rsidRPr="005B22BA">
        <w:rPr>
          <w:sz w:val="20"/>
        </w:rPr>
        <w:t xml:space="preserve">A daytime </w:t>
      </w:r>
      <w:r w:rsidR="006E50BA" w:rsidRPr="005B22BA">
        <w:rPr>
          <w:rFonts w:eastAsiaTheme="minorHAnsi"/>
          <w:snapToGrid/>
          <w:color w:val="010101"/>
          <w:sz w:val="20"/>
        </w:rPr>
        <w:t>AM Station</w:t>
      </w:r>
      <w:r w:rsidR="00A55567" w:rsidRPr="005B22BA">
        <w:rPr>
          <w:rFonts w:eastAsiaTheme="minorHAnsi"/>
          <w:snapToGrid/>
          <w:color w:val="010101"/>
          <w:sz w:val="20"/>
        </w:rPr>
        <w:t>,</w:t>
      </w:r>
      <w:r w:rsidR="006E50BA" w:rsidRPr="005B22BA">
        <w:rPr>
          <w:rFonts w:eastAsiaTheme="minorHAnsi"/>
          <w:snapToGrid/>
          <w:color w:val="010101"/>
          <w:sz w:val="20"/>
        </w:rPr>
        <w:t xml:space="preserve"> WTXK</w:t>
      </w:r>
      <w:r w:rsidR="00A55567" w:rsidRPr="005B22BA">
        <w:rPr>
          <w:rFonts w:eastAsiaTheme="minorHAnsi"/>
          <w:snapToGrid/>
          <w:color w:val="010101"/>
          <w:sz w:val="20"/>
        </w:rPr>
        <w:t>,</w:t>
      </w:r>
      <w:r w:rsidR="006E50BA" w:rsidRPr="005B22BA">
        <w:rPr>
          <w:rFonts w:eastAsiaTheme="minorHAnsi"/>
          <w:snapToGrid/>
          <w:color w:val="010101"/>
          <w:sz w:val="20"/>
        </w:rPr>
        <w:t xml:space="preserve"> is licensed to the community of Pike Road.</w:t>
      </w:r>
    </w:p>
    <w:p w:rsidR="00A55567" w:rsidRPr="005B22BA" w:rsidRDefault="00A55567">
      <w:pPr>
        <w:pStyle w:val="FootnoteText"/>
        <w:rPr>
          <w:sz w:val="20"/>
        </w:rPr>
      </w:pPr>
    </w:p>
  </w:footnote>
  <w:footnote w:id="6">
    <w:p w:rsidR="00FC25C4" w:rsidRPr="005B22BA" w:rsidRDefault="00FC25C4">
      <w:pPr>
        <w:pStyle w:val="FootnoteText"/>
        <w:rPr>
          <w:sz w:val="20"/>
        </w:rPr>
      </w:pPr>
      <w:r w:rsidRPr="005B22BA">
        <w:rPr>
          <w:rStyle w:val="FootnoteReference"/>
          <w:sz w:val="20"/>
        </w:rPr>
        <w:footnoteRef/>
      </w:r>
      <w:r w:rsidRPr="005B22BA">
        <w:rPr>
          <w:sz w:val="20"/>
        </w:rPr>
        <w:t xml:space="preserve"> 47 C.F.R. §73.3517(e).</w:t>
      </w:r>
    </w:p>
    <w:p w:rsidR="006C2A6D" w:rsidRPr="005B22BA" w:rsidRDefault="006C2A6D">
      <w:pPr>
        <w:pStyle w:val="FootnoteText"/>
        <w:rPr>
          <w:sz w:val="20"/>
        </w:rPr>
      </w:pPr>
    </w:p>
  </w:footnote>
  <w:footnote w:id="7">
    <w:p w:rsidR="00B06635" w:rsidRPr="005B22BA" w:rsidRDefault="00B06635">
      <w:pPr>
        <w:pStyle w:val="FootnoteText"/>
        <w:rPr>
          <w:i/>
          <w:sz w:val="20"/>
        </w:rPr>
      </w:pPr>
      <w:r w:rsidRPr="005B22BA">
        <w:rPr>
          <w:rStyle w:val="FootnoteReference"/>
          <w:sz w:val="20"/>
        </w:rPr>
        <w:footnoteRef/>
      </w:r>
      <w:r w:rsidRPr="005B22BA">
        <w:rPr>
          <w:sz w:val="20"/>
        </w:rPr>
        <w:t xml:space="preserve"> </w:t>
      </w:r>
      <w:r w:rsidRPr="005B22BA">
        <w:rPr>
          <w:i/>
          <w:sz w:val="20"/>
        </w:rPr>
        <w:t>See</w:t>
      </w:r>
      <w:r w:rsidRPr="005B22BA">
        <w:rPr>
          <w:rFonts w:eastAsiaTheme="minorHAnsi"/>
          <w:snapToGrid/>
          <w:color w:val="010101"/>
          <w:sz w:val="20"/>
        </w:rPr>
        <w:t xml:space="preserve"> File No. BPH-20121119ANF.</w:t>
      </w:r>
      <w:r w:rsidRPr="005B22BA">
        <w:rPr>
          <w:i/>
          <w:sz w:val="20"/>
        </w:rPr>
        <w:t xml:space="preserve"> </w:t>
      </w:r>
    </w:p>
    <w:p w:rsidR="006C2A6D" w:rsidRPr="005B22BA" w:rsidRDefault="006C2A6D">
      <w:pPr>
        <w:pStyle w:val="FootnoteText"/>
        <w:rPr>
          <w:sz w:val="20"/>
        </w:rPr>
      </w:pPr>
    </w:p>
  </w:footnote>
  <w:footnote w:id="8">
    <w:p w:rsidR="004C5B15" w:rsidRPr="005B22BA" w:rsidRDefault="004C5B15">
      <w:pPr>
        <w:pStyle w:val="FootnoteText"/>
        <w:rPr>
          <w:sz w:val="20"/>
        </w:rPr>
      </w:pPr>
      <w:r w:rsidRPr="005B22BA">
        <w:rPr>
          <w:rStyle w:val="FootnoteReference"/>
          <w:sz w:val="20"/>
        </w:rPr>
        <w:footnoteRef/>
      </w:r>
      <w:r w:rsidRPr="005B22BA">
        <w:rPr>
          <w:sz w:val="20"/>
        </w:rPr>
        <w:t xml:space="preserve"> </w:t>
      </w:r>
      <w:r w:rsidRPr="005B22BA">
        <w:rPr>
          <w:i/>
          <w:sz w:val="20"/>
        </w:rPr>
        <w:t>See Letter to Three Notch</w:t>
      </w:r>
      <w:r w:rsidR="006C2A6D" w:rsidRPr="005B22BA">
        <w:rPr>
          <w:i/>
          <w:sz w:val="20"/>
        </w:rPr>
        <w:t xml:space="preserve"> </w:t>
      </w:r>
      <w:r w:rsidRPr="005B22BA">
        <w:rPr>
          <w:i/>
          <w:sz w:val="20"/>
        </w:rPr>
        <w:t xml:space="preserve">Communications, LLC, </w:t>
      </w:r>
      <w:r w:rsidRPr="005B22BA">
        <w:rPr>
          <w:sz w:val="20"/>
        </w:rPr>
        <w:t>Reference</w:t>
      </w:r>
      <w:r w:rsidR="00C81C72" w:rsidRPr="005B22BA">
        <w:rPr>
          <w:sz w:val="20"/>
        </w:rPr>
        <w:t xml:space="preserve"> 1800B3 (MB Jan. 18, 2013)</w:t>
      </w:r>
      <w:r w:rsidR="00D1416C" w:rsidRPr="005B22BA">
        <w:rPr>
          <w:sz w:val="20"/>
        </w:rPr>
        <w:t xml:space="preserve"> (“</w:t>
      </w:r>
      <w:r w:rsidR="00D1416C" w:rsidRPr="005B22BA">
        <w:rPr>
          <w:i/>
          <w:sz w:val="20"/>
        </w:rPr>
        <w:t>OSC”)</w:t>
      </w:r>
      <w:r w:rsidR="00C81C72" w:rsidRPr="005B22BA">
        <w:rPr>
          <w:sz w:val="20"/>
        </w:rPr>
        <w:t>.</w:t>
      </w:r>
    </w:p>
    <w:p w:rsidR="006C2A6D" w:rsidRPr="005B22BA" w:rsidRDefault="006C2A6D">
      <w:pPr>
        <w:pStyle w:val="FootnoteText"/>
        <w:rPr>
          <w:sz w:val="20"/>
        </w:rPr>
      </w:pPr>
    </w:p>
  </w:footnote>
  <w:footnote w:id="9">
    <w:p w:rsidR="00621420" w:rsidRPr="005B22BA" w:rsidRDefault="00621420">
      <w:pPr>
        <w:pStyle w:val="FootnoteText"/>
        <w:rPr>
          <w:sz w:val="20"/>
        </w:rPr>
      </w:pPr>
      <w:r w:rsidRPr="005B22BA">
        <w:rPr>
          <w:rStyle w:val="FootnoteReference"/>
          <w:sz w:val="20"/>
        </w:rPr>
        <w:footnoteRef/>
      </w:r>
      <w:r w:rsidRPr="005B22BA">
        <w:rPr>
          <w:sz w:val="20"/>
        </w:rPr>
        <w:t xml:space="preserve"> Southeast states that it will reimburse Station WAAO-FM for its reasonable expenses for the channel change in accordance with the guidelines set forth in </w:t>
      </w:r>
      <w:r w:rsidRPr="005B22BA">
        <w:rPr>
          <w:i/>
          <w:sz w:val="20"/>
        </w:rPr>
        <w:t>Circleville, Ohio</w:t>
      </w:r>
      <w:r w:rsidRPr="005B22BA">
        <w:rPr>
          <w:sz w:val="20"/>
        </w:rPr>
        <w:t>, Second Report and Order, 8 FCC2d 159 (1967) (“</w:t>
      </w:r>
      <w:r w:rsidRPr="005B22BA">
        <w:rPr>
          <w:i/>
          <w:sz w:val="20"/>
        </w:rPr>
        <w:t>Circleville</w:t>
      </w:r>
      <w:r w:rsidRPr="005B22BA">
        <w:rPr>
          <w:sz w:val="20"/>
        </w:rPr>
        <w:t>”).</w:t>
      </w:r>
    </w:p>
    <w:p w:rsidR="00621420" w:rsidRPr="005B22BA" w:rsidRDefault="00621420">
      <w:pPr>
        <w:pStyle w:val="FootnoteText"/>
        <w:rPr>
          <w:sz w:val="20"/>
        </w:rPr>
      </w:pPr>
    </w:p>
  </w:footnote>
  <w:footnote w:id="10">
    <w:p w:rsidR="006C2A6D" w:rsidRPr="005B22BA" w:rsidRDefault="00B06635">
      <w:pPr>
        <w:pStyle w:val="FootnoteText"/>
        <w:rPr>
          <w:rFonts w:eastAsiaTheme="minorHAnsi"/>
          <w:snapToGrid/>
          <w:color w:val="010101"/>
          <w:sz w:val="20"/>
        </w:rPr>
      </w:pPr>
      <w:r w:rsidRPr="005B22BA">
        <w:rPr>
          <w:rStyle w:val="FootnoteReference"/>
          <w:sz w:val="20"/>
        </w:rPr>
        <w:footnoteRef/>
      </w:r>
      <w:r w:rsidRPr="005B22BA">
        <w:rPr>
          <w:sz w:val="20"/>
        </w:rPr>
        <w:t xml:space="preserve"> </w:t>
      </w:r>
      <w:r w:rsidRPr="005B22BA">
        <w:rPr>
          <w:i/>
          <w:sz w:val="20"/>
        </w:rPr>
        <w:t xml:space="preserve">See </w:t>
      </w:r>
      <w:r w:rsidRPr="005B22BA">
        <w:rPr>
          <w:spacing w:val="-3"/>
          <w:sz w:val="20"/>
        </w:rPr>
        <w:t xml:space="preserve">File No. </w:t>
      </w:r>
      <w:r w:rsidRPr="005B22BA">
        <w:rPr>
          <w:rFonts w:eastAsiaTheme="minorHAnsi"/>
          <w:snapToGrid/>
          <w:color w:val="010101"/>
          <w:sz w:val="20"/>
        </w:rPr>
        <w:t>BPH-20121119AOG.</w:t>
      </w:r>
    </w:p>
    <w:p w:rsidR="00520096" w:rsidRPr="005B22BA" w:rsidRDefault="00520096">
      <w:pPr>
        <w:pStyle w:val="FootnoteText"/>
        <w:rPr>
          <w:sz w:val="20"/>
        </w:rPr>
      </w:pPr>
    </w:p>
  </w:footnote>
  <w:footnote w:id="11">
    <w:p w:rsidR="005B5A4C" w:rsidRPr="005B22BA" w:rsidRDefault="005B5A4C">
      <w:pPr>
        <w:pStyle w:val="FootnoteText"/>
        <w:rPr>
          <w:rFonts w:eastAsiaTheme="minorHAnsi"/>
          <w:snapToGrid/>
          <w:color w:val="010101"/>
          <w:sz w:val="20"/>
        </w:rPr>
      </w:pPr>
      <w:r w:rsidRPr="005B22BA">
        <w:rPr>
          <w:rStyle w:val="FootnoteReference"/>
          <w:sz w:val="20"/>
        </w:rPr>
        <w:footnoteRef/>
      </w:r>
      <w:r w:rsidRPr="005B22BA">
        <w:rPr>
          <w:sz w:val="20"/>
        </w:rPr>
        <w:t xml:space="preserve"> </w:t>
      </w:r>
      <w:r w:rsidRPr="005B22BA">
        <w:rPr>
          <w:i/>
          <w:sz w:val="20"/>
        </w:rPr>
        <w:t xml:space="preserve">See </w:t>
      </w:r>
      <w:r w:rsidRPr="005B22BA">
        <w:rPr>
          <w:spacing w:val="-3"/>
          <w:sz w:val="20"/>
        </w:rPr>
        <w:t xml:space="preserve">File No. </w:t>
      </w:r>
      <w:r w:rsidRPr="005B22BA">
        <w:rPr>
          <w:rFonts w:eastAsiaTheme="minorHAnsi"/>
          <w:snapToGrid/>
          <w:color w:val="010101"/>
          <w:sz w:val="20"/>
        </w:rPr>
        <w:t>BPH-20121119AOD.</w:t>
      </w:r>
    </w:p>
    <w:p w:rsidR="00C83755" w:rsidRPr="005B22BA" w:rsidRDefault="00C83755">
      <w:pPr>
        <w:pStyle w:val="FootnoteText"/>
        <w:rPr>
          <w:sz w:val="20"/>
        </w:rPr>
      </w:pPr>
    </w:p>
  </w:footnote>
  <w:footnote w:id="12">
    <w:p w:rsidR="00783EAF" w:rsidRPr="005B22BA" w:rsidRDefault="00783EAF" w:rsidP="00783EAF">
      <w:pPr>
        <w:pStyle w:val="FootnoteText"/>
        <w:rPr>
          <w:sz w:val="20"/>
        </w:rPr>
      </w:pPr>
      <w:r w:rsidRPr="005B22BA">
        <w:rPr>
          <w:rStyle w:val="FootnoteReference"/>
          <w:sz w:val="20"/>
        </w:rPr>
        <w:footnoteRef/>
      </w:r>
      <w:r w:rsidRPr="005B22BA">
        <w:rPr>
          <w:sz w:val="20"/>
        </w:rPr>
        <w:t xml:space="preserve"> </w:t>
      </w:r>
      <w:r w:rsidRPr="005B22BA">
        <w:rPr>
          <w:i/>
          <w:sz w:val="20"/>
        </w:rPr>
        <w:t xml:space="preserve">See Revision of FM Assignment Policies and Procedures, </w:t>
      </w:r>
      <w:r w:rsidRPr="005B22BA">
        <w:rPr>
          <w:sz w:val="20"/>
        </w:rPr>
        <w:t>Second Report and Order, 90 FCC 2d 88 (1982) The FM allotment priorities are: (1) First fulltime aural service, (2) Second fulltime aural service, (3) First local service and (4) Other public interest matters.  Co-equal weight is given to Priorities (2) and (3) (“</w:t>
      </w:r>
      <w:r w:rsidRPr="005B22BA">
        <w:rPr>
          <w:i/>
          <w:sz w:val="20"/>
        </w:rPr>
        <w:t>FM Allotment Priorities</w:t>
      </w:r>
      <w:r w:rsidRPr="005B22BA">
        <w:rPr>
          <w:sz w:val="20"/>
        </w:rPr>
        <w:t>”).</w:t>
      </w:r>
    </w:p>
    <w:p w:rsidR="00783EAF" w:rsidRPr="005B22BA" w:rsidRDefault="00783EAF">
      <w:pPr>
        <w:pStyle w:val="FootnoteText"/>
        <w:rPr>
          <w:sz w:val="20"/>
        </w:rPr>
      </w:pPr>
    </w:p>
  </w:footnote>
  <w:footnote w:id="13">
    <w:p w:rsidR="00520096" w:rsidRPr="005B22BA" w:rsidRDefault="00520096" w:rsidP="00520096">
      <w:pPr>
        <w:pStyle w:val="FootnoteText"/>
        <w:rPr>
          <w:sz w:val="20"/>
        </w:rPr>
      </w:pPr>
      <w:r w:rsidRPr="005B22BA">
        <w:rPr>
          <w:rStyle w:val="FootnoteReference"/>
          <w:sz w:val="20"/>
        </w:rPr>
        <w:footnoteRef/>
      </w:r>
      <w:r w:rsidRPr="005B22BA">
        <w:rPr>
          <w:sz w:val="20"/>
        </w:rPr>
        <w:t xml:space="preserve"> </w:t>
      </w:r>
      <w:r w:rsidRPr="005B22BA">
        <w:rPr>
          <w:i/>
          <w:sz w:val="20"/>
        </w:rPr>
        <w:t xml:space="preserve">See </w:t>
      </w:r>
      <w:r w:rsidRPr="005B22BA">
        <w:rPr>
          <w:sz w:val="20"/>
        </w:rPr>
        <w:t>47 C.F.R. § 73.207.</w:t>
      </w:r>
    </w:p>
    <w:p w:rsidR="00520096" w:rsidRPr="005B22BA" w:rsidRDefault="00520096" w:rsidP="00520096">
      <w:pPr>
        <w:pStyle w:val="FootnoteText"/>
        <w:rPr>
          <w:sz w:val="20"/>
        </w:rPr>
      </w:pPr>
    </w:p>
  </w:footnote>
  <w:footnote w:id="14">
    <w:p w:rsidR="002A72ED" w:rsidRPr="005B22BA" w:rsidRDefault="002A72ED" w:rsidP="002A72ED">
      <w:pPr>
        <w:pStyle w:val="FootnoteText"/>
        <w:rPr>
          <w:sz w:val="20"/>
        </w:rPr>
      </w:pPr>
      <w:r w:rsidRPr="005B22BA">
        <w:rPr>
          <w:rStyle w:val="FootnoteReference"/>
          <w:sz w:val="20"/>
        </w:rPr>
        <w:footnoteRef/>
      </w:r>
      <w:r w:rsidRPr="005B22BA">
        <w:rPr>
          <w:sz w:val="20"/>
        </w:rPr>
        <w:t xml:space="preserve"> Our independent engineering analysis shows that the relocation of WDBT from Hartford to Hope Hull will result in a net loss of 181,747 persons, due to the channel class change from Channel 229C1 to 228A. The upgrade of WLDA’s facilities from Channel 280C3 to Channel 280C2 will produce a net gain of 66,623 persons. WDJR will experience no change, so the overall net effect of the Counterproposal is a loss of 115,124 persons. In addition, WDBT’s change of community will leave 2,938 persons with four reception services, 660 persons with three services, and 378 persons with two services.</w:t>
      </w:r>
      <w:r w:rsidR="00864ABF" w:rsidRPr="005B22BA">
        <w:rPr>
          <w:sz w:val="20"/>
        </w:rPr>
        <w:t xml:space="preserve"> Under the Commission’s </w:t>
      </w:r>
      <w:r w:rsidR="00864ABF" w:rsidRPr="005B22BA">
        <w:rPr>
          <w:i/>
          <w:sz w:val="20"/>
        </w:rPr>
        <w:t xml:space="preserve">FM Allotment Priorities, </w:t>
      </w:r>
      <w:r w:rsidR="00864ABF" w:rsidRPr="005B22BA">
        <w:rPr>
          <w:sz w:val="20"/>
        </w:rPr>
        <w:t>we do not consider underserved listeners and net loss of service under Priority 3.</w:t>
      </w:r>
    </w:p>
    <w:p w:rsidR="002A72ED" w:rsidRPr="005B22BA" w:rsidRDefault="002A72ED" w:rsidP="002A72ED">
      <w:pPr>
        <w:pStyle w:val="FootnoteText"/>
        <w:rPr>
          <w:sz w:val="20"/>
        </w:rPr>
      </w:pPr>
    </w:p>
  </w:footnote>
  <w:footnote w:id="15">
    <w:p w:rsidR="00865C12" w:rsidRPr="005B22BA" w:rsidRDefault="00865C12">
      <w:pPr>
        <w:pStyle w:val="FootnoteText"/>
        <w:rPr>
          <w:sz w:val="20"/>
        </w:rPr>
      </w:pPr>
      <w:r w:rsidRPr="005B22BA">
        <w:rPr>
          <w:rStyle w:val="FootnoteReference"/>
          <w:sz w:val="20"/>
        </w:rPr>
        <w:footnoteRef/>
      </w:r>
      <w:r w:rsidRPr="005B22BA">
        <w:rPr>
          <w:sz w:val="20"/>
        </w:rPr>
        <w:t xml:space="preserve"> </w:t>
      </w:r>
      <w:r w:rsidRPr="005B22BA">
        <w:rPr>
          <w:i/>
          <w:sz w:val="20"/>
        </w:rPr>
        <w:t xml:space="preserve">See </w:t>
      </w:r>
      <w:r w:rsidRPr="005B22BA">
        <w:rPr>
          <w:i/>
          <w:iCs/>
          <w:sz w:val="20"/>
        </w:rPr>
        <w:t xml:space="preserve">Semora, North Carolina, </w:t>
      </w:r>
      <w:r w:rsidRPr="005B22BA">
        <w:rPr>
          <w:iCs/>
          <w:sz w:val="20"/>
        </w:rPr>
        <w:t xml:space="preserve">Memorandum and Opinion, </w:t>
      </w:r>
      <w:r w:rsidRPr="005B22BA">
        <w:rPr>
          <w:sz w:val="20"/>
        </w:rPr>
        <w:t>5 FCC Rcd 934, 935 (1990) (finding that the community not incorporated or listed in the U.S. Census is a community for allotment purposes).</w:t>
      </w:r>
    </w:p>
    <w:p w:rsidR="00865C12" w:rsidRPr="005B22BA" w:rsidRDefault="00865C12">
      <w:pPr>
        <w:pStyle w:val="FootnoteText"/>
        <w:rPr>
          <w:sz w:val="20"/>
        </w:rPr>
      </w:pPr>
    </w:p>
  </w:footnote>
  <w:footnote w:id="16">
    <w:p w:rsidR="00E8654A" w:rsidRPr="005B22BA" w:rsidRDefault="00E8654A">
      <w:pPr>
        <w:pStyle w:val="FootnoteText"/>
        <w:rPr>
          <w:sz w:val="20"/>
          <w:shd w:val="clear" w:color="auto" w:fill="FFFFFF"/>
        </w:rPr>
      </w:pPr>
      <w:r w:rsidRPr="005B22BA">
        <w:rPr>
          <w:rStyle w:val="FootnoteReference"/>
          <w:sz w:val="20"/>
        </w:rPr>
        <w:footnoteRef/>
      </w:r>
      <w:r w:rsidRPr="005B22BA">
        <w:rPr>
          <w:sz w:val="20"/>
        </w:rPr>
        <w:t xml:space="preserve"> The proposed 70 dBu contour at Hope Hull would cover 1.8 percent of the Montgomery, Alabama, Urbanized Area, but the facilities could not be relocated pursuant to a minor modification application to serve 50 percent or more of an urbanized area</w:t>
      </w:r>
      <w:r w:rsidR="00054C3B" w:rsidRPr="005B22BA">
        <w:rPr>
          <w:sz w:val="20"/>
        </w:rPr>
        <w:t>.  Accordingly, the Urbanized Area service presumption does not apply here.</w:t>
      </w:r>
      <w:r w:rsidR="005759B5">
        <w:rPr>
          <w:sz w:val="20"/>
        </w:rPr>
        <w:t xml:space="preserve">  </w:t>
      </w:r>
      <w:r w:rsidRPr="005B22BA">
        <w:rPr>
          <w:i/>
          <w:iCs/>
          <w:sz w:val="20"/>
          <w:shd w:val="clear" w:color="auto" w:fill="FFFFFF"/>
        </w:rPr>
        <w:t>See</w:t>
      </w:r>
      <w:r w:rsidRPr="005B22BA">
        <w:rPr>
          <w:rStyle w:val="apple-converted-space"/>
          <w:i/>
          <w:iCs/>
          <w:sz w:val="20"/>
          <w:shd w:val="clear" w:color="auto" w:fill="FFFFFF"/>
        </w:rPr>
        <w:t> </w:t>
      </w:r>
      <w:bookmarkStart w:id="1" w:name="SR;1922"/>
      <w:bookmarkEnd w:id="1"/>
      <w:r w:rsidRPr="005B22BA">
        <w:rPr>
          <w:sz w:val="20"/>
        </w:rPr>
        <w:fldChar w:fldCharType="begin"/>
      </w:r>
      <w:r w:rsidR="00CA0E15">
        <w:rPr>
          <w:sz w:val="20"/>
        </w:rPr>
        <w:instrText>HYPERLINK "https://web2.westlaw.com/find/default.wl?mt=12&amp;db=0004493&amp;tc=-1&amp;rp=%2ffind%2fdefault.wl&amp;findtype=Y&amp;ordoc=2034348671&amp;serialnum=2024725667&amp;vr=2.0&amp;fn=_top&amp;sv=Split&amp;tf=-1&amp;referencepositiontype=S&amp;pbc=D8935809&amp;referenceposition=2567&amp;rs=WLW14.07" \t "_top"</w:instrText>
      </w:r>
      <w:r w:rsidR="00CA0E15" w:rsidRPr="005B22BA">
        <w:rPr>
          <w:sz w:val="20"/>
        </w:rPr>
      </w:r>
      <w:r w:rsidRPr="005B22BA">
        <w:rPr>
          <w:sz w:val="20"/>
        </w:rPr>
        <w:fldChar w:fldCharType="separate"/>
      </w:r>
      <w:r w:rsidRPr="005B22BA">
        <w:rPr>
          <w:rStyle w:val="Hyperlink"/>
          <w:i/>
          <w:iCs/>
          <w:color w:val="auto"/>
          <w:sz w:val="20"/>
          <w:u w:val="none"/>
          <w:shd w:val="clear" w:color="auto" w:fill="FFFFFF"/>
        </w:rPr>
        <w:t>Policies to Promote Rural Radio Service and to Streamline Allotment and Assignment Procedures</w:t>
      </w:r>
      <w:r w:rsidRPr="005B22BA">
        <w:rPr>
          <w:rStyle w:val="Hyperlink"/>
          <w:color w:val="auto"/>
          <w:sz w:val="20"/>
          <w:u w:val="none"/>
          <w:shd w:val="clear" w:color="auto" w:fill="FFFFFF"/>
        </w:rPr>
        <w:t>, Second Report and Order, First Order On Reconsideration, and Second Further Notice of Proposed Rule Making, 26 FCC Rcd 2556, 2567 (2011)</w:t>
      </w:r>
      <w:r w:rsidRPr="005B22BA">
        <w:rPr>
          <w:sz w:val="20"/>
        </w:rPr>
        <w:fldChar w:fldCharType="end"/>
      </w:r>
      <w:r w:rsidRPr="005B22BA">
        <w:rPr>
          <w:rStyle w:val="apple-converted-space"/>
          <w:sz w:val="20"/>
          <w:shd w:val="clear" w:color="auto" w:fill="FFFFFF"/>
        </w:rPr>
        <w:t> </w:t>
      </w:r>
      <w:r w:rsidRPr="005B22BA">
        <w:rPr>
          <w:sz w:val="20"/>
          <w:shd w:val="clear" w:color="auto" w:fill="FFFFFF"/>
        </w:rPr>
        <w:t>(subsequent history omitted) .</w:t>
      </w:r>
    </w:p>
    <w:p w:rsidR="00E8654A" w:rsidRPr="005B22BA" w:rsidRDefault="00E8654A">
      <w:pPr>
        <w:pStyle w:val="FootnoteText"/>
        <w:rPr>
          <w:sz w:val="20"/>
        </w:rPr>
      </w:pPr>
    </w:p>
  </w:footnote>
  <w:footnote w:id="17">
    <w:p w:rsidR="00621420" w:rsidRPr="005B22BA" w:rsidRDefault="00621420" w:rsidP="00621420">
      <w:pPr>
        <w:autoSpaceDE w:val="0"/>
        <w:autoSpaceDN w:val="0"/>
        <w:adjustRightInd w:val="0"/>
        <w:jc w:val="both"/>
        <w:rPr>
          <w:color w:val="000000"/>
          <w:sz w:val="20"/>
          <w:szCs w:val="24"/>
        </w:rPr>
      </w:pPr>
      <w:r w:rsidRPr="005B22BA">
        <w:rPr>
          <w:rStyle w:val="FootnoteReference"/>
          <w:sz w:val="20"/>
        </w:rPr>
        <w:footnoteRef/>
      </w:r>
      <w:r w:rsidRPr="005B22BA">
        <w:rPr>
          <w:sz w:val="20"/>
        </w:rPr>
        <w:t xml:space="preserve"> </w:t>
      </w:r>
      <w:hyperlink r:id="rId1" w:history="1">
        <w:r w:rsidRPr="005B22BA">
          <w:rPr>
            <w:rStyle w:val="Hyperlink"/>
            <w:i/>
            <w:iCs/>
            <w:color w:val="auto"/>
            <w:sz w:val="20"/>
            <w:u w:val="none"/>
          </w:rPr>
          <w:t>Americus and Emporia, Kansas,</w:t>
        </w:r>
      </w:hyperlink>
      <w:hyperlink r:id="rId2" w:history="1">
        <w:r w:rsidRPr="005B22BA">
          <w:rPr>
            <w:rStyle w:val="Hyperlink"/>
            <w:color w:val="auto"/>
            <w:sz w:val="20"/>
            <w:u w:val="none"/>
          </w:rPr>
          <w:t xml:space="preserve"> Report and Order, 21 FCC Rcd 7258, 7259 (MB 2006)</w:t>
        </w:r>
      </w:hyperlink>
      <w:r w:rsidRPr="005B22BA">
        <w:rPr>
          <w:sz w:val="20"/>
        </w:rPr>
        <w:t xml:space="preserve"> (ordering an involuntary </w:t>
      </w:r>
      <w:r w:rsidRPr="005B22BA">
        <w:rPr>
          <w:bCs/>
          <w:sz w:val="20"/>
        </w:rPr>
        <w:t>channel</w:t>
      </w:r>
      <w:r w:rsidRPr="005B22BA">
        <w:rPr>
          <w:sz w:val="20"/>
        </w:rPr>
        <w:t xml:space="preserve"> </w:t>
      </w:r>
      <w:r w:rsidRPr="005B22BA">
        <w:rPr>
          <w:bCs/>
          <w:sz w:val="20"/>
        </w:rPr>
        <w:t>substitution</w:t>
      </w:r>
      <w:r w:rsidRPr="005B22BA">
        <w:rPr>
          <w:sz w:val="20"/>
        </w:rPr>
        <w:t xml:space="preserve"> for an existing station to accommodate a first local service at another community).</w:t>
      </w:r>
    </w:p>
    <w:p w:rsidR="00621420" w:rsidRPr="005B22BA" w:rsidRDefault="00621420">
      <w:pPr>
        <w:pStyle w:val="FootnoteText"/>
        <w:rPr>
          <w:sz w:val="20"/>
        </w:rPr>
      </w:pPr>
    </w:p>
  </w:footnote>
  <w:footnote w:id="18">
    <w:p w:rsidR="00525F35" w:rsidRPr="005B22BA" w:rsidRDefault="00525F35" w:rsidP="00525F35">
      <w:pPr>
        <w:autoSpaceDE w:val="0"/>
        <w:autoSpaceDN w:val="0"/>
        <w:adjustRightInd w:val="0"/>
        <w:jc w:val="both"/>
        <w:rPr>
          <w:sz w:val="20"/>
          <w:szCs w:val="24"/>
        </w:rPr>
      </w:pPr>
      <w:r w:rsidRPr="005B22BA">
        <w:rPr>
          <w:rStyle w:val="FootnoteReference"/>
          <w:sz w:val="20"/>
        </w:rPr>
        <w:footnoteRef/>
      </w:r>
      <w:r w:rsidRPr="005B22BA">
        <w:rPr>
          <w:sz w:val="20"/>
        </w:rPr>
        <w:t xml:space="preserve"> </w:t>
      </w:r>
      <w:hyperlink r:id="rId3" w:history="1">
        <w:r w:rsidRPr="005B22BA">
          <w:rPr>
            <w:rStyle w:val="Hyperlink"/>
            <w:color w:val="auto"/>
            <w:sz w:val="20"/>
            <w:u w:val="none"/>
          </w:rPr>
          <w:t>47 U.S.C. § 316(a)</w:t>
        </w:r>
      </w:hyperlink>
      <w:r w:rsidRPr="005B22BA">
        <w:rPr>
          <w:sz w:val="20"/>
        </w:rPr>
        <w:t xml:space="preserve"> (permitting the modification of a station's license or construction permit to promote the public interest).</w:t>
      </w:r>
    </w:p>
    <w:p w:rsidR="00525F35" w:rsidRPr="005B22BA" w:rsidRDefault="00525F35">
      <w:pPr>
        <w:pStyle w:val="FootnoteText"/>
        <w:rPr>
          <w:sz w:val="20"/>
        </w:rPr>
      </w:pPr>
    </w:p>
  </w:footnote>
  <w:footnote w:id="19">
    <w:p w:rsidR="004E1109" w:rsidRPr="005B22BA" w:rsidRDefault="004E1109" w:rsidP="004E1109">
      <w:pPr>
        <w:autoSpaceDE w:val="0"/>
        <w:autoSpaceDN w:val="0"/>
        <w:adjustRightInd w:val="0"/>
        <w:jc w:val="both"/>
        <w:rPr>
          <w:sz w:val="20"/>
        </w:rPr>
      </w:pPr>
      <w:r w:rsidRPr="005B22BA">
        <w:rPr>
          <w:rStyle w:val="FootnoteReference"/>
          <w:sz w:val="20"/>
        </w:rPr>
        <w:footnoteRef/>
      </w:r>
      <w:r w:rsidRPr="005B22BA">
        <w:rPr>
          <w:sz w:val="20"/>
        </w:rPr>
        <w:t xml:space="preserve"> </w:t>
      </w:r>
      <w:r w:rsidRPr="005B22BA">
        <w:rPr>
          <w:i/>
          <w:iCs/>
          <w:sz w:val="20"/>
        </w:rPr>
        <w:t>Castle Rock and Colorado Springs, Colorado, et al.,</w:t>
      </w:r>
      <w:r w:rsidRPr="005B22BA">
        <w:rPr>
          <w:sz w:val="20"/>
        </w:rPr>
        <w:t xml:space="preserve"> Report and Order, </w:t>
      </w:r>
      <w:hyperlink r:id="rId4" w:history="1">
        <w:r w:rsidRPr="005B22BA">
          <w:rPr>
            <w:rStyle w:val="Hyperlink"/>
            <w:color w:val="auto"/>
            <w:sz w:val="20"/>
            <w:u w:val="none"/>
          </w:rPr>
          <w:t>7 FCC Rcd 7688, 7670 (MMB 1992)</w:t>
        </w:r>
      </w:hyperlink>
      <w:r w:rsidRPr="005B22BA">
        <w:rPr>
          <w:sz w:val="20"/>
        </w:rPr>
        <w:t xml:space="preserve"> (time and manner of reimbursement are matters left to the good faith negotiations of the parties).</w:t>
      </w:r>
    </w:p>
    <w:p w:rsidR="004E1109" w:rsidRPr="005B22BA" w:rsidRDefault="004E1109">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1" w:rsidRDefault="0043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07" w:rsidRPr="00FB5E52" w:rsidRDefault="00106707" w:rsidP="00FB5E52">
    <w:pPr>
      <w:tabs>
        <w:tab w:val="center" w:pos="4680"/>
        <w:tab w:val="right" w:pos="9360"/>
      </w:tabs>
      <w:suppressAutoHyphens/>
      <w:spacing w:line="225" w:lineRule="auto"/>
      <w:jc w:val="both"/>
      <w:rPr>
        <w:spacing w:val="-2"/>
        <w:szCs w:val="22"/>
      </w:rPr>
    </w:pPr>
    <w:r w:rsidRPr="00FB5E52">
      <w:rPr>
        <w:rFonts w:ascii="CG Omega" w:hAnsi="CG Omega"/>
        <w:b/>
        <w:spacing w:val="-2"/>
        <w:szCs w:val="22"/>
      </w:rPr>
      <w:t xml:space="preserve">                                                  </w:t>
    </w:r>
    <w:r w:rsidRPr="00FB5E52">
      <w:rPr>
        <w:b/>
        <w:spacing w:val="-2"/>
        <w:szCs w:val="22"/>
      </w:rPr>
      <w:t>Federal Communications Commission</w:t>
    </w:r>
    <w:r w:rsidRPr="00FB5E52">
      <w:rPr>
        <w:b/>
        <w:spacing w:val="-2"/>
        <w:szCs w:val="22"/>
      </w:rPr>
      <w:tab/>
      <w:t xml:space="preserve">DA </w:t>
    </w:r>
    <w:r w:rsidR="00274B24" w:rsidRPr="00274B24">
      <w:rPr>
        <w:b/>
        <w:spacing w:val="-2"/>
        <w:szCs w:val="22"/>
      </w:rPr>
      <w:t>14-1683</w:t>
    </w:r>
  </w:p>
  <w:p w:rsidR="00106707" w:rsidRPr="00FB5E52" w:rsidRDefault="00106707" w:rsidP="00FB5E52">
    <w:pPr>
      <w:tabs>
        <w:tab w:val="left" w:pos="0"/>
      </w:tabs>
      <w:suppressAutoHyphens/>
      <w:spacing w:line="18" w:lineRule="exact"/>
      <w:jc w:val="both"/>
      <w:rPr>
        <w:spacing w:val="-2"/>
        <w:szCs w:val="22"/>
      </w:rPr>
    </w:pPr>
  </w:p>
  <w:p w:rsidR="00106707" w:rsidRPr="00FB5E52" w:rsidRDefault="00106707" w:rsidP="00FB5E52">
    <w:pPr>
      <w:spacing w:after="404" w:line="100" w:lineRule="exact"/>
      <w:rPr>
        <w:szCs w:val="22"/>
      </w:rPr>
    </w:pPr>
    <w:r w:rsidRPr="00FB5E52">
      <w:rPr>
        <w:noProof/>
        <w:snapToGrid/>
        <w:szCs w:val="22"/>
      </w:rPr>
      <mc:AlternateContent>
        <mc:Choice Requires="wps">
          <w:drawing>
            <wp:anchor distT="0" distB="0" distL="114300" distR="114300" simplePos="0" relativeHeight="251659264" behindDoc="1" locked="0" layoutInCell="0" allowOverlap="1" wp14:anchorId="28B868B7" wp14:editId="4595F392">
              <wp:simplePos x="0" y="0"/>
              <wp:positionH relativeFrom="margin">
                <wp:posOffset>0</wp:posOffset>
              </wp:positionH>
              <wp:positionV relativeFrom="paragraph">
                <wp:posOffset>16510</wp:posOffset>
              </wp:positionV>
              <wp:extent cx="5943600" cy="11430"/>
              <wp:effectExtent l="0" t="381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3pt;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f16gIAADI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" o:allowincell="f" fillcolor="black" stroked="f" strokeweight=".05pt">
              <w10:wrap anchorx="margin"/>
            </v:rect>
          </w:pict>
        </mc:Fallback>
      </mc:AlternateContent>
    </w:r>
  </w:p>
  <w:p w:rsidR="00106707" w:rsidRDefault="00106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61" w:rsidRDefault="00437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848"/>
    <w:multiLevelType w:val="hybridMultilevel"/>
    <w:tmpl w:val="666A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7704"/>
    <w:multiLevelType w:val="hybridMultilevel"/>
    <w:tmpl w:val="666A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57662"/>
    <w:multiLevelType w:val="hybridMultilevel"/>
    <w:tmpl w:val="7B503D56"/>
    <w:lvl w:ilvl="0" w:tplc="B9AC6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44C62"/>
    <w:multiLevelType w:val="hybridMultilevel"/>
    <w:tmpl w:val="AEBCD876"/>
    <w:lvl w:ilvl="0" w:tplc="DB26F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144DEC"/>
    <w:multiLevelType w:val="hybridMultilevel"/>
    <w:tmpl w:val="C21098CC"/>
    <w:lvl w:ilvl="0" w:tplc="5178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7F136A"/>
    <w:multiLevelType w:val="hybridMultilevel"/>
    <w:tmpl w:val="E0DA9088"/>
    <w:lvl w:ilvl="0" w:tplc="6AB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F63E1C"/>
    <w:multiLevelType w:val="hybridMultilevel"/>
    <w:tmpl w:val="C6288578"/>
    <w:lvl w:ilvl="0" w:tplc="91ECA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431AB"/>
    <w:multiLevelType w:val="hybridMultilevel"/>
    <w:tmpl w:val="659EBC14"/>
    <w:lvl w:ilvl="0" w:tplc="54C0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8"/>
    <w:rsid w:val="00001632"/>
    <w:rsid w:val="00003732"/>
    <w:rsid w:val="00014965"/>
    <w:rsid w:val="000207C6"/>
    <w:rsid w:val="00036324"/>
    <w:rsid w:val="000521D5"/>
    <w:rsid w:val="00054C3B"/>
    <w:rsid w:val="00092816"/>
    <w:rsid w:val="000B3C32"/>
    <w:rsid w:val="000F2430"/>
    <w:rsid w:val="00106707"/>
    <w:rsid w:val="00130CCB"/>
    <w:rsid w:val="00153855"/>
    <w:rsid w:val="001558FF"/>
    <w:rsid w:val="00160EA6"/>
    <w:rsid w:val="001713CF"/>
    <w:rsid w:val="001910C3"/>
    <w:rsid w:val="001E0AE4"/>
    <w:rsid w:val="001E0C3E"/>
    <w:rsid w:val="001E3129"/>
    <w:rsid w:val="001E4148"/>
    <w:rsid w:val="002119B5"/>
    <w:rsid w:val="00215718"/>
    <w:rsid w:val="00241AC4"/>
    <w:rsid w:val="00274B24"/>
    <w:rsid w:val="00297098"/>
    <w:rsid w:val="002A286B"/>
    <w:rsid w:val="002A72ED"/>
    <w:rsid w:val="002C2BC1"/>
    <w:rsid w:val="002C4E4C"/>
    <w:rsid w:val="002E5018"/>
    <w:rsid w:val="002F14C3"/>
    <w:rsid w:val="0032185E"/>
    <w:rsid w:val="00335795"/>
    <w:rsid w:val="0034013B"/>
    <w:rsid w:val="00340547"/>
    <w:rsid w:val="00342364"/>
    <w:rsid w:val="00345D82"/>
    <w:rsid w:val="00346550"/>
    <w:rsid w:val="003634A6"/>
    <w:rsid w:val="00370F9A"/>
    <w:rsid w:val="00375FED"/>
    <w:rsid w:val="00377D45"/>
    <w:rsid w:val="0038649A"/>
    <w:rsid w:val="003D5A76"/>
    <w:rsid w:val="004013BC"/>
    <w:rsid w:val="00433231"/>
    <w:rsid w:val="00437B61"/>
    <w:rsid w:val="00442393"/>
    <w:rsid w:val="00442F6A"/>
    <w:rsid w:val="00444F9E"/>
    <w:rsid w:val="00447989"/>
    <w:rsid w:val="00460C4A"/>
    <w:rsid w:val="00462732"/>
    <w:rsid w:val="004723BF"/>
    <w:rsid w:val="00476840"/>
    <w:rsid w:val="00476A0F"/>
    <w:rsid w:val="00482C09"/>
    <w:rsid w:val="00486D28"/>
    <w:rsid w:val="004C08FF"/>
    <w:rsid w:val="004C5B15"/>
    <w:rsid w:val="004D1A84"/>
    <w:rsid w:val="004D2AB7"/>
    <w:rsid w:val="004E1109"/>
    <w:rsid w:val="004F4030"/>
    <w:rsid w:val="00502FEB"/>
    <w:rsid w:val="00520096"/>
    <w:rsid w:val="00525F35"/>
    <w:rsid w:val="005301BE"/>
    <w:rsid w:val="005535CD"/>
    <w:rsid w:val="005571F1"/>
    <w:rsid w:val="005662EF"/>
    <w:rsid w:val="005759B5"/>
    <w:rsid w:val="0057673A"/>
    <w:rsid w:val="005B22BA"/>
    <w:rsid w:val="005B5A4C"/>
    <w:rsid w:val="005B6A28"/>
    <w:rsid w:val="005D7D6A"/>
    <w:rsid w:val="005E5E7C"/>
    <w:rsid w:val="005E73FF"/>
    <w:rsid w:val="005F5B81"/>
    <w:rsid w:val="00604E3F"/>
    <w:rsid w:val="00621420"/>
    <w:rsid w:val="00621BD5"/>
    <w:rsid w:val="00627241"/>
    <w:rsid w:val="00632B32"/>
    <w:rsid w:val="00636EDA"/>
    <w:rsid w:val="0065095C"/>
    <w:rsid w:val="0065592C"/>
    <w:rsid w:val="00664C1B"/>
    <w:rsid w:val="00666094"/>
    <w:rsid w:val="0069799F"/>
    <w:rsid w:val="006A4CA4"/>
    <w:rsid w:val="006B2CC0"/>
    <w:rsid w:val="006B3568"/>
    <w:rsid w:val="006C2A6D"/>
    <w:rsid w:val="006E50BA"/>
    <w:rsid w:val="007120DD"/>
    <w:rsid w:val="007174F9"/>
    <w:rsid w:val="0076123E"/>
    <w:rsid w:val="00762CB4"/>
    <w:rsid w:val="007714F4"/>
    <w:rsid w:val="00775B59"/>
    <w:rsid w:val="00783EAF"/>
    <w:rsid w:val="0078465A"/>
    <w:rsid w:val="007B406B"/>
    <w:rsid w:val="007C123E"/>
    <w:rsid w:val="007F7BD2"/>
    <w:rsid w:val="008435E2"/>
    <w:rsid w:val="00860BF8"/>
    <w:rsid w:val="0086355E"/>
    <w:rsid w:val="00864ABF"/>
    <w:rsid w:val="00865C12"/>
    <w:rsid w:val="00866A45"/>
    <w:rsid w:val="0087053B"/>
    <w:rsid w:val="008713FA"/>
    <w:rsid w:val="008729A0"/>
    <w:rsid w:val="00872A28"/>
    <w:rsid w:val="00883B81"/>
    <w:rsid w:val="00890BC7"/>
    <w:rsid w:val="008A07BA"/>
    <w:rsid w:val="008A779B"/>
    <w:rsid w:val="008C7135"/>
    <w:rsid w:val="008E4EB4"/>
    <w:rsid w:val="0093351B"/>
    <w:rsid w:val="00952F87"/>
    <w:rsid w:val="009644D4"/>
    <w:rsid w:val="0099063B"/>
    <w:rsid w:val="009A62FA"/>
    <w:rsid w:val="009B6D09"/>
    <w:rsid w:val="009F4309"/>
    <w:rsid w:val="00A014A2"/>
    <w:rsid w:val="00A041DB"/>
    <w:rsid w:val="00A54014"/>
    <w:rsid w:val="00A55567"/>
    <w:rsid w:val="00A657E3"/>
    <w:rsid w:val="00A80897"/>
    <w:rsid w:val="00A877CD"/>
    <w:rsid w:val="00A918D0"/>
    <w:rsid w:val="00AA032F"/>
    <w:rsid w:val="00AA2261"/>
    <w:rsid w:val="00AB3371"/>
    <w:rsid w:val="00AD26DA"/>
    <w:rsid w:val="00AD726B"/>
    <w:rsid w:val="00AF57F9"/>
    <w:rsid w:val="00B06635"/>
    <w:rsid w:val="00B10350"/>
    <w:rsid w:val="00B219D0"/>
    <w:rsid w:val="00B63E5F"/>
    <w:rsid w:val="00B6796B"/>
    <w:rsid w:val="00B7004A"/>
    <w:rsid w:val="00B74A97"/>
    <w:rsid w:val="00B77BD7"/>
    <w:rsid w:val="00B85FA3"/>
    <w:rsid w:val="00BD25CF"/>
    <w:rsid w:val="00BD7E5F"/>
    <w:rsid w:val="00C11611"/>
    <w:rsid w:val="00C116D1"/>
    <w:rsid w:val="00C1472B"/>
    <w:rsid w:val="00C200DD"/>
    <w:rsid w:val="00C2365D"/>
    <w:rsid w:val="00C30C54"/>
    <w:rsid w:val="00C349E6"/>
    <w:rsid w:val="00C423A7"/>
    <w:rsid w:val="00C46E2E"/>
    <w:rsid w:val="00C56A38"/>
    <w:rsid w:val="00C57C9F"/>
    <w:rsid w:val="00C80FC8"/>
    <w:rsid w:val="00C81C72"/>
    <w:rsid w:val="00C83755"/>
    <w:rsid w:val="00CA0E15"/>
    <w:rsid w:val="00CC3314"/>
    <w:rsid w:val="00CE49BE"/>
    <w:rsid w:val="00CF2E4D"/>
    <w:rsid w:val="00CF64BA"/>
    <w:rsid w:val="00CF7304"/>
    <w:rsid w:val="00D05A3C"/>
    <w:rsid w:val="00D1416C"/>
    <w:rsid w:val="00D16A86"/>
    <w:rsid w:val="00D25EAE"/>
    <w:rsid w:val="00D27C80"/>
    <w:rsid w:val="00D31539"/>
    <w:rsid w:val="00D54BF6"/>
    <w:rsid w:val="00D579C3"/>
    <w:rsid w:val="00D60E15"/>
    <w:rsid w:val="00D65621"/>
    <w:rsid w:val="00D665EE"/>
    <w:rsid w:val="00D704AF"/>
    <w:rsid w:val="00D77C4D"/>
    <w:rsid w:val="00D8119B"/>
    <w:rsid w:val="00D92EBC"/>
    <w:rsid w:val="00DC5D90"/>
    <w:rsid w:val="00DE5055"/>
    <w:rsid w:val="00E2235B"/>
    <w:rsid w:val="00E31B5C"/>
    <w:rsid w:val="00E4780D"/>
    <w:rsid w:val="00E50855"/>
    <w:rsid w:val="00E55623"/>
    <w:rsid w:val="00E61F30"/>
    <w:rsid w:val="00E7711B"/>
    <w:rsid w:val="00E8654A"/>
    <w:rsid w:val="00E90E0C"/>
    <w:rsid w:val="00EC5379"/>
    <w:rsid w:val="00EF3900"/>
    <w:rsid w:val="00F36DBD"/>
    <w:rsid w:val="00F460BB"/>
    <w:rsid w:val="00F5663C"/>
    <w:rsid w:val="00F56B0C"/>
    <w:rsid w:val="00F602B1"/>
    <w:rsid w:val="00F63F68"/>
    <w:rsid w:val="00F67EBF"/>
    <w:rsid w:val="00F80702"/>
    <w:rsid w:val="00F82787"/>
    <w:rsid w:val="00FA6CB8"/>
    <w:rsid w:val="00FB5E52"/>
    <w:rsid w:val="00FC1B1C"/>
    <w:rsid w:val="00FC25C4"/>
    <w:rsid w:val="00FD1E21"/>
    <w:rsid w:val="00FD3E95"/>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6A38"/>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C56A38"/>
    <w:rPr>
      <w:rFonts w:ascii="Times New Roman" w:eastAsia="Times New Roman" w:hAnsi="Times New Roman" w:cs="Times New Roman"/>
      <w:snapToGrid w:val="0"/>
      <w:spacing w:val="-3"/>
      <w:kern w:val="28"/>
      <w:sz w:val="24"/>
      <w:szCs w:val="20"/>
    </w:rPr>
  </w:style>
  <w:style w:type="paragraph" w:styleId="Header">
    <w:name w:val="header"/>
    <w:basedOn w:val="Normal"/>
    <w:link w:val="HeaderChar"/>
    <w:unhideWhenUsed/>
    <w:rsid w:val="00FB5E52"/>
    <w:pPr>
      <w:tabs>
        <w:tab w:val="center" w:pos="4680"/>
        <w:tab w:val="right" w:pos="9360"/>
      </w:tabs>
    </w:pPr>
  </w:style>
  <w:style w:type="character" w:customStyle="1" w:styleId="HeaderChar">
    <w:name w:val="Header Char"/>
    <w:basedOn w:val="DefaultParagraphFont"/>
    <w:link w:val="Header"/>
    <w:uiPriority w:val="99"/>
    <w:rsid w:val="00FB5E5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B5E52"/>
    <w:pPr>
      <w:tabs>
        <w:tab w:val="center" w:pos="4680"/>
        <w:tab w:val="right" w:pos="9360"/>
      </w:tabs>
    </w:pPr>
  </w:style>
  <w:style w:type="character" w:customStyle="1" w:styleId="FooterChar">
    <w:name w:val="Footer Char"/>
    <w:basedOn w:val="DefaultParagraphFont"/>
    <w:link w:val="Footer"/>
    <w:uiPriority w:val="99"/>
    <w:rsid w:val="00FB5E5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FB5E52"/>
    <w:pPr>
      <w:ind w:left="720"/>
      <w:contextualSpacing/>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
    <w:basedOn w:val="Normal"/>
    <w:link w:val="FootnoteTextChar"/>
    <w:semiHidden/>
    <w:rsid w:val="000207C6"/>
    <w:rPr>
      <w:kern w:val="0"/>
      <w:sz w:val="24"/>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semiHidden/>
    <w:rsid w:val="000207C6"/>
    <w:rPr>
      <w:rFonts w:ascii="Times New Roman" w:eastAsia="Times New Roman" w:hAnsi="Times New Roman" w:cs="Times New Roman"/>
      <w:snapToGrid w:val="0"/>
      <w:sz w:val="24"/>
      <w:szCs w:val="20"/>
    </w:rPr>
  </w:style>
  <w:style w:type="character" w:styleId="FootnoteReference">
    <w:name w:val="footnote reference"/>
    <w:aliases w:val="Style 12,(NECG) Footnote Reference,Appel note de bas de p,Style 124,Style 13,o,fr,Style 3"/>
    <w:semiHidden/>
    <w:rsid w:val="000207C6"/>
    <w:rPr>
      <w:vertAlign w:val="superscript"/>
    </w:rPr>
  </w:style>
  <w:style w:type="paragraph" w:styleId="BalloonText">
    <w:name w:val="Balloon Text"/>
    <w:basedOn w:val="Normal"/>
    <w:link w:val="BalloonTextChar"/>
    <w:uiPriority w:val="99"/>
    <w:semiHidden/>
    <w:unhideWhenUsed/>
    <w:rsid w:val="00476840"/>
    <w:rPr>
      <w:rFonts w:ascii="Tahoma" w:hAnsi="Tahoma" w:cs="Tahoma"/>
      <w:sz w:val="16"/>
      <w:szCs w:val="16"/>
    </w:rPr>
  </w:style>
  <w:style w:type="character" w:customStyle="1" w:styleId="BalloonTextChar">
    <w:name w:val="Balloon Text Char"/>
    <w:basedOn w:val="DefaultParagraphFont"/>
    <w:link w:val="BalloonText"/>
    <w:uiPriority w:val="99"/>
    <w:semiHidden/>
    <w:rsid w:val="00476840"/>
    <w:rPr>
      <w:rFonts w:ascii="Tahoma" w:eastAsia="Times New Roman" w:hAnsi="Tahoma" w:cs="Tahoma"/>
      <w:snapToGrid w:val="0"/>
      <w:kern w:val="28"/>
      <w:sz w:val="16"/>
      <w:szCs w:val="16"/>
    </w:rPr>
  </w:style>
  <w:style w:type="character" w:customStyle="1" w:styleId="apple-converted-space">
    <w:name w:val="apple-converted-space"/>
    <w:basedOn w:val="DefaultParagraphFont"/>
    <w:rsid w:val="005E5E7C"/>
  </w:style>
  <w:style w:type="character" w:styleId="Hyperlink">
    <w:name w:val="Hyperlink"/>
    <w:basedOn w:val="DefaultParagraphFont"/>
    <w:uiPriority w:val="99"/>
    <w:semiHidden/>
    <w:unhideWhenUsed/>
    <w:rsid w:val="005E5E7C"/>
    <w:rPr>
      <w:color w:val="0000FF"/>
      <w:u w:val="single"/>
    </w:rPr>
  </w:style>
  <w:style w:type="character" w:customStyle="1" w:styleId="searchterm">
    <w:name w:val="searchterm"/>
    <w:basedOn w:val="DefaultParagraphFont"/>
    <w:rsid w:val="005E5E7C"/>
  </w:style>
  <w:style w:type="character" w:customStyle="1" w:styleId="starpage">
    <w:name w:val="starpage"/>
    <w:basedOn w:val="DefaultParagraphFont"/>
    <w:rsid w:val="00B77BD7"/>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 Char"/>
    <w:semiHidden/>
    <w:rsid w:val="00783EAF"/>
  </w:style>
  <w:style w:type="character" w:styleId="CommentReference">
    <w:name w:val="annotation reference"/>
    <w:basedOn w:val="DefaultParagraphFont"/>
    <w:uiPriority w:val="99"/>
    <w:semiHidden/>
    <w:unhideWhenUsed/>
    <w:rsid w:val="0038649A"/>
    <w:rPr>
      <w:sz w:val="16"/>
      <w:szCs w:val="16"/>
    </w:rPr>
  </w:style>
  <w:style w:type="paragraph" w:styleId="CommentText">
    <w:name w:val="annotation text"/>
    <w:basedOn w:val="Normal"/>
    <w:link w:val="CommentTextChar"/>
    <w:uiPriority w:val="99"/>
    <w:semiHidden/>
    <w:unhideWhenUsed/>
    <w:rsid w:val="0038649A"/>
    <w:rPr>
      <w:sz w:val="20"/>
    </w:rPr>
  </w:style>
  <w:style w:type="character" w:customStyle="1" w:styleId="CommentTextChar">
    <w:name w:val="Comment Text Char"/>
    <w:basedOn w:val="DefaultParagraphFont"/>
    <w:link w:val="CommentText"/>
    <w:uiPriority w:val="99"/>
    <w:semiHidden/>
    <w:rsid w:val="0038649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8649A"/>
    <w:rPr>
      <w:b/>
      <w:bCs/>
    </w:rPr>
  </w:style>
  <w:style w:type="character" w:customStyle="1" w:styleId="CommentSubjectChar">
    <w:name w:val="Comment Subject Char"/>
    <w:basedOn w:val="CommentTextChar"/>
    <w:link w:val="CommentSubject"/>
    <w:uiPriority w:val="99"/>
    <w:semiHidden/>
    <w:rsid w:val="0038649A"/>
    <w:rPr>
      <w:rFonts w:ascii="Times New Roman" w:eastAsia="Times New Roman" w:hAnsi="Times New Roman" w:cs="Times New Roman"/>
      <w:b/>
      <w:bCs/>
      <w:snapToGrid w:val="0"/>
      <w:kern w:val="28"/>
      <w:sz w:val="20"/>
      <w:szCs w:val="20"/>
    </w:rPr>
  </w:style>
  <w:style w:type="paragraph" w:customStyle="1" w:styleId="ParaNum">
    <w:name w:val="ParaNum"/>
    <w:basedOn w:val="Normal"/>
    <w:rsid w:val="0076123E"/>
    <w:pPr>
      <w:numPr>
        <w:numId w:val="7"/>
      </w:numPr>
      <w:tabs>
        <w:tab w:val="clear" w:pos="1080"/>
        <w:tab w:val="num" w:pos="1440"/>
      </w:tabs>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6A38"/>
    <w:pPr>
      <w:widowControl/>
      <w:tabs>
        <w:tab w:val="left" w:pos="-720"/>
      </w:tabs>
      <w:suppressAutoHyphens/>
      <w:spacing w:line="225" w:lineRule="auto"/>
      <w:jc w:val="both"/>
    </w:pPr>
    <w:rPr>
      <w:spacing w:val="-3"/>
      <w:sz w:val="24"/>
    </w:rPr>
  </w:style>
  <w:style w:type="character" w:customStyle="1" w:styleId="BodyTextChar">
    <w:name w:val="Body Text Char"/>
    <w:basedOn w:val="DefaultParagraphFont"/>
    <w:link w:val="BodyText"/>
    <w:rsid w:val="00C56A38"/>
    <w:rPr>
      <w:rFonts w:ascii="Times New Roman" w:eastAsia="Times New Roman" w:hAnsi="Times New Roman" w:cs="Times New Roman"/>
      <w:snapToGrid w:val="0"/>
      <w:spacing w:val="-3"/>
      <w:kern w:val="28"/>
      <w:sz w:val="24"/>
      <w:szCs w:val="20"/>
    </w:rPr>
  </w:style>
  <w:style w:type="paragraph" w:styleId="Header">
    <w:name w:val="header"/>
    <w:basedOn w:val="Normal"/>
    <w:link w:val="HeaderChar"/>
    <w:unhideWhenUsed/>
    <w:rsid w:val="00FB5E52"/>
    <w:pPr>
      <w:tabs>
        <w:tab w:val="center" w:pos="4680"/>
        <w:tab w:val="right" w:pos="9360"/>
      </w:tabs>
    </w:pPr>
  </w:style>
  <w:style w:type="character" w:customStyle="1" w:styleId="HeaderChar">
    <w:name w:val="Header Char"/>
    <w:basedOn w:val="DefaultParagraphFont"/>
    <w:link w:val="Header"/>
    <w:uiPriority w:val="99"/>
    <w:rsid w:val="00FB5E5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B5E52"/>
    <w:pPr>
      <w:tabs>
        <w:tab w:val="center" w:pos="4680"/>
        <w:tab w:val="right" w:pos="9360"/>
      </w:tabs>
    </w:pPr>
  </w:style>
  <w:style w:type="character" w:customStyle="1" w:styleId="FooterChar">
    <w:name w:val="Footer Char"/>
    <w:basedOn w:val="DefaultParagraphFont"/>
    <w:link w:val="Footer"/>
    <w:uiPriority w:val="99"/>
    <w:rsid w:val="00FB5E5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FB5E52"/>
    <w:pPr>
      <w:ind w:left="720"/>
      <w:contextualSpacing/>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
    <w:basedOn w:val="Normal"/>
    <w:link w:val="FootnoteTextChar"/>
    <w:semiHidden/>
    <w:rsid w:val="000207C6"/>
    <w:rPr>
      <w:kern w:val="0"/>
      <w:sz w:val="24"/>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semiHidden/>
    <w:rsid w:val="000207C6"/>
    <w:rPr>
      <w:rFonts w:ascii="Times New Roman" w:eastAsia="Times New Roman" w:hAnsi="Times New Roman" w:cs="Times New Roman"/>
      <w:snapToGrid w:val="0"/>
      <w:sz w:val="24"/>
      <w:szCs w:val="20"/>
    </w:rPr>
  </w:style>
  <w:style w:type="character" w:styleId="FootnoteReference">
    <w:name w:val="footnote reference"/>
    <w:aliases w:val="Style 12,(NECG) Footnote Reference,Appel note de bas de p,Style 124,Style 13,o,fr,Style 3"/>
    <w:semiHidden/>
    <w:rsid w:val="000207C6"/>
    <w:rPr>
      <w:vertAlign w:val="superscript"/>
    </w:rPr>
  </w:style>
  <w:style w:type="paragraph" w:styleId="BalloonText">
    <w:name w:val="Balloon Text"/>
    <w:basedOn w:val="Normal"/>
    <w:link w:val="BalloonTextChar"/>
    <w:uiPriority w:val="99"/>
    <w:semiHidden/>
    <w:unhideWhenUsed/>
    <w:rsid w:val="00476840"/>
    <w:rPr>
      <w:rFonts w:ascii="Tahoma" w:hAnsi="Tahoma" w:cs="Tahoma"/>
      <w:sz w:val="16"/>
      <w:szCs w:val="16"/>
    </w:rPr>
  </w:style>
  <w:style w:type="character" w:customStyle="1" w:styleId="BalloonTextChar">
    <w:name w:val="Balloon Text Char"/>
    <w:basedOn w:val="DefaultParagraphFont"/>
    <w:link w:val="BalloonText"/>
    <w:uiPriority w:val="99"/>
    <w:semiHidden/>
    <w:rsid w:val="00476840"/>
    <w:rPr>
      <w:rFonts w:ascii="Tahoma" w:eastAsia="Times New Roman" w:hAnsi="Tahoma" w:cs="Tahoma"/>
      <w:snapToGrid w:val="0"/>
      <w:kern w:val="28"/>
      <w:sz w:val="16"/>
      <w:szCs w:val="16"/>
    </w:rPr>
  </w:style>
  <w:style w:type="character" w:customStyle="1" w:styleId="apple-converted-space">
    <w:name w:val="apple-converted-space"/>
    <w:basedOn w:val="DefaultParagraphFont"/>
    <w:rsid w:val="005E5E7C"/>
  </w:style>
  <w:style w:type="character" w:styleId="Hyperlink">
    <w:name w:val="Hyperlink"/>
    <w:basedOn w:val="DefaultParagraphFont"/>
    <w:uiPriority w:val="99"/>
    <w:semiHidden/>
    <w:unhideWhenUsed/>
    <w:rsid w:val="005E5E7C"/>
    <w:rPr>
      <w:color w:val="0000FF"/>
      <w:u w:val="single"/>
    </w:rPr>
  </w:style>
  <w:style w:type="character" w:customStyle="1" w:styleId="searchterm">
    <w:name w:val="searchterm"/>
    <w:basedOn w:val="DefaultParagraphFont"/>
    <w:rsid w:val="005E5E7C"/>
  </w:style>
  <w:style w:type="character" w:customStyle="1" w:styleId="starpage">
    <w:name w:val="starpage"/>
    <w:basedOn w:val="DefaultParagraphFont"/>
    <w:rsid w:val="00B77BD7"/>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 Char"/>
    <w:semiHidden/>
    <w:rsid w:val="00783EAF"/>
  </w:style>
  <w:style w:type="character" w:styleId="CommentReference">
    <w:name w:val="annotation reference"/>
    <w:basedOn w:val="DefaultParagraphFont"/>
    <w:uiPriority w:val="99"/>
    <w:semiHidden/>
    <w:unhideWhenUsed/>
    <w:rsid w:val="0038649A"/>
    <w:rPr>
      <w:sz w:val="16"/>
      <w:szCs w:val="16"/>
    </w:rPr>
  </w:style>
  <w:style w:type="paragraph" w:styleId="CommentText">
    <w:name w:val="annotation text"/>
    <w:basedOn w:val="Normal"/>
    <w:link w:val="CommentTextChar"/>
    <w:uiPriority w:val="99"/>
    <w:semiHidden/>
    <w:unhideWhenUsed/>
    <w:rsid w:val="0038649A"/>
    <w:rPr>
      <w:sz w:val="20"/>
    </w:rPr>
  </w:style>
  <w:style w:type="character" w:customStyle="1" w:styleId="CommentTextChar">
    <w:name w:val="Comment Text Char"/>
    <w:basedOn w:val="DefaultParagraphFont"/>
    <w:link w:val="CommentText"/>
    <w:uiPriority w:val="99"/>
    <w:semiHidden/>
    <w:rsid w:val="0038649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8649A"/>
    <w:rPr>
      <w:b/>
      <w:bCs/>
    </w:rPr>
  </w:style>
  <w:style w:type="character" w:customStyle="1" w:styleId="CommentSubjectChar">
    <w:name w:val="Comment Subject Char"/>
    <w:basedOn w:val="CommentTextChar"/>
    <w:link w:val="CommentSubject"/>
    <w:uiPriority w:val="99"/>
    <w:semiHidden/>
    <w:rsid w:val="0038649A"/>
    <w:rPr>
      <w:rFonts w:ascii="Times New Roman" w:eastAsia="Times New Roman" w:hAnsi="Times New Roman" w:cs="Times New Roman"/>
      <w:b/>
      <w:bCs/>
      <w:snapToGrid w:val="0"/>
      <w:kern w:val="28"/>
      <w:sz w:val="20"/>
      <w:szCs w:val="20"/>
    </w:rPr>
  </w:style>
  <w:style w:type="paragraph" w:customStyle="1" w:styleId="ParaNum">
    <w:name w:val="ParaNum"/>
    <w:basedOn w:val="Normal"/>
    <w:rsid w:val="0076123E"/>
    <w:pPr>
      <w:numPr>
        <w:numId w:val="7"/>
      </w:numPr>
      <w:tabs>
        <w:tab w:val="clear" w:pos="1080"/>
        <w:tab w:val="num" w:pos="1440"/>
      </w:tab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09400">
      <w:bodyDiv w:val="1"/>
      <w:marLeft w:val="0"/>
      <w:marRight w:val="0"/>
      <w:marTop w:val="0"/>
      <w:marBottom w:val="0"/>
      <w:divBdr>
        <w:top w:val="none" w:sz="0" w:space="0" w:color="auto"/>
        <w:left w:val="none" w:sz="0" w:space="0" w:color="auto"/>
        <w:bottom w:val="none" w:sz="0" w:space="0" w:color="auto"/>
        <w:right w:val="none" w:sz="0" w:space="0" w:color="auto"/>
      </w:divBdr>
    </w:div>
    <w:div w:id="985669605">
      <w:bodyDiv w:val="1"/>
      <w:marLeft w:val="0"/>
      <w:marRight w:val="0"/>
      <w:marTop w:val="0"/>
      <w:marBottom w:val="0"/>
      <w:divBdr>
        <w:top w:val="none" w:sz="0" w:space="0" w:color="auto"/>
        <w:left w:val="none" w:sz="0" w:space="0" w:color="auto"/>
        <w:bottom w:val="none" w:sz="0" w:space="0" w:color="auto"/>
        <w:right w:val="none" w:sz="0" w:space="0" w:color="auto"/>
      </w:divBdr>
    </w:div>
    <w:div w:id="994721595">
      <w:bodyDiv w:val="1"/>
      <w:marLeft w:val="0"/>
      <w:marRight w:val="0"/>
      <w:marTop w:val="0"/>
      <w:marBottom w:val="0"/>
      <w:divBdr>
        <w:top w:val="none" w:sz="0" w:space="0" w:color="auto"/>
        <w:left w:val="none" w:sz="0" w:space="0" w:color="auto"/>
        <w:bottom w:val="none" w:sz="0" w:space="0" w:color="auto"/>
        <w:right w:val="none" w:sz="0" w:space="0" w:color="auto"/>
      </w:divBdr>
    </w:div>
    <w:div w:id="999039636">
      <w:bodyDiv w:val="1"/>
      <w:marLeft w:val="0"/>
      <w:marRight w:val="0"/>
      <w:marTop w:val="0"/>
      <w:marBottom w:val="0"/>
      <w:divBdr>
        <w:top w:val="none" w:sz="0" w:space="0" w:color="auto"/>
        <w:left w:val="none" w:sz="0" w:space="0" w:color="auto"/>
        <w:bottom w:val="none" w:sz="0" w:space="0" w:color="auto"/>
        <w:right w:val="none" w:sz="0" w:space="0" w:color="auto"/>
      </w:divBdr>
    </w:div>
    <w:div w:id="1289387838">
      <w:bodyDiv w:val="1"/>
      <w:marLeft w:val="0"/>
      <w:marRight w:val="0"/>
      <w:marTop w:val="0"/>
      <w:marBottom w:val="0"/>
      <w:divBdr>
        <w:top w:val="none" w:sz="0" w:space="0" w:color="auto"/>
        <w:left w:val="none" w:sz="0" w:space="0" w:color="auto"/>
        <w:bottom w:val="none" w:sz="0" w:space="0" w:color="auto"/>
        <w:right w:val="none" w:sz="0" w:space="0" w:color="auto"/>
      </w:divBdr>
    </w:div>
    <w:div w:id="1499997356">
      <w:bodyDiv w:val="1"/>
      <w:marLeft w:val="0"/>
      <w:marRight w:val="0"/>
      <w:marTop w:val="0"/>
      <w:marBottom w:val="0"/>
      <w:divBdr>
        <w:top w:val="none" w:sz="0" w:space="0" w:color="auto"/>
        <w:left w:val="none" w:sz="0" w:space="0" w:color="auto"/>
        <w:bottom w:val="none" w:sz="0" w:space="0" w:color="auto"/>
        <w:right w:val="none" w:sz="0" w:space="0" w:color="auto"/>
      </w:divBdr>
    </w:div>
    <w:div w:id="15059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7&amp;DocName=47CFRS73.1620&amp;FindType=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2.westlaw.com/find/default.wl?mt=12&amp;db=1000546&amp;docname=5USCAS801&amp;rp=%2ffind%2fdefault.wl&amp;findtype=L&amp;ordoc=2009333379&amp;tc=-1&amp;vr=2.0&amp;fn=_top&amp;sv=Split&amp;tf=-1&amp;referencepositiontype=T&amp;pbc=71B5A161&amp;referenceposition=SP%3ba5e1000094854&amp;rs=WLW14.07" TargetMode="External"/><Relationship Id="rId4" Type="http://schemas.openxmlformats.org/officeDocument/2006/relationships/settings" Target="settings.xml"/><Relationship Id="rId9" Type="http://schemas.openxmlformats.org/officeDocument/2006/relationships/hyperlink" Target="http://www.westlaw.com/Find/Default.wl?rs=dfa1.0&amp;vr=2.0&amp;DB=1000547&amp;DocName=47CFRS1.1307&amp;FindType=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1000546&amp;DocName=47USCAS316&amp;FindType=L&amp;ReferencePositionType=T&amp;ReferencePosition=SP_8b3b0000958a4" TargetMode="External"/><Relationship Id="rId2" Type="http://schemas.openxmlformats.org/officeDocument/2006/relationships/hyperlink" Target="http://www.westlaw.com/Find/Default.wl?rs=dfa1.0&amp;vr=2.0&amp;DB=4493&amp;FindType=Y&amp;SerialNum=2009525314" TargetMode="External"/><Relationship Id="rId1" Type="http://schemas.openxmlformats.org/officeDocument/2006/relationships/hyperlink" Target="http://www.westlaw.com/Find/Default.wl?rs=dfa1.0&amp;vr=2.0&amp;DB=4493&amp;FindType=Y&amp;SerialNum=2009525314" TargetMode="External"/><Relationship Id="rId4" Type="http://schemas.openxmlformats.org/officeDocument/2006/relationships/hyperlink" Target="http://www.westlaw.com/Find/Default.wl?rs=dfa1.0&amp;vr=2.0&amp;DB=4493&amp;DocName=7FCCRCD7688&amp;FindTyp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8328</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2014-11-20T19:13:00Z</cp:lastPrinted>
  <dcterms:created xsi:type="dcterms:W3CDTF">2014-11-21T14:09:00Z</dcterms:created>
  <dcterms:modified xsi:type="dcterms:W3CDTF">2014-11-21T14:09:00Z</dcterms:modified>
  <cp:category> </cp:category>
  <cp:contentStatus> </cp:contentStatus>
</cp:coreProperties>
</file>