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70A0E" w:rsidRDefault="00602577">
      <w:pPr>
        <w:pStyle w:val="Header"/>
        <w:rPr>
          <w:szCs w:val="22"/>
        </w:rPr>
        <w:sectPr w:rsidR="00602577" w:rsidRPr="00D70A0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rsidR="0013002F" w:rsidRPr="00D70A0E" w:rsidRDefault="0013002F" w:rsidP="00322C80">
      <w:pPr>
        <w:jc w:val="right"/>
        <w:rPr>
          <w:b/>
          <w:szCs w:val="22"/>
        </w:rPr>
      </w:pPr>
      <w:r w:rsidRPr="00D70A0E">
        <w:rPr>
          <w:b/>
          <w:szCs w:val="22"/>
        </w:rPr>
        <w:lastRenderedPageBreak/>
        <w:t>DA 14-</w:t>
      </w:r>
      <w:r w:rsidR="00F52A48">
        <w:rPr>
          <w:b/>
          <w:szCs w:val="22"/>
        </w:rPr>
        <w:t>1688</w:t>
      </w:r>
    </w:p>
    <w:p w:rsidR="0013002F" w:rsidRPr="00D70A0E" w:rsidRDefault="002C6CBA" w:rsidP="00322C80">
      <w:pPr>
        <w:spacing w:after="240"/>
        <w:jc w:val="right"/>
        <w:rPr>
          <w:b/>
          <w:szCs w:val="22"/>
        </w:rPr>
      </w:pPr>
      <w:r>
        <w:rPr>
          <w:b/>
          <w:szCs w:val="22"/>
        </w:rPr>
        <w:t>November</w:t>
      </w:r>
      <w:r w:rsidR="004B5A60">
        <w:rPr>
          <w:b/>
          <w:szCs w:val="22"/>
        </w:rPr>
        <w:t xml:space="preserve"> 21</w:t>
      </w:r>
      <w:r w:rsidR="0013002F" w:rsidRPr="00D70A0E">
        <w:rPr>
          <w:b/>
          <w:szCs w:val="22"/>
        </w:rPr>
        <w:t>, 2014</w:t>
      </w:r>
    </w:p>
    <w:p w:rsidR="00982A13" w:rsidRDefault="0072520C" w:rsidP="00442D4D">
      <w:pPr>
        <w:jc w:val="center"/>
        <w:rPr>
          <w:b/>
          <w:szCs w:val="22"/>
        </w:rPr>
      </w:pPr>
      <w:r w:rsidRPr="00D70A0E">
        <w:rPr>
          <w:b/>
          <w:szCs w:val="22"/>
        </w:rPr>
        <w:t xml:space="preserve">REQUEST </w:t>
      </w:r>
      <w:r w:rsidR="00982A13">
        <w:rPr>
          <w:b/>
          <w:szCs w:val="22"/>
        </w:rPr>
        <w:t xml:space="preserve">FOR </w:t>
      </w:r>
      <w:r w:rsidR="0013002F" w:rsidRPr="00D70A0E">
        <w:rPr>
          <w:b/>
          <w:szCs w:val="22"/>
        </w:rPr>
        <w:t>UPDATED INFORMATION AND COMMENT</w:t>
      </w:r>
    </w:p>
    <w:p w:rsidR="0013002F" w:rsidRPr="00D70A0E" w:rsidRDefault="00D833BF" w:rsidP="00FA6D76">
      <w:pPr>
        <w:spacing w:after="120"/>
        <w:jc w:val="center"/>
        <w:rPr>
          <w:b/>
          <w:szCs w:val="22"/>
        </w:rPr>
      </w:pPr>
      <w:r w:rsidRPr="00D70A0E">
        <w:rPr>
          <w:b/>
          <w:szCs w:val="22"/>
        </w:rPr>
        <w:t>ON WIRELESS</w:t>
      </w:r>
      <w:r w:rsidR="0013002F" w:rsidRPr="00D70A0E">
        <w:rPr>
          <w:b/>
          <w:szCs w:val="22"/>
        </w:rPr>
        <w:t xml:space="preserve"> HEARING AID COMPATIBILITY REGULATIONS</w:t>
      </w:r>
    </w:p>
    <w:p w:rsidR="0013002F" w:rsidRDefault="0013002F" w:rsidP="002E2ED2">
      <w:pPr>
        <w:jc w:val="center"/>
        <w:rPr>
          <w:b/>
          <w:szCs w:val="22"/>
        </w:rPr>
      </w:pPr>
      <w:r w:rsidRPr="00D70A0E">
        <w:rPr>
          <w:b/>
          <w:szCs w:val="22"/>
        </w:rPr>
        <w:t>WT Docket Nos. 07-250 and 10-254</w:t>
      </w:r>
    </w:p>
    <w:p w:rsidR="00BF0496" w:rsidRDefault="00BF0496" w:rsidP="00322C80">
      <w:pPr>
        <w:rPr>
          <w:b/>
          <w:szCs w:val="22"/>
        </w:rPr>
      </w:pPr>
    </w:p>
    <w:p w:rsidR="0013002F" w:rsidRPr="00D70A0E" w:rsidRDefault="00A944B4" w:rsidP="00322C80">
      <w:pPr>
        <w:rPr>
          <w:b/>
          <w:szCs w:val="22"/>
        </w:rPr>
      </w:pPr>
      <w:r w:rsidRPr="00D70A0E">
        <w:rPr>
          <w:b/>
          <w:szCs w:val="22"/>
        </w:rPr>
        <w:t xml:space="preserve">Comment Date:  </w:t>
      </w:r>
      <w:r w:rsidR="0072520C" w:rsidRPr="00D70A0E">
        <w:rPr>
          <w:b/>
          <w:szCs w:val="22"/>
        </w:rPr>
        <w:t>30</w:t>
      </w:r>
      <w:r w:rsidR="0013002F" w:rsidRPr="00D70A0E">
        <w:rPr>
          <w:b/>
          <w:szCs w:val="22"/>
        </w:rPr>
        <w:t xml:space="preserve"> days from publication in the </w:t>
      </w:r>
      <w:r w:rsidR="0013002F" w:rsidRPr="00D70A0E">
        <w:rPr>
          <w:b/>
          <w:i/>
          <w:szCs w:val="22"/>
        </w:rPr>
        <w:t>Federal Register</w:t>
      </w:r>
    </w:p>
    <w:p w:rsidR="0013002F" w:rsidRPr="00D70A0E" w:rsidRDefault="00631A6D" w:rsidP="00322C80">
      <w:pPr>
        <w:spacing w:after="240"/>
        <w:rPr>
          <w:szCs w:val="22"/>
        </w:rPr>
      </w:pPr>
      <w:r w:rsidRPr="00D70A0E">
        <w:rPr>
          <w:b/>
          <w:szCs w:val="22"/>
        </w:rPr>
        <w:t xml:space="preserve">Reply Comment Date:  </w:t>
      </w:r>
      <w:r w:rsidR="002C6CBA">
        <w:rPr>
          <w:b/>
          <w:szCs w:val="22"/>
        </w:rPr>
        <w:t xml:space="preserve">45 </w:t>
      </w:r>
      <w:r w:rsidR="0013002F" w:rsidRPr="00D70A0E">
        <w:rPr>
          <w:b/>
          <w:szCs w:val="22"/>
        </w:rPr>
        <w:t xml:space="preserve">days from publication in the </w:t>
      </w:r>
      <w:r w:rsidR="0013002F" w:rsidRPr="00D70A0E">
        <w:rPr>
          <w:b/>
          <w:i/>
          <w:szCs w:val="22"/>
        </w:rPr>
        <w:t>Federal Register</w:t>
      </w:r>
    </w:p>
    <w:p w:rsidR="00D70A0E" w:rsidRPr="00D70A0E" w:rsidRDefault="00D70A0E" w:rsidP="00D70A0E">
      <w:pPr>
        <w:pStyle w:val="Heading1"/>
        <w:rPr>
          <w:szCs w:val="22"/>
        </w:rPr>
      </w:pPr>
      <w:r w:rsidRPr="00D70A0E">
        <w:rPr>
          <w:szCs w:val="22"/>
        </w:rPr>
        <w:t>Introduction</w:t>
      </w:r>
    </w:p>
    <w:p w:rsidR="00165392" w:rsidRDefault="00A944B4" w:rsidP="00165392">
      <w:pPr>
        <w:pStyle w:val="ParaNum0"/>
        <w:rPr>
          <w:szCs w:val="22"/>
        </w:rPr>
      </w:pPr>
      <w:r w:rsidRPr="00D70A0E">
        <w:t xml:space="preserve">By this Public Notice, </w:t>
      </w:r>
      <w:r w:rsidR="0072520C" w:rsidRPr="00D70A0E">
        <w:t xml:space="preserve">the Wireless Telecommunications Bureau (Wireless Bureau) and </w:t>
      </w:r>
      <w:r w:rsidRPr="00D70A0E">
        <w:t xml:space="preserve">the </w:t>
      </w:r>
      <w:r w:rsidR="00872FD9" w:rsidRPr="00D70A0E">
        <w:t xml:space="preserve">Consumer and Governmental Affairs Bureau </w:t>
      </w:r>
      <w:r w:rsidR="00654EC9" w:rsidRPr="00D70A0E">
        <w:t xml:space="preserve">(CGB) </w:t>
      </w:r>
      <w:r w:rsidR="0072520C" w:rsidRPr="00D70A0E">
        <w:t xml:space="preserve">request </w:t>
      </w:r>
      <w:r w:rsidRPr="00D70A0E">
        <w:t xml:space="preserve">updated </w:t>
      </w:r>
      <w:r w:rsidR="0072520C" w:rsidRPr="00D70A0E">
        <w:t xml:space="preserve">information </w:t>
      </w:r>
      <w:r w:rsidR="00442D4D">
        <w:t>to</w:t>
      </w:r>
      <w:r w:rsidR="00BF040A">
        <w:t xml:space="preserve"> </w:t>
      </w:r>
      <w:r w:rsidR="00442D4D">
        <w:t xml:space="preserve">assess whether </w:t>
      </w:r>
      <w:r w:rsidRPr="00D70A0E">
        <w:t xml:space="preserve">the Commission’s hearing aid compatibility </w:t>
      </w:r>
      <w:r w:rsidR="007A3A1A">
        <w:t xml:space="preserve">rules for </w:t>
      </w:r>
      <w:r w:rsidRPr="00D70A0E">
        <w:t>wireless handsets</w:t>
      </w:r>
      <w:r w:rsidR="00165392" w:rsidRPr="00D70A0E">
        <w:rPr>
          <w:rStyle w:val="FootnoteReference"/>
          <w:sz w:val="22"/>
          <w:szCs w:val="22"/>
        </w:rPr>
        <w:footnoteReference w:id="1"/>
      </w:r>
      <w:r w:rsidR="0045715F">
        <w:t xml:space="preserve"> effectively meet the needs of individuals </w:t>
      </w:r>
      <w:r w:rsidR="00BF187A">
        <w:t>who are deaf and hard of hearing</w:t>
      </w:r>
      <w:r w:rsidR="00BF040A">
        <w:t xml:space="preserve">.  </w:t>
      </w:r>
      <w:r w:rsidRPr="00D70A0E">
        <w:t xml:space="preserve">Since the </w:t>
      </w:r>
      <w:r w:rsidR="00BE28C2" w:rsidRPr="00D70A0E">
        <w:t xml:space="preserve">Wireless </w:t>
      </w:r>
      <w:r w:rsidRPr="00D70A0E">
        <w:t>Bureau last developed the record on these issues</w:t>
      </w:r>
      <w:r w:rsidR="00375216">
        <w:t xml:space="preserve"> in 2012</w:t>
      </w:r>
      <w:r w:rsidRPr="00D70A0E">
        <w:t>, a number of developments</w:t>
      </w:r>
      <w:r w:rsidR="00375216">
        <w:t xml:space="preserve"> have occurred</w:t>
      </w:r>
      <w:r w:rsidRPr="00D70A0E">
        <w:t xml:space="preserve">, including the deployment of LTE networks </w:t>
      </w:r>
      <w:r w:rsidR="0072520C" w:rsidRPr="00D70A0E">
        <w:t>and LTE only handsets</w:t>
      </w:r>
      <w:r w:rsidRPr="00D70A0E">
        <w:t xml:space="preserve">, </w:t>
      </w:r>
      <w:r w:rsidR="007A3A1A">
        <w:t>wider</w:t>
      </w:r>
      <w:r w:rsidR="00322C80" w:rsidRPr="00D70A0E">
        <w:t xml:space="preserve"> use of and reliance on Wi-</w:t>
      </w:r>
      <w:r w:rsidRPr="00D70A0E">
        <w:t xml:space="preserve">Fi </w:t>
      </w:r>
      <w:r w:rsidR="0072520C" w:rsidRPr="00D70A0E">
        <w:t>calling</w:t>
      </w:r>
      <w:r w:rsidRPr="00D70A0E">
        <w:t xml:space="preserve">, increasing </w:t>
      </w:r>
      <w:r w:rsidR="00E20FFA" w:rsidRPr="00D70A0E">
        <w:t xml:space="preserve">consumer </w:t>
      </w:r>
      <w:r w:rsidRPr="00D70A0E">
        <w:t>demand for data</w:t>
      </w:r>
      <w:r w:rsidR="001B3069" w:rsidRPr="00D70A0E">
        <w:t>-centric mobile services</w:t>
      </w:r>
      <w:r w:rsidR="00BE28C2" w:rsidRPr="00D70A0E">
        <w:t xml:space="preserve"> on wireless devices</w:t>
      </w:r>
      <w:r w:rsidR="00AC3169" w:rsidRPr="00D70A0E">
        <w:t xml:space="preserve">, and continued growth in </w:t>
      </w:r>
      <w:r w:rsidR="0051719C">
        <w:t xml:space="preserve">the </w:t>
      </w:r>
      <w:r w:rsidR="00AC3169" w:rsidRPr="00D70A0E">
        <w:t>number of wireless</w:t>
      </w:r>
      <w:r w:rsidR="00E20FFA" w:rsidRPr="00D70A0E">
        <w:t>-</w:t>
      </w:r>
      <w:r w:rsidR="00AC3169" w:rsidRPr="00D70A0E">
        <w:t>only households</w:t>
      </w:r>
      <w:r w:rsidR="007D26BE" w:rsidRPr="00D70A0E">
        <w:t>.</w:t>
      </w:r>
    </w:p>
    <w:p w:rsidR="00442D4D" w:rsidRPr="00205E89" w:rsidRDefault="00165392" w:rsidP="00205E89">
      <w:pPr>
        <w:pStyle w:val="ParaNum0"/>
      </w:pPr>
      <w:r w:rsidRPr="00205E89">
        <w:t>The Wireless Bureau and CGB</w:t>
      </w:r>
      <w:r w:rsidRPr="00205E89" w:rsidDel="00375216">
        <w:t xml:space="preserve"> </w:t>
      </w:r>
      <w:r w:rsidR="007875A2">
        <w:t xml:space="preserve">therefore </w:t>
      </w:r>
      <w:r w:rsidRPr="00205E89">
        <w:t xml:space="preserve">seek updated </w:t>
      </w:r>
      <w:r w:rsidR="007875A2">
        <w:t xml:space="preserve">information </w:t>
      </w:r>
      <w:r w:rsidRPr="00205E89">
        <w:t xml:space="preserve">to </w:t>
      </w:r>
      <w:r w:rsidR="00E73642" w:rsidRPr="00205E89">
        <w:t>better understand th</w:t>
      </w:r>
      <w:r w:rsidR="0067661A" w:rsidRPr="00205E89">
        <w:t>e current</w:t>
      </w:r>
      <w:r w:rsidR="00E73642" w:rsidRPr="00205E89">
        <w:t xml:space="preserve"> consumer experience, </w:t>
      </w:r>
      <w:r w:rsidRPr="00205E89">
        <w:t xml:space="preserve">to explore </w:t>
      </w:r>
      <w:r w:rsidR="00E73642" w:rsidRPr="00205E89">
        <w:t>technical</w:t>
      </w:r>
      <w:r w:rsidR="00BF187A" w:rsidRPr="00205E89">
        <w:t xml:space="preserve"> or other</w:t>
      </w:r>
      <w:r w:rsidR="00E73642" w:rsidRPr="00205E89">
        <w:t xml:space="preserve"> barriers to the provision of hearing aid compatible devices</w:t>
      </w:r>
      <w:r w:rsidR="007D7E24" w:rsidRPr="00205E89">
        <w:t xml:space="preserve"> </w:t>
      </w:r>
      <w:r w:rsidR="00584C45" w:rsidRPr="00205E89">
        <w:t xml:space="preserve">on new wireless technologies, </w:t>
      </w:r>
      <w:r w:rsidRPr="00205E89">
        <w:t xml:space="preserve">and to consider </w:t>
      </w:r>
      <w:r w:rsidR="007875A2">
        <w:t xml:space="preserve">recommending changes </w:t>
      </w:r>
      <w:r w:rsidRPr="00205E89">
        <w:t xml:space="preserve">to </w:t>
      </w:r>
      <w:r w:rsidR="007875A2">
        <w:t xml:space="preserve">the Commission’s </w:t>
      </w:r>
      <w:r w:rsidRPr="00205E89">
        <w:t xml:space="preserve">rules that may be necessary </w:t>
      </w:r>
      <w:r w:rsidR="00D76857" w:rsidRPr="00205E89">
        <w:t xml:space="preserve">to ensure that wireless handsets used with advanced communications services are accessible in light of </w:t>
      </w:r>
      <w:r w:rsidR="007D7E24" w:rsidRPr="00205E89">
        <w:t>directive</w:t>
      </w:r>
      <w:r w:rsidR="009D2C77" w:rsidRPr="00205E89">
        <w:t>s</w:t>
      </w:r>
      <w:r w:rsidR="007D7E24" w:rsidRPr="00205E89">
        <w:t xml:space="preserve"> contained </w:t>
      </w:r>
      <w:r w:rsidR="00BC38D3" w:rsidRPr="00205E89">
        <w:t>in the Twenty-First Century Communications and Video Accessibility Act (CVAA)</w:t>
      </w:r>
      <w:r w:rsidRPr="00205E89">
        <w:t>.</w:t>
      </w:r>
      <w:r w:rsidR="00BC38D3" w:rsidRPr="0045715F">
        <w:rPr>
          <w:rStyle w:val="FootnoteReference"/>
          <w:sz w:val="22"/>
          <w:szCs w:val="22"/>
        </w:rPr>
        <w:footnoteReference w:id="2"/>
      </w:r>
      <w:r w:rsidR="007875A2">
        <w:t xml:space="preserve">  </w:t>
      </w:r>
      <w:r w:rsidRPr="00205E89">
        <w:t xml:space="preserve">Accordingly, we seek </w:t>
      </w:r>
      <w:r w:rsidR="007875A2">
        <w:t>to refresh the record on two principal</w:t>
      </w:r>
      <w:r w:rsidR="00560D2F">
        <w:t xml:space="preserve"> issues</w:t>
      </w:r>
      <w:r w:rsidRPr="00205E89">
        <w:t xml:space="preserve">.  First, should the Commission revise the hearing aid compatibility requirement to apply in a technologically neutral way to all mobile wireless devices </w:t>
      </w:r>
      <w:r w:rsidR="002A286F" w:rsidRPr="00205E89">
        <w:t>that can be used for voice communications</w:t>
      </w:r>
      <w:r w:rsidRPr="00205E89">
        <w:t xml:space="preserve">?  Second, should the Commission consider moving away from the fractional compliance regime that exists today and implement a requirement that all </w:t>
      </w:r>
      <w:r w:rsidR="007875A2">
        <w:t xml:space="preserve">mobile wireless devices </w:t>
      </w:r>
      <w:r w:rsidRPr="00205E89">
        <w:t>must comply with the hearing aid compatibility rules?</w:t>
      </w:r>
    </w:p>
    <w:p w:rsidR="0013002F" w:rsidRPr="00D70A0E" w:rsidRDefault="0013002F" w:rsidP="0099293B">
      <w:pPr>
        <w:pStyle w:val="Heading1"/>
        <w:rPr>
          <w:szCs w:val="22"/>
        </w:rPr>
      </w:pPr>
      <w:r w:rsidRPr="00D70A0E">
        <w:rPr>
          <w:szCs w:val="22"/>
        </w:rPr>
        <w:lastRenderedPageBreak/>
        <w:t>Background</w:t>
      </w:r>
    </w:p>
    <w:p w:rsidR="00330496" w:rsidRDefault="00BD2DDE" w:rsidP="00560D2F">
      <w:pPr>
        <w:pStyle w:val="ParaNum0"/>
        <w:widowControl/>
        <w:rPr>
          <w:szCs w:val="22"/>
        </w:rPr>
      </w:pPr>
      <w:r w:rsidRPr="00B70B58">
        <w:rPr>
          <w:szCs w:val="22"/>
        </w:rPr>
        <w:t xml:space="preserve">In </w:t>
      </w:r>
      <w:r w:rsidRPr="007136F2">
        <w:rPr>
          <w:szCs w:val="22"/>
        </w:rPr>
        <w:t>2003, the Commission</w:t>
      </w:r>
      <w:r w:rsidRPr="00B70B58">
        <w:rPr>
          <w:szCs w:val="22"/>
        </w:rPr>
        <w:t xml:space="preserve"> adopted rules to ensure that all </w:t>
      </w:r>
      <w:r w:rsidR="007136F2">
        <w:rPr>
          <w:szCs w:val="22"/>
        </w:rPr>
        <w:t xml:space="preserve">wireless </w:t>
      </w:r>
      <w:r w:rsidR="00003AC2">
        <w:rPr>
          <w:szCs w:val="22"/>
        </w:rPr>
        <w:t xml:space="preserve">handset </w:t>
      </w:r>
      <w:r w:rsidRPr="00B70B58">
        <w:rPr>
          <w:szCs w:val="22"/>
        </w:rPr>
        <w:t>manufacturers and service providers offer consumers a selection of handsets that are compatible with hearing aids.</w:t>
      </w:r>
      <w:r>
        <w:rPr>
          <w:rStyle w:val="FootnoteReference"/>
          <w:szCs w:val="22"/>
        </w:rPr>
        <w:footnoteReference w:id="3"/>
      </w:r>
      <w:r w:rsidRPr="00B70B58">
        <w:rPr>
          <w:szCs w:val="22"/>
        </w:rPr>
        <w:t xml:space="preserve">  </w:t>
      </w:r>
      <w:r w:rsidR="0016748F" w:rsidRPr="00B70B58">
        <w:rPr>
          <w:szCs w:val="22"/>
        </w:rPr>
        <w:t>Under these rules</w:t>
      </w:r>
      <w:r w:rsidR="005A0A58">
        <w:rPr>
          <w:szCs w:val="22"/>
        </w:rPr>
        <w:t xml:space="preserve">, which were amended </w:t>
      </w:r>
      <w:r w:rsidR="00B70B58" w:rsidRPr="00B70B58">
        <w:rPr>
          <w:szCs w:val="22"/>
        </w:rPr>
        <w:t>in 2008</w:t>
      </w:r>
      <w:r w:rsidR="0016748F" w:rsidRPr="00B70B58">
        <w:rPr>
          <w:szCs w:val="22"/>
        </w:rPr>
        <w:t>,</w:t>
      </w:r>
      <w:r w:rsidR="00B70B58">
        <w:rPr>
          <w:rStyle w:val="FootnoteReference"/>
          <w:szCs w:val="22"/>
        </w:rPr>
        <w:footnoteReference w:id="4"/>
      </w:r>
      <w:r w:rsidR="0016748F" w:rsidRPr="00B70B58">
        <w:rPr>
          <w:szCs w:val="22"/>
        </w:rPr>
        <w:t xml:space="preserve"> m</w:t>
      </w:r>
      <w:r w:rsidR="0013002F" w:rsidRPr="001D003F">
        <w:t>anufacturers</w:t>
      </w:r>
      <w:r w:rsidR="0013002F" w:rsidRPr="00B70B58">
        <w:rPr>
          <w:szCs w:val="22"/>
        </w:rPr>
        <w:t xml:space="preserve"> and </w:t>
      </w:r>
      <w:r w:rsidR="00E0460E" w:rsidRPr="00B70B58">
        <w:rPr>
          <w:szCs w:val="22"/>
        </w:rPr>
        <w:t xml:space="preserve">wireless </w:t>
      </w:r>
      <w:r w:rsidR="0013002F" w:rsidRPr="00B70B58">
        <w:rPr>
          <w:szCs w:val="22"/>
        </w:rPr>
        <w:t xml:space="preserve">service providers are currently required to meet the Commission’s wireless hearing aid compatibility standards only to the extent that handsets are associated with digital </w:t>
      </w:r>
      <w:r w:rsidR="00582809" w:rsidRPr="00B70B58">
        <w:rPr>
          <w:szCs w:val="22"/>
        </w:rPr>
        <w:t>CMRS</w:t>
      </w:r>
      <w:r w:rsidR="0013002F" w:rsidRPr="00B70B58">
        <w:rPr>
          <w:szCs w:val="22"/>
        </w:rPr>
        <w:t xml:space="preserve"> networks that “offer real-time, two-way switched voice or data service that is interconnected with the public switched network and utilize an in-network switching facility that enables the provider to reuse frequencies and accomplish seamless hand-offs of subscriber calls.”</w:t>
      </w:r>
      <w:r w:rsidR="0013002F" w:rsidRPr="00D70A0E">
        <w:rPr>
          <w:szCs w:val="22"/>
          <w:vertAlign w:val="superscript"/>
        </w:rPr>
        <w:footnoteReference w:id="5"/>
      </w:r>
      <w:r w:rsidR="0013002F" w:rsidRPr="00B70B58">
        <w:rPr>
          <w:szCs w:val="22"/>
        </w:rPr>
        <w:t xml:space="preserve">  </w:t>
      </w:r>
      <w:r w:rsidR="001A3256">
        <w:rPr>
          <w:szCs w:val="22"/>
        </w:rPr>
        <w:t xml:space="preserve">These rules </w:t>
      </w:r>
      <w:r w:rsidR="007A3A1A">
        <w:rPr>
          <w:szCs w:val="22"/>
        </w:rPr>
        <w:t>require</w:t>
      </w:r>
      <w:r w:rsidR="001A3256">
        <w:rPr>
          <w:szCs w:val="22"/>
        </w:rPr>
        <w:t xml:space="preserve"> mobile service providers and handset manufacturers to offer </w:t>
      </w:r>
      <w:r w:rsidR="007A3A1A">
        <w:rPr>
          <w:szCs w:val="22"/>
        </w:rPr>
        <w:t xml:space="preserve">only </w:t>
      </w:r>
      <w:r w:rsidR="001A3256">
        <w:rPr>
          <w:szCs w:val="22"/>
        </w:rPr>
        <w:t xml:space="preserve">a certain number of digital wireless handset models that are hearing aid compatible through reductions in </w:t>
      </w:r>
      <w:r w:rsidR="002C6CBA">
        <w:rPr>
          <w:szCs w:val="22"/>
        </w:rPr>
        <w:t xml:space="preserve">radio frequency </w:t>
      </w:r>
      <w:r w:rsidR="0087654D">
        <w:rPr>
          <w:szCs w:val="22"/>
        </w:rPr>
        <w:t>(</w:t>
      </w:r>
      <w:r w:rsidR="001A3256">
        <w:rPr>
          <w:szCs w:val="22"/>
        </w:rPr>
        <w:t>RF</w:t>
      </w:r>
      <w:r w:rsidR="0087654D">
        <w:rPr>
          <w:szCs w:val="22"/>
        </w:rPr>
        <w:t>)</w:t>
      </w:r>
      <w:r w:rsidR="001A3256">
        <w:rPr>
          <w:szCs w:val="22"/>
        </w:rPr>
        <w:t xml:space="preserve"> interference and through an internal capacity for inductive coupling with a telecoil.</w:t>
      </w:r>
      <w:r w:rsidR="001A3256">
        <w:rPr>
          <w:rStyle w:val="FootnoteReference"/>
          <w:szCs w:val="22"/>
        </w:rPr>
        <w:footnoteReference w:id="6"/>
      </w:r>
    </w:p>
    <w:p w:rsidR="00B70B58" w:rsidRDefault="0013002F" w:rsidP="001D003F">
      <w:pPr>
        <w:pStyle w:val="ParaNum0"/>
        <w:rPr>
          <w:szCs w:val="22"/>
        </w:rPr>
      </w:pPr>
      <w:r w:rsidRPr="00B70B58">
        <w:rPr>
          <w:szCs w:val="22"/>
        </w:rPr>
        <w:t xml:space="preserve">In the </w:t>
      </w:r>
      <w:r w:rsidRPr="00B70B58">
        <w:rPr>
          <w:i/>
          <w:szCs w:val="22"/>
        </w:rPr>
        <w:t>2007</w:t>
      </w:r>
      <w:r w:rsidRPr="00B70B58">
        <w:rPr>
          <w:szCs w:val="22"/>
        </w:rPr>
        <w:t xml:space="preserve"> </w:t>
      </w:r>
      <w:r w:rsidRPr="00B70B58">
        <w:rPr>
          <w:i/>
          <w:szCs w:val="22"/>
        </w:rPr>
        <w:t xml:space="preserve">Hearing Aid Compatibility </w:t>
      </w:r>
      <w:r w:rsidRPr="00B70B58">
        <w:rPr>
          <w:i/>
          <w:iCs/>
          <w:szCs w:val="22"/>
        </w:rPr>
        <w:t>NPRM</w:t>
      </w:r>
      <w:r w:rsidRPr="00B70B58">
        <w:rPr>
          <w:szCs w:val="22"/>
        </w:rPr>
        <w:t>, the Commission sought comment on whether to apply the hearing aid compatibility rules to wireless handsets that may fall outside the scope of covered CMRS, including handsets that offer voice services on non-cellular unlicensed Wi-Fi networks.</w:t>
      </w:r>
      <w:r w:rsidRPr="00D70A0E">
        <w:rPr>
          <w:rStyle w:val="FootnoteReference"/>
          <w:sz w:val="22"/>
          <w:szCs w:val="22"/>
        </w:rPr>
        <w:footnoteReference w:id="7"/>
      </w:r>
      <w:r w:rsidRPr="00B70B58">
        <w:rPr>
          <w:szCs w:val="22"/>
        </w:rPr>
        <w:t xml:space="preserve">  In the </w:t>
      </w:r>
      <w:r w:rsidRPr="00B70B58">
        <w:rPr>
          <w:i/>
          <w:szCs w:val="22"/>
        </w:rPr>
        <w:t>2010 Further NPRM,</w:t>
      </w:r>
      <w:r w:rsidRPr="00B70B58">
        <w:rPr>
          <w:szCs w:val="22"/>
        </w:rPr>
        <w:t xml:space="preserve"> the Commission proposed to apply hearing aid compatibility requirements to “all customer equipment used to provide wireless voice communications over any type of network among members of the public or a substantial portion of the public via a built-in speaker where the equipment is typically held to the ear, so long as meeting hearing aid compatibility standards is technologically feasible and would not increase costs to an extent that would preclude successful marketing.”</w:t>
      </w:r>
      <w:r w:rsidRPr="00D70A0E">
        <w:rPr>
          <w:szCs w:val="22"/>
          <w:vertAlign w:val="superscript"/>
        </w:rPr>
        <w:footnoteReference w:id="8"/>
      </w:r>
    </w:p>
    <w:p w:rsidR="00B70B58" w:rsidRDefault="0013002F" w:rsidP="001D003F">
      <w:pPr>
        <w:pStyle w:val="ParaNum0"/>
        <w:rPr>
          <w:szCs w:val="22"/>
        </w:rPr>
      </w:pPr>
      <w:r w:rsidRPr="00B70B58">
        <w:rPr>
          <w:szCs w:val="22"/>
        </w:rPr>
        <w:t xml:space="preserve">Subsequent </w:t>
      </w:r>
      <w:r w:rsidRPr="001D003F">
        <w:t>to</w:t>
      </w:r>
      <w:r w:rsidRPr="00B70B58">
        <w:rPr>
          <w:szCs w:val="22"/>
        </w:rPr>
        <w:t xml:space="preserve"> the release of the </w:t>
      </w:r>
      <w:r w:rsidRPr="00B70B58">
        <w:rPr>
          <w:i/>
          <w:szCs w:val="22"/>
        </w:rPr>
        <w:t>2010 Further NPRM</w:t>
      </w:r>
      <w:r w:rsidRPr="00B70B58">
        <w:rPr>
          <w:szCs w:val="22"/>
        </w:rPr>
        <w:t>, the CVAA amended the Hearing Aid Compatibility Act</w:t>
      </w:r>
      <w:r w:rsidR="00081DA5">
        <w:rPr>
          <w:szCs w:val="22"/>
        </w:rPr>
        <w:t xml:space="preserve"> (HAC Act)</w:t>
      </w:r>
      <w:r w:rsidRPr="00B70B58">
        <w:rPr>
          <w:szCs w:val="22"/>
        </w:rPr>
        <w:t xml:space="preserve"> in several relevant respects.</w:t>
      </w:r>
      <w:r w:rsidR="002B1E0A" w:rsidRPr="00D70A0E">
        <w:rPr>
          <w:rStyle w:val="FootnoteReference"/>
          <w:sz w:val="22"/>
          <w:szCs w:val="22"/>
        </w:rPr>
        <w:footnoteReference w:id="9"/>
      </w:r>
      <w:r w:rsidRPr="00B70B58">
        <w:rPr>
          <w:szCs w:val="22"/>
        </w:rPr>
        <w:t xml:space="preserve">  First, the CVAA defined the class of equipment that is generally required to be hearing aid</w:t>
      </w:r>
      <w:r w:rsidR="00B70B58">
        <w:rPr>
          <w:szCs w:val="22"/>
        </w:rPr>
        <w:t xml:space="preserve"> </w:t>
      </w:r>
      <w:r w:rsidRPr="00B70B58">
        <w:rPr>
          <w:szCs w:val="22"/>
        </w:rPr>
        <w:t>compatible to include, in addition to telephones, “all customer premises equipment used with advanced communications services that is designed to provide 2-way voice communication via a built-in speaker intended to be held to the ear in a manner functionally equivalent to a telephone.”</w:t>
      </w:r>
      <w:r w:rsidRPr="00D70A0E">
        <w:rPr>
          <w:szCs w:val="22"/>
          <w:vertAlign w:val="superscript"/>
        </w:rPr>
        <w:footnoteReference w:id="10"/>
      </w:r>
      <w:r w:rsidRPr="00B70B58">
        <w:rPr>
          <w:szCs w:val="22"/>
        </w:rPr>
        <w:t xml:space="preserve">  </w:t>
      </w:r>
      <w:r w:rsidR="00106836">
        <w:rPr>
          <w:szCs w:val="22"/>
        </w:rPr>
        <w:t>T</w:t>
      </w:r>
      <w:r w:rsidR="00276943" w:rsidRPr="00B70B58">
        <w:rPr>
          <w:szCs w:val="22"/>
        </w:rPr>
        <w:t xml:space="preserve">he CVAA defines </w:t>
      </w:r>
      <w:r w:rsidRPr="00B70B58">
        <w:rPr>
          <w:szCs w:val="22"/>
        </w:rPr>
        <w:t>“</w:t>
      </w:r>
      <w:r w:rsidR="00276943" w:rsidRPr="00B70B58">
        <w:rPr>
          <w:szCs w:val="22"/>
        </w:rPr>
        <w:t>[a]</w:t>
      </w:r>
      <w:r w:rsidRPr="00B70B58">
        <w:rPr>
          <w:szCs w:val="22"/>
        </w:rPr>
        <w:t>dvanced communications services” to include, among other things, interconnected and non-interconnected VoIP</w:t>
      </w:r>
      <w:r w:rsidR="0094343C">
        <w:rPr>
          <w:szCs w:val="22"/>
        </w:rPr>
        <w:t xml:space="preserve"> services</w:t>
      </w:r>
      <w:r w:rsidRPr="00B70B58">
        <w:rPr>
          <w:szCs w:val="22"/>
        </w:rPr>
        <w:t>.</w:t>
      </w:r>
      <w:r w:rsidRPr="00D70A0E">
        <w:rPr>
          <w:szCs w:val="22"/>
          <w:vertAlign w:val="superscript"/>
        </w:rPr>
        <w:footnoteReference w:id="11"/>
      </w:r>
      <w:r w:rsidRPr="00B70B58">
        <w:rPr>
          <w:szCs w:val="22"/>
        </w:rPr>
        <w:t xml:space="preserve">  Second, the CVAA define</w:t>
      </w:r>
      <w:r w:rsidR="00D057B7">
        <w:rPr>
          <w:szCs w:val="22"/>
        </w:rPr>
        <w:t>s</w:t>
      </w:r>
      <w:r w:rsidRPr="00B70B58">
        <w:rPr>
          <w:szCs w:val="22"/>
        </w:rPr>
        <w:t xml:space="preserve"> “telephones” for purposes of the public mobile and private radio services exemptions to include “telephones and other customer premises equipment used in whole or in part with” various </w:t>
      </w:r>
      <w:r w:rsidR="0019457B">
        <w:rPr>
          <w:szCs w:val="22"/>
        </w:rPr>
        <w:t xml:space="preserve">wireless </w:t>
      </w:r>
      <w:r w:rsidRPr="00B70B58">
        <w:rPr>
          <w:szCs w:val="22"/>
        </w:rPr>
        <w:t>communications services</w:t>
      </w:r>
      <w:r w:rsidR="005E586B">
        <w:rPr>
          <w:szCs w:val="22"/>
        </w:rPr>
        <w:t>, including unlicensed services that are functionally equivalent to licensed services</w:t>
      </w:r>
      <w:r w:rsidRPr="00B70B58">
        <w:rPr>
          <w:szCs w:val="22"/>
        </w:rPr>
        <w:t>.</w:t>
      </w:r>
      <w:r w:rsidRPr="00D70A0E">
        <w:rPr>
          <w:szCs w:val="22"/>
          <w:vertAlign w:val="superscript"/>
        </w:rPr>
        <w:footnoteReference w:id="12"/>
      </w:r>
      <w:r w:rsidRPr="00B70B58">
        <w:rPr>
          <w:szCs w:val="22"/>
        </w:rPr>
        <w:t xml:space="preserve">  Third, Congress </w:t>
      </w:r>
      <w:r w:rsidR="00276943" w:rsidRPr="00B70B58">
        <w:rPr>
          <w:szCs w:val="22"/>
        </w:rPr>
        <w:t xml:space="preserve">directed </w:t>
      </w:r>
      <w:r w:rsidRPr="00B70B58">
        <w:rPr>
          <w:szCs w:val="22"/>
        </w:rPr>
        <w:t xml:space="preserve">the Commission to </w:t>
      </w:r>
      <w:r w:rsidR="00276943" w:rsidRPr="00B70B58">
        <w:rPr>
          <w:szCs w:val="22"/>
        </w:rPr>
        <w:t>re</w:t>
      </w:r>
      <w:r w:rsidRPr="00B70B58">
        <w:rPr>
          <w:szCs w:val="22"/>
        </w:rPr>
        <w:t xml:space="preserve">assess the appropriateness of </w:t>
      </w:r>
      <w:r w:rsidR="00276943" w:rsidRPr="00B70B58">
        <w:rPr>
          <w:szCs w:val="22"/>
        </w:rPr>
        <w:t xml:space="preserve">existing </w:t>
      </w:r>
      <w:r w:rsidRPr="00B70B58">
        <w:rPr>
          <w:szCs w:val="22"/>
        </w:rPr>
        <w:t>exemptions using a four-part test.</w:t>
      </w:r>
      <w:r w:rsidRPr="00D70A0E">
        <w:rPr>
          <w:szCs w:val="22"/>
          <w:vertAlign w:val="superscript"/>
        </w:rPr>
        <w:footnoteReference w:id="13"/>
      </w:r>
      <w:r w:rsidRPr="00B70B58">
        <w:rPr>
          <w:szCs w:val="22"/>
        </w:rPr>
        <w:t xml:space="preserve">  Finally, in implementing </w:t>
      </w:r>
      <w:r w:rsidR="00EF0761">
        <w:rPr>
          <w:szCs w:val="22"/>
        </w:rPr>
        <w:t xml:space="preserve">the </w:t>
      </w:r>
      <w:r w:rsidRPr="00B70B58">
        <w:rPr>
          <w:szCs w:val="22"/>
        </w:rPr>
        <w:t xml:space="preserve">hearing aid compatibility requirements applicable to customer premises equipment </w:t>
      </w:r>
      <w:r w:rsidR="00582809" w:rsidRPr="00B70B58">
        <w:rPr>
          <w:szCs w:val="22"/>
        </w:rPr>
        <w:t xml:space="preserve">(CPE) </w:t>
      </w:r>
      <w:r w:rsidRPr="00B70B58">
        <w:rPr>
          <w:szCs w:val="22"/>
        </w:rPr>
        <w:t>used with advanced communications services, Congress directed the Commission to “use appropriate timetables or benchmarks to the extent necessary (1) due to technical feasibility, or (2) to ensure the marketability or availability of new technologies to users.”</w:t>
      </w:r>
      <w:r w:rsidRPr="00D70A0E">
        <w:rPr>
          <w:szCs w:val="22"/>
          <w:vertAlign w:val="superscript"/>
        </w:rPr>
        <w:footnoteReference w:id="14"/>
      </w:r>
    </w:p>
    <w:p w:rsidR="0013002F" w:rsidRPr="00B70B58" w:rsidRDefault="00B70B58" w:rsidP="001D003F">
      <w:pPr>
        <w:pStyle w:val="ParaNum0"/>
        <w:rPr>
          <w:szCs w:val="22"/>
        </w:rPr>
      </w:pPr>
      <w:r>
        <w:t xml:space="preserve">Shortly after passage of the CVAA, the Wireless Bureau released a </w:t>
      </w:r>
      <w:r w:rsidR="002C6CBA">
        <w:t>P</w:t>
      </w:r>
      <w:r>
        <w:t xml:space="preserve">ublic </w:t>
      </w:r>
      <w:r w:rsidR="002C6CBA">
        <w:t>N</w:t>
      </w:r>
      <w:r>
        <w:t xml:space="preserve">otice seeking comments on the effect </w:t>
      </w:r>
      <w:r w:rsidR="009B42C5">
        <w:t xml:space="preserve">that </w:t>
      </w:r>
      <w:r>
        <w:t>the new legislation</w:t>
      </w:r>
      <w:r w:rsidR="009B42C5">
        <w:t xml:space="preserve"> might have</w:t>
      </w:r>
      <w:r>
        <w:t xml:space="preserve">, if any, on the </w:t>
      </w:r>
      <w:r w:rsidR="00D057B7">
        <w:t xml:space="preserve">hearing aid compatibility </w:t>
      </w:r>
      <w:r>
        <w:t xml:space="preserve">rules that had been proposed in </w:t>
      </w:r>
      <w:r w:rsidRPr="00973B31">
        <w:t xml:space="preserve">the </w:t>
      </w:r>
      <w:r w:rsidRPr="008E3A4A">
        <w:rPr>
          <w:i/>
        </w:rPr>
        <w:t>2010</w:t>
      </w:r>
      <w:r w:rsidRPr="00EF0761">
        <w:rPr>
          <w:i/>
        </w:rPr>
        <w:t xml:space="preserve"> Further NPRM</w:t>
      </w:r>
      <w:r>
        <w:t>.</w:t>
      </w:r>
      <w:r>
        <w:rPr>
          <w:rStyle w:val="FootnoteReference"/>
        </w:rPr>
        <w:footnoteReference w:id="15"/>
      </w:r>
      <w:r>
        <w:t xml:space="preserve">  </w:t>
      </w:r>
      <w:r w:rsidRPr="00D70A0E">
        <w:t xml:space="preserve">In December 2010, the Wireless Bureau issued a </w:t>
      </w:r>
      <w:r>
        <w:t xml:space="preserve">second </w:t>
      </w:r>
      <w:r w:rsidRPr="00D70A0E">
        <w:t>Public Notice to initiate a comprehensive review of the wireless hearing aid compatibility regulations (</w:t>
      </w:r>
      <w:r w:rsidRPr="00B70B58">
        <w:rPr>
          <w:i/>
        </w:rPr>
        <w:t>2010 Review PN</w:t>
      </w:r>
      <w:r w:rsidRPr="00D70A0E">
        <w:t>)</w:t>
      </w:r>
      <w:r w:rsidR="00D057B7">
        <w:t>,</w:t>
      </w:r>
      <w:r w:rsidR="00A67AFC">
        <w:t xml:space="preserve"> including </w:t>
      </w:r>
      <w:r w:rsidR="004523FA">
        <w:t>reassessment of deployment benchmarks</w:t>
      </w:r>
      <w:r w:rsidR="00933827">
        <w:t xml:space="preserve"> and consideration of whether all wireless handsets should be required to meet hearing aid compatibility standards</w:t>
      </w:r>
      <w:r w:rsidRPr="00D70A0E">
        <w:t>.</w:t>
      </w:r>
      <w:r w:rsidRPr="00D70A0E">
        <w:rPr>
          <w:rStyle w:val="FootnoteReference"/>
          <w:sz w:val="22"/>
          <w:szCs w:val="22"/>
        </w:rPr>
        <w:footnoteReference w:id="16"/>
      </w:r>
      <w:r w:rsidRPr="00D70A0E">
        <w:t xml:space="preserve">  Subsequently, in November 2012, due to intervening market, technical, and regulatory developments since the </w:t>
      </w:r>
      <w:r w:rsidRPr="00B70B58">
        <w:rPr>
          <w:i/>
        </w:rPr>
        <w:t>2010 Review PN</w:t>
      </w:r>
      <w:r w:rsidRPr="00D70A0E">
        <w:t>, the Wireless Bureau sought updated and additional comment on these matters</w:t>
      </w:r>
      <w:r w:rsidR="00330496">
        <w:t xml:space="preserve"> (</w:t>
      </w:r>
      <w:r w:rsidR="00330496" w:rsidRPr="008E3A4A">
        <w:rPr>
          <w:i/>
        </w:rPr>
        <w:t>2012 Refresh PN</w:t>
      </w:r>
      <w:r w:rsidR="00330496">
        <w:t>)</w:t>
      </w:r>
      <w:r w:rsidRPr="00D70A0E">
        <w:t>.</w:t>
      </w:r>
      <w:r w:rsidRPr="00D70A0E">
        <w:rPr>
          <w:rStyle w:val="FootnoteReference"/>
          <w:sz w:val="22"/>
          <w:szCs w:val="22"/>
        </w:rPr>
        <w:footnoteReference w:id="17"/>
      </w:r>
    </w:p>
    <w:p w:rsidR="00B25F0B" w:rsidRPr="00D70A0E" w:rsidRDefault="0013002F" w:rsidP="0099293B">
      <w:pPr>
        <w:pStyle w:val="Heading1"/>
        <w:rPr>
          <w:szCs w:val="22"/>
        </w:rPr>
      </w:pPr>
      <w:r w:rsidRPr="00D70A0E">
        <w:rPr>
          <w:szCs w:val="22"/>
        </w:rPr>
        <w:t>Request for Comment</w:t>
      </w:r>
    </w:p>
    <w:p w:rsidR="009122CD" w:rsidRPr="00D70A0E" w:rsidRDefault="004A6C7F" w:rsidP="0099293B">
      <w:pPr>
        <w:pStyle w:val="Heading2"/>
        <w:rPr>
          <w:szCs w:val="22"/>
        </w:rPr>
      </w:pPr>
      <w:r>
        <w:rPr>
          <w:szCs w:val="22"/>
        </w:rPr>
        <w:t>Applying the Rules in a Technologically Neutral Manner</w:t>
      </w:r>
    </w:p>
    <w:p w:rsidR="00AA239B" w:rsidRPr="00D70A0E" w:rsidRDefault="00F951D2" w:rsidP="001D003F">
      <w:pPr>
        <w:pStyle w:val="ParaNum0"/>
        <w:rPr>
          <w:szCs w:val="22"/>
        </w:rPr>
      </w:pPr>
      <w:r w:rsidRPr="00D70A0E">
        <w:rPr>
          <w:szCs w:val="22"/>
        </w:rPr>
        <w:t xml:space="preserve">Section 20.19 of the Commission’s rules </w:t>
      </w:r>
      <w:r w:rsidR="00EE513E">
        <w:rPr>
          <w:szCs w:val="22"/>
        </w:rPr>
        <w:t xml:space="preserve">currently </w:t>
      </w:r>
      <w:r w:rsidRPr="00D70A0E">
        <w:rPr>
          <w:szCs w:val="22"/>
        </w:rPr>
        <w:t>impose</w:t>
      </w:r>
      <w:r w:rsidR="00EE513E">
        <w:rPr>
          <w:szCs w:val="22"/>
        </w:rPr>
        <w:t>s</w:t>
      </w:r>
      <w:r w:rsidRPr="00D70A0E">
        <w:rPr>
          <w:szCs w:val="22"/>
        </w:rPr>
        <w:t xml:space="preserve"> hearing aid compatibility requirements based on </w:t>
      </w:r>
      <w:r w:rsidR="00AA239B" w:rsidRPr="00D70A0E">
        <w:rPr>
          <w:szCs w:val="22"/>
        </w:rPr>
        <w:t xml:space="preserve">the </w:t>
      </w:r>
      <w:r w:rsidR="007C1BDA" w:rsidRPr="00D70A0E">
        <w:rPr>
          <w:szCs w:val="22"/>
        </w:rPr>
        <w:t xml:space="preserve">underlying </w:t>
      </w:r>
      <w:r w:rsidRPr="00D70A0E">
        <w:rPr>
          <w:szCs w:val="22"/>
        </w:rPr>
        <w:t>network technology</w:t>
      </w:r>
      <w:r w:rsidR="007C1BDA" w:rsidRPr="00D70A0E">
        <w:rPr>
          <w:szCs w:val="22"/>
        </w:rPr>
        <w:t>,</w:t>
      </w:r>
      <w:r w:rsidRPr="00D70A0E">
        <w:rPr>
          <w:szCs w:val="22"/>
        </w:rPr>
        <w:t xml:space="preserve"> not on a device’s functionality.  </w:t>
      </w:r>
      <w:r w:rsidR="00786C9E">
        <w:rPr>
          <w:szCs w:val="22"/>
        </w:rPr>
        <w:t>C</w:t>
      </w:r>
      <w:r w:rsidR="00786C9E" w:rsidRPr="00786C9E">
        <w:rPr>
          <w:szCs w:val="22"/>
        </w:rPr>
        <w:t>onsumers</w:t>
      </w:r>
      <w:r w:rsidR="00786C9E">
        <w:rPr>
          <w:szCs w:val="22"/>
        </w:rPr>
        <w:t>, however,</w:t>
      </w:r>
      <w:r w:rsidR="00786C9E" w:rsidRPr="00786C9E">
        <w:rPr>
          <w:szCs w:val="22"/>
        </w:rPr>
        <w:t xml:space="preserve"> may focus</w:t>
      </w:r>
      <w:r w:rsidR="00404F6F">
        <w:rPr>
          <w:szCs w:val="22"/>
        </w:rPr>
        <w:t xml:space="preserve"> more</w:t>
      </w:r>
      <w:r w:rsidR="00786C9E" w:rsidRPr="00786C9E">
        <w:rPr>
          <w:szCs w:val="22"/>
        </w:rPr>
        <w:t xml:space="preserve"> on a particular handset’s functionality than on the network technology that it utilizes.</w:t>
      </w:r>
      <w:r w:rsidR="00786C9E">
        <w:rPr>
          <w:szCs w:val="22"/>
        </w:rPr>
        <w:t xml:space="preserve"> </w:t>
      </w:r>
      <w:r w:rsidR="00EE513E">
        <w:rPr>
          <w:szCs w:val="22"/>
        </w:rPr>
        <w:t xml:space="preserve"> </w:t>
      </w:r>
      <w:r w:rsidR="000E669F">
        <w:rPr>
          <w:szCs w:val="22"/>
        </w:rPr>
        <w:t xml:space="preserve">Additionally, a technologically neutral approach may encourage innovation in the design of hearing aid compatible </w:t>
      </w:r>
      <w:r w:rsidR="00476DD5">
        <w:rPr>
          <w:szCs w:val="22"/>
        </w:rPr>
        <w:t xml:space="preserve">mobile wireless </w:t>
      </w:r>
      <w:r w:rsidR="000E669F">
        <w:rPr>
          <w:szCs w:val="22"/>
        </w:rPr>
        <w:t xml:space="preserve">devices.  </w:t>
      </w:r>
      <w:r w:rsidR="00A54D36">
        <w:rPr>
          <w:szCs w:val="22"/>
        </w:rPr>
        <w:t>Accordingly, w</w:t>
      </w:r>
      <w:r w:rsidR="00EE513E">
        <w:rPr>
          <w:szCs w:val="22"/>
        </w:rPr>
        <w:t xml:space="preserve">e renew </w:t>
      </w:r>
      <w:r w:rsidR="00933827">
        <w:rPr>
          <w:szCs w:val="22"/>
        </w:rPr>
        <w:t xml:space="preserve">the Commission’s </w:t>
      </w:r>
      <w:r w:rsidR="00EE513E">
        <w:rPr>
          <w:szCs w:val="22"/>
        </w:rPr>
        <w:t>request for comment on whether to require compatibility in a technologically neutral manner.</w:t>
      </w:r>
      <w:r w:rsidR="006D4EB2">
        <w:rPr>
          <w:rStyle w:val="FootnoteReference"/>
          <w:szCs w:val="22"/>
        </w:rPr>
        <w:footnoteReference w:id="18"/>
      </w:r>
    </w:p>
    <w:p w:rsidR="00C2234C" w:rsidRPr="00D70A0E" w:rsidRDefault="002F696A" w:rsidP="001D003F">
      <w:pPr>
        <w:pStyle w:val="ParaNum0"/>
        <w:rPr>
          <w:szCs w:val="22"/>
        </w:rPr>
      </w:pPr>
      <w:r>
        <w:rPr>
          <w:szCs w:val="22"/>
        </w:rPr>
        <w:t>T</w:t>
      </w:r>
      <w:r w:rsidR="00AA239B" w:rsidRPr="00D70A0E">
        <w:rPr>
          <w:szCs w:val="22"/>
        </w:rPr>
        <w:t xml:space="preserve">o keep pace with consumer expectations and the evolution of wireless technologies, we seek comment on whether </w:t>
      </w:r>
      <w:r w:rsidR="00AC736F">
        <w:rPr>
          <w:szCs w:val="22"/>
        </w:rPr>
        <w:t xml:space="preserve">consumers are aware that the hearing aid compatibility rules currently apply only to </w:t>
      </w:r>
      <w:r w:rsidR="00C272AF">
        <w:rPr>
          <w:szCs w:val="22"/>
        </w:rPr>
        <w:t xml:space="preserve">digital </w:t>
      </w:r>
      <w:r w:rsidR="00AC736F">
        <w:rPr>
          <w:szCs w:val="22"/>
        </w:rPr>
        <w:t xml:space="preserve">CMRS services </w:t>
      </w:r>
      <w:r w:rsidR="00C272AF">
        <w:rPr>
          <w:szCs w:val="22"/>
        </w:rPr>
        <w:t xml:space="preserve">with certain functionalities </w:t>
      </w:r>
      <w:r w:rsidR="00AC736F">
        <w:rPr>
          <w:szCs w:val="22"/>
        </w:rPr>
        <w:t xml:space="preserve">and, relatedly, whether </w:t>
      </w:r>
      <w:r w:rsidR="009E65A8">
        <w:rPr>
          <w:szCs w:val="22"/>
        </w:rPr>
        <w:t xml:space="preserve">Section 20.19 </w:t>
      </w:r>
      <w:r w:rsidR="0054644A">
        <w:rPr>
          <w:szCs w:val="22"/>
        </w:rPr>
        <w:t xml:space="preserve">should apply </w:t>
      </w:r>
      <w:r w:rsidR="009E65A8">
        <w:rPr>
          <w:szCs w:val="22"/>
        </w:rPr>
        <w:t>to all wireless handsets, regardless of the service</w:t>
      </w:r>
      <w:r w:rsidR="002A38D1">
        <w:rPr>
          <w:szCs w:val="22"/>
        </w:rPr>
        <w:t>, frequency,</w:t>
      </w:r>
      <w:r w:rsidR="009E65A8">
        <w:rPr>
          <w:szCs w:val="22"/>
        </w:rPr>
        <w:t xml:space="preserve"> or technology with which they are used</w:t>
      </w:r>
      <w:r w:rsidR="008053F8">
        <w:rPr>
          <w:szCs w:val="22"/>
        </w:rPr>
        <w:t>.</w:t>
      </w:r>
      <w:r w:rsidR="009E65A8">
        <w:rPr>
          <w:szCs w:val="22"/>
        </w:rPr>
        <w:t xml:space="preserve">  </w:t>
      </w:r>
      <w:r w:rsidR="002D4774" w:rsidRPr="00D70A0E">
        <w:rPr>
          <w:szCs w:val="22"/>
        </w:rPr>
        <w:t xml:space="preserve">In other words, if </w:t>
      </w:r>
      <w:r w:rsidR="009E65A8">
        <w:rPr>
          <w:szCs w:val="22"/>
        </w:rPr>
        <w:t>a</w:t>
      </w:r>
      <w:r w:rsidR="009E65A8" w:rsidRPr="00D70A0E">
        <w:rPr>
          <w:szCs w:val="22"/>
        </w:rPr>
        <w:t xml:space="preserve"> </w:t>
      </w:r>
      <w:r w:rsidR="004523FA">
        <w:rPr>
          <w:szCs w:val="22"/>
        </w:rPr>
        <w:t>wireless</w:t>
      </w:r>
      <w:r w:rsidR="004523FA" w:rsidRPr="00D70A0E">
        <w:rPr>
          <w:szCs w:val="22"/>
        </w:rPr>
        <w:t xml:space="preserve"> </w:t>
      </w:r>
      <w:r w:rsidR="002D4774" w:rsidRPr="00D70A0E">
        <w:rPr>
          <w:szCs w:val="22"/>
        </w:rPr>
        <w:t xml:space="preserve">handset </w:t>
      </w:r>
      <w:r w:rsidR="00B96B92" w:rsidRPr="00D70A0E">
        <w:rPr>
          <w:szCs w:val="22"/>
        </w:rPr>
        <w:t xml:space="preserve">includes a built-in speaker and </w:t>
      </w:r>
      <w:r w:rsidR="002D4774" w:rsidRPr="00D70A0E">
        <w:rPr>
          <w:szCs w:val="22"/>
        </w:rPr>
        <w:t xml:space="preserve">is </w:t>
      </w:r>
      <w:r w:rsidR="00B96B92" w:rsidRPr="00D70A0E">
        <w:rPr>
          <w:szCs w:val="22"/>
        </w:rPr>
        <w:t>typically</w:t>
      </w:r>
      <w:r w:rsidR="002D4774" w:rsidRPr="00D70A0E">
        <w:rPr>
          <w:szCs w:val="22"/>
        </w:rPr>
        <w:t xml:space="preserve"> held to the ear</w:t>
      </w:r>
      <w:r w:rsidR="009E65A8">
        <w:rPr>
          <w:szCs w:val="22"/>
        </w:rPr>
        <w:t xml:space="preserve"> in a manner functionally equivalent to a telephone</w:t>
      </w:r>
      <w:r w:rsidR="00B96B92" w:rsidRPr="00D70A0E">
        <w:rPr>
          <w:szCs w:val="22"/>
        </w:rPr>
        <w:t xml:space="preserve">, then </w:t>
      </w:r>
      <w:r w:rsidR="007C1BDA" w:rsidRPr="00D70A0E">
        <w:rPr>
          <w:szCs w:val="22"/>
        </w:rPr>
        <w:t xml:space="preserve">should </w:t>
      </w:r>
      <w:r w:rsidR="0054644A">
        <w:rPr>
          <w:szCs w:val="22"/>
        </w:rPr>
        <w:t>the hearing aid compatibility requirements apply</w:t>
      </w:r>
      <w:r w:rsidR="007C1BDA" w:rsidRPr="00D70A0E">
        <w:rPr>
          <w:szCs w:val="22"/>
        </w:rPr>
        <w:t>?</w:t>
      </w:r>
      <w:r w:rsidR="005C5726">
        <w:rPr>
          <w:rStyle w:val="FootnoteReference"/>
          <w:szCs w:val="22"/>
        </w:rPr>
        <w:footnoteReference w:id="19"/>
      </w:r>
      <w:r w:rsidR="00B96B92" w:rsidRPr="00D70A0E">
        <w:rPr>
          <w:szCs w:val="22"/>
        </w:rPr>
        <w:t xml:space="preserve">  </w:t>
      </w:r>
      <w:r w:rsidR="009523FA" w:rsidRPr="00D70A0E">
        <w:rPr>
          <w:szCs w:val="22"/>
        </w:rPr>
        <w:t xml:space="preserve">If the Commission </w:t>
      </w:r>
      <w:r w:rsidR="007875A2">
        <w:rPr>
          <w:szCs w:val="22"/>
        </w:rPr>
        <w:t xml:space="preserve">were to take </w:t>
      </w:r>
      <w:r w:rsidR="009523FA" w:rsidRPr="00D70A0E">
        <w:rPr>
          <w:szCs w:val="22"/>
        </w:rPr>
        <w:t xml:space="preserve">this course of action, </w:t>
      </w:r>
      <w:r w:rsidR="007C1BDA" w:rsidRPr="00D70A0E">
        <w:rPr>
          <w:szCs w:val="22"/>
        </w:rPr>
        <w:t xml:space="preserve">how </w:t>
      </w:r>
      <w:r w:rsidR="009523FA" w:rsidRPr="00D70A0E">
        <w:rPr>
          <w:szCs w:val="22"/>
        </w:rPr>
        <w:t xml:space="preserve">should it define </w:t>
      </w:r>
      <w:r w:rsidR="00B96B92" w:rsidRPr="00D70A0E">
        <w:rPr>
          <w:szCs w:val="22"/>
        </w:rPr>
        <w:t>“</w:t>
      </w:r>
      <w:r w:rsidR="009523FA" w:rsidRPr="00D70A0E">
        <w:rPr>
          <w:szCs w:val="22"/>
        </w:rPr>
        <w:t>functionally equivalent</w:t>
      </w:r>
      <w:r w:rsidR="00B96B92" w:rsidRPr="00D70A0E">
        <w:rPr>
          <w:szCs w:val="22"/>
        </w:rPr>
        <w:t>”</w:t>
      </w:r>
      <w:r w:rsidR="00105BCB">
        <w:rPr>
          <w:szCs w:val="22"/>
        </w:rPr>
        <w:t>?</w:t>
      </w:r>
      <w:r w:rsidR="009523FA" w:rsidRPr="00D70A0E">
        <w:rPr>
          <w:szCs w:val="22"/>
        </w:rPr>
        <w:t xml:space="preserve">  </w:t>
      </w:r>
      <w:r w:rsidR="00711442" w:rsidRPr="00D70A0E">
        <w:rPr>
          <w:szCs w:val="22"/>
        </w:rPr>
        <w:t>What would be the costs and benefits of revising Section 20.19 along these lines</w:t>
      </w:r>
      <w:r w:rsidR="002C6CBA">
        <w:rPr>
          <w:szCs w:val="22"/>
        </w:rPr>
        <w:t xml:space="preserve"> -- </w:t>
      </w:r>
      <w:r w:rsidR="007C1BDA" w:rsidRPr="00D70A0E">
        <w:rPr>
          <w:szCs w:val="22"/>
        </w:rPr>
        <w:t xml:space="preserve">for handset </w:t>
      </w:r>
      <w:r w:rsidR="00711442" w:rsidRPr="00D70A0E">
        <w:rPr>
          <w:szCs w:val="22"/>
        </w:rPr>
        <w:t>manufacturers</w:t>
      </w:r>
      <w:r w:rsidR="007C1BDA" w:rsidRPr="00D70A0E">
        <w:rPr>
          <w:szCs w:val="22"/>
        </w:rPr>
        <w:t>,</w:t>
      </w:r>
      <w:r w:rsidR="00711442" w:rsidRPr="00D70A0E">
        <w:rPr>
          <w:szCs w:val="22"/>
        </w:rPr>
        <w:t xml:space="preserve"> service providers</w:t>
      </w:r>
      <w:r w:rsidR="007C1BDA" w:rsidRPr="00D70A0E">
        <w:rPr>
          <w:szCs w:val="22"/>
        </w:rPr>
        <w:t>, hearing aid manufacturers, and</w:t>
      </w:r>
      <w:r w:rsidR="00711442" w:rsidRPr="00D70A0E">
        <w:rPr>
          <w:szCs w:val="22"/>
        </w:rPr>
        <w:t xml:space="preserve"> consumers?  </w:t>
      </w:r>
      <w:r w:rsidR="001D26F5" w:rsidRPr="00D70A0E">
        <w:rPr>
          <w:szCs w:val="22"/>
        </w:rPr>
        <w:t>We seek comment on whether this approach would be more consisten</w:t>
      </w:r>
      <w:r w:rsidR="009523FA" w:rsidRPr="00D70A0E">
        <w:rPr>
          <w:szCs w:val="22"/>
        </w:rPr>
        <w:t>t with consumer expectations,</w:t>
      </w:r>
      <w:r w:rsidR="001D26F5" w:rsidRPr="00D70A0E">
        <w:rPr>
          <w:szCs w:val="22"/>
        </w:rPr>
        <w:t xml:space="preserve"> especially the expecta</w:t>
      </w:r>
      <w:r w:rsidR="00D36A28" w:rsidRPr="00D70A0E">
        <w:rPr>
          <w:szCs w:val="22"/>
        </w:rPr>
        <w:t xml:space="preserve">tions of </w:t>
      </w:r>
      <w:r w:rsidR="008F7C88">
        <w:rPr>
          <w:szCs w:val="22"/>
        </w:rPr>
        <w:t>persons</w:t>
      </w:r>
      <w:r w:rsidR="00D36A28" w:rsidRPr="00D70A0E">
        <w:rPr>
          <w:szCs w:val="22"/>
        </w:rPr>
        <w:t xml:space="preserve"> with hearing loss</w:t>
      </w:r>
      <w:r w:rsidR="002F74D5">
        <w:rPr>
          <w:szCs w:val="22"/>
        </w:rPr>
        <w:t>, and if so, why</w:t>
      </w:r>
      <w:r w:rsidR="001D26F5" w:rsidRPr="00D70A0E">
        <w:rPr>
          <w:szCs w:val="22"/>
        </w:rPr>
        <w:t>.</w:t>
      </w:r>
    </w:p>
    <w:p w:rsidR="004A6C7F" w:rsidRDefault="00AC736F" w:rsidP="001D003F">
      <w:pPr>
        <w:pStyle w:val="ParaNum0"/>
        <w:rPr>
          <w:szCs w:val="22"/>
        </w:rPr>
      </w:pPr>
      <w:r>
        <w:rPr>
          <w:szCs w:val="22"/>
        </w:rPr>
        <w:t>We note that a</w:t>
      </w:r>
      <w:r w:rsidR="004A6C7F" w:rsidRPr="004A6C7F">
        <w:rPr>
          <w:szCs w:val="22"/>
        </w:rPr>
        <w:t>mended</w:t>
      </w:r>
      <w:r w:rsidR="007C1BDA" w:rsidRPr="004A6C7F">
        <w:rPr>
          <w:szCs w:val="22"/>
        </w:rPr>
        <w:t xml:space="preserve"> rule</w:t>
      </w:r>
      <w:r w:rsidR="008F7C88" w:rsidRPr="004A6C7F">
        <w:rPr>
          <w:szCs w:val="22"/>
        </w:rPr>
        <w:t>s</w:t>
      </w:r>
      <w:r w:rsidR="007C1BDA" w:rsidRPr="004A6C7F">
        <w:rPr>
          <w:szCs w:val="22"/>
        </w:rPr>
        <w:t xml:space="preserve"> could cover</w:t>
      </w:r>
      <w:r w:rsidR="00B96B92" w:rsidRPr="004A6C7F">
        <w:rPr>
          <w:szCs w:val="22"/>
        </w:rPr>
        <w:t>, among other things,</w:t>
      </w:r>
      <w:r w:rsidR="00711442" w:rsidRPr="004A6C7F">
        <w:rPr>
          <w:szCs w:val="22"/>
        </w:rPr>
        <w:t xml:space="preserve"> </w:t>
      </w:r>
      <w:r w:rsidR="004A6C7F" w:rsidRPr="004A6C7F">
        <w:rPr>
          <w:szCs w:val="22"/>
        </w:rPr>
        <w:t xml:space="preserve">handsets that operate over </w:t>
      </w:r>
      <w:r w:rsidR="00711442" w:rsidRPr="004A6C7F">
        <w:rPr>
          <w:szCs w:val="22"/>
        </w:rPr>
        <w:t xml:space="preserve">Wi-Fi systems and private internal networks.  </w:t>
      </w:r>
      <w:r w:rsidR="00AB3202" w:rsidRPr="004A6C7F">
        <w:rPr>
          <w:szCs w:val="22"/>
        </w:rPr>
        <w:t xml:space="preserve">In light of this potential scope, </w:t>
      </w:r>
      <w:r w:rsidR="00711442" w:rsidRPr="004A6C7F">
        <w:rPr>
          <w:szCs w:val="22"/>
        </w:rPr>
        <w:t>w</w:t>
      </w:r>
      <w:r w:rsidR="001D26F5" w:rsidRPr="004A6C7F">
        <w:rPr>
          <w:szCs w:val="22"/>
        </w:rPr>
        <w:t xml:space="preserve">e seek comment </w:t>
      </w:r>
      <w:r w:rsidR="00711442" w:rsidRPr="004A6C7F">
        <w:rPr>
          <w:szCs w:val="22"/>
        </w:rPr>
        <w:t>on whether</w:t>
      </w:r>
      <w:r w:rsidR="00A80EE2" w:rsidRPr="004A6C7F">
        <w:rPr>
          <w:szCs w:val="22"/>
        </w:rPr>
        <w:t xml:space="preserve"> </w:t>
      </w:r>
      <w:r w:rsidR="002F74D5" w:rsidRPr="004A6C7F">
        <w:rPr>
          <w:szCs w:val="22"/>
        </w:rPr>
        <w:t xml:space="preserve">the Commission should consider applying </w:t>
      </w:r>
      <w:r w:rsidR="00B404E1" w:rsidRPr="004A6C7F">
        <w:rPr>
          <w:szCs w:val="22"/>
        </w:rPr>
        <w:t>the hear</w:t>
      </w:r>
      <w:r w:rsidR="00711442" w:rsidRPr="004A6C7F">
        <w:rPr>
          <w:szCs w:val="22"/>
        </w:rPr>
        <w:t>ing aid compatibility rule</w:t>
      </w:r>
      <w:r w:rsidR="008F7C88" w:rsidRPr="004A6C7F">
        <w:rPr>
          <w:szCs w:val="22"/>
        </w:rPr>
        <w:t>s</w:t>
      </w:r>
      <w:r w:rsidR="00711442" w:rsidRPr="004A6C7F">
        <w:rPr>
          <w:szCs w:val="22"/>
        </w:rPr>
        <w:t xml:space="preserve"> </w:t>
      </w:r>
      <w:r w:rsidR="002F74D5" w:rsidRPr="004A6C7F">
        <w:rPr>
          <w:szCs w:val="22"/>
        </w:rPr>
        <w:t xml:space="preserve">to </w:t>
      </w:r>
      <w:r w:rsidR="00B404E1" w:rsidRPr="004A6C7F">
        <w:rPr>
          <w:szCs w:val="22"/>
        </w:rPr>
        <w:t xml:space="preserve">handsets and other CPE used for </w:t>
      </w:r>
      <w:r w:rsidR="009E65A8" w:rsidRPr="004A6C7F">
        <w:rPr>
          <w:szCs w:val="22"/>
        </w:rPr>
        <w:t xml:space="preserve">wireless </w:t>
      </w:r>
      <w:r w:rsidR="00B404E1" w:rsidRPr="004A6C7F">
        <w:rPr>
          <w:szCs w:val="22"/>
        </w:rPr>
        <w:t xml:space="preserve">voice communications regardless of </w:t>
      </w:r>
      <w:r w:rsidR="00D36A28" w:rsidRPr="004A6C7F">
        <w:rPr>
          <w:szCs w:val="22"/>
        </w:rPr>
        <w:t>whether they are interconnected</w:t>
      </w:r>
      <w:r w:rsidR="0080570B" w:rsidRPr="004A6C7F">
        <w:rPr>
          <w:szCs w:val="22"/>
        </w:rPr>
        <w:t xml:space="preserve"> </w:t>
      </w:r>
      <w:r w:rsidR="00AB3202" w:rsidRPr="004A6C7F">
        <w:rPr>
          <w:szCs w:val="22"/>
        </w:rPr>
        <w:t xml:space="preserve">with the </w:t>
      </w:r>
      <w:r w:rsidR="00476DD5">
        <w:rPr>
          <w:szCs w:val="22"/>
        </w:rPr>
        <w:t>public switched telephone network (</w:t>
      </w:r>
      <w:r w:rsidR="00AB3202" w:rsidRPr="004A6C7F">
        <w:rPr>
          <w:szCs w:val="22"/>
        </w:rPr>
        <w:t>PSTN</w:t>
      </w:r>
      <w:r w:rsidR="00476DD5">
        <w:rPr>
          <w:szCs w:val="22"/>
        </w:rPr>
        <w:t>)</w:t>
      </w:r>
      <w:r w:rsidR="00D36A28" w:rsidRPr="004A6C7F">
        <w:rPr>
          <w:szCs w:val="22"/>
        </w:rPr>
        <w:t>.</w:t>
      </w:r>
      <w:r w:rsidR="0029141E">
        <w:rPr>
          <w:rStyle w:val="FootnoteReference"/>
          <w:szCs w:val="22"/>
        </w:rPr>
        <w:footnoteReference w:id="20"/>
      </w:r>
      <w:r w:rsidR="00B404E1" w:rsidRPr="004A6C7F">
        <w:rPr>
          <w:szCs w:val="22"/>
        </w:rPr>
        <w:t xml:space="preserve">  Similarly, </w:t>
      </w:r>
      <w:r w:rsidR="00D62AE5" w:rsidRPr="004A6C7F">
        <w:rPr>
          <w:szCs w:val="22"/>
        </w:rPr>
        <w:t>should the rule</w:t>
      </w:r>
      <w:r w:rsidR="00BB7CC5" w:rsidRPr="004A6C7F">
        <w:rPr>
          <w:szCs w:val="22"/>
        </w:rPr>
        <w:t>s</w:t>
      </w:r>
      <w:r w:rsidR="00A80EE2" w:rsidRPr="004A6C7F">
        <w:rPr>
          <w:szCs w:val="22"/>
        </w:rPr>
        <w:t xml:space="preserve"> </w:t>
      </w:r>
      <w:r>
        <w:rPr>
          <w:szCs w:val="22"/>
        </w:rPr>
        <w:t xml:space="preserve">apply </w:t>
      </w:r>
      <w:r w:rsidR="00B404E1" w:rsidRPr="004A6C7F">
        <w:rPr>
          <w:szCs w:val="22"/>
        </w:rPr>
        <w:t xml:space="preserve">to other packet-based modes of voice access such as </w:t>
      </w:r>
      <w:r w:rsidR="00476DD5">
        <w:rPr>
          <w:szCs w:val="22"/>
        </w:rPr>
        <w:t>Voice over LTE (</w:t>
      </w:r>
      <w:r w:rsidR="00B404E1" w:rsidRPr="004A6C7F">
        <w:rPr>
          <w:szCs w:val="22"/>
        </w:rPr>
        <w:t>VoLTE</w:t>
      </w:r>
      <w:r w:rsidR="00476DD5">
        <w:rPr>
          <w:szCs w:val="22"/>
        </w:rPr>
        <w:t>)</w:t>
      </w:r>
      <w:r w:rsidR="00B404E1" w:rsidRPr="004A6C7F">
        <w:rPr>
          <w:szCs w:val="22"/>
        </w:rPr>
        <w:t xml:space="preserve"> that may not use a</w:t>
      </w:r>
      <w:r w:rsidR="00A80EE2" w:rsidRPr="004A6C7F">
        <w:rPr>
          <w:szCs w:val="22"/>
        </w:rPr>
        <w:t>n in-network switching facility?</w:t>
      </w:r>
      <w:r w:rsidR="00D70A0E" w:rsidRPr="004A6C7F">
        <w:rPr>
          <w:szCs w:val="22"/>
        </w:rPr>
        <w:t xml:space="preserve"> </w:t>
      </w:r>
      <w:r w:rsidR="00FB0A2D">
        <w:rPr>
          <w:szCs w:val="22"/>
        </w:rPr>
        <w:t xml:space="preserve"> </w:t>
      </w:r>
      <w:r w:rsidR="007875A2">
        <w:rPr>
          <w:szCs w:val="22"/>
        </w:rPr>
        <w:t>How w</w:t>
      </w:r>
      <w:r>
        <w:rPr>
          <w:szCs w:val="22"/>
        </w:rPr>
        <w:t xml:space="preserve">ould amending </w:t>
      </w:r>
      <w:r w:rsidR="00711442" w:rsidRPr="004A6C7F">
        <w:rPr>
          <w:szCs w:val="22"/>
        </w:rPr>
        <w:t xml:space="preserve">the hearing aid compatibility </w:t>
      </w:r>
      <w:r w:rsidR="00D62AE5" w:rsidRPr="004A6C7F">
        <w:rPr>
          <w:szCs w:val="22"/>
        </w:rPr>
        <w:t>rule</w:t>
      </w:r>
      <w:r w:rsidR="00BB7CC5" w:rsidRPr="004A6C7F">
        <w:rPr>
          <w:szCs w:val="22"/>
        </w:rPr>
        <w:t>s</w:t>
      </w:r>
      <w:r w:rsidR="00D62AE5" w:rsidRPr="004A6C7F">
        <w:rPr>
          <w:szCs w:val="22"/>
        </w:rPr>
        <w:t xml:space="preserve"> </w:t>
      </w:r>
      <w:r w:rsidR="00711442" w:rsidRPr="004A6C7F">
        <w:rPr>
          <w:szCs w:val="22"/>
        </w:rPr>
        <w:t>in this manner</w:t>
      </w:r>
      <w:r>
        <w:rPr>
          <w:szCs w:val="22"/>
        </w:rPr>
        <w:t xml:space="preserve"> </w:t>
      </w:r>
      <w:r w:rsidR="007875A2">
        <w:rPr>
          <w:szCs w:val="22"/>
        </w:rPr>
        <w:t xml:space="preserve">affect </w:t>
      </w:r>
      <w:r w:rsidR="00B404E1" w:rsidRPr="004A6C7F">
        <w:rPr>
          <w:szCs w:val="22"/>
        </w:rPr>
        <w:t>a c</w:t>
      </w:r>
      <w:r w:rsidR="00A80EE2" w:rsidRPr="004A6C7F">
        <w:rPr>
          <w:szCs w:val="22"/>
        </w:rPr>
        <w:t>onsumer</w:t>
      </w:r>
      <w:r w:rsidR="007875A2">
        <w:rPr>
          <w:szCs w:val="22"/>
        </w:rPr>
        <w:t>’s ability</w:t>
      </w:r>
      <w:r w:rsidR="00A80EE2" w:rsidRPr="004A6C7F">
        <w:rPr>
          <w:szCs w:val="22"/>
        </w:rPr>
        <w:t xml:space="preserve"> </w:t>
      </w:r>
      <w:r w:rsidR="00B404E1" w:rsidRPr="004A6C7F">
        <w:rPr>
          <w:szCs w:val="22"/>
        </w:rPr>
        <w:t xml:space="preserve">to use his or her device </w:t>
      </w:r>
      <w:r w:rsidR="00D057B7">
        <w:rPr>
          <w:szCs w:val="22"/>
        </w:rPr>
        <w:t xml:space="preserve">in a variety of situations, such as </w:t>
      </w:r>
      <w:r w:rsidR="009C4AB4">
        <w:rPr>
          <w:szCs w:val="22"/>
        </w:rPr>
        <w:t>for</w:t>
      </w:r>
      <w:r w:rsidR="00D057B7">
        <w:rPr>
          <w:szCs w:val="22"/>
        </w:rPr>
        <w:t xml:space="preserve"> </w:t>
      </w:r>
      <w:r w:rsidR="00B404E1" w:rsidRPr="004A6C7F">
        <w:rPr>
          <w:szCs w:val="22"/>
        </w:rPr>
        <w:t xml:space="preserve">communicating in a moving vehicle </w:t>
      </w:r>
      <w:r w:rsidR="009C4AB4">
        <w:rPr>
          <w:szCs w:val="22"/>
        </w:rPr>
        <w:t xml:space="preserve">(which </w:t>
      </w:r>
      <w:r w:rsidR="00AB3202" w:rsidRPr="004A6C7F">
        <w:rPr>
          <w:szCs w:val="22"/>
        </w:rPr>
        <w:t>requir</w:t>
      </w:r>
      <w:r w:rsidR="009C4AB4">
        <w:rPr>
          <w:szCs w:val="22"/>
        </w:rPr>
        <w:t>es</w:t>
      </w:r>
      <w:r w:rsidR="00AB3202" w:rsidRPr="004A6C7F">
        <w:rPr>
          <w:szCs w:val="22"/>
        </w:rPr>
        <w:t xml:space="preserve"> access to multiple </w:t>
      </w:r>
      <w:r w:rsidR="00B404E1" w:rsidRPr="004A6C7F">
        <w:rPr>
          <w:szCs w:val="22"/>
        </w:rPr>
        <w:t>base stations</w:t>
      </w:r>
      <w:r w:rsidR="009C4AB4">
        <w:rPr>
          <w:szCs w:val="22"/>
        </w:rPr>
        <w:t>)</w:t>
      </w:r>
      <w:r w:rsidR="00B404E1" w:rsidRPr="004A6C7F">
        <w:rPr>
          <w:szCs w:val="22"/>
        </w:rPr>
        <w:t>, in a Wi-Fi hot-spot, o</w:t>
      </w:r>
      <w:r w:rsidR="00A80EE2" w:rsidRPr="004A6C7F">
        <w:rPr>
          <w:szCs w:val="22"/>
        </w:rPr>
        <w:t>r through a satellite</w:t>
      </w:r>
      <w:r w:rsidR="002F74D5" w:rsidRPr="004A6C7F">
        <w:rPr>
          <w:szCs w:val="22"/>
        </w:rPr>
        <w:t>?</w:t>
      </w:r>
      <w:r w:rsidR="00B404E1" w:rsidRPr="004A6C7F">
        <w:rPr>
          <w:szCs w:val="22"/>
        </w:rPr>
        <w:t xml:space="preserve">  </w:t>
      </w:r>
      <w:r w:rsidR="00BB7CC5" w:rsidRPr="004A6C7F">
        <w:rPr>
          <w:szCs w:val="22"/>
        </w:rPr>
        <w:t>Additionally, s</w:t>
      </w:r>
      <w:r w:rsidR="009052A8" w:rsidRPr="004A6C7F">
        <w:rPr>
          <w:szCs w:val="22"/>
        </w:rPr>
        <w:t>hould the</w:t>
      </w:r>
      <w:r w:rsidR="00AB3202" w:rsidRPr="004A6C7F">
        <w:rPr>
          <w:szCs w:val="22"/>
        </w:rPr>
        <w:t xml:space="preserve"> Commission</w:t>
      </w:r>
      <w:r w:rsidR="00711442" w:rsidRPr="004A6C7F">
        <w:rPr>
          <w:szCs w:val="22"/>
        </w:rPr>
        <w:t xml:space="preserve"> </w:t>
      </w:r>
      <w:r w:rsidR="00AB3202" w:rsidRPr="004A6C7F">
        <w:rPr>
          <w:szCs w:val="22"/>
        </w:rPr>
        <w:t xml:space="preserve">expand the </w:t>
      </w:r>
      <w:r w:rsidR="00711442" w:rsidRPr="004A6C7F">
        <w:rPr>
          <w:szCs w:val="22"/>
        </w:rPr>
        <w:t>hearing aid compatibility rule</w:t>
      </w:r>
      <w:r w:rsidR="00BB7CC5" w:rsidRPr="004A6C7F">
        <w:rPr>
          <w:szCs w:val="22"/>
        </w:rPr>
        <w:t>s</w:t>
      </w:r>
      <w:r w:rsidR="009052A8" w:rsidRPr="004A6C7F">
        <w:rPr>
          <w:szCs w:val="22"/>
        </w:rPr>
        <w:t xml:space="preserve"> to include handsets and CPE used solely over internal networks?</w:t>
      </w:r>
    </w:p>
    <w:p w:rsidR="00703BF5" w:rsidRPr="004A6C7F" w:rsidRDefault="002F74D5" w:rsidP="001D003F">
      <w:pPr>
        <w:pStyle w:val="ParaNum0"/>
        <w:rPr>
          <w:szCs w:val="22"/>
        </w:rPr>
      </w:pPr>
      <w:r w:rsidRPr="004A6C7F">
        <w:rPr>
          <w:szCs w:val="22"/>
        </w:rPr>
        <w:t>T</w:t>
      </w:r>
      <w:r w:rsidR="00E318A9" w:rsidRPr="004A6C7F">
        <w:rPr>
          <w:szCs w:val="22"/>
        </w:rPr>
        <w:t xml:space="preserve">he </w:t>
      </w:r>
      <w:r w:rsidR="00D62AE5" w:rsidRPr="004A6C7F">
        <w:rPr>
          <w:szCs w:val="22"/>
        </w:rPr>
        <w:t xml:space="preserve">CVAA </w:t>
      </w:r>
      <w:r w:rsidRPr="004A6C7F">
        <w:rPr>
          <w:szCs w:val="22"/>
        </w:rPr>
        <w:t xml:space="preserve">directs </w:t>
      </w:r>
      <w:r w:rsidR="00E318A9" w:rsidRPr="004A6C7F">
        <w:rPr>
          <w:szCs w:val="22"/>
        </w:rPr>
        <w:t>the Commission to consider</w:t>
      </w:r>
      <w:r w:rsidR="00D62AE5" w:rsidRPr="004A6C7F">
        <w:rPr>
          <w:szCs w:val="22"/>
        </w:rPr>
        <w:t xml:space="preserve"> technical feasib</w:t>
      </w:r>
      <w:r w:rsidR="00AB3202" w:rsidRPr="004A6C7F">
        <w:rPr>
          <w:szCs w:val="22"/>
        </w:rPr>
        <w:t>ility</w:t>
      </w:r>
      <w:r w:rsidR="004A6C7F" w:rsidRPr="004A6C7F">
        <w:rPr>
          <w:szCs w:val="22"/>
        </w:rPr>
        <w:t>,</w:t>
      </w:r>
      <w:r w:rsidR="00D62AE5" w:rsidRPr="004A6C7F">
        <w:rPr>
          <w:szCs w:val="22"/>
        </w:rPr>
        <w:t xml:space="preserve"> marketab</w:t>
      </w:r>
      <w:r w:rsidR="00AB3202" w:rsidRPr="004A6C7F">
        <w:rPr>
          <w:szCs w:val="22"/>
        </w:rPr>
        <w:t>ility</w:t>
      </w:r>
      <w:r w:rsidR="00F3442A" w:rsidRPr="004A6C7F">
        <w:rPr>
          <w:szCs w:val="22"/>
        </w:rPr>
        <w:t>,</w:t>
      </w:r>
      <w:r w:rsidR="00E318A9" w:rsidRPr="004A6C7F">
        <w:rPr>
          <w:szCs w:val="22"/>
        </w:rPr>
        <w:t xml:space="preserve"> and </w:t>
      </w:r>
      <w:r w:rsidR="00F3442A" w:rsidRPr="004A6C7F">
        <w:rPr>
          <w:szCs w:val="22"/>
        </w:rPr>
        <w:t xml:space="preserve">the </w:t>
      </w:r>
      <w:r w:rsidR="00E318A9" w:rsidRPr="004A6C7F">
        <w:rPr>
          <w:szCs w:val="22"/>
        </w:rPr>
        <w:t xml:space="preserve">availability of new technologies </w:t>
      </w:r>
      <w:r w:rsidR="004A6C7F" w:rsidRPr="004A6C7F">
        <w:rPr>
          <w:szCs w:val="22"/>
        </w:rPr>
        <w:t xml:space="preserve">in connection with </w:t>
      </w:r>
      <w:r w:rsidRPr="004A6C7F">
        <w:rPr>
          <w:szCs w:val="22"/>
        </w:rPr>
        <w:t>its hearing aid compatibility rules</w:t>
      </w:r>
      <w:r w:rsidR="00D62AE5" w:rsidRPr="004A6C7F">
        <w:rPr>
          <w:szCs w:val="22"/>
        </w:rPr>
        <w:t>.</w:t>
      </w:r>
      <w:r w:rsidR="00143306">
        <w:rPr>
          <w:rStyle w:val="FootnoteReference"/>
          <w:szCs w:val="22"/>
        </w:rPr>
        <w:footnoteReference w:id="21"/>
      </w:r>
      <w:r w:rsidR="00D62AE5" w:rsidRPr="004A6C7F">
        <w:rPr>
          <w:szCs w:val="22"/>
        </w:rPr>
        <w:t xml:space="preserve">  </w:t>
      </w:r>
      <w:r w:rsidR="00E318A9" w:rsidRPr="004A6C7F">
        <w:rPr>
          <w:szCs w:val="22"/>
        </w:rPr>
        <w:t>Thus, we seek comment on h</w:t>
      </w:r>
      <w:r w:rsidR="00D62AE5" w:rsidRPr="004A6C7F">
        <w:rPr>
          <w:szCs w:val="22"/>
        </w:rPr>
        <w:t xml:space="preserve">ow difficult it </w:t>
      </w:r>
      <w:r w:rsidR="00E318A9" w:rsidRPr="004A6C7F">
        <w:rPr>
          <w:szCs w:val="22"/>
        </w:rPr>
        <w:t xml:space="preserve">would </w:t>
      </w:r>
      <w:r w:rsidR="00D62AE5" w:rsidRPr="004A6C7F">
        <w:rPr>
          <w:szCs w:val="22"/>
        </w:rPr>
        <w:t xml:space="preserve">be for </w:t>
      </w:r>
      <w:r w:rsidR="00B96B92" w:rsidRPr="004A6C7F">
        <w:rPr>
          <w:szCs w:val="22"/>
        </w:rPr>
        <w:t xml:space="preserve">handsets </w:t>
      </w:r>
      <w:r w:rsidR="00996646">
        <w:rPr>
          <w:szCs w:val="22"/>
        </w:rPr>
        <w:t xml:space="preserve">that offer voice communication capability but </w:t>
      </w:r>
      <w:r w:rsidR="002A38D1">
        <w:rPr>
          <w:szCs w:val="22"/>
        </w:rPr>
        <w:t xml:space="preserve">may </w:t>
      </w:r>
      <w:r w:rsidR="00996646">
        <w:rPr>
          <w:szCs w:val="22"/>
        </w:rPr>
        <w:t xml:space="preserve">not presently </w:t>
      </w:r>
      <w:r w:rsidR="002A38D1">
        <w:rPr>
          <w:szCs w:val="22"/>
        </w:rPr>
        <w:t xml:space="preserve">be </w:t>
      </w:r>
      <w:r w:rsidR="00996646">
        <w:rPr>
          <w:szCs w:val="22"/>
        </w:rPr>
        <w:t xml:space="preserve">subject to </w:t>
      </w:r>
      <w:r w:rsidR="002A38D1">
        <w:rPr>
          <w:szCs w:val="22"/>
        </w:rPr>
        <w:t>Section</w:t>
      </w:r>
      <w:r w:rsidR="00996646">
        <w:rPr>
          <w:szCs w:val="22"/>
        </w:rPr>
        <w:t xml:space="preserve"> 20.19</w:t>
      </w:r>
      <w:r w:rsidR="004A6C7F" w:rsidRPr="004A6C7F">
        <w:rPr>
          <w:szCs w:val="22"/>
        </w:rPr>
        <w:t xml:space="preserve"> </w:t>
      </w:r>
      <w:r w:rsidR="00D62AE5" w:rsidRPr="004A6C7F">
        <w:rPr>
          <w:szCs w:val="22"/>
        </w:rPr>
        <w:t xml:space="preserve">to comply with </w:t>
      </w:r>
      <w:r w:rsidR="00E0460E" w:rsidRPr="004A6C7F">
        <w:rPr>
          <w:szCs w:val="22"/>
        </w:rPr>
        <w:t>a</w:t>
      </w:r>
      <w:r w:rsidR="0080570B" w:rsidRPr="004A6C7F">
        <w:rPr>
          <w:szCs w:val="22"/>
        </w:rPr>
        <w:t xml:space="preserve"> </w:t>
      </w:r>
      <w:r w:rsidR="00D62AE5" w:rsidRPr="004A6C7F">
        <w:rPr>
          <w:szCs w:val="22"/>
        </w:rPr>
        <w:t xml:space="preserve">hearing </w:t>
      </w:r>
      <w:r w:rsidR="00C33257" w:rsidRPr="004A6C7F">
        <w:rPr>
          <w:szCs w:val="22"/>
        </w:rPr>
        <w:t xml:space="preserve">aid </w:t>
      </w:r>
      <w:r w:rsidR="00D62AE5" w:rsidRPr="004A6C7F">
        <w:rPr>
          <w:szCs w:val="22"/>
        </w:rPr>
        <w:t xml:space="preserve">compatibility </w:t>
      </w:r>
      <w:r w:rsidR="00C33257" w:rsidRPr="004A6C7F">
        <w:rPr>
          <w:szCs w:val="22"/>
        </w:rPr>
        <w:t xml:space="preserve">technical </w:t>
      </w:r>
      <w:r w:rsidR="00D62AE5" w:rsidRPr="004A6C7F">
        <w:rPr>
          <w:szCs w:val="22"/>
        </w:rPr>
        <w:t>standard</w:t>
      </w:r>
      <w:r w:rsidR="004A6C7F" w:rsidRPr="004A6C7F">
        <w:rPr>
          <w:szCs w:val="22"/>
        </w:rPr>
        <w:t>, and whether devices used primarily or exclusively on internal networks pose unique technical challenges.</w:t>
      </w:r>
      <w:r w:rsidR="00091BE3">
        <w:rPr>
          <w:rStyle w:val="FootnoteReference"/>
          <w:szCs w:val="22"/>
        </w:rPr>
        <w:footnoteReference w:id="22"/>
      </w:r>
      <w:r w:rsidR="00B34B8E" w:rsidRPr="004A6C7F">
        <w:rPr>
          <w:szCs w:val="22"/>
        </w:rPr>
        <w:t xml:space="preserve">  Could</w:t>
      </w:r>
      <w:r w:rsidR="00AB3202" w:rsidRPr="004A6C7F">
        <w:rPr>
          <w:szCs w:val="22"/>
        </w:rPr>
        <w:t xml:space="preserve"> </w:t>
      </w:r>
      <w:r w:rsidR="004A6C7F">
        <w:rPr>
          <w:szCs w:val="22"/>
        </w:rPr>
        <w:t xml:space="preserve">manufacturers and service providers achieve </w:t>
      </w:r>
      <w:r w:rsidR="00AB3202" w:rsidRPr="004A6C7F">
        <w:rPr>
          <w:szCs w:val="22"/>
        </w:rPr>
        <w:t xml:space="preserve">compliance for these </w:t>
      </w:r>
      <w:r w:rsidR="004A6C7F">
        <w:rPr>
          <w:szCs w:val="22"/>
        </w:rPr>
        <w:t xml:space="preserve">devices </w:t>
      </w:r>
      <w:r w:rsidR="00B34B8E" w:rsidRPr="004A6C7F">
        <w:rPr>
          <w:szCs w:val="22"/>
        </w:rPr>
        <w:t>in a relatively short period of time</w:t>
      </w:r>
      <w:r w:rsidR="00AC736F">
        <w:rPr>
          <w:szCs w:val="22"/>
        </w:rPr>
        <w:t>?</w:t>
      </w:r>
      <w:r w:rsidR="00213475">
        <w:rPr>
          <w:rStyle w:val="FootnoteReference"/>
          <w:szCs w:val="22"/>
        </w:rPr>
        <w:footnoteReference w:id="23"/>
      </w:r>
      <w:r w:rsidR="00AC736F">
        <w:rPr>
          <w:szCs w:val="22"/>
        </w:rPr>
        <w:t xml:space="preserve">  A</w:t>
      </w:r>
      <w:r w:rsidR="00D62AE5" w:rsidRPr="004A6C7F">
        <w:rPr>
          <w:szCs w:val="22"/>
        </w:rPr>
        <w:t xml:space="preserve">re there technical impediments </w:t>
      </w:r>
      <w:r w:rsidR="00A93BD5" w:rsidRPr="004A6C7F">
        <w:rPr>
          <w:szCs w:val="22"/>
        </w:rPr>
        <w:t>or other considerations of which we should be aware</w:t>
      </w:r>
      <w:r w:rsidR="00D62AE5" w:rsidRPr="004A6C7F">
        <w:rPr>
          <w:szCs w:val="22"/>
        </w:rPr>
        <w:t>?  If there are technical impediments</w:t>
      </w:r>
      <w:r w:rsidR="00A93BD5" w:rsidRPr="004A6C7F">
        <w:rPr>
          <w:szCs w:val="22"/>
        </w:rPr>
        <w:t xml:space="preserve"> or other considerations</w:t>
      </w:r>
      <w:r w:rsidR="00D62AE5" w:rsidRPr="004A6C7F">
        <w:rPr>
          <w:szCs w:val="22"/>
        </w:rPr>
        <w:t>, what are they and how long would it take for manufacture</w:t>
      </w:r>
      <w:r w:rsidR="00D36A28" w:rsidRPr="004A6C7F">
        <w:rPr>
          <w:szCs w:val="22"/>
        </w:rPr>
        <w:t>r</w:t>
      </w:r>
      <w:r w:rsidR="00D62AE5" w:rsidRPr="004A6C7F">
        <w:rPr>
          <w:szCs w:val="22"/>
        </w:rPr>
        <w:t>s and service providers to overcome the</w:t>
      </w:r>
      <w:r w:rsidR="00AC736F">
        <w:rPr>
          <w:szCs w:val="22"/>
        </w:rPr>
        <w:t>m</w:t>
      </w:r>
      <w:r w:rsidR="00D62AE5" w:rsidRPr="004A6C7F">
        <w:rPr>
          <w:szCs w:val="22"/>
        </w:rPr>
        <w:t>?  How much lead time would manufacture</w:t>
      </w:r>
      <w:r w:rsidR="00D36A28" w:rsidRPr="004A6C7F">
        <w:rPr>
          <w:szCs w:val="22"/>
        </w:rPr>
        <w:t>r</w:t>
      </w:r>
      <w:r w:rsidR="00D62AE5" w:rsidRPr="004A6C7F">
        <w:rPr>
          <w:szCs w:val="22"/>
        </w:rPr>
        <w:t xml:space="preserve">s need </w:t>
      </w:r>
      <w:r w:rsidR="00A93BD5" w:rsidRPr="004A6C7F">
        <w:rPr>
          <w:szCs w:val="22"/>
        </w:rPr>
        <w:t xml:space="preserve">in order </w:t>
      </w:r>
      <w:r w:rsidR="00D62AE5" w:rsidRPr="004A6C7F">
        <w:rPr>
          <w:szCs w:val="22"/>
        </w:rPr>
        <w:t xml:space="preserve">to come into compliance </w:t>
      </w:r>
      <w:r w:rsidR="00703BF5" w:rsidRPr="004A6C7F">
        <w:rPr>
          <w:szCs w:val="22"/>
        </w:rPr>
        <w:t>and what would be the cost</w:t>
      </w:r>
      <w:r w:rsidR="00A93BD5" w:rsidRPr="004A6C7F">
        <w:rPr>
          <w:szCs w:val="22"/>
        </w:rPr>
        <w:t>s</w:t>
      </w:r>
      <w:r w:rsidR="00703BF5" w:rsidRPr="004A6C7F">
        <w:rPr>
          <w:szCs w:val="22"/>
        </w:rPr>
        <w:t xml:space="preserve"> of complying?</w:t>
      </w:r>
    </w:p>
    <w:p w:rsidR="0013002F" w:rsidRDefault="001A414F" w:rsidP="00205E89">
      <w:pPr>
        <w:pStyle w:val="ParaNum0"/>
        <w:widowControl/>
        <w:rPr>
          <w:szCs w:val="22"/>
        </w:rPr>
      </w:pPr>
      <w:r w:rsidRPr="00D70A0E">
        <w:rPr>
          <w:szCs w:val="22"/>
        </w:rPr>
        <w:t xml:space="preserve">Along these same </w:t>
      </w:r>
      <w:r w:rsidRPr="001D003F">
        <w:t>lines</w:t>
      </w:r>
      <w:r w:rsidRPr="00D70A0E">
        <w:rPr>
          <w:szCs w:val="22"/>
        </w:rPr>
        <w:t xml:space="preserve">, do testing </w:t>
      </w:r>
      <w:r w:rsidR="00DD0B29" w:rsidRPr="00D70A0E">
        <w:rPr>
          <w:szCs w:val="22"/>
        </w:rPr>
        <w:t>laboratories</w:t>
      </w:r>
      <w:r w:rsidRPr="00D70A0E">
        <w:rPr>
          <w:szCs w:val="22"/>
        </w:rPr>
        <w:t xml:space="preserve"> have the </w:t>
      </w:r>
      <w:r w:rsidR="00C33257" w:rsidRPr="00D70A0E">
        <w:rPr>
          <w:szCs w:val="22"/>
        </w:rPr>
        <w:t>equipment</w:t>
      </w:r>
      <w:r w:rsidRPr="00D70A0E">
        <w:rPr>
          <w:szCs w:val="22"/>
        </w:rPr>
        <w:t xml:space="preserve"> and software </w:t>
      </w:r>
      <w:r w:rsidR="00A93BD5" w:rsidRPr="00D70A0E">
        <w:rPr>
          <w:szCs w:val="22"/>
        </w:rPr>
        <w:t xml:space="preserve">needed </w:t>
      </w:r>
      <w:r w:rsidRPr="00D70A0E">
        <w:rPr>
          <w:szCs w:val="22"/>
        </w:rPr>
        <w:t xml:space="preserve">to test </w:t>
      </w:r>
      <w:r w:rsidR="004A6C7F">
        <w:rPr>
          <w:szCs w:val="22"/>
        </w:rPr>
        <w:t xml:space="preserve">the compatibility of </w:t>
      </w:r>
      <w:r w:rsidR="00A93BD5" w:rsidRPr="00D70A0E">
        <w:rPr>
          <w:szCs w:val="22"/>
        </w:rPr>
        <w:t>handse</w:t>
      </w:r>
      <w:r w:rsidR="0004547D" w:rsidRPr="00D70A0E">
        <w:rPr>
          <w:szCs w:val="22"/>
        </w:rPr>
        <w:t>ts</w:t>
      </w:r>
      <w:r w:rsidR="00A93BD5" w:rsidRPr="00D70A0E">
        <w:rPr>
          <w:szCs w:val="22"/>
        </w:rPr>
        <w:t xml:space="preserve"> </w:t>
      </w:r>
      <w:r w:rsidR="00C272AF" w:rsidRPr="00C272AF">
        <w:rPr>
          <w:szCs w:val="22"/>
        </w:rPr>
        <w:t xml:space="preserve">that offer voice communication capability but </w:t>
      </w:r>
      <w:r w:rsidR="002A38D1">
        <w:rPr>
          <w:szCs w:val="22"/>
        </w:rPr>
        <w:t xml:space="preserve">may </w:t>
      </w:r>
      <w:r w:rsidR="00C272AF" w:rsidRPr="00C272AF">
        <w:rPr>
          <w:szCs w:val="22"/>
        </w:rPr>
        <w:t xml:space="preserve">not </w:t>
      </w:r>
      <w:r w:rsidR="002A38D1">
        <w:rPr>
          <w:szCs w:val="22"/>
        </w:rPr>
        <w:t xml:space="preserve">be </w:t>
      </w:r>
      <w:r w:rsidR="00C272AF" w:rsidRPr="00C272AF">
        <w:rPr>
          <w:szCs w:val="22"/>
        </w:rPr>
        <w:t xml:space="preserve">presently subject to </w:t>
      </w:r>
      <w:r w:rsidR="002A38D1" w:rsidRPr="00C272AF">
        <w:rPr>
          <w:szCs w:val="22"/>
        </w:rPr>
        <w:t>Section</w:t>
      </w:r>
      <w:r w:rsidR="00C272AF" w:rsidRPr="00C272AF">
        <w:rPr>
          <w:szCs w:val="22"/>
        </w:rPr>
        <w:t xml:space="preserve"> 20.19</w:t>
      </w:r>
      <w:r w:rsidRPr="00D70A0E">
        <w:rPr>
          <w:szCs w:val="22"/>
        </w:rPr>
        <w:t xml:space="preserve">?  </w:t>
      </w:r>
      <w:r w:rsidR="00EF1C22" w:rsidRPr="00D70A0E">
        <w:rPr>
          <w:szCs w:val="22"/>
        </w:rPr>
        <w:t xml:space="preserve">Could laboratories upgrade </w:t>
      </w:r>
      <w:r w:rsidRPr="00D70A0E">
        <w:rPr>
          <w:szCs w:val="22"/>
        </w:rPr>
        <w:t xml:space="preserve">existing equipment </w:t>
      </w:r>
      <w:r w:rsidR="00EF1C22" w:rsidRPr="00D70A0E">
        <w:rPr>
          <w:szCs w:val="22"/>
        </w:rPr>
        <w:t>to test devices that operate on other i</w:t>
      </w:r>
      <w:r w:rsidR="00D823A3">
        <w:rPr>
          <w:szCs w:val="22"/>
        </w:rPr>
        <w:t>nterfaces, or would they need to</w:t>
      </w:r>
      <w:r w:rsidR="00EF1C22" w:rsidRPr="00D70A0E">
        <w:rPr>
          <w:szCs w:val="22"/>
        </w:rPr>
        <w:t xml:space="preserve"> purchase </w:t>
      </w:r>
      <w:r w:rsidRPr="00D70A0E">
        <w:rPr>
          <w:szCs w:val="22"/>
        </w:rPr>
        <w:t xml:space="preserve">new </w:t>
      </w:r>
      <w:r w:rsidR="00C33257" w:rsidRPr="00D70A0E">
        <w:rPr>
          <w:szCs w:val="22"/>
        </w:rPr>
        <w:t>equipment</w:t>
      </w:r>
      <w:r w:rsidRPr="00D70A0E">
        <w:rPr>
          <w:szCs w:val="22"/>
        </w:rPr>
        <w:t xml:space="preserve"> </w:t>
      </w:r>
      <w:r w:rsidR="00C33257" w:rsidRPr="00D70A0E">
        <w:rPr>
          <w:szCs w:val="22"/>
        </w:rPr>
        <w:t>and software</w:t>
      </w:r>
      <w:r w:rsidRPr="00D70A0E">
        <w:rPr>
          <w:szCs w:val="22"/>
        </w:rPr>
        <w:t xml:space="preserve">?  What </w:t>
      </w:r>
      <w:r w:rsidR="00EF1C22" w:rsidRPr="00D70A0E">
        <w:rPr>
          <w:szCs w:val="22"/>
        </w:rPr>
        <w:t>are</w:t>
      </w:r>
      <w:r w:rsidRPr="00D70A0E">
        <w:rPr>
          <w:szCs w:val="22"/>
        </w:rPr>
        <w:t xml:space="preserve"> the cost</w:t>
      </w:r>
      <w:r w:rsidR="00EF1C22" w:rsidRPr="00D70A0E">
        <w:rPr>
          <w:szCs w:val="22"/>
        </w:rPr>
        <w:t>s</w:t>
      </w:r>
      <w:r w:rsidRPr="00D70A0E">
        <w:rPr>
          <w:szCs w:val="22"/>
        </w:rPr>
        <w:t xml:space="preserve"> of updating existing </w:t>
      </w:r>
      <w:r w:rsidR="00C33257" w:rsidRPr="00D70A0E">
        <w:rPr>
          <w:szCs w:val="22"/>
        </w:rPr>
        <w:t>equipment and software</w:t>
      </w:r>
      <w:r w:rsidRPr="00D70A0E">
        <w:rPr>
          <w:szCs w:val="22"/>
        </w:rPr>
        <w:t xml:space="preserve"> or purchasing new </w:t>
      </w:r>
      <w:r w:rsidR="00C33257" w:rsidRPr="00D70A0E">
        <w:rPr>
          <w:szCs w:val="22"/>
        </w:rPr>
        <w:t>equipment and software</w:t>
      </w:r>
      <w:r w:rsidRPr="00D70A0E">
        <w:rPr>
          <w:szCs w:val="22"/>
        </w:rPr>
        <w:t>?</w:t>
      </w:r>
    </w:p>
    <w:p w:rsidR="004A6C7F" w:rsidRPr="00D70A0E" w:rsidRDefault="007B12F3" w:rsidP="001D003F">
      <w:pPr>
        <w:pStyle w:val="ParaNum0"/>
        <w:rPr>
          <w:szCs w:val="22"/>
        </w:rPr>
      </w:pPr>
      <w:r>
        <w:rPr>
          <w:szCs w:val="22"/>
        </w:rPr>
        <w:t xml:space="preserve">Would </w:t>
      </w:r>
      <w:r w:rsidR="004A6C7F">
        <w:rPr>
          <w:szCs w:val="22"/>
        </w:rPr>
        <w:t>technical impediments, testing costs, or other challenges support exempting certain technologies or services from the rules, either indefinitely or for a specified period?</w:t>
      </w:r>
      <w:r w:rsidR="00091BE3">
        <w:rPr>
          <w:rStyle w:val="FootnoteReference"/>
          <w:szCs w:val="22"/>
        </w:rPr>
        <w:footnoteReference w:id="24"/>
      </w:r>
      <w:r>
        <w:rPr>
          <w:szCs w:val="22"/>
        </w:rPr>
        <w:t xml:space="preserve"> </w:t>
      </w:r>
      <w:r w:rsidRPr="007B12F3">
        <w:rPr>
          <w:szCs w:val="22"/>
        </w:rPr>
        <w:t xml:space="preserve"> </w:t>
      </w:r>
      <w:r w:rsidRPr="00D70A0E">
        <w:rPr>
          <w:szCs w:val="22"/>
        </w:rPr>
        <w:t xml:space="preserve">If so, what technologies </w:t>
      </w:r>
      <w:r>
        <w:rPr>
          <w:szCs w:val="22"/>
        </w:rPr>
        <w:t xml:space="preserve">or services </w:t>
      </w:r>
      <w:r w:rsidRPr="00D70A0E">
        <w:rPr>
          <w:szCs w:val="22"/>
        </w:rPr>
        <w:t xml:space="preserve">would </w:t>
      </w:r>
      <w:r>
        <w:rPr>
          <w:szCs w:val="22"/>
        </w:rPr>
        <w:t xml:space="preserve">merit an </w:t>
      </w:r>
      <w:r w:rsidRPr="00D70A0E">
        <w:rPr>
          <w:szCs w:val="22"/>
        </w:rPr>
        <w:t>exempt</w:t>
      </w:r>
      <w:r>
        <w:rPr>
          <w:szCs w:val="22"/>
        </w:rPr>
        <w:t>ion</w:t>
      </w:r>
      <w:r w:rsidRPr="00D70A0E">
        <w:rPr>
          <w:szCs w:val="22"/>
        </w:rPr>
        <w:t xml:space="preserve"> and why?  </w:t>
      </w:r>
      <w:r>
        <w:rPr>
          <w:szCs w:val="22"/>
        </w:rPr>
        <w:t xml:space="preserve">What impact would exemptions have on people with hearing loss?  </w:t>
      </w:r>
      <w:r w:rsidRPr="00D70A0E">
        <w:rPr>
          <w:szCs w:val="22"/>
        </w:rPr>
        <w:t>What standard should the Commission utilize to determine if a technology</w:t>
      </w:r>
      <w:r>
        <w:rPr>
          <w:szCs w:val="22"/>
        </w:rPr>
        <w:t xml:space="preserve"> or service</w:t>
      </w:r>
      <w:r w:rsidRPr="00D70A0E">
        <w:rPr>
          <w:szCs w:val="22"/>
        </w:rPr>
        <w:t xml:space="preserve"> should be exempted?</w:t>
      </w:r>
      <w:r>
        <w:rPr>
          <w:szCs w:val="22"/>
        </w:rPr>
        <w:t xml:space="preserve">  Finally, how frequently should the Commission review such exemptions?</w:t>
      </w:r>
      <w:r>
        <w:rPr>
          <w:rStyle w:val="FootnoteReference"/>
          <w:szCs w:val="22"/>
        </w:rPr>
        <w:footnoteReference w:id="25"/>
      </w:r>
    </w:p>
    <w:p w:rsidR="0013002F" w:rsidRPr="00D70A0E" w:rsidRDefault="0080570B" w:rsidP="0099293B">
      <w:pPr>
        <w:pStyle w:val="Heading2"/>
        <w:rPr>
          <w:szCs w:val="22"/>
        </w:rPr>
      </w:pPr>
      <w:r w:rsidRPr="00D70A0E">
        <w:rPr>
          <w:szCs w:val="22"/>
        </w:rPr>
        <w:t xml:space="preserve">Fractional Deployment </w:t>
      </w:r>
      <w:r w:rsidR="008109EA" w:rsidRPr="00D70A0E">
        <w:rPr>
          <w:szCs w:val="22"/>
        </w:rPr>
        <w:t>B</w:t>
      </w:r>
      <w:r w:rsidR="0013002F" w:rsidRPr="00D70A0E">
        <w:rPr>
          <w:szCs w:val="22"/>
        </w:rPr>
        <w:t>enchmarks</w:t>
      </w:r>
    </w:p>
    <w:p w:rsidR="00976F53" w:rsidRPr="00D70A0E" w:rsidRDefault="00F3246D" w:rsidP="001D003F">
      <w:pPr>
        <w:pStyle w:val="ParaNum0"/>
        <w:rPr>
          <w:szCs w:val="22"/>
        </w:rPr>
      </w:pPr>
      <w:r w:rsidRPr="00D70A0E">
        <w:rPr>
          <w:szCs w:val="22"/>
        </w:rPr>
        <w:t xml:space="preserve">In enacting the </w:t>
      </w:r>
      <w:r w:rsidRPr="001D003F">
        <w:t>H</w:t>
      </w:r>
      <w:r w:rsidR="00081DA5">
        <w:t>AC</w:t>
      </w:r>
      <w:r w:rsidRPr="00D70A0E">
        <w:rPr>
          <w:szCs w:val="22"/>
        </w:rPr>
        <w:t xml:space="preserve"> Act, Congress found that </w:t>
      </w:r>
      <w:r w:rsidR="00E0460E" w:rsidRPr="00D70A0E">
        <w:rPr>
          <w:szCs w:val="22"/>
        </w:rPr>
        <w:t xml:space="preserve">individuals </w:t>
      </w:r>
      <w:r w:rsidRPr="00D70A0E">
        <w:rPr>
          <w:szCs w:val="22"/>
        </w:rPr>
        <w:t>with hearing loss should have access to the telecommunications network “to the fullest extent made possible by technology and medical science.”</w:t>
      </w:r>
      <w:r w:rsidRPr="00D70A0E">
        <w:rPr>
          <w:szCs w:val="22"/>
          <w:vertAlign w:val="superscript"/>
        </w:rPr>
        <w:footnoteReference w:id="26"/>
      </w:r>
      <w:r w:rsidRPr="00D70A0E">
        <w:rPr>
          <w:szCs w:val="22"/>
        </w:rPr>
        <w:t xml:space="preserve">  Likewise, the CVAA </w:t>
      </w:r>
      <w:r w:rsidR="00E318A9">
        <w:rPr>
          <w:szCs w:val="22"/>
        </w:rPr>
        <w:t xml:space="preserve">directs the Commission to adopt rules that </w:t>
      </w:r>
      <w:r w:rsidRPr="00D70A0E">
        <w:rPr>
          <w:szCs w:val="22"/>
        </w:rPr>
        <w:t>expand</w:t>
      </w:r>
      <w:r w:rsidR="00E318A9">
        <w:rPr>
          <w:szCs w:val="22"/>
        </w:rPr>
        <w:t xml:space="preserve"> consumer</w:t>
      </w:r>
      <w:r w:rsidRPr="00D70A0E">
        <w:rPr>
          <w:szCs w:val="22"/>
        </w:rPr>
        <w:t xml:space="preserve"> access to hearing </w:t>
      </w:r>
      <w:r w:rsidR="00BB0E52">
        <w:rPr>
          <w:szCs w:val="22"/>
        </w:rPr>
        <w:t>aid compatible</w:t>
      </w:r>
      <w:r w:rsidRPr="00D70A0E">
        <w:rPr>
          <w:szCs w:val="22"/>
        </w:rPr>
        <w:t xml:space="preserve"> handsets</w:t>
      </w:r>
      <w:r w:rsidR="00E318A9">
        <w:rPr>
          <w:szCs w:val="22"/>
        </w:rPr>
        <w:t xml:space="preserve"> in line with advanced communication technologies</w:t>
      </w:r>
      <w:r w:rsidRPr="00D70A0E">
        <w:rPr>
          <w:szCs w:val="22"/>
        </w:rPr>
        <w:t>.</w:t>
      </w:r>
      <w:r w:rsidR="00B54D96">
        <w:rPr>
          <w:rStyle w:val="FootnoteReference"/>
          <w:szCs w:val="22"/>
        </w:rPr>
        <w:footnoteReference w:id="27"/>
      </w:r>
      <w:r w:rsidRPr="00D70A0E">
        <w:rPr>
          <w:szCs w:val="22"/>
        </w:rPr>
        <w:t xml:space="preserve">  </w:t>
      </w:r>
      <w:r w:rsidR="00976F53" w:rsidRPr="00D70A0E">
        <w:rPr>
          <w:szCs w:val="22"/>
        </w:rPr>
        <w:t xml:space="preserve">The Commission’s </w:t>
      </w:r>
      <w:r w:rsidRPr="00D70A0E">
        <w:rPr>
          <w:szCs w:val="22"/>
        </w:rPr>
        <w:t xml:space="preserve">existing </w:t>
      </w:r>
      <w:r w:rsidR="00540DAF" w:rsidRPr="00D70A0E">
        <w:rPr>
          <w:szCs w:val="22"/>
        </w:rPr>
        <w:t xml:space="preserve">hearing aid compatibility </w:t>
      </w:r>
      <w:r w:rsidR="00BC1B89" w:rsidRPr="00D70A0E">
        <w:rPr>
          <w:szCs w:val="22"/>
        </w:rPr>
        <w:t>rule</w:t>
      </w:r>
      <w:r w:rsidR="00E318A9">
        <w:rPr>
          <w:szCs w:val="22"/>
        </w:rPr>
        <w:t>s</w:t>
      </w:r>
      <w:r w:rsidRPr="00D70A0E">
        <w:rPr>
          <w:szCs w:val="22"/>
        </w:rPr>
        <w:t xml:space="preserve">, however, </w:t>
      </w:r>
      <w:r w:rsidR="00976F53" w:rsidRPr="00D70A0E">
        <w:rPr>
          <w:szCs w:val="22"/>
        </w:rPr>
        <w:t xml:space="preserve">require </w:t>
      </w:r>
      <w:r w:rsidR="005028CD" w:rsidRPr="00D70A0E">
        <w:rPr>
          <w:szCs w:val="22"/>
        </w:rPr>
        <w:t xml:space="preserve">covered </w:t>
      </w:r>
      <w:r w:rsidR="00E75E0D" w:rsidRPr="00D70A0E">
        <w:rPr>
          <w:szCs w:val="22"/>
        </w:rPr>
        <w:t>handset manufacturers</w:t>
      </w:r>
      <w:r w:rsidR="005028CD" w:rsidRPr="00D70A0E">
        <w:rPr>
          <w:szCs w:val="22"/>
        </w:rPr>
        <w:t xml:space="preserve"> and service providers to </w:t>
      </w:r>
      <w:r w:rsidR="007A32B1" w:rsidRPr="00D70A0E">
        <w:rPr>
          <w:szCs w:val="22"/>
        </w:rPr>
        <w:t xml:space="preserve">achieve compliance </w:t>
      </w:r>
      <w:r w:rsidR="008444F9" w:rsidRPr="00D70A0E">
        <w:rPr>
          <w:szCs w:val="22"/>
        </w:rPr>
        <w:t xml:space="preserve">only </w:t>
      </w:r>
      <w:r w:rsidR="007A32B1" w:rsidRPr="00D70A0E">
        <w:rPr>
          <w:szCs w:val="22"/>
        </w:rPr>
        <w:t xml:space="preserve">for </w:t>
      </w:r>
      <w:r w:rsidR="005028CD" w:rsidRPr="00D70A0E">
        <w:rPr>
          <w:szCs w:val="22"/>
        </w:rPr>
        <w:t>a percentage of the total numb</w:t>
      </w:r>
      <w:r w:rsidR="00631A6D" w:rsidRPr="00D70A0E">
        <w:rPr>
          <w:szCs w:val="22"/>
        </w:rPr>
        <w:t>er of handset</w:t>
      </w:r>
      <w:r w:rsidR="005968A3">
        <w:rPr>
          <w:szCs w:val="22"/>
        </w:rPr>
        <w:t xml:space="preserve"> model</w:t>
      </w:r>
      <w:r w:rsidR="00631A6D" w:rsidRPr="00D70A0E">
        <w:rPr>
          <w:szCs w:val="22"/>
        </w:rPr>
        <w:t>s that they offer</w:t>
      </w:r>
      <w:r w:rsidR="005028CD" w:rsidRPr="00D70A0E">
        <w:rPr>
          <w:szCs w:val="22"/>
        </w:rPr>
        <w:t>.</w:t>
      </w:r>
      <w:r w:rsidR="00976F53" w:rsidRPr="00D70A0E">
        <w:rPr>
          <w:szCs w:val="22"/>
          <w:vertAlign w:val="superscript"/>
        </w:rPr>
        <w:footnoteReference w:id="28"/>
      </w:r>
      <w:r w:rsidR="005028CD" w:rsidRPr="00D70A0E">
        <w:rPr>
          <w:szCs w:val="22"/>
        </w:rPr>
        <w:t xml:space="preserve">  </w:t>
      </w:r>
      <w:r w:rsidR="00F32FBC" w:rsidRPr="00D70A0E">
        <w:rPr>
          <w:szCs w:val="22"/>
        </w:rPr>
        <w:t>These</w:t>
      </w:r>
      <w:r w:rsidR="004D11B0" w:rsidRPr="00D70A0E">
        <w:rPr>
          <w:szCs w:val="22"/>
        </w:rPr>
        <w:t xml:space="preserve"> </w:t>
      </w:r>
      <w:r w:rsidR="0080570B" w:rsidRPr="00D70A0E">
        <w:rPr>
          <w:szCs w:val="22"/>
        </w:rPr>
        <w:t xml:space="preserve">fractional deployment </w:t>
      </w:r>
      <w:r w:rsidR="004D11B0" w:rsidRPr="00D70A0E">
        <w:rPr>
          <w:szCs w:val="22"/>
        </w:rPr>
        <w:t>benchmarks</w:t>
      </w:r>
      <w:r w:rsidR="00E90ABF" w:rsidRPr="00D70A0E">
        <w:rPr>
          <w:szCs w:val="22"/>
        </w:rPr>
        <w:t xml:space="preserve"> </w:t>
      </w:r>
      <w:r w:rsidR="004D11B0" w:rsidRPr="00D70A0E">
        <w:rPr>
          <w:szCs w:val="22"/>
        </w:rPr>
        <w:t>have been in place for a number of years</w:t>
      </w:r>
      <w:r w:rsidR="00F32FBC" w:rsidRPr="00D70A0E">
        <w:rPr>
          <w:szCs w:val="22"/>
        </w:rPr>
        <w:t xml:space="preserve"> and </w:t>
      </w:r>
      <w:r w:rsidR="0080570B" w:rsidRPr="00D70A0E">
        <w:rPr>
          <w:szCs w:val="22"/>
        </w:rPr>
        <w:t>the</w:t>
      </w:r>
      <w:r w:rsidR="00E318A9">
        <w:rPr>
          <w:szCs w:val="22"/>
        </w:rPr>
        <w:t>y</w:t>
      </w:r>
      <w:r w:rsidR="0080570B" w:rsidRPr="00D70A0E">
        <w:rPr>
          <w:szCs w:val="22"/>
        </w:rPr>
        <w:t xml:space="preserve"> </w:t>
      </w:r>
      <w:r w:rsidR="00F32FBC" w:rsidRPr="00D70A0E">
        <w:rPr>
          <w:szCs w:val="22"/>
        </w:rPr>
        <w:t>have remained static</w:t>
      </w:r>
      <w:r w:rsidR="0080570B" w:rsidRPr="00D70A0E">
        <w:rPr>
          <w:szCs w:val="22"/>
        </w:rPr>
        <w:t>, despite significant progress among certain manufacturers</w:t>
      </w:r>
      <w:r w:rsidR="007A32B1" w:rsidRPr="00D70A0E">
        <w:rPr>
          <w:szCs w:val="22"/>
        </w:rPr>
        <w:t xml:space="preserve"> in achieving compliance</w:t>
      </w:r>
      <w:r w:rsidR="004D11B0" w:rsidRPr="00D70A0E">
        <w:rPr>
          <w:szCs w:val="22"/>
        </w:rPr>
        <w:t>.</w:t>
      </w:r>
      <w:r w:rsidR="00297738">
        <w:rPr>
          <w:rStyle w:val="FootnoteReference"/>
          <w:szCs w:val="22"/>
        </w:rPr>
        <w:footnoteReference w:id="29"/>
      </w:r>
      <w:r w:rsidR="004D11B0" w:rsidRPr="00D70A0E">
        <w:rPr>
          <w:szCs w:val="22"/>
        </w:rPr>
        <w:t xml:space="preserve">  </w:t>
      </w:r>
      <w:r w:rsidR="0075575C" w:rsidRPr="00D70A0E">
        <w:rPr>
          <w:szCs w:val="22"/>
        </w:rPr>
        <w:t>Moreover, we note the increasing trend among consumers</w:t>
      </w:r>
      <w:r w:rsidR="007875A2">
        <w:rPr>
          <w:szCs w:val="22"/>
        </w:rPr>
        <w:t xml:space="preserve"> </w:t>
      </w:r>
      <w:r w:rsidR="0075575C" w:rsidRPr="00D70A0E">
        <w:rPr>
          <w:szCs w:val="22"/>
        </w:rPr>
        <w:t xml:space="preserve">to </w:t>
      </w:r>
      <w:r w:rsidR="0080570B" w:rsidRPr="00D70A0E">
        <w:rPr>
          <w:szCs w:val="22"/>
        </w:rPr>
        <w:t xml:space="preserve">reside in wireless only households and rely </w:t>
      </w:r>
      <w:r w:rsidR="0075575C" w:rsidRPr="00D70A0E">
        <w:rPr>
          <w:szCs w:val="22"/>
        </w:rPr>
        <w:t xml:space="preserve">exclusively </w:t>
      </w:r>
      <w:r w:rsidR="0080570B" w:rsidRPr="00D70A0E">
        <w:rPr>
          <w:szCs w:val="22"/>
        </w:rPr>
        <w:t xml:space="preserve">on wireless services </w:t>
      </w:r>
      <w:r w:rsidR="007A32B1" w:rsidRPr="00D70A0E">
        <w:rPr>
          <w:szCs w:val="22"/>
        </w:rPr>
        <w:t xml:space="preserve">for </w:t>
      </w:r>
      <w:r w:rsidR="0075575C" w:rsidRPr="00D70A0E">
        <w:rPr>
          <w:szCs w:val="22"/>
        </w:rPr>
        <w:t>communications.</w:t>
      </w:r>
      <w:r w:rsidR="00332C70">
        <w:rPr>
          <w:rStyle w:val="FootnoteReference"/>
          <w:sz w:val="22"/>
          <w:szCs w:val="22"/>
        </w:rPr>
        <w:footnoteReference w:id="30"/>
      </w:r>
      <w:r w:rsidR="0075575C" w:rsidRPr="00D70A0E">
        <w:rPr>
          <w:szCs w:val="22"/>
        </w:rPr>
        <w:t xml:space="preserve">  </w:t>
      </w:r>
      <w:r w:rsidR="0080570B" w:rsidRPr="00D70A0E">
        <w:rPr>
          <w:szCs w:val="22"/>
        </w:rPr>
        <w:t>In such households, wireless handsets may be the only way for consumers to contact essential services, such as 911</w:t>
      </w:r>
      <w:r w:rsidR="000737F9" w:rsidRPr="00D70A0E">
        <w:rPr>
          <w:szCs w:val="22"/>
        </w:rPr>
        <w:t xml:space="preserve"> </w:t>
      </w:r>
      <w:r w:rsidR="00D057B7">
        <w:rPr>
          <w:szCs w:val="22"/>
        </w:rPr>
        <w:t>emergency services</w:t>
      </w:r>
      <w:r w:rsidR="0080570B" w:rsidRPr="00D70A0E">
        <w:rPr>
          <w:szCs w:val="22"/>
        </w:rPr>
        <w:t xml:space="preserve">.  </w:t>
      </w:r>
      <w:r w:rsidR="0004547D" w:rsidRPr="00D70A0E">
        <w:rPr>
          <w:szCs w:val="22"/>
        </w:rPr>
        <w:t>Given</w:t>
      </w:r>
      <w:r w:rsidR="004D11B0" w:rsidRPr="00D70A0E">
        <w:rPr>
          <w:szCs w:val="22"/>
        </w:rPr>
        <w:t xml:space="preserve"> the evolu</w:t>
      </w:r>
      <w:r w:rsidR="00915CB9" w:rsidRPr="00D70A0E">
        <w:rPr>
          <w:szCs w:val="22"/>
        </w:rPr>
        <w:t>tion in wireless technology</w:t>
      </w:r>
      <w:r w:rsidR="0004547D" w:rsidRPr="00D70A0E">
        <w:rPr>
          <w:szCs w:val="22"/>
        </w:rPr>
        <w:t xml:space="preserve"> and</w:t>
      </w:r>
      <w:r w:rsidR="00F32FBC" w:rsidRPr="00D70A0E">
        <w:rPr>
          <w:szCs w:val="22"/>
        </w:rPr>
        <w:t xml:space="preserve"> handset manufacturing,</w:t>
      </w:r>
      <w:r w:rsidR="00915CB9" w:rsidRPr="00D70A0E">
        <w:rPr>
          <w:szCs w:val="22"/>
        </w:rPr>
        <w:t xml:space="preserve"> and </w:t>
      </w:r>
      <w:r w:rsidR="0075575C" w:rsidRPr="00D70A0E">
        <w:rPr>
          <w:szCs w:val="22"/>
        </w:rPr>
        <w:t xml:space="preserve">evolving </w:t>
      </w:r>
      <w:r w:rsidR="004D11B0" w:rsidRPr="00D70A0E">
        <w:rPr>
          <w:szCs w:val="22"/>
        </w:rPr>
        <w:t>consumer expectation</w:t>
      </w:r>
      <w:r w:rsidR="00915CB9" w:rsidRPr="00D70A0E">
        <w:rPr>
          <w:szCs w:val="22"/>
        </w:rPr>
        <w:t>s</w:t>
      </w:r>
      <w:r w:rsidR="00E0460E" w:rsidRPr="00D70A0E">
        <w:rPr>
          <w:szCs w:val="22"/>
        </w:rPr>
        <w:t xml:space="preserve"> and use</w:t>
      </w:r>
      <w:r w:rsidR="004D11B0" w:rsidRPr="00D70A0E">
        <w:rPr>
          <w:szCs w:val="22"/>
        </w:rPr>
        <w:t xml:space="preserve">, we seek </w:t>
      </w:r>
      <w:r w:rsidR="00B022F5" w:rsidRPr="00D70A0E">
        <w:rPr>
          <w:szCs w:val="22"/>
        </w:rPr>
        <w:t>comment on</w:t>
      </w:r>
      <w:r w:rsidR="00F33903">
        <w:rPr>
          <w:szCs w:val="22"/>
        </w:rPr>
        <w:t xml:space="preserve"> whether </w:t>
      </w:r>
      <w:r w:rsidR="00957EC1">
        <w:rPr>
          <w:szCs w:val="22"/>
        </w:rPr>
        <w:t xml:space="preserve">the </w:t>
      </w:r>
      <w:r w:rsidR="00F33903">
        <w:rPr>
          <w:szCs w:val="22"/>
        </w:rPr>
        <w:t xml:space="preserve">current </w:t>
      </w:r>
      <w:r w:rsidR="00957EC1">
        <w:rPr>
          <w:szCs w:val="22"/>
        </w:rPr>
        <w:t xml:space="preserve">fractional deployment approach </w:t>
      </w:r>
      <w:r w:rsidR="00F33903">
        <w:rPr>
          <w:szCs w:val="22"/>
        </w:rPr>
        <w:t>effectively meet</w:t>
      </w:r>
      <w:r w:rsidR="00957EC1">
        <w:rPr>
          <w:szCs w:val="22"/>
        </w:rPr>
        <w:t>s</w:t>
      </w:r>
      <w:r w:rsidR="00F33903">
        <w:rPr>
          <w:szCs w:val="22"/>
        </w:rPr>
        <w:t xml:space="preserve"> the communication needs of people with hearing loss</w:t>
      </w:r>
      <w:r w:rsidR="00B022F5" w:rsidRPr="00D70A0E">
        <w:rPr>
          <w:szCs w:val="22"/>
        </w:rPr>
        <w:t>.</w:t>
      </w:r>
      <w:r w:rsidR="00D3505F" w:rsidRPr="00D3505F">
        <w:rPr>
          <w:szCs w:val="22"/>
          <w:vertAlign w:val="superscript"/>
        </w:rPr>
        <w:footnoteReference w:id="31"/>
      </w:r>
    </w:p>
    <w:p w:rsidR="007B3D49" w:rsidRDefault="00270AA2" w:rsidP="00205E89">
      <w:pPr>
        <w:pStyle w:val="ParaNum0"/>
        <w:widowControl/>
        <w:rPr>
          <w:szCs w:val="22"/>
        </w:rPr>
      </w:pPr>
      <w:r w:rsidRPr="009C4AB4">
        <w:rPr>
          <w:szCs w:val="22"/>
        </w:rPr>
        <w:t xml:space="preserve">We </w:t>
      </w:r>
      <w:r w:rsidR="00933827">
        <w:rPr>
          <w:szCs w:val="22"/>
        </w:rPr>
        <w:t xml:space="preserve">renew our request for </w:t>
      </w:r>
      <w:r w:rsidRPr="009C4AB4">
        <w:rPr>
          <w:szCs w:val="22"/>
        </w:rPr>
        <w:t>comment on how consumers with hearing loss would benefit if all newly manufactured handsets were hearing aid compatible</w:t>
      </w:r>
      <w:r w:rsidR="007E21E2">
        <w:rPr>
          <w:szCs w:val="22"/>
        </w:rPr>
        <w:t xml:space="preserve"> – </w:t>
      </w:r>
      <w:r w:rsidR="007E21E2" w:rsidRPr="007B3D49">
        <w:rPr>
          <w:i/>
          <w:szCs w:val="22"/>
        </w:rPr>
        <w:t>i.e.</w:t>
      </w:r>
      <w:r w:rsidR="007E21E2">
        <w:rPr>
          <w:szCs w:val="22"/>
        </w:rPr>
        <w:t>, have ratings of M3 and T3 or better</w:t>
      </w:r>
      <w:r w:rsidRPr="009C4AB4">
        <w:rPr>
          <w:szCs w:val="22"/>
        </w:rPr>
        <w:t>.</w:t>
      </w:r>
      <w:r w:rsidR="0024094C">
        <w:rPr>
          <w:rStyle w:val="FootnoteReference"/>
          <w:szCs w:val="22"/>
        </w:rPr>
        <w:footnoteReference w:id="32"/>
      </w:r>
      <w:r w:rsidRPr="009C4AB4">
        <w:rPr>
          <w:szCs w:val="22"/>
        </w:rPr>
        <w:t xml:space="preserve">  For example, to what extent would </w:t>
      </w:r>
      <w:r w:rsidR="00957EC1" w:rsidRPr="009C4AB4">
        <w:rPr>
          <w:szCs w:val="22"/>
        </w:rPr>
        <w:t xml:space="preserve">this </w:t>
      </w:r>
      <w:r w:rsidRPr="009C4AB4">
        <w:rPr>
          <w:szCs w:val="22"/>
        </w:rPr>
        <w:t xml:space="preserve">improve the ability of consumers to select phones that meet their communication needs and reduce consumer confusion when shopping at retail establishments?  </w:t>
      </w:r>
      <w:r w:rsidR="00AC736F" w:rsidRPr="009C4AB4">
        <w:rPr>
          <w:szCs w:val="22"/>
        </w:rPr>
        <w:t xml:space="preserve">To the extent that consumers currently have difficulty finding handsets that work effectively with their hearing aids or implants, would </w:t>
      </w:r>
      <w:r w:rsidR="00E8179A" w:rsidRPr="009C4AB4">
        <w:rPr>
          <w:szCs w:val="22"/>
        </w:rPr>
        <w:t>this change meanin</w:t>
      </w:r>
      <w:r w:rsidR="004B5A60">
        <w:rPr>
          <w:szCs w:val="22"/>
        </w:rPr>
        <w:t>gfully address the difficulty?</w:t>
      </w:r>
    </w:p>
    <w:p w:rsidR="00B54D96" w:rsidRPr="009C4AB4" w:rsidRDefault="00E8179A" w:rsidP="00B54D96">
      <w:pPr>
        <w:pStyle w:val="ParaNum0"/>
        <w:rPr>
          <w:szCs w:val="22"/>
        </w:rPr>
      </w:pPr>
      <w:r w:rsidRPr="009C4AB4">
        <w:rPr>
          <w:szCs w:val="22"/>
        </w:rPr>
        <w:t>T</w:t>
      </w:r>
      <w:r w:rsidR="00270AA2" w:rsidRPr="009C4AB4">
        <w:rPr>
          <w:szCs w:val="22"/>
        </w:rPr>
        <w:t xml:space="preserve">o what extent would </w:t>
      </w:r>
      <w:r w:rsidRPr="009C4AB4">
        <w:rPr>
          <w:szCs w:val="22"/>
        </w:rPr>
        <w:t xml:space="preserve">requiring compliance for all handsets </w:t>
      </w:r>
      <w:r w:rsidR="00270AA2" w:rsidRPr="009C4AB4">
        <w:rPr>
          <w:szCs w:val="22"/>
        </w:rPr>
        <w:t xml:space="preserve">make it easier for consumers </w:t>
      </w:r>
      <w:r w:rsidR="00957EC1" w:rsidRPr="009C4AB4">
        <w:rPr>
          <w:szCs w:val="22"/>
        </w:rPr>
        <w:t xml:space="preserve">with hearing loss </w:t>
      </w:r>
      <w:r w:rsidR="00270AA2" w:rsidRPr="009C4AB4">
        <w:rPr>
          <w:szCs w:val="22"/>
        </w:rPr>
        <w:t xml:space="preserve">to purchase handsets not just from manufacturers and service providers but from distributors, third-party vendors, kiosks, and websites?  </w:t>
      </w:r>
      <w:r w:rsidR="00957EC1" w:rsidRPr="009C4AB4">
        <w:rPr>
          <w:szCs w:val="22"/>
        </w:rPr>
        <w:t>We note that, in the past, consumers have requested an in-store testing requirement for independent retailers.</w:t>
      </w:r>
      <w:r w:rsidR="00957EC1">
        <w:rPr>
          <w:rStyle w:val="FootnoteReference"/>
          <w:sz w:val="22"/>
          <w:szCs w:val="22"/>
        </w:rPr>
        <w:footnoteReference w:id="33"/>
      </w:r>
      <w:r w:rsidR="00957EC1" w:rsidRPr="009C4AB4">
        <w:rPr>
          <w:szCs w:val="22"/>
        </w:rPr>
        <w:t xml:space="preserve">  Would expanding the hearing aid compatibility requirement to all handsets render this request moot?  G</w:t>
      </w:r>
      <w:r w:rsidR="00270AA2" w:rsidRPr="009C4AB4">
        <w:rPr>
          <w:szCs w:val="22"/>
        </w:rPr>
        <w:t xml:space="preserve">iven the increasing number of wireless-only households, to what extent would </w:t>
      </w:r>
      <w:r w:rsidR="00957EC1" w:rsidRPr="009C4AB4">
        <w:rPr>
          <w:szCs w:val="22"/>
        </w:rPr>
        <w:t xml:space="preserve">this change improve access </w:t>
      </w:r>
      <w:r w:rsidR="00270AA2" w:rsidRPr="009C4AB4">
        <w:rPr>
          <w:szCs w:val="22"/>
        </w:rPr>
        <w:t>to emergency services</w:t>
      </w:r>
      <w:r w:rsidR="00957EC1" w:rsidRPr="009C4AB4">
        <w:rPr>
          <w:szCs w:val="22"/>
        </w:rPr>
        <w:t xml:space="preserve"> for individuals with hearing loss</w:t>
      </w:r>
      <w:r w:rsidR="00270AA2" w:rsidRPr="009C4AB4">
        <w:rPr>
          <w:szCs w:val="22"/>
        </w:rPr>
        <w:t xml:space="preserve">?  We seek comment on these issues and on other ways consumers with hearing loss could benefit if all future handsets </w:t>
      </w:r>
      <w:r w:rsidR="007875A2">
        <w:rPr>
          <w:szCs w:val="22"/>
        </w:rPr>
        <w:t>were</w:t>
      </w:r>
      <w:r w:rsidR="00270AA2" w:rsidRPr="009C4AB4">
        <w:rPr>
          <w:szCs w:val="22"/>
        </w:rPr>
        <w:t xml:space="preserve"> hearing aid compatible.</w:t>
      </w:r>
    </w:p>
    <w:p w:rsidR="004A2900" w:rsidRPr="0075223F" w:rsidRDefault="004A2900" w:rsidP="00B54D96">
      <w:pPr>
        <w:pStyle w:val="ParaNum0"/>
        <w:rPr>
          <w:szCs w:val="22"/>
        </w:rPr>
      </w:pPr>
      <w:r w:rsidRPr="00D70A0E">
        <w:rPr>
          <w:szCs w:val="22"/>
        </w:rPr>
        <w:t xml:space="preserve">We </w:t>
      </w:r>
      <w:r w:rsidR="00642952">
        <w:rPr>
          <w:szCs w:val="22"/>
        </w:rPr>
        <w:t xml:space="preserve">also </w:t>
      </w:r>
      <w:r w:rsidRPr="00D70A0E">
        <w:rPr>
          <w:szCs w:val="22"/>
        </w:rPr>
        <w:t xml:space="preserve">seek comment on challenges </w:t>
      </w:r>
      <w:r w:rsidR="00B54D96">
        <w:rPr>
          <w:szCs w:val="22"/>
        </w:rPr>
        <w:t xml:space="preserve">that may be </w:t>
      </w:r>
      <w:r w:rsidRPr="00D70A0E">
        <w:rPr>
          <w:szCs w:val="22"/>
        </w:rPr>
        <w:t>associated with ensuring that all future handsets are compliant.</w:t>
      </w:r>
      <w:r w:rsidR="0024094C">
        <w:rPr>
          <w:rStyle w:val="FootnoteReference"/>
          <w:szCs w:val="22"/>
        </w:rPr>
        <w:footnoteReference w:id="34"/>
      </w:r>
      <w:r>
        <w:rPr>
          <w:szCs w:val="22"/>
        </w:rPr>
        <w:t xml:space="preserve">  </w:t>
      </w:r>
      <w:r w:rsidRPr="00D70A0E">
        <w:rPr>
          <w:szCs w:val="22"/>
        </w:rPr>
        <w:t xml:space="preserve">Are there any technologies for which this would be technically infeasible?  How much lead time would manufacturers need </w:t>
      </w:r>
      <w:r>
        <w:rPr>
          <w:szCs w:val="22"/>
        </w:rPr>
        <w:t>to achieve this, while ensuring the marketability and availability of their new technologies</w:t>
      </w:r>
      <w:r w:rsidRPr="0075223F">
        <w:rPr>
          <w:szCs w:val="22"/>
        </w:rPr>
        <w:t>?</w:t>
      </w:r>
      <w:r w:rsidRPr="0075223F">
        <w:rPr>
          <w:rStyle w:val="FootnoteReference"/>
          <w:szCs w:val="22"/>
        </w:rPr>
        <w:footnoteReference w:id="35"/>
      </w:r>
      <w:r w:rsidRPr="0075223F">
        <w:rPr>
          <w:szCs w:val="22"/>
        </w:rPr>
        <w:t xml:space="preserve">  </w:t>
      </w:r>
      <w:r w:rsidR="005968A3">
        <w:rPr>
          <w:szCs w:val="22"/>
        </w:rPr>
        <w:t>D</w:t>
      </w:r>
      <w:r w:rsidR="005968A3" w:rsidRPr="005968A3">
        <w:rPr>
          <w:szCs w:val="22"/>
        </w:rPr>
        <w:t xml:space="preserve">oes the transition away from GSM and towards VoLTE </w:t>
      </w:r>
      <w:r w:rsidR="005968A3">
        <w:rPr>
          <w:szCs w:val="22"/>
        </w:rPr>
        <w:t>remove some technological hurdles that slowed progress towards</w:t>
      </w:r>
      <w:r w:rsidR="005968A3" w:rsidRPr="005968A3">
        <w:rPr>
          <w:szCs w:val="22"/>
        </w:rPr>
        <w:t xml:space="preserve"> making</w:t>
      </w:r>
      <w:r w:rsidR="005968A3">
        <w:rPr>
          <w:szCs w:val="22"/>
        </w:rPr>
        <w:t xml:space="preserve"> all</w:t>
      </w:r>
      <w:r w:rsidR="005968A3" w:rsidRPr="005968A3">
        <w:rPr>
          <w:szCs w:val="22"/>
        </w:rPr>
        <w:t xml:space="preserve"> handsets hearing aid compatible?  </w:t>
      </w:r>
      <w:r w:rsidRPr="0075223F">
        <w:rPr>
          <w:szCs w:val="22"/>
        </w:rPr>
        <w:t>Commenters advocating maintaining the existing benchmarks should clearly explain why their position is consistent with the H</w:t>
      </w:r>
      <w:r w:rsidR="00081DA5">
        <w:rPr>
          <w:szCs w:val="22"/>
        </w:rPr>
        <w:t>AC</w:t>
      </w:r>
      <w:r w:rsidRPr="0075223F">
        <w:rPr>
          <w:szCs w:val="22"/>
        </w:rPr>
        <w:t xml:space="preserve"> Act and the CVAA, and also why this decision would not adversely impact </w:t>
      </w:r>
      <w:r w:rsidR="0075223F">
        <w:rPr>
          <w:szCs w:val="22"/>
        </w:rPr>
        <w:t>persons</w:t>
      </w:r>
      <w:r w:rsidRPr="0075223F">
        <w:rPr>
          <w:szCs w:val="22"/>
        </w:rPr>
        <w:t xml:space="preserve"> </w:t>
      </w:r>
      <w:r w:rsidR="00B54D96">
        <w:rPr>
          <w:szCs w:val="22"/>
        </w:rPr>
        <w:t xml:space="preserve">who are deaf </w:t>
      </w:r>
      <w:r w:rsidR="00957EC1">
        <w:rPr>
          <w:szCs w:val="22"/>
        </w:rPr>
        <w:t>or</w:t>
      </w:r>
      <w:r w:rsidR="00B54D96">
        <w:rPr>
          <w:szCs w:val="22"/>
        </w:rPr>
        <w:t xml:space="preserve"> hard of hearing</w:t>
      </w:r>
      <w:r w:rsidRPr="0075223F">
        <w:rPr>
          <w:szCs w:val="22"/>
        </w:rPr>
        <w:t xml:space="preserve">. </w:t>
      </w:r>
      <w:r w:rsidR="00270AA2">
        <w:rPr>
          <w:szCs w:val="22"/>
        </w:rPr>
        <w:t xml:space="preserve"> </w:t>
      </w:r>
      <w:r w:rsidR="00642952">
        <w:rPr>
          <w:szCs w:val="22"/>
        </w:rPr>
        <w:t>A</w:t>
      </w:r>
      <w:r w:rsidR="00270AA2">
        <w:rPr>
          <w:szCs w:val="22"/>
        </w:rPr>
        <w:t>re there some wireless technologies for which the Commission should grant exemptions from an all-inclusive rule, because of their nascent status or for other reasons?  Commenters advocating specific exemptions should clearly state the basis for</w:t>
      </w:r>
      <w:r w:rsidR="00957EC1">
        <w:rPr>
          <w:szCs w:val="22"/>
        </w:rPr>
        <w:t xml:space="preserve"> any </w:t>
      </w:r>
      <w:r w:rsidR="00270AA2">
        <w:rPr>
          <w:szCs w:val="22"/>
        </w:rPr>
        <w:t>exemption</w:t>
      </w:r>
      <w:r w:rsidR="00B54D96">
        <w:rPr>
          <w:szCs w:val="22"/>
        </w:rPr>
        <w:t xml:space="preserve">, </w:t>
      </w:r>
      <w:r w:rsidR="00957EC1">
        <w:rPr>
          <w:szCs w:val="22"/>
        </w:rPr>
        <w:t xml:space="preserve">its </w:t>
      </w:r>
      <w:r w:rsidR="00B54D96">
        <w:rPr>
          <w:szCs w:val="22"/>
        </w:rPr>
        <w:t xml:space="preserve">expected impact on the affected population, </w:t>
      </w:r>
      <w:r w:rsidR="00270AA2">
        <w:rPr>
          <w:szCs w:val="22"/>
        </w:rPr>
        <w:t xml:space="preserve">whether </w:t>
      </w:r>
      <w:r w:rsidR="00142528">
        <w:rPr>
          <w:szCs w:val="22"/>
        </w:rPr>
        <w:t xml:space="preserve">it </w:t>
      </w:r>
      <w:r w:rsidR="00270AA2">
        <w:rPr>
          <w:szCs w:val="22"/>
        </w:rPr>
        <w:t>should be temporary or permanent</w:t>
      </w:r>
      <w:r w:rsidR="00B54D96">
        <w:rPr>
          <w:szCs w:val="22"/>
        </w:rPr>
        <w:t>, and if temporary</w:t>
      </w:r>
      <w:r w:rsidR="009C4AB4">
        <w:rPr>
          <w:szCs w:val="22"/>
        </w:rPr>
        <w:t>,</w:t>
      </w:r>
      <w:r w:rsidR="00B54D96">
        <w:rPr>
          <w:szCs w:val="22"/>
        </w:rPr>
        <w:t xml:space="preserve"> whether and how frequently </w:t>
      </w:r>
      <w:r w:rsidR="00142528">
        <w:rPr>
          <w:szCs w:val="22"/>
        </w:rPr>
        <w:t>it</w:t>
      </w:r>
      <w:r w:rsidR="00B54D96">
        <w:rPr>
          <w:szCs w:val="22"/>
        </w:rPr>
        <w:t xml:space="preserve"> should be </w:t>
      </w:r>
      <w:r w:rsidR="007E21E2">
        <w:rPr>
          <w:szCs w:val="22"/>
        </w:rPr>
        <w:t>reevaluated</w:t>
      </w:r>
      <w:r w:rsidR="00B54D96">
        <w:rPr>
          <w:szCs w:val="22"/>
        </w:rPr>
        <w:t xml:space="preserve"> by the Commission</w:t>
      </w:r>
      <w:r w:rsidR="00270AA2">
        <w:rPr>
          <w:szCs w:val="22"/>
        </w:rPr>
        <w:t>.</w:t>
      </w:r>
    </w:p>
    <w:p w:rsidR="000737F9" w:rsidRPr="00D70A0E" w:rsidRDefault="00642952" w:rsidP="001D003F">
      <w:pPr>
        <w:pStyle w:val="ParaNum0"/>
        <w:rPr>
          <w:szCs w:val="22"/>
        </w:rPr>
      </w:pPr>
      <w:r>
        <w:rPr>
          <w:szCs w:val="22"/>
        </w:rPr>
        <w:t>Finally, w</w:t>
      </w:r>
      <w:r w:rsidR="00C86FAB">
        <w:rPr>
          <w:szCs w:val="22"/>
        </w:rPr>
        <w:t>e seek comment on the costs and benefits associated with requiring</w:t>
      </w:r>
      <w:r w:rsidR="00B22A17" w:rsidRPr="00D70A0E">
        <w:rPr>
          <w:szCs w:val="22"/>
        </w:rPr>
        <w:t xml:space="preserve"> all handsets </w:t>
      </w:r>
      <w:r w:rsidR="00951DAA">
        <w:rPr>
          <w:szCs w:val="22"/>
        </w:rPr>
        <w:t xml:space="preserve">to be </w:t>
      </w:r>
      <w:r w:rsidR="00C86FAB">
        <w:rPr>
          <w:szCs w:val="22"/>
        </w:rPr>
        <w:t xml:space="preserve">hearing aid </w:t>
      </w:r>
      <w:r w:rsidR="005968A3">
        <w:rPr>
          <w:szCs w:val="22"/>
        </w:rPr>
        <w:t>compatible</w:t>
      </w:r>
      <w:r w:rsidR="00C86FAB">
        <w:rPr>
          <w:szCs w:val="22"/>
        </w:rPr>
        <w:t xml:space="preserve">.  In particular, </w:t>
      </w:r>
      <w:r w:rsidR="00142528">
        <w:rPr>
          <w:szCs w:val="22"/>
        </w:rPr>
        <w:t xml:space="preserve">would this change eliminate the need for </w:t>
      </w:r>
      <w:r w:rsidR="00C86FAB">
        <w:rPr>
          <w:szCs w:val="22"/>
        </w:rPr>
        <w:t xml:space="preserve">a number of </w:t>
      </w:r>
      <w:r w:rsidR="00142528">
        <w:rPr>
          <w:szCs w:val="22"/>
        </w:rPr>
        <w:t xml:space="preserve">the </w:t>
      </w:r>
      <w:r w:rsidR="00C86FAB">
        <w:rPr>
          <w:szCs w:val="22"/>
        </w:rPr>
        <w:t xml:space="preserve">compliance requirements associated with the present </w:t>
      </w:r>
      <w:r w:rsidR="00142528">
        <w:rPr>
          <w:szCs w:val="22"/>
        </w:rPr>
        <w:t>fractional approach</w:t>
      </w:r>
      <w:r w:rsidR="003963EC">
        <w:rPr>
          <w:szCs w:val="22"/>
        </w:rPr>
        <w:t xml:space="preserve">, </w:t>
      </w:r>
      <w:r w:rsidR="00142528">
        <w:rPr>
          <w:szCs w:val="22"/>
        </w:rPr>
        <w:t xml:space="preserve">such as </w:t>
      </w:r>
      <w:r w:rsidR="00B22A17" w:rsidRPr="00D70A0E">
        <w:rPr>
          <w:szCs w:val="22"/>
        </w:rPr>
        <w:t xml:space="preserve">annual status reports </w:t>
      </w:r>
      <w:r w:rsidR="00951DAA">
        <w:rPr>
          <w:szCs w:val="22"/>
        </w:rPr>
        <w:t>on hearing aid compatibility</w:t>
      </w:r>
      <w:r w:rsidR="003963EC">
        <w:rPr>
          <w:szCs w:val="22"/>
        </w:rPr>
        <w:t>,</w:t>
      </w:r>
      <w:r w:rsidR="000737F9" w:rsidRPr="00D70A0E">
        <w:rPr>
          <w:rStyle w:val="FootnoteReference"/>
          <w:sz w:val="22"/>
          <w:szCs w:val="22"/>
        </w:rPr>
        <w:footnoteReference w:id="36"/>
      </w:r>
      <w:r w:rsidR="00142528">
        <w:rPr>
          <w:szCs w:val="22"/>
        </w:rPr>
        <w:t xml:space="preserve"> </w:t>
      </w:r>
      <w:r w:rsidR="000737F9" w:rsidRPr="00D70A0E">
        <w:rPr>
          <w:szCs w:val="22"/>
        </w:rPr>
        <w:t>the product refresh rule</w:t>
      </w:r>
      <w:r w:rsidR="005968A3">
        <w:rPr>
          <w:szCs w:val="22"/>
        </w:rPr>
        <w:t>,</w:t>
      </w:r>
      <w:r w:rsidR="003963EC">
        <w:rPr>
          <w:rStyle w:val="FootnoteReference"/>
          <w:szCs w:val="22"/>
        </w:rPr>
        <w:footnoteReference w:id="37"/>
      </w:r>
      <w:r w:rsidR="00951DAA">
        <w:rPr>
          <w:szCs w:val="22"/>
        </w:rPr>
        <w:t xml:space="preserve"> and</w:t>
      </w:r>
      <w:r w:rsidR="000334E3" w:rsidRPr="00D70A0E">
        <w:rPr>
          <w:szCs w:val="22"/>
        </w:rPr>
        <w:t xml:space="preserve"> the </w:t>
      </w:r>
      <w:r w:rsidR="00142528">
        <w:rPr>
          <w:szCs w:val="22"/>
        </w:rPr>
        <w:t>“</w:t>
      </w:r>
      <w:r w:rsidR="000737F9" w:rsidRPr="00D70A0E">
        <w:rPr>
          <w:szCs w:val="22"/>
        </w:rPr>
        <w:t>different levels of functionality</w:t>
      </w:r>
      <w:r w:rsidR="00142528">
        <w:rPr>
          <w:szCs w:val="22"/>
        </w:rPr>
        <w:t>”</w:t>
      </w:r>
      <w:r w:rsidR="000737F9" w:rsidRPr="00D70A0E">
        <w:rPr>
          <w:szCs w:val="22"/>
        </w:rPr>
        <w:t xml:space="preserve"> rule</w:t>
      </w:r>
      <w:r w:rsidR="00297738">
        <w:rPr>
          <w:szCs w:val="22"/>
        </w:rPr>
        <w:t>?</w:t>
      </w:r>
      <w:r w:rsidR="000737F9" w:rsidRPr="00D70A0E">
        <w:rPr>
          <w:rStyle w:val="FootnoteReference"/>
          <w:sz w:val="22"/>
          <w:szCs w:val="22"/>
        </w:rPr>
        <w:footnoteReference w:id="38"/>
      </w:r>
      <w:r w:rsidR="000334E3" w:rsidRPr="00D70A0E">
        <w:rPr>
          <w:szCs w:val="22"/>
        </w:rPr>
        <w:t xml:space="preserve">  </w:t>
      </w:r>
      <w:r w:rsidR="003963EC" w:rsidRPr="00D70A0E">
        <w:rPr>
          <w:szCs w:val="22"/>
        </w:rPr>
        <w:t>W</w:t>
      </w:r>
      <w:r w:rsidR="003963EC">
        <w:rPr>
          <w:szCs w:val="22"/>
        </w:rPr>
        <w:t xml:space="preserve">hat would be the advantages and disadvantages of discontinuing </w:t>
      </w:r>
      <w:r w:rsidR="003963EC" w:rsidRPr="00D70A0E">
        <w:rPr>
          <w:szCs w:val="22"/>
        </w:rPr>
        <w:t>the</w:t>
      </w:r>
      <w:r w:rsidR="003963EC">
        <w:rPr>
          <w:szCs w:val="22"/>
        </w:rPr>
        <w:t>se</w:t>
      </w:r>
      <w:r w:rsidR="003963EC" w:rsidRPr="00D70A0E">
        <w:rPr>
          <w:szCs w:val="22"/>
        </w:rPr>
        <w:t xml:space="preserve"> requirement</w:t>
      </w:r>
      <w:r w:rsidR="003963EC">
        <w:rPr>
          <w:szCs w:val="22"/>
        </w:rPr>
        <w:t>s for manufacturers, service providers and consumers</w:t>
      </w:r>
      <w:r w:rsidR="003963EC" w:rsidRPr="00D70A0E">
        <w:rPr>
          <w:szCs w:val="22"/>
        </w:rPr>
        <w:t>?</w:t>
      </w:r>
      <w:r w:rsidR="0024094C">
        <w:rPr>
          <w:rStyle w:val="FootnoteReference"/>
          <w:szCs w:val="22"/>
        </w:rPr>
        <w:footnoteReference w:id="39"/>
      </w:r>
      <w:r w:rsidR="003963EC">
        <w:rPr>
          <w:szCs w:val="22"/>
        </w:rPr>
        <w:t xml:space="preserve"> </w:t>
      </w:r>
      <w:r w:rsidR="002C6CBA">
        <w:rPr>
          <w:szCs w:val="22"/>
        </w:rPr>
        <w:t xml:space="preserve"> </w:t>
      </w:r>
      <w:r w:rsidR="00951DAA">
        <w:rPr>
          <w:szCs w:val="22"/>
        </w:rPr>
        <w:t>Are there</w:t>
      </w:r>
      <w:r w:rsidR="00951DAA" w:rsidRPr="00D70A0E">
        <w:rPr>
          <w:szCs w:val="22"/>
        </w:rPr>
        <w:t xml:space="preserve"> other compliance requirements </w:t>
      </w:r>
      <w:r w:rsidR="00951DAA">
        <w:rPr>
          <w:szCs w:val="22"/>
        </w:rPr>
        <w:t xml:space="preserve">that could be discontinued?  </w:t>
      </w:r>
      <w:r w:rsidR="000737F9" w:rsidRPr="00D70A0E">
        <w:rPr>
          <w:szCs w:val="22"/>
        </w:rPr>
        <w:t>Would</w:t>
      </w:r>
      <w:r w:rsidR="000334E3" w:rsidRPr="00D70A0E">
        <w:rPr>
          <w:szCs w:val="22"/>
        </w:rPr>
        <w:t xml:space="preserve"> the potential reduction in compliance burdens provide a particular </w:t>
      </w:r>
      <w:r w:rsidR="000737F9" w:rsidRPr="00D70A0E">
        <w:rPr>
          <w:szCs w:val="22"/>
        </w:rPr>
        <w:t xml:space="preserve">benefit </w:t>
      </w:r>
      <w:r w:rsidR="00142528">
        <w:rPr>
          <w:szCs w:val="22"/>
        </w:rPr>
        <w:t xml:space="preserve">or cost to discrete segments of the industry, such as </w:t>
      </w:r>
      <w:r w:rsidR="000737F9" w:rsidRPr="00D70A0E">
        <w:rPr>
          <w:szCs w:val="22"/>
        </w:rPr>
        <w:t xml:space="preserve">smaller wireless providers?  Would smaller providers benefit from </w:t>
      </w:r>
      <w:r w:rsidR="00951DAA">
        <w:rPr>
          <w:szCs w:val="22"/>
        </w:rPr>
        <w:t xml:space="preserve">the availability of </w:t>
      </w:r>
      <w:r w:rsidR="000737F9" w:rsidRPr="00D70A0E">
        <w:rPr>
          <w:szCs w:val="22"/>
        </w:rPr>
        <w:t>a wide</w:t>
      </w:r>
      <w:r w:rsidR="00951DAA">
        <w:rPr>
          <w:szCs w:val="22"/>
        </w:rPr>
        <w:t>r</w:t>
      </w:r>
      <w:r w:rsidR="00297738">
        <w:rPr>
          <w:szCs w:val="22"/>
        </w:rPr>
        <w:t xml:space="preserve"> </w:t>
      </w:r>
      <w:r w:rsidR="000737F9" w:rsidRPr="00D70A0E">
        <w:rPr>
          <w:szCs w:val="22"/>
        </w:rPr>
        <w:t xml:space="preserve">variety of the latest </w:t>
      </w:r>
      <w:r w:rsidR="002C6CBA">
        <w:rPr>
          <w:szCs w:val="22"/>
        </w:rPr>
        <w:t xml:space="preserve">handset </w:t>
      </w:r>
      <w:r w:rsidR="000737F9" w:rsidRPr="00D70A0E">
        <w:rPr>
          <w:szCs w:val="22"/>
        </w:rPr>
        <w:t>models?</w:t>
      </w:r>
      <w:r w:rsidR="0024094C">
        <w:rPr>
          <w:rStyle w:val="FootnoteReference"/>
          <w:szCs w:val="22"/>
        </w:rPr>
        <w:footnoteReference w:id="40"/>
      </w:r>
      <w:r w:rsidR="000737F9" w:rsidRPr="00D70A0E">
        <w:rPr>
          <w:szCs w:val="22"/>
        </w:rPr>
        <w:t xml:space="preserve">  We note that some manufacture</w:t>
      </w:r>
      <w:r w:rsidR="00D600BC">
        <w:rPr>
          <w:szCs w:val="22"/>
        </w:rPr>
        <w:t>r</w:t>
      </w:r>
      <w:r w:rsidR="000737F9" w:rsidRPr="00D70A0E">
        <w:rPr>
          <w:szCs w:val="22"/>
        </w:rPr>
        <w:t xml:space="preserve">s now deploy </w:t>
      </w:r>
      <w:r w:rsidR="002065E7" w:rsidRPr="00D70A0E">
        <w:rPr>
          <w:szCs w:val="22"/>
        </w:rPr>
        <w:t>hearing aid compatible handsets in a higher percentage than is required under the rules.</w:t>
      </w:r>
      <w:r w:rsidR="006C7871">
        <w:rPr>
          <w:rStyle w:val="FootnoteReference"/>
          <w:szCs w:val="22"/>
        </w:rPr>
        <w:footnoteReference w:id="41"/>
      </w:r>
      <w:r w:rsidR="002065E7" w:rsidRPr="00D70A0E">
        <w:rPr>
          <w:szCs w:val="22"/>
        </w:rPr>
        <w:t xml:space="preserve">  </w:t>
      </w:r>
      <w:r w:rsidR="000737F9" w:rsidRPr="00D70A0E">
        <w:rPr>
          <w:szCs w:val="22"/>
        </w:rPr>
        <w:t xml:space="preserve">What economies of scale and other benefits would accrue to manufacturers who design all of their handsets to be hearing aid compatible?  We </w:t>
      </w:r>
      <w:r w:rsidR="00297738">
        <w:rPr>
          <w:szCs w:val="22"/>
        </w:rPr>
        <w:t xml:space="preserve">generally </w:t>
      </w:r>
      <w:r w:rsidR="000737F9" w:rsidRPr="00D70A0E">
        <w:rPr>
          <w:szCs w:val="22"/>
        </w:rPr>
        <w:t xml:space="preserve">seek comment on other ways covered handset manufacturers and service providers could benefit </w:t>
      </w:r>
      <w:r w:rsidR="00876D8F" w:rsidRPr="00D70A0E">
        <w:rPr>
          <w:szCs w:val="22"/>
        </w:rPr>
        <w:t xml:space="preserve">if </w:t>
      </w:r>
      <w:r w:rsidR="000737F9" w:rsidRPr="00D70A0E">
        <w:rPr>
          <w:szCs w:val="22"/>
        </w:rPr>
        <w:t xml:space="preserve">all wireless handsets </w:t>
      </w:r>
      <w:r w:rsidR="00876D8F" w:rsidRPr="00D70A0E">
        <w:rPr>
          <w:szCs w:val="22"/>
        </w:rPr>
        <w:t>were</w:t>
      </w:r>
      <w:r w:rsidR="000737F9" w:rsidRPr="00D70A0E">
        <w:rPr>
          <w:szCs w:val="22"/>
        </w:rPr>
        <w:t xml:space="preserve"> hearing </w:t>
      </w:r>
      <w:r w:rsidR="00BB0E52">
        <w:rPr>
          <w:szCs w:val="22"/>
        </w:rPr>
        <w:t>aid compatible</w:t>
      </w:r>
      <w:r w:rsidR="00297738">
        <w:rPr>
          <w:szCs w:val="22"/>
        </w:rPr>
        <w:t>, as well as any obstacles to achieving this result</w:t>
      </w:r>
      <w:r w:rsidR="000737F9" w:rsidRPr="00D70A0E">
        <w:rPr>
          <w:szCs w:val="22"/>
        </w:rPr>
        <w:t>.</w:t>
      </w:r>
    </w:p>
    <w:p w:rsidR="0013002F" w:rsidRPr="00D70A0E" w:rsidRDefault="0013002F" w:rsidP="0099293B">
      <w:pPr>
        <w:pStyle w:val="Heading1"/>
        <w:rPr>
          <w:szCs w:val="22"/>
        </w:rPr>
      </w:pPr>
      <w:r w:rsidRPr="00D70A0E">
        <w:rPr>
          <w:szCs w:val="22"/>
        </w:rPr>
        <w:t>Procedural Matters</w:t>
      </w:r>
    </w:p>
    <w:p w:rsidR="0013002F" w:rsidRPr="00D70A0E" w:rsidRDefault="0013002F" w:rsidP="001D003F">
      <w:pPr>
        <w:pStyle w:val="ParaNum0"/>
        <w:rPr>
          <w:szCs w:val="22"/>
        </w:rPr>
      </w:pPr>
      <w:r w:rsidRPr="00D70A0E">
        <w:rPr>
          <w:szCs w:val="22"/>
        </w:rPr>
        <w:t>Interested pa</w:t>
      </w:r>
      <w:r w:rsidR="006774B1" w:rsidRPr="00D70A0E">
        <w:rPr>
          <w:szCs w:val="22"/>
        </w:rPr>
        <w:t xml:space="preserve">rties </w:t>
      </w:r>
      <w:r w:rsidR="006774B1" w:rsidRPr="001D003F">
        <w:t>may</w:t>
      </w:r>
      <w:r w:rsidR="006774B1" w:rsidRPr="00D70A0E">
        <w:rPr>
          <w:szCs w:val="22"/>
        </w:rPr>
        <w:t xml:space="preserve"> file comments within </w:t>
      </w:r>
      <w:r w:rsidR="00AC3169" w:rsidRPr="00D70A0E">
        <w:rPr>
          <w:szCs w:val="22"/>
        </w:rPr>
        <w:t>30</w:t>
      </w:r>
      <w:r w:rsidRPr="00D70A0E">
        <w:rPr>
          <w:szCs w:val="22"/>
        </w:rPr>
        <w:t xml:space="preserve"> days of the publication of this Public Notice in the </w:t>
      </w:r>
      <w:r w:rsidRPr="00D70A0E">
        <w:rPr>
          <w:i/>
          <w:szCs w:val="22"/>
        </w:rPr>
        <w:t>Federal Register</w:t>
      </w:r>
      <w:r w:rsidR="00631A6D" w:rsidRPr="00D70A0E">
        <w:rPr>
          <w:szCs w:val="22"/>
        </w:rPr>
        <w:t xml:space="preserve"> and reply comments within </w:t>
      </w:r>
      <w:r w:rsidR="002C6CBA">
        <w:rPr>
          <w:szCs w:val="22"/>
        </w:rPr>
        <w:t>45</w:t>
      </w:r>
      <w:r w:rsidRPr="00D70A0E">
        <w:rPr>
          <w:szCs w:val="22"/>
        </w:rPr>
        <w:t xml:space="preserve"> days of the publication of this Public Notice in the </w:t>
      </w:r>
      <w:r w:rsidRPr="00D70A0E">
        <w:rPr>
          <w:i/>
          <w:szCs w:val="22"/>
        </w:rPr>
        <w:t>Federal Register</w:t>
      </w:r>
      <w:r w:rsidRPr="00D70A0E">
        <w:rPr>
          <w:szCs w:val="22"/>
        </w:rPr>
        <w:t xml:space="preserve">.  All filings should refer to </w:t>
      </w:r>
      <w:r w:rsidR="00AC3169" w:rsidRPr="00D70A0E">
        <w:rPr>
          <w:szCs w:val="22"/>
        </w:rPr>
        <w:t>WT Docket Nos. 07-250 and 10-254</w:t>
      </w:r>
      <w:r w:rsidRPr="00D70A0E">
        <w:rPr>
          <w:szCs w:val="22"/>
        </w:rPr>
        <w:t xml:space="preserve">.  Comments may be filed using: </w:t>
      </w:r>
      <w:r w:rsidR="00D90A67" w:rsidRPr="00D70A0E">
        <w:rPr>
          <w:szCs w:val="22"/>
        </w:rPr>
        <w:t xml:space="preserve"> </w:t>
      </w:r>
      <w:r w:rsidRPr="00D70A0E">
        <w:rPr>
          <w:szCs w:val="22"/>
        </w:rPr>
        <w:t xml:space="preserve">(1) the Commission’s Electronic Comment Filing System (ECFS), or (2) by filing paper copies.  </w:t>
      </w:r>
      <w:r w:rsidRPr="00D70A0E">
        <w:rPr>
          <w:i/>
          <w:szCs w:val="22"/>
        </w:rPr>
        <w:t>See</w:t>
      </w:r>
      <w:r w:rsidRPr="00D70A0E">
        <w:rPr>
          <w:szCs w:val="22"/>
        </w:rPr>
        <w:t xml:space="preserve"> Electronic Filing of Documents in Rulemaking Proceedings, 63 FR 24121 (1998).</w:t>
      </w:r>
    </w:p>
    <w:p w:rsidR="0013002F" w:rsidRPr="00D70A0E" w:rsidRDefault="0013002F" w:rsidP="00322C80">
      <w:pPr>
        <w:numPr>
          <w:ilvl w:val="0"/>
          <w:numId w:val="13"/>
        </w:numPr>
        <w:spacing w:after="120"/>
        <w:rPr>
          <w:spacing w:val="-3"/>
          <w:szCs w:val="22"/>
        </w:rPr>
      </w:pPr>
      <w:r w:rsidRPr="00D70A0E">
        <w:rPr>
          <w:spacing w:val="-3"/>
          <w:szCs w:val="22"/>
        </w:rPr>
        <w:t>Electronic Filers:  Comments may be filed electronically using the Internet by accessing the ECFS:  http://www.fcc.gov/cgb/ecfs/.  Filers should follow the instructions provided on the website for submitting comments.  If multiple dockets or rulemaking numbers appear in the caption of this proceeding, filers must transmit one electronic copy of the comments for each docket or rulemaking number referenced in the caption.  In completing the transmittal screen, filers should include their full name, Postal Service mailing address, and the applicable docket number.  Parties may also submit an electronic comment by Internet e-mail.  To get filing instructions for email comments, filers should send an e-mail to ecfs@fcc.gov, and should include the following words in the body of the message, “get form &lt;your e-mail address&gt;.”  A sample form and directions will be sent in response.</w:t>
      </w:r>
    </w:p>
    <w:p w:rsidR="0013002F" w:rsidRPr="00D70A0E" w:rsidRDefault="0013002F" w:rsidP="00322C80">
      <w:pPr>
        <w:numPr>
          <w:ilvl w:val="0"/>
          <w:numId w:val="13"/>
        </w:numPr>
        <w:spacing w:after="120"/>
        <w:rPr>
          <w:spacing w:val="-3"/>
          <w:szCs w:val="22"/>
        </w:rPr>
      </w:pPr>
      <w:r w:rsidRPr="00D70A0E">
        <w:rPr>
          <w:spacing w:val="-3"/>
          <w:szCs w:val="22"/>
        </w:rPr>
        <w:t>Paper Filers:  Parties who choose to file by paper must file an original and four copies of each filing.  If more than one docket or rulemaking number appears in the caption of this proceeding, filers must submit two additional copies for each addition</w:t>
      </w:r>
      <w:r w:rsidR="001038CF" w:rsidRPr="00D70A0E">
        <w:rPr>
          <w:spacing w:val="-3"/>
          <w:szCs w:val="22"/>
        </w:rPr>
        <w:t>al docket or rulemaking number.</w:t>
      </w:r>
    </w:p>
    <w:p w:rsidR="0013002F" w:rsidRPr="00D70A0E" w:rsidRDefault="0013002F" w:rsidP="001D003F">
      <w:pPr>
        <w:pStyle w:val="ParaNum0"/>
        <w:rPr>
          <w:szCs w:val="22"/>
        </w:rPr>
      </w:pPr>
      <w:r w:rsidRPr="00D70A0E">
        <w:rPr>
          <w:szCs w:val="22"/>
        </w:rPr>
        <w:t xml:space="preserve">Filings can be </w:t>
      </w:r>
      <w:r w:rsidRPr="001D003F">
        <w:t>sent</w:t>
      </w:r>
      <w:r w:rsidRPr="00D70A0E">
        <w:rPr>
          <w:szCs w:val="22"/>
        </w:rPr>
        <w:t xml:space="preserve">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13002F" w:rsidRPr="00D70A0E" w:rsidRDefault="0013002F" w:rsidP="00322C80">
      <w:pPr>
        <w:numPr>
          <w:ilvl w:val="0"/>
          <w:numId w:val="13"/>
        </w:numPr>
        <w:spacing w:after="120"/>
        <w:rPr>
          <w:spacing w:val="-3"/>
          <w:szCs w:val="22"/>
        </w:rPr>
      </w:pPr>
      <w:r w:rsidRPr="00D70A0E">
        <w:rPr>
          <w:spacing w:val="-3"/>
          <w:szCs w:val="22"/>
        </w:rPr>
        <w:t>The Commission’s contractor will receive hand-delivered or messenger-delivered paper filings for the Commission’s Secretary at 236 Massachusetts Avenue, N.E., Suite 110, Washington, D.C. 20002.  The filing hours at this location are 8:00 a.m. to 7:00 p.m.  All hand deliveries must be held together with rubber bands or fasteners.  Any envelopes must be disposed of before entering the building.</w:t>
      </w:r>
    </w:p>
    <w:p w:rsidR="0013002F" w:rsidRPr="00D70A0E" w:rsidRDefault="0013002F" w:rsidP="00322C80">
      <w:pPr>
        <w:numPr>
          <w:ilvl w:val="0"/>
          <w:numId w:val="13"/>
        </w:numPr>
        <w:spacing w:after="120"/>
        <w:rPr>
          <w:spacing w:val="-3"/>
          <w:szCs w:val="22"/>
        </w:rPr>
      </w:pPr>
      <w:r w:rsidRPr="00D70A0E">
        <w:rPr>
          <w:spacing w:val="-3"/>
          <w:szCs w:val="22"/>
        </w:rPr>
        <w:t>Commercial overnight mail (other than U.S. Postal Service Express Mail and Priority Mail) must be sent to 9300 East Hampton Drive, Capitol Heights, MD 20743.</w:t>
      </w:r>
    </w:p>
    <w:p w:rsidR="0013002F" w:rsidRPr="00D70A0E" w:rsidRDefault="0013002F" w:rsidP="00476DD5">
      <w:pPr>
        <w:widowControl/>
        <w:numPr>
          <w:ilvl w:val="0"/>
          <w:numId w:val="13"/>
        </w:numPr>
        <w:spacing w:after="120"/>
        <w:rPr>
          <w:spacing w:val="-3"/>
          <w:szCs w:val="22"/>
        </w:rPr>
      </w:pPr>
      <w:r w:rsidRPr="00D70A0E">
        <w:rPr>
          <w:spacing w:val="-3"/>
          <w:szCs w:val="22"/>
        </w:rPr>
        <w:t>U.S. Postal Service first-class mail, Express Mail, and Priority Mail should be addressed to 445 12</w:t>
      </w:r>
      <w:r w:rsidRPr="00D70A0E">
        <w:rPr>
          <w:spacing w:val="-3"/>
          <w:szCs w:val="22"/>
          <w:vertAlign w:val="superscript"/>
        </w:rPr>
        <w:t>th</w:t>
      </w:r>
      <w:r w:rsidRPr="00D70A0E">
        <w:rPr>
          <w:spacing w:val="-3"/>
          <w:szCs w:val="22"/>
        </w:rPr>
        <w:t xml:space="preserve"> Street, SW, Washington, D.C. 20554.</w:t>
      </w:r>
    </w:p>
    <w:p w:rsidR="0013002F" w:rsidRPr="00D70A0E" w:rsidRDefault="0013002F" w:rsidP="001D003F">
      <w:pPr>
        <w:pStyle w:val="ParaNum0"/>
        <w:rPr>
          <w:szCs w:val="22"/>
        </w:rPr>
      </w:pPr>
      <w:r w:rsidRPr="00D70A0E">
        <w:rPr>
          <w:szCs w:val="22"/>
        </w:rPr>
        <w:t xml:space="preserve">One copy of </w:t>
      </w:r>
      <w:r w:rsidRPr="001D003F">
        <w:t>each</w:t>
      </w:r>
      <w:r w:rsidRPr="00D70A0E">
        <w:rPr>
          <w:szCs w:val="22"/>
        </w:rPr>
        <w:t xml:space="preserve"> pleading must be delivered electronically, by e-mail or facsimile, or if delivered as paper copy, by hand or messenger delivery, by commercial overnight courier, or by first-class or overnight U.S. Postal Service mail (according to the procedures set forth above for paper filings), to the Commission’s duplicating contractor, Best Copy and Printing, Inc., at FCC@BCPIWEB.COM or (202) 488-5563 (facsimile).</w:t>
      </w:r>
    </w:p>
    <w:p w:rsidR="0013002F" w:rsidRDefault="0013002F" w:rsidP="001D003F">
      <w:pPr>
        <w:pStyle w:val="ParaNum0"/>
        <w:rPr>
          <w:szCs w:val="22"/>
        </w:rPr>
      </w:pPr>
      <w:r w:rsidRPr="00D70A0E">
        <w:rPr>
          <w:szCs w:val="22"/>
        </w:rPr>
        <w:t xml:space="preserve">Copies of the </w:t>
      </w:r>
      <w:r w:rsidR="001D003F">
        <w:t>P</w:t>
      </w:r>
      <w:r w:rsidRPr="001D003F">
        <w:t>ublic</w:t>
      </w:r>
      <w:r w:rsidR="001D003F">
        <w:rPr>
          <w:szCs w:val="22"/>
        </w:rPr>
        <w:t xml:space="preserve"> N</w:t>
      </w:r>
      <w:r w:rsidRPr="00D70A0E">
        <w:rPr>
          <w:szCs w:val="22"/>
        </w:rPr>
        <w:t>otice and any subsequently-filed documents in this matter may be obtained from Best Copy and Printing, Inc. in person at 445 12th Street, S.W., Room CY-B402, Washington, D.C. 20554, via telephone at (202) 488-5300, via facsimile at (202) 488-5563, or via e</w:t>
      </w:r>
      <w:r w:rsidR="001D003F">
        <w:rPr>
          <w:szCs w:val="22"/>
        </w:rPr>
        <w:t>-mail at FCC@BCPIWEB.COM.  The Public N</w:t>
      </w:r>
      <w:r w:rsidRPr="00D70A0E">
        <w:rPr>
          <w:szCs w:val="22"/>
        </w:rPr>
        <w:t>otice and any associated documents are also available for public inspection and copying during normal reference room hours at the following Commission office:  FCC Reference Information Center, 445 12th Street, S.W., Room CY-A257</w:t>
      </w:r>
      <w:r w:rsidR="001D003F">
        <w:rPr>
          <w:szCs w:val="22"/>
        </w:rPr>
        <w:t>, Washington, D.C. 20554.  The Public N</w:t>
      </w:r>
      <w:r w:rsidRPr="00D70A0E">
        <w:rPr>
          <w:szCs w:val="22"/>
        </w:rPr>
        <w:t xml:space="preserve">otice is also available electronically through the Commission’s ECFS, which may be accessed on the Commission’s Internet website at </w:t>
      </w:r>
      <w:hyperlink r:id="rId14" w:history="1">
        <w:r w:rsidRPr="00D70A0E">
          <w:rPr>
            <w:rStyle w:val="Hyperlink"/>
            <w:spacing w:val="-3"/>
            <w:szCs w:val="22"/>
          </w:rPr>
          <w:t>http://www.fcc.gov</w:t>
        </w:r>
      </w:hyperlink>
      <w:r w:rsidRPr="00D70A0E">
        <w:rPr>
          <w:szCs w:val="22"/>
        </w:rPr>
        <w:t>.</w:t>
      </w:r>
    </w:p>
    <w:p w:rsidR="00A31252" w:rsidRPr="00A31252" w:rsidRDefault="0013002F" w:rsidP="001D003F">
      <w:pPr>
        <w:pStyle w:val="ParaNum0"/>
        <w:rPr>
          <w:szCs w:val="22"/>
        </w:rPr>
      </w:pPr>
      <w:r w:rsidRPr="00A31252">
        <w:rPr>
          <w:szCs w:val="22"/>
        </w:rPr>
        <w:t xml:space="preserve">To request </w:t>
      </w:r>
      <w:r w:rsidRPr="001D003F">
        <w:t>information</w:t>
      </w:r>
      <w:r w:rsidRPr="00A31252">
        <w:rPr>
          <w:szCs w:val="22"/>
        </w:rPr>
        <w:t xml:space="preserve"> in accessible formats (computer diskettes, large print, audio recording, and Braille), send an e-mail to </w:t>
      </w:r>
      <w:hyperlink r:id="rId15" w:history="1">
        <w:r w:rsidRPr="00A31252">
          <w:rPr>
            <w:rStyle w:val="Hyperlink"/>
            <w:spacing w:val="-3"/>
            <w:szCs w:val="22"/>
          </w:rPr>
          <w:t>fcc504@fcc.gov</w:t>
        </w:r>
      </w:hyperlink>
      <w:r w:rsidRPr="00A31252">
        <w:rPr>
          <w:szCs w:val="22"/>
        </w:rPr>
        <w:t xml:space="preserve"> or call the FCC’s Consumer and Governmental Affairs Bureau at (202) 418-0530 (voice),</w:t>
      </w:r>
      <w:r w:rsidR="00A31252" w:rsidRPr="00A31252">
        <w:rPr>
          <w:szCs w:val="22"/>
        </w:rPr>
        <w:t xml:space="preserve"> </w:t>
      </w:r>
      <w:r w:rsidR="00A31252" w:rsidRPr="00A31252">
        <w:rPr>
          <w:spacing w:val="-3"/>
          <w:szCs w:val="22"/>
        </w:rPr>
        <w:t>(202) 418-0432 (TTY).</w:t>
      </w:r>
    </w:p>
    <w:p w:rsidR="00A31252" w:rsidRPr="0051004F" w:rsidRDefault="00A31252">
      <w:pPr>
        <w:pStyle w:val="ParaNum0"/>
        <w:rPr>
          <w:spacing w:val="-3"/>
          <w:szCs w:val="22"/>
        </w:rPr>
      </w:pPr>
      <w:r w:rsidRPr="00A31252">
        <w:rPr>
          <w:szCs w:val="22"/>
        </w:rPr>
        <w:t>Wireless</w:t>
      </w:r>
      <w:r w:rsidRPr="0051004F">
        <w:rPr>
          <w:spacing w:val="-3"/>
          <w:szCs w:val="22"/>
        </w:rPr>
        <w:t xml:space="preserve"> </w:t>
      </w:r>
      <w:r w:rsidRPr="001D003F">
        <w:t>Telecommunications</w:t>
      </w:r>
      <w:r w:rsidRPr="0051004F">
        <w:rPr>
          <w:spacing w:val="-3"/>
          <w:szCs w:val="22"/>
        </w:rPr>
        <w:t xml:space="preserve"> Bureau contact:  Eli Johnson at (202) 418-1395 or by email:  </w:t>
      </w:r>
      <w:hyperlink r:id="rId16" w:history="1">
        <w:r w:rsidRPr="00E4607F">
          <w:rPr>
            <w:rStyle w:val="Hyperlink"/>
            <w:spacing w:val="-3"/>
            <w:szCs w:val="22"/>
          </w:rPr>
          <w:t>Eli.Johnson@fcc.gov</w:t>
        </w:r>
      </w:hyperlink>
      <w:r w:rsidR="00CA5D86">
        <w:rPr>
          <w:spacing w:val="-3"/>
          <w:szCs w:val="22"/>
        </w:rPr>
        <w:t xml:space="preserve"> and</w:t>
      </w:r>
      <w:r>
        <w:rPr>
          <w:spacing w:val="-3"/>
          <w:szCs w:val="22"/>
        </w:rPr>
        <w:t xml:space="preserve"> </w:t>
      </w:r>
      <w:r w:rsidRPr="00704D00">
        <w:t>Consumer and Governmental Affairs Bureau</w:t>
      </w:r>
      <w:r w:rsidRPr="0051004F">
        <w:rPr>
          <w:spacing w:val="-3"/>
          <w:szCs w:val="22"/>
        </w:rPr>
        <w:t xml:space="preserve"> </w:t>
      </w:r>
      <w:r>
        <w:rPr>
          <w:spacing w:val="-3"/>
          <w:szCs w:val="22"/>
        </w:rPr>
        <w:t>contac</w:t>
      </w:r>
      <w:r w:rsidR="00341637">
        <w:rPr>
          <w:spacing w:val="-3"/>
          <w:szCs w:val="22"/>
        </w:rPr>
        <w:t xml:space="preserve">t:  </w:t>
      </w:r>
      <w:r w:rsidR="006B2B9F">
        <w:rPr>
          <w:spacing w:val="-3"/>
          <w:szCs w:val="22"/>
        </w:rPr>
        <w:t>Bob</w:t>
      </w:r>
      <w:r w:rsidR="00574817">
        <w:rPr>
          <w:spacing w:val="-3"/>
          <w:szCs w:val="22"/>
        </w:rPr>
        <w:t xml:space="preserve"> Aldrich</w:t>
      </w:r>
      <w:r w:rsidR="006B2B9F">
        <w:rPr>
          <w:spacing w:val="-3"/>
          <w:szCs w:val="22"/>
        </w:rPr>
        <w:t xml:space="preserve"> at (202) 418-0996 or by email: </w:t>
      </w:r>
      <w:r w:rsidR="00B43024" w:rsidRPr="00EC7D4B">
        <w:rPr>
          <w:rStyle w:val="Hyperlink"/>
        </w:rPr>
        <w:t>Robert.Aldrich@fcc.gov</w:t>
      </w:r>
      <w:r>
        <w:rPr>
          <w:spacing w:val="-3"/>
          <w:szCs w:val="22"/>
        </w:rPr>
        <w:t>.</w:t>
      </w:r>
    </w:p>
    <w:p w:rsidR="0013002F" w:rsidRPr="00D70A0E" w:rsidRDefault="0013002F" w:rsidP="00D90A67">
      <w:pPr>
        <w:keepNext/>
        <w:spacing w:after="120"/>
        <w:jc w:val="center"/>
        <w:rPr>
          <w:b/>
          <w:spacing w:val="-3"/>
          <w:szCs w:val="22"/>
        </w:rPr>
      </w:pPr>
      <w:r w:rsidRPr="00D70A0E">
        <w:rPr>
          <w:b/>
          <w:spacing w:val="-3"/>
          <w:szCs w:val="22"/>
        </w:rPr>
        <w:t>-FCC-</w:t>
      </w:r>
    </w:p>
    <w:p w:rsidR="0013002F" w:rsidRPr="00D70A0E" w:rsidRDefault="0013002F" w:rsidP="00D90A67">
      <w:pPr>
        <w:keepNext/>
        <w:jc w:val="center"/>
        <w:rPr>
          <w:spacing w:val="-3"/>
          <w:szCs w:val="22"/>
        </w:rPr>
      </w:pPr>
      <w:r w:rsidRPr="00D70A0E">
        <w:rPr>
          <w:spacing w:val="-3"/>
          <w:szCs w:val="22"/>
        </w:rPr>
        <w:t>For more news and information about the Federal Communications Commission</w:t>
      </w:r>
    </w:p>
    <w:p w:rsidR="00602577" w:rsidRDefault="0013002F" w:rsidP="00D90A67">
      <w:pPr>
        <w:keepNext/>
        <w:spacing w:after="120"/>
        <w:jc w:val="center"/>
        <w:rPr>
          <w:rStyle w:val="Hyperlink"/>
          <w:spacing w:val="-3"/>
          <w:szCs w:val="22"/>
        </w:rPr>
      </w:pPr>
      <w:r w:rsidRPr="00D70A0E">
        <w:rPr>
          <w:spacing w:val="-3"/>
          <w:szCs w:val="22"/>
        </w:rPr>
        <w:t xml:space="preserve">please visit: </w:t>
      </w:r>
      <w:r w:rsidR="006C7871">
        <w:rPr>
          <w:spacing w:val="-3"/>
          <w:szCs w:val="22"/>
        </w:rPr>
        <w:t xml:space="preserve"> </w:t>
      </w:r>
      <w:hyperlink r:id="rId17" w:history="1">
        <w:r w:rsidRPr="00D70A0E">
          <w:rPr>
            <w:rStyle w:val="Hyperlink"/>
            <w:spacing w:val="-3"/>
            <w:szCs w:val="22"/>
          </w:rPr>
          <w:t>www.fcc.gov</w:t>
        </w:r>
      </w:hyperlink>
    </w:p>
    <w:sectPr w:rsidR="00602577" w:rsidSect="0013002F">
      <w:footerReference w:type="default" r:id="rId18"/>
      <w:headerReference w:type="first" r:id="rId19"/>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6C" w:rsidRDefault="0066486C">
      <w:r>
        <w:separator/>
      </w:r>
    </w:p>
  </w:endnote>
  <w:endnote w:type="continuationSeparator" w:id="0">
    <w:p w:rsidR="0066486C" w:rsidRDefault="0066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DA" w:rsidRDefault="00423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DA" w:rsidRDefault="00423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8385"/>
      <w:docPartObj>
        <w:docPartGallery w:val="Page Numbers (Bottom of Page)"/>
        <w:docPartUnique/>
      </w:docPartObj>
    </w:sdtPr>
    <w:sdtEndPr>
      <w:rPr>
        <w:noProof/>
      </w:rPr>
    </w:sdtEndPr>
    <w:sdtContent>
      <w:p w:rsidR="00205E89" w:rsidRDefault="00205E89">
        <w:pPr>
          <w:pStyle w:val="Footer"/>
          <w:jc w:val="center"/>
        </w:pPr>
        <w:r>
          <w:fldChar w:fldCharType="begin"/>
        </w:r>
        <w:r>
          <w:instrText xml:space="preserve"> PAGE   \* MERGEFORMAT </w:instrText>
        </w:r>
        <w:r>
          <w:fldChar w:fldCharType="separate"/>
        </w:r>
        <w:r w:rsidR="005B791B">
          <w:rPr>
            <w:noProof/>
          </w:rPr>
          <w:t>1</w:t>
        </w:r>
        <w:r>
          <w:rPr>
            <w:noProof/>
          </w:rPr>
          <w:fldChar w:fldCharType="end"/>
        </w:r>
      </w:p>
    </w:sdtContent>
  </w:sdt>
  <w:p w:rsidR="00205E89" w:rsidRDefault="00205E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627683"/>
      <w:docPartObj>
        <w:docPartGallery w:val="Page Numbers (Bottom of Page)"/>
        <w:docPartUnique/>
      </w:docPartObj>
    </w:sdtPr>
    <w:sdtEndPr>
      <w:rPr>
        <w:noProof/>
      </w:rPr>
    </w:sdtEndPr>
    <w:sdtContent>
      <w:p w:rsidR="00E318A9" w:rsidRDefault="00E318A9">
        <w:pPr>
          <w:pStyle w:val="Footer"/>
          <w:jc w:val="center"/>
        </w:pPr>
        <w:r>
          <w:fldChar w:fldCharType="begin"/>
        </w:r>
        <w:r>
          <w:instrText xml:space="preserve"> PAGE   \* MERGEFORMAT </w:instrText>
        </w:r>
        <w:r>
          <w:fldChar w:fldCharType="separate"/>
        </w:r>
        <w:r w:rsidR="00F52A48">
          <w:rPr>
            <w:noProof/>
          </w:rPr>
          <w:t>8</w:t>
        </w:r>
        <w:r>
          <w:rPr>
            <w:noProof/>
          </w:rPr>
          <w:fldChar w:fldCharType="end"/>
        </w:r>
      </w:p>
    </w:sdtContent>
  </w:sdt>
  <w:p w:rsidR="00E318A9" w:rsidRDefault="00E3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6C" w:rsidRDefault="0066486C">
      <w:r>
        <w:separator/>
      </w:r>
    </w:p>
  </w:footnote>
  <w:footnote w:type="continuationSeparator" w:id="0">
    <w:p w:rsidR="0066486C" w:rsidRDefault="0066486C">
      <w:r>
        <w:continuationSeparator/>
      </w:r>
    </w:p>
  </w:footnote>
  <w:footnote w:id="1">
    <w:p w:rsidR="00165392" w:rsidRDefault="00165392" w:rsidP="00165392">
      <w:pPr>
        <w:pStyle w:val="FootnoteText"/>
      </w:pPr>
      <w:r>
        <w:rPr>
          <w:rStyle w:val="FootnoteReference"/>
        </w:rPr>
        <w:footnoteRef/>
      </w:r>
      <w:r>
        <w:t xml:space="preserve"> 47 C.F.R. § 20.19.</w:t>
      </w:r>
    </w:p>
  </w:footnote>
  <w:footnote w:id="2">
    <w:p w:rsidR="00E318A9" w:rsidRDefault="00E318A9" w:rsidP="008604F7">
      <w:pPr>
        <w:pStyle w:val="FootnoteText"/>
      </w:pPr>
      <w:r>
        <w:rPr>
          <w:rStyle w:val="FootnoteReference"/>
        </w:rPr>
        <w:footnoteRef/>
      </w:r>
      <w:r>
        <w:t xml:space="preserve"> Pub. L. No. 111-260, 124 Stat. 2751 (2010) (as codified in various sections of 47 U.S.C.).  </w:t>
      </w:r>
      <w:r w:rsidRPr="00F20AD4">
        <w:rPr>
          <w:i/>
        </w:rPr>
        <w:t>See also</w:t>
      </w:r>
      <w:r>
        <w:t xml:space="preserve"> Pub. L. No. 111-265, 124 Stat. 2795 (2010) (technical corrections to the CVAA).</w:t>
      </w:r>
    </w:p>
  </w:footnote>
  <w:footnote w:id="3">
    <w:p w:rsidR="00E318A9" w:rsidRDefault="00E318A9">
      <w:pPr>
        <w:pStyle w:val="FootnoteText"/>
      </w:pPr>
      <w:r>
        <w:rPr>
          <w:rStyle w:val="FootnoteReference"/>
        </w:rPr>
        <w:footnoteRef/>
      </w:r>
      <w:r>
        <w:t xml:space="preserve"> </w:t>
      </w:r>
      <w:r w:rsidR="003156D1">
        <w:t xml:space="preserve">Section 68.4(a) of the </w:t>
      </w:r>
      <w:r>
        <w:t xml:space="preserve">Comm’n’s Rules Governing Hearing Aid-Compatible Telephones, WT Docket No. 01-309, </w:t>
      </w:r>
      <w:r w:rsidRPr="00B71257">
        <w:rPr>
          <w:i/>
        </w:rPr>
        <w:t>Report and Order</w:t>
      </w:r>
      <w:r>
        <w:t>, 18 FCC Rcd 16753 (2003) (</w:t>
      </w:r>
      <w:r w:rsidRPr="00973B31">
        <w:rPr>
          <w:i/>
        </w:rPr>
        <w:t>2003 Report and Order</w:t>
      </w:r>
      <w:r>
        <w:t>).</w:t>
      </w:r>
    </w:p>
  </w:footnote>
  <w:footnote w:id="4">
    <w:p w:rsidR="00E318A9" w:rsidRDefault="00E318A9">
      <w:pPr>
        <w:pStyle w:val="FootnoteText"/>
      </w:pPr>
      <w:r>
        <w:rPr>
          <w:rStyle w:val="FootnoteReference"/>
        </w:rPr>
        <w:footnoteRef/>
      </w:r>
      <w:r>
        <w:t xml:space="preserve"> Amendment of the Comm’n’s Rules Governing Hearing Aid-Compatible Mobile Handsets,</w:t>
      </w:r>
      <w:r>
        <w:rPr>
          <w:i/>
        </w:rPr>
        <w:t xml:space="preserve"> </w:t>
      </w:r>
      <w:r>
        <w:t xml:space="preserve">WT Docket No. 07-250, </w:t>
      </w:r>
      <w:r>
        <w:rPr>
          <w:i/>
        </w:rPr>
        <w:t>First Report and Order</w:t>
      </w:r>
      <w:r>
        <w:t>, 23 FCC Rcd 3406 (2008) (</w:t>
      </w:r>
      <w:r w:rsidRPr="00973B31">
        <w:rPr>
          <w:i/>
        </w:rPr>
        <w:t>2008 Report and Order</w:t>
      </w:r>
      <w:r>
        <w:t>).</w:t>
      </w:r>
    </w:p>
  </w:footnote>
  <w:footnote w:id="5">
    <w:p w:rsidR="00E318A9" w:rsidRDefault="00E318A9" w:rsidP="0013002F">
      <w:pPr>
        <w:pStyle w:val="FootnoteText"/>
      </w:pPr>
      <w:r>
        <w:rPr>
          <w:vertAlign w:val="superscript"/>
        </w:rPr>
        <w:footnoteRef/>
      </w:r>
      <w:r>
        <w:rPr>
          <w:vertAlign w:val="superscript"/>
        </w:rPr>
        <w:t xml:space="preserve"> </w:t>
      </w:r>
      <w:r>
        <w:t xml:space="preserve">47 C.F.R. § 20.19(a)(1); </w:t>
      </w:r>
      <w:r w:rsidRPr="00127CDA">
        <w:rPr>
          <w:i/>
        </w:rPr>
        <w:t>see</w:t>
      </w:r>
      <w:r>
        <w:t xml:space="preserve"> </w:t>
      </w:r>
      <w:r w:rsidRPr="00973B31">
        <w:rPr>
          <w:i/>
        </w:rPr>
        <w:t>2003 Report and Order</w:t>
      </w:r>
      <w:r>
        <w:t>, 18 FCC Rcd at16764-65 ¶ 26.</w:t>
      </w:r>
    </w:p>
  </w:footnote>
  <w:footnote w:id="6">
    <w:p w:rsidR="00E318A9" w:rsidRDefault="00E318A9">
      <w:pPr>
        <w:pStyle w:val="FootnoteText"/>
      </w:pPr>
      <w:r>
        <w:rPr>
          <w:rStyle w:val="FootnoteReference"/>
        </w:rPr>
        <w:footnoteRef/>
      </w:r>
      <w:r>
        <w:t xml:space="preserve"> </w:t>
      </w:r>
      <w:r w:rsidRPr="00973B31">
        <w:rPr>
          <w:i/>
        </w:rPr>
        <w:t>See</w:t>
      </w:r>
      <w:r w:rsidR="002C6CBA">
        <w:rPr>
          <w:i/>
        </w:rPr>
        <w:t xml:space="preserve"> </w:t>
      </w:r>
      <w:r w:rsidR="0094343C" w:rsidRPr="0094343C">
        <w:t>47 C.F.R. § 20.19(b)</w:t>
      </w:r>
      <w:r w:rsidR="0094343C" w:rsidRPr="0094343C" w:rsidDel="0094343C">
        <w:t xml:space="preserve"> </w:t>
      </w:r>
      <w:r>
        <w:t>(</w:t>
      </w:r>
      <w:r w:rsidR="0094343C">
        <w:t>specifying</w:t>
      </w:r>
      <w:r>
        <w:t xml:space="preserve"> American National Standards Institute C63.19 as the standard for measuring hearing aid compatibility)</w:t>
      </w:r>
      <w:r w:rsidR="00444764">
        <w:t>;</w:t>
      </w:r>
      <w:r w:rsidR="0094343C">
        <w:t xml:space="preserve"> </w:t>
      </w:r>
      <w:r w:rsidR="00FB0A2D">
        <w:rPr>
          <w:i/>
        </w:rPr>
        <w:t>i</w:t>
      </w:r>
      <w:r w:rsidR="00FB0A2D" w:rsidRPr="00EC7D4B">
        <w:rPr>
          <w:i/>
        </w:rPr>
        <w:t>d</w:t>
      </w:r>
      <w:r w:rsidR="00FB0A2D">
        <w:t>. at §</w:t>
      </w:r>
      <w:r w:rsidR="000E35E1">
        <w:t>§</w:t>
      </w:r>
      <w:r w:rsidR="00FB0A2D">
        <w:t xml:space="preserve"> 20.19</w:t>
      </w:r>
      <w:r w:rsidR="0094343C">
        <w:t>(c)-(e) (establishing compliance benchmarks)</w:t>
      </w:r>
      <w:r>
        <w:t>.</w:t>
      </w:r>
    </w:p>
  </w:footnote>
  <w:footnote w:id="7">
    <w:p w:rsidR="00E318A9" w:rsidRPr="00F63A66" w:rsidRDefault="00E318A9" w:rsidP="0013002F">
      <w:pPr>
        <w:pStyle w:val="FootnoteText"/>
        <w:rPr>
          <w:i/>
        </w:rPr>
      </w:pPr>
      <w:r>
        <w:rPr>
          <w:rStyle w:val="FootnoteReference"/>
        </w:rPr>
        <w:footnoteRef/>
      </w:r>
      <w:r>
        <w:t xml:space="preserve"> Amendment of the Comm’n’s Rules Governing Hearing Aid-Compatible Mobile Handsets, WT Docket No. 07-250, </w:t>
      </w:r>
      <w:r w:rsidRPr="00882511">
        <w:rPr>
          <w:i/>
        </w:rPr>
        <w:t>Sec</w:t>
      </w:r>
      <w:r>
        <w:rPr>
          <w:i/>
        </w:rPr>
        <w:t>ond Report and Order and</w:t>
      </w:r>
      <w:r w:rsidRPr="00882511">
        <w:rPr>
          <w:i/>
        </w:rPr>
        <w:t xml:space="preserve"> Notice of Proposed Rulemaking</w:t>
      </w:r>
      <w:r>
        <w:t>, 22 FCC Rcd 19670, 19699-700, 19702-705 ¶¶ 79, 89-94 (2007) (</w:t>
      </w:r>
      <w:r w:rsidRPr="00631A6D">
        <w:rPr>
          <w:i/>
        </w:rPr>
        <w:t>2007</w:t>
      </w:r>
      <w:r w:rsidRPr="00631A6D">
        <w:t xml:space="preserve"> </w:t>
      </w:r>
      <w:r w:rsidRPr="00631A6D">
        <w:rPr>
          <w:i/>
        </w:rPr>
        <w:t xml:space="preserve">Hearing Aid Compatibility </w:t>
      </w:r>
      <w:r w:rsidRPr="00631A6D">
        <w:rPr>
          <w:i/>
          <w:iCs/>
        </w:rPr>
        <w:t>NPRM</w:t>
      </w:r>
      <w:r w:rsidRPr="00631A6D">
        <w:rPr>
          <w:iCs/>
        </w:rPr>
        <w:t>)</w:t>
      </w:r>
      <w:r w:rsidRPr="00F63A66">
        <w:rPr>
          <w:iCs/>
        </w:rPr>
        <w:t>.</w:t>
      </w:r>
    </w:p>
  </w:footnote>
  <w:footnote w:id="8">
    <w:p w:rsidR="00E318A9" w:rsidRDefault="00E318A9" w:rsidP="0013002F">
      <w:pPr>
        <w:pStyle w:val="FootnoteText"/>
        <w:rPr>
          <w:i/>
        </w:rPr>
      </w:pPr>
      <w:r>
        <w:rPr>
          <w:rStyle w:val="FootnoteReference"/>
        </w:rPr>
        <w:footnoteRef/>
      </w:r>
      <w:r>
        <w:t xml:space="preserve"> Amendment of the Comm’n’s Rules Governing Hearing Aid-Compatible Mobile Handsets, WT Docket No. 07-250, </w:t>
      </w:r>
      <w:r w:rsidRPr="00882511">
        <w:rPr>
          <w:i/>
        </w:rPr>
        <w:t>Policy Statement and Second Report and Order and Further Notice of Proposed Rulemaking</w:t>
      </w:r>
      <w:r>
        <w:t>, 25 FCC Rcd 11167, 11194 ¶ 77 (2010)</w:t>
      </w:r>
      <w:r w:rsidRPr="00FC1F6F">
        <w:t xml:space="preserve"> </w:t>
      </w:r>
      <w:r>
        <w:t>(</w:t>
      </w:r>
      <w:r>
        <w:rPr>
          <w:i/>
        </w:rPr>
        <w:t xml:space="preserve">Hearing Aid Compatibility </w:t>
      </w:r>
      <w:r w:rsidR="00977E6A">
        <w:rPr>
          <w:i/>
        </w:rPr>
        <w:t xml:space="preserve">Policy Statement, </w:t>
      </w:r>
      <w:r>
        <w:rPr>
          <w:i/>
        </w:rPr>
        <w:t>Second Report and Order</w:t>
      </w:r>
      <w:r w:rsidR="00977E6A">
        <w:rPr>
          <w:i/>
        </w:rPr>
        <w:t>,</w:t>
      </w:r>
      <w:r>
        <w:rPr>
          <w:i/>
        </w:rPr>
        <w:t xml:space="preserve"> and </w:t>
      </w:r>
      <w:r w:rsidR="002C6AA5">
        <w:rPr>
          <w:i/>
        </w:rPr>
        <w:t xml:space="preserve">2010 </w:t>
      </w:r>
      <w:r>
        <w:rPr>
          <w:i/>
        </w:rPr>
        <w:t>Further NPRM</w:t>
      </w:r>
      <w:r>
        <w:t>).</w:t>
      </w:r>
    </w:p>
  </w:footnote>
  <w:footnote w:id="9">
    <w:p w:rsidR="00E318A9" w:rsidRDefault="00E318A9" w:rsidP="008604F7">
      <w:pPr>
        <w:pStyle w:val="FootnoteText"/>
      </w:pPr>
      <w:r>
        <w:rPr>
          <w:rStyle w:val="FootnoteReference"/>
        </w:rPr>
        <w:footnoteRef/>
      </w:r>
      <w:r>
        <w:t xml:space="preserve"> Pub. L. No. 111-260, 124 Stat. 2751 (2010) (as codified in various sections of 47 U.S.C.).  </w:t>
      </w:r>
      <w:r w:rsidRPr="00F20AD4">
        <w:rPr>
          <w:i/>
        </w:rPr>
        <w:t>See also</w:t>
      </w:r>
      <w:r>
        <w:t xml:space="preserve"> Pub. L. No. 111-265, 124 Stat. 2795 (2010) (technical corrections to the CVAA). </w:t>
      </w:r>
      <w:r w:rsidR="002C6CBA">
        <w:t xml:space="preserve"> </w:t>
      </w:r>
      <w:r w:rsidRPr="002B1E0A">
        <w:rPr>
          <w:i/>
        </w:rPr>
        <w:t>See</w:t>
      </w:r>
      <w:r>
        <w:t xml:space="preserve"> Section 710 of the Communications Act of 1934, as amended, 47 U.S.C. § 710(b)(1)(B).</w:t>
      </w:r>
    </w:p>
  </w:footnote>
  <w:footnote w:id="10">
    <w:p w:rsidR="00E318A9" w:rsidRDefault="00E318A9" w:rsidP="0013002F">
      <w:pPr>
        <w:pStyle w:val="FootnoteText"/>
      </w:pPr>
      <w:r>
        <w:rPr>
          <w:rStyle w:val="FootnoteReference"/>
        </w:rPr>
        <w:footnoteRef/>
      </w:r>
      <w:r>
        <w:t xml:space="preserve"> 47 U.S.C. § 610(b)(1)(C</w:t>
      </w:r>
      <w:r w:rsidRPr="00411AE0">
        <w:t>)</w:t>
      </w:r>
      <w:r>
        <w:t>.</w:t>
      </w:r>
    </w:p>
  </w:footnote>
  <w:footnote w:id="11">
    <w:p w:rsidR="00E318A9" w:rsidRPr="00264828" w:rsidRDefault="00E318A9" w:rsidP="0013002F">
      <w:pPr>
        <w:pStyle w:val="FootnoteText"/>
      </w:pPr>
      <w:r>
        <w:rPr>
          <w:rStyle w:val="FootnoteReference"/>
        </w:rPr>
        <w:footnoteRef/>
      </w:r>
      <w:r>
        <w:t xml:space="preserve"> </w:t>
      </w:r>
      <w:r>
        <w:rPr>
          <w:i/>
        </w:rPr>
        <w:t>See i</w:t>
      </w:r>
      <w:r w:rsidRPr="00411AE0">
        <w:rPr>
          <w:i/>
        </w:rPr>
        <w:t>d.</w:t>
      </w:r>
      <w:r>
        <w:t xml:space="preserve"> § 153(1).  Other “advanced communications services” include electronic messaging service and interoperable video conferencing service.  </w:t>
      </w:r>
      <w:r>
        <w:rPr>
          <w:i/>
        </w:rPr>
        <w:t>Id.</w:t>
      </w:r>
      <w:r>
        <w:t xml:space="preserve">  Interconnected VoIP</w:t>
      </w:r>
      <w:r w:rsidRPr="00F4662B">
        <w:t xml:space="preserve"> </w:t>
      </w:r>
      <w:r w:rsidR="0094343C">
        <w:t xml:space="preserve">service </w:t>
      </w:r>
      <w:r>
        <w:t>is defined by reference to Section 9.3 of the Commission’s rules as a service that enables real-time, two-way voice communications; requires a broadband connection from the user</w:t>
      </w:r>
      <w:r w:rsidR="002C6CBA">
        <w:t>’</w:t>
      </w:r>
      <w:r>
        <w:t xml:space="preserve">s location; requires Internet protocol-compatible CPE; and permits users generally to receive calls that originate on the public switched telephone network and to terminate calls to the public switched telephone network.  </w:t>
      </w:r>
      <w:r w:rsidRPr="00035EAA">
        <w:rPr>
          <w:i/>
        </w:rPr>
        <w:t>Id</w:t>
      </w:r>
      <w:r>
        <w:t xml:space="preserve">. § 153(25); </w:t>
      </w:r>
      <w:r w:rsidRPr="00B7450E">
        <w:rPr>
          <w:i/>
        </w:rPr>
        <w:t>see</w:t>
      </w:r>
      <w:r>
        <w:t xml:space="preserve"> 47 C.F.R</w:t>
      </w:r>
      <w:r w:rsidR="00FB0A2D">
        <w:t>.</w:t>
      </w:r>
      <w:r>
        <w:t xml:space="preserve"> § 9.3.  Non-interconnected VoIP </w:t>
      </w:r>
      <w:r w:rsidR="0094343C">
        <w:t xml:space="preserve">service </w:t>
      </w:r>
      <w:r>
        <w:t xml:space="preserve">means a service other than an interconnected VoIP service that enables real-time voice communications that originate from or terminate to the user’s location using Internet protocol or any successor protocol and requires Internet protocol-compatible customer premise equipment (CPE).  47 U.S.C. </w:t>
      </w:r>
      <w:r w:rsidRPr="00F4662B">
        <w:t>§ 153</w:t>
      </w:r>
      <w:r>
        <w:t>(36).</w:t>
      </w:r>
    </w:p>
  </w:footnote>
  <w:footnote w:id="12">
    <w:p w:rsidR="00E318A9" w:rsidRDefault="00E318A9" w:rsidP="0013002F">
      <w:pPr>
        <w:pStyle w:val="FootnoteText"/>
      </w:pPr>
      <w:r>
        <w:rPr>
          <w:rStyle w:val="FootnoteReference"/>
        </w:rPr>
        <w:footnoteRef/>
      </w:r>
      <w:r>
        <w:t xml:space="preserve"> </w:t>
      </w:r>
      <w:r w:rsidRPr="009C7963">
        <w:rPr>
          <w:i/>
        </w:rPr>
        <w:t>See</w:t>
      </w:r>
      <w:r>
        <w:t xml:space="preserve"> </w:t>
      </w:r>
      <w:r w:rsidRPr="009C7963">
        <w:t>47 U.S.C. § 610(b)(</w:t>
      </w:r>
      <w:r>
        <w:t>4</w:t>
      </w:r>
      <w:r w:rsidRPr="009C7963">
        <w:t>)</w:t>
      </w:r>
      <w:r>
        <w:t xml:space="preserve">(B) (defining telephones used with public mobile radio services to include equipment used with air-to-ground radiotelephone services, cellular radio telecommunications services, offshore radio, rural radio service, public land mobile telephone service, or other common carrier radio communication services covered by the Commission’s rules, or any functionally equivalent unlicensed wireless services); </w:t>
      </w:r>
      <w:r w:rsidRPr="0004660C">
        <w:rPr>
          <w:i/>
        </w:rPr>
        <w:t>id</w:t>
      </w:r>
      <w:r>
        <w:t>. § 610(b)(4)(C) (defining telephones used with private radio services to include equipment used with private land mobile radio services and other communications services characterized by the Commission in its rules as private radio services).</w:t>
      </w:r>
    </w:p>
  </w:footnote>
  <w:footnote w:id="13">
    <w:p w:rsidR="00E318A9" w:rsidRPr="00BB5F1E" w:rsidRDefault="00E318A9" w:rsidP="0013002F">
      <w:pPr>
        <w:pStyle w:val="FootnoteText"/>
        <w:rPr>
          <w:sz w:val="24"/>
          <w:szCs w:val="24"/>
        </w:rPr>
      </w:pPr>
      <w:r>
        <w:rPr>
          <w:rStyle w:val="FootnoteReference"/>
        </w:rPr>
        <w:footnoteRef/>
      </w:r>
      <w:r>
        <w:t xml:space="preserve"> </w:t>
      </w:r>
      <w:r w:rsidRPr="00FB56D4">
        <w:rPr>
          <w:i/>
        </w:rPr>
        <w:t>Id</w:t>
      </w:r>
      <w:r>
        <w:t xml:space="preserve">. </w:t>
      </w:r>
      <w:r w:rsidRPr="00FB56D4">
        <w:t>§ 610(b)(</w:t>
      </w:r>
      <w:r>
        <w:t>2</w:t>
      </w:r>
      <w:r w:rsidRPr="00FB56D4">
        <w:t>)(</w:t>
      </w:r>
      <w:r>
        <w:t xml:space="preserve">B).  Specifically, the four factors the Commission must consider are:  (1) </w:t>
      </w:r>
      <w:r w:rsidR="00D057B7">
        <w:t xml:space="preserve">whether </w:t>
      </w:r>
      <w:r>
        <w:t>revoking the exemption</w:t>
      </w:r>
      <w:r w:rsidR="00D057B7">
        <w:t xml:space="preserve"> is</w:t>
      </w:r>
      <w:r>
        <w:t xml:space="preserve"> in the public interest; (2) </w:t>
      </w:r>
      <w:r w:rsidR="00D057B7">
        <w:t xml:space="preserve">whether </w:t>
      </w:r>
      <w:r>
        <w:t xml:space="preserve">continuing the exemption </w:t>
      </w:r>
      <w:r w:rsidR="00D057B7">
        <w:t xml:space="preserve">would </w:t>
      </w:r>
      <w:r>
        <w:t>have an adverse effect on  individuals</w:t>
      </w:r>
      <w:r w:rsidR="00D057B7">
        <w:t xml:space="preserve"> with hearing loss</w:t>
      </w:r>
      <w:r>
        <w:t xml:space="preserve">; (3) </w:t>
      </w:r>
      <w:r w:rsidR="00D057B7">
        <w:t>whether</w:t>
      </w:r>
      <w:r>
        <w:t xml:space="preserve"> compliance with </w:t>
      </w:r>
      <w:r w:rsidR="00D057B7">
        <w:t xml:space="preserve">the </w:t>
      </w:r>
      <w:r>
        <w:t xml:space="preserve">hearing aid compatibility requirements </w:t>
      </w:r>
      <w:r w:rsidR="00D057B7">
        <w:t xml:space="preserve">would </w:t>
      </w:r>
      <w:r>
        <w:t>be technological</w:t>
      </w:r>
      <w:r w:rsidR="00D057B7">
        <w:t>ly</w:t>
      </w:r>
      <w:r>
        <w:t xml:space="preserve"> feasible; and (4) </w:t>
      </w:r>
      <w:r w:rsidR="00D057B7">
        <w:t xml:space="preserve">whether </w:t>
      </w:r>
      <w:r>
        <w:t xml:space="preserve">the cost of compliance </w:t>
      </w:r>
      <w:r w:rsidR="00D057B7">
        <w:t xml:space="preserve">would </w:t>
      </w:r>
      <w:r>
        <w:t>make wireless handsets unmarketable.</w:t>
      </w:r>
    </w:p>
  </w:footnote>
  <w:footnote w:id="14">
    <w:p w:rsidR="00E318A9" w:rsidRPr="005F4876" w:rsidRDefault="00E318A9" w:rsidP="0013002F">
      <w:pPr>
        <w:pStyle w:val="FootnoteText"/>
      </w:pPr>
      <w:r>
        <w:rPr>
          <w:rStyle w:val="FootnoteReference"/>
        </w:rPr>
        <w:footnoteRef/>
      </w:r>
      <w:r>
        <w:t xml:space="preserve"> </w:t>
      </w:r>
      <w:r w:rsidRPr="00FB56D4">
        <w:rPr>
          <w:i/>
        </w:rPr>
        <w:t>Id</w:t>
      </w:r>
      <w:r>
        <w:t>. § 610(e)</w:t>
      </w:r>
      <w:r w:rsidRPr="00FB56D4">
        <w:t>.</w:t>
      </w:r>
    </w:p>
  </w:footnote>
  <w:footnote w:id="15">
    <w:p w:rsidR="00E318A9" w:rsidRDefault="00E318A9">
      <w:pPr>
        <w:pStyle w:val="FootnoteText"/>
      </w:pPr>
      <w:r>
        <w:rPr>
          <w:rStyle w:val="FootnoteReference"/>
        </w:rPr>
        <w:footnoteRef/>
      </w:r>
      <w:r>
        <w:t xml:space="preserve"> Wireless Telecommunications Bureau Requests that Comment in Hearing Aid Compatibility Proceeding Address Effects of New Legislation, WT Docket No. 07-250, </w:t>
      </w:r>
      <w:r w:rsidR="005E586B" w:rsidRPr="005E586B">
        <w:rPr>
          <w:i/>
        </w:rPr>
        <w:t>Public Notice</w:t>
      </w:r>
      <w:r w:rsidR="005E586B">
        <w:t xml:space="preserve">, </w:t>
      </w:r>
      <w:r w:rsidR="005E586B" w:rsidRPr="005E586B">
        <w:rPr>
          <w:iCs/>
        </w:rPr>
        <w:t xml:space="preserve">25 FCC </w:t>
      </w:r>
      <w:r w:rsidR="00A726B6" w:rsidRPr="005E586B">
        <w:rPr>
          <w:iCs/>
        </w:rPr>
        <w:t>Rcd</w:t>
      </w:r>
      <w:r w:rsidR="005E586B" w:rsidRPr="005E586B">
        <w:rPr>
          <w:iCs/>
        </w:rPr>
        <w:t xml:space="preserve"> 14280</w:t>
      </w:r>
      <w:r>
        <w:t xml:space="preserve"> (WTB 2010)</w:t>
      </w:r>
      <w:r w:rsidR="00933827">
        <w:t xml:space="preserve"> </w:t>
      </w:r>
      <w:r w:rsidR="00091BE3">
        <w:t>(</w:t>
      </w:r>
      <w:r w:rsidR="00091BE3" w:rsidRPr="00445FAE">
        <w:rPr>
          <w:i/>
        </w:rPr>
        <w:t>CVAA PN</w:t>
      </w:r>
      <w:r w:rsidR="00091BE3">
        <w:t>)</w:t>
      </w:r>
      <w:r>
        <w:t>.</w:t>
      </w:r>
    </w:p>
  </w:footnote>
  <w:footnote w:id="16">
    <w:p w:rsidR="00E318A9" w:rsidRDefault="00E318A9" w:rsidP="00B70B58">
      <w:pPr>
        <w:pStyle w:val="FootnoteText"/>
      </w:pPr>
      <w:r>
        <w:rPr>
          <w:rStyle w:val="FootnoteReference"/>
        </w:rPr>
        <w:footnoteRef/>
      </w:r>
      <w:r>
        <w:t xml:space="preserve"> Comment Sought on 2010 Review of Hearing Aid Compatibility Regulations, WT Docket No. 10-254, </w:t>
      </w:r>
      <w:r w:rsidRPr="00835318">
        <w:rPr>
          <w:i/>
        </w:rPr>
        <w:t>Public Notice</w:t>
      </w:r>
      <w:r>
        <w:t xml:space="preserve">, 25 FCC </w:t>
      </w:r>
      <w:r w:rsidR="00A726B6">
        <w:t>Rcd</w:t>
      </w:r>
      <w:r>
        <w:t xml:space="preserve"> 17566 (WTB 2010) (</w:t>
      </w:r>
      <w:r w:rsidRPr="00336B88">
        <w:rPr>
          <w:i/>
        </w:rPr>
        <w:t>2010 Review PN</w:t>
      </w:r>
      <w:r>
        <w:t>).</w:t>
      </w:r>
    </w:p>
  </w:footnote>
  <w:footnote w:id="17">
    <w:p w:rsidR="00E318A9" w:rsidRDefault="00E318A9" w:rsidP="00B70B58">
      <w:pPr>
        <w:pStyle w:val="FootnoteText"/>
      </w:pPr>
      <w:r>
        <w:rPr>
          <w:rStyle w:val="FootnoteReference"/>
        </w:rPr>
        <w:footnoteRef/>
      </w:r>
      <w:r>
        <w:t xml:space="preserve"> Updated Information and Comment Sought on Review of Hearing Aid Compatibility Regulations, WT Docket No. 10-254, </w:t>
      </w:r>
      <w:r w:rsidRPr="009D34C7">
        <w:rPr>
          <w:i/>
        </w:rPr>
        <w:t>Public Notice</w:t>
      </w:r>
      <w:r>
        <w:t>, 27 FCC Rcd 13448 (WTB 2012) (</w:t>
      </w:r>
      <w:r>
        <w:rPr>
          <w:i/>
        </w:rPr>
        <w:t>2012 Refresh PN</w:t>
      </w:r>
      <w:r>
        <w:t>).</w:t>
      </w:r>
    </w:p>
  </w:footnote>
  <w:footnote w:id="18">
    <w:p w:rsidR="006D4EB2" w:rsidRDefault="006D4EB2">
      <w:pPr>
        <w:pStyle w:val="FootnoteText"/>
      </w:pPr>
      <w:r>
        <w:rPr>
          <w:rStyle w:val="FootnoteReference"/>
        </w:rPr>
        <w:footnoteRef/>
      </w:r>
      <w:r>
        <w:t xml:space="preserve"> </w:t>
      </w:r>
      <w:r w:rsidR="00933827" w:rsidRPr="00445FAE">
        <w:rPr>
          <w:i/>
        </w:rPr>
        <w:t>See</w:t>
      </w:r>
      <w:r w:rsidR="00933827">
        <w:t xml:space="preserve"> </w:t>
      </w:r>
      <w:r w:rsidRPr="00445FAE">
        <w:rPr>
          <w:i/>
        </w:rPr>
        <w:t>2010 Hearing Aid Compatibility Further NPRM</w:t>
      </w:r>
      <w:r>
        <w:t>, 25 FCC Rcd at</w:t>
      </w:r>
      <w:r w:rsidR="005C5726">
        <w:t xml:space="preserve"> 11194 ¶ 77</w:t>
      </w:r>
      <w:r>
        <w:t xml:space="preserve">; </w:t>
      </w:r>
      <w:r w:rsidRPr="00445FAE">
        <w:rPr>
          <w:i/>
        </w:rPr>
        <w:t>see also</w:t>
      </w:r>
      <w:r>
        <w:t xml:space="preserve"> </w:t>
      </w:r>
      <w:r w:rsidRPr="00631A6D">
        <w:rPr>
          <w:i/>
        </w:rPr>
        <w:t>2007</w:t>
      </w:r>
      <w:r w:rsidRPr="00631A6D">
        <w:t xml:space="preserve"> </w:t>
      </w:r>
      <w:r w:rsidRPr="00631A6D">
        <w:rPr>
          <w:i/>
        </w:rPr>
        <w:t xml:space="preserve">Hearing Aid Compatibility </w:t>
      </w:r>
      <w:r w:rsidRPr="00631A6D">
        <w:rPr>
          <w:i/>
          <w:iCs/>
        </w:rPr>
        <w:t>NPRM</w:t>
      </w:r>
      <w:r>
        <w:t>, 22 FCC Rcd at 19699-700, 19702-705 ¶¶ 79, 89-94</w:t>
      </w:r>
      <w:r w:rsidRPr="00F63A66">
        <w:rPr>
          <w:iCs/>
        </w:rPr>
        <w:t>.</w:t>
      </w:r>
    </w:p>
  </w:footnote>
  <w:footnote w:id="19">
    <w:p w:rsidR="005C5726" w:rsidRDefault="005C5726">
      <w:pPr>
        <w:pStyle w:val="FootnoteText"/>
      </w:pPr>
      <w:r>
        <w:rPr>
          <w:rStyle w:val="FootnoteReference"/>
        </w:rPr>
        <w:footnoteRef/>
      </w:r>
      <w:r>
        <w:t xml:space="preserve"> </w:t>
      </w:r>
      <w:r w:rsidRPr="00D3694E">
        <w:rPr>
          <w:i/>
        </w:rPr>
        <w:t>2010 Hearing Aid Compatibility Further NPRM</w:t>
      </w:r>
      <w:r>
        <w:t xml:space="preserve">, 25 FCC Rcd at </w:t>
      </w:r>
      <w:r w:rsidRPr="00C06B8E">
        <w:t>1119</w:t>
      </w:r>
      <w:r w:rsidR="00C06B8E">
        <w:t>5</w:t>
      </w:r>
      <w:r>
        <w:t xml:space="preserve"> ¶ 81.</w:t>
      </w:r>
    </w:p>
  </w:footnote>
  <w:footnote w:id="20">
    <w:p w:rsidR="0029141E" w:rsidRDefault="0029141E">
      <w:pPr>
        <w:pStyle w:val="FootnoteText"/>
      </w:pPr>
      <w:r>
        <w:rPr>
          <w:rStyle w:val="FootnoteReference"/>
        </w:rPr>
        <w:footnoteRef/>
      </w:r>
      <w:r>
        <w:t xml:space="preserve"> </w:t>
      </w:r>
      <w:r w:rsidR="0016461B">
        <w:rPr>
          <w:i/>
        </w:rPr>
        <w:t xml:space="preserve">Id. </w:t>
      </w:r>
      <w:r>
        <w:t xml:space="preserve">at </w:t>
      </w:r>
      <w:r w:rsidR="00C06B8E" w:rsidRPr="00445FAE">
        <w:t>1119</w:t>
      </w:r>
      <w:r w:rsidR="00C06B8E">
        <w:t>5-96</w:t>
      </w:r>
      <w:r>
        <w:t xml:space="preserve"> ¶¶ 82-83.</w:t>
      </w:r>
    </w:p>
  </w:footnote>
  <w:footnote w:id="21">
    <w:p w:rsidR="00143306" w:rsidRDefault="00143306">
      <w:pPr>
        <w:pStyle w:val="FootnoteText"/>
      </w:pPr>
      <w:r>
        <w:rPr>
          <w:rStyle w:val="FootnoteReference"/>
        </w:rPr>
        <w:footnoteRef/>
      </w:r>
      <w:r>
        <w:t xml:space="preserve"> </w:t>
      </w:r>
      <w:r w:rsidRPr="00143306">
        <w:t>47 U.S.C. § 610(</w:t>
      </w:r>
      <w:r>
        <w:t>e)</w:t>
      </w:r>
      <w:r w:rsidR="00D057B7">
        <w:t xml:space="preserve">; </w:t>
      </w:r>
      <w:r w:rsidR="00D057B7" w:rsidRPr="009C4AB4">
        <w:rPr>
          <w:i/>
        </w:rPr>
        <w:t>see</w:t>
      </w:r>
      <w:r w:rsidR="00D057B7">
        <w:t xml:space="preserve"> </w:t>
      </w:r>
      <w:r w:rsidR="00977E6A">
        <w:t>para</w:t>
      </w:r>
      <w:r w:rsidR="00D057B7">
        <w:t xml:space="preserve"> 6, </w:t>
      </w:r>
      <w:r w:rsidR="00D057B7" w:rsidRPr="009C4AB4">
        <w:rPr>
          <w:i/>
        </w:rPr>
        <w:t>supra</w:t>
      </w:r>
      <w:r w:rsidR="00D057B7">
        <w:t>.</w:t>
      </w:r>
    </w:p>
  </w:footnote>
  <w:footnote w:id="22">
    <w:p w:rsidR="00091BE3" w:rsidRPr="00091BE3" w:rsidRDefault="00091BE3">
      <w:pPr>
        <w:pStyle w:val="FootnoteText"/>
      </w:pPr>
      <w:r>
        <w:rPr>
          <w:rStyle w:val="FootnoteReference"/>
        </w:rPr>
        <w:footnoteRef/>
      </w:r>
      <w:r>
        <w:t xml:space="preserve"> </w:t>
      </w:r>
      <w:r w:rsidRPr="00445FAE">
        <w:rPr>
          <w:i/>
        </w:rPr>
        <w:t>See CVAA PN</w:t>
      </w:r>
      <w:r>
        <w:t>, 25 FCC at 14280.</w:t>
      </w:r>
    </w:p>
  </w:footnote>
  <w:footnote w:id="23">
    <w:p w:rsidR="00213475" w:rsidRDefault="00213475">
      <w:pPr>
        <w:pStyle w:val="FootnoteText"/>
      </w:pPr>
      <w:r>
        <w:rPr>
          <w:rStyle w:val="FootnoteReference"/>
        </w:rPr>
        <w:footnoteRef/>
      </w:r>
      <w:r>
        <w:t xml:space="preserve"> </w:t>
      </w:r>
      <w:r w:rsidRPr="00D3694E">
        <w:rPr>
          <w:i/>
        </w:rPr>
        <w:t>2010 Hearing Aid Compatibility Further NPRM</w:t>
      </w:r>
      <w:r>
        <w:t xml:space="preserve">, 25 FCC Rcd at </w:t>
      </w:r>
      <w:r w:rsidR="00C06B8E" w:rsidRPr="00445FAE">
        <w:t>1119</w:t>
      </w:r>
      <w:r w:rsidR="00C06B8E" w:rsidRPr="00C06B8E">
        <w:t>9</w:t>
      </w:r>
      <w:r>
        <w:t xml:space="preserve"> ¶ 93.</w:t>
      </w:r>
    </w:p>
  </w:footnote>
  <w:footnote w:id="24">
    <w:p w:rsidR="00091BE3" w:rsidRDefault="00091BE3">
      <w:pPr>
        <w:pStyle w:val="FootnoteText"/>
      </w:pPr>
      <w:r>
        <w:rPr>
          <w:rStyle w:val="FootnoteReference"/>
        </w:rPr>
        <w:footnoteRef/>
      </w:r>
      <w:r>
        <w:t xml:space="preserve"> </w:t>
      </w:r>
      <w:r w:rsidR="0016461B">
        <w:rPr>
          <w:i/>
        </w:rPr>
        <w:t xml:space="preserve">Id. </w:t>
      </w:r>
      <w:r>
        <w:t xml:space="preserve">at </w:t>
      </w:r>
      <w:r w:rsidR="008D633F" w:rsidRPr="00445FAE">
        <w:t>1119</w:t>
      </w:r>
      <w:r w:rsidR="008D633F">
        <w:t>9</w:t>
      </w:r>
      <w:r>
        <w:t xml:space="preserve"> ¶ 91.</w:t>
      </w:r>
    </w:p>
  </w:footnote>
  <w:footnote w:id="25">
    <w:p w:rsidR="007B12F3" w:rsidRDefault="007B12F3" w:rsidP="007B12F3">
      <w:pPr>
        <w:pStyle w:val="FootnoteText"/>
      </w:pPr>
      <w:r>
        <w:rPr>
          <w:rStyle w:val="FootnoteReference"/>
        </w:rPr>
        <w:footnoteRef/>
      </w:r>
      <w:r>
        <w:t xml:space="preserve"> The CVAA and its predecessor statute require the Commission to periodically assess the appropriateness of continuing in effect exemptions for telephones and other customer premises equipment </w:t>
      </w:r>
      <w:r w:rsidR="00D057B7">
        <w:t xml:space="preserve">that are </w:t>
      </w:r>
      <w:r>
        <w:t>subject to the hearing aid compatibility requirements.  47 U.S.C. §</w:t>
      </w:r>
      <w:r w:rsidR="000E35E1">
        <w:t xml:space="preserve"> </w:t>
      </w:r>
      <w:r>
        <w:t>610(b)(2)(B)</w:t>
      </w:r>
      <w:r w:rsidR="00977E6A">
        <w:t>;</w:t>
      </w:r>
      <w:r>
        <w:t xml:space="preserve"> </w:t>
      </w:r>
      <w:r w:rsidR="00977E6A" w:rsidRPr="00EC7D4B">
        <w:rPr>
          <w:i/>
        </w:rPr>
        <w:t>s</w:t>
      </w:r>
      <w:r w:rsidRPr="00143306">
        <w:rPr>
          <w:i/>
        </w:rPr>
        <w:t>ee also</w:t>
      </w:r>
      <w:r>
        <w:t xml:space="preserve"> </w:t>
      </w:r>
      <w:r w:rsidRPr="00143306">
        <w:rPr>
          <w:i/>
        </w:rPr>
        <w:t>id.</w:t>
      </w:r>
      <w:r>
        <w:t xml:space="preserve"> </w:t>
      </w:r>
      <w:r w:rsidRPr="00143306">
        <w:t>§ 610(e).</w:t>
      </w:r>
    </w:p>
  </w:footnote>
  <w:footnote w:id="26">
    <w:p w:rsidR="00E318A9" w:rsidRDefault="00E318A9" w:rsidP="008604F7">
      <w:pPr>
        <w:pStyle w:val="FootnoteText"/>
      </w:pPr>
      <w:r>
        <w:rPr>
          <w:rStyle w:val="FootnoteReference"/>
        </w:rPr>
        <w:footnoteRef/>
      </w:r>
      <w:r>
        <w:t xml:space="preserve"> 47 U.S.C. § 610 note; </w:t>
      </w:r>
      <w:r>
        <w:rPr>
          <w:i/>
        </w:rPr>
        <w:t xml:space="preserve">see also Hearing Aid Compatibility </w:t>
      </w:r>
      <w:r w:rsidR="00977E6A">
        <w:rPr>
          <w:i/>
        </w:rPr>
        <w:t>Policy Statement</w:t>
      </w:r>
      <w:r>
        <w:rPr>
          <w:i/>
        </w:rPr>
        <w:t xml:space="preserve">, </w:t>
      </w:r>
      <w:r>
        <w:t>25 FCC Rcd at 11174 ¶ 18.</w:t>
      </w:r>
    </w:p>
  </w:footnote>
  <w:footnote w:id="27">
    <w:p w:rsidR="00B54D96" w:rsidRDefault="00B54D96">
      <w:pPr>
        <w:pStyle w:val="FootnoteText"/>
      </w:pPr>
      <w:r>
        <w:rPr>
          <w:rStyle w:val="FootnoteReference"/>
        </w:rPr>
        <w:footnoteRef/>
      </w:r>
      <w:r>
        <w:t xml:space="preserve"> </w:t>
      </w:r>
      <w:r w:rsidR="002F74D5">
        <w:t>47 U.S.C. § 610(b)(1)(C</w:t>
      </w:r>
      <w:r w:rsidR="002F74D5" w:rsidRPr="00411AE0">
        <w:t>)</w:t>
      </w:r>
      <w:r w:rsidR="002F74D5">
        <w:t>.</w:t>
      </w:r>
    </w:p>
  </w:footnote>
  <w:footnote w:id="28">
    <w:p w:rsidR="00E318A9" w:rsidRPr="005028CD" w:rsidRDefault="00E318A9" w:rsidP="008604F7">
      <w:pPr>
        <w:pStyle w:val="FootnoteText"/>
      </w:pPr>
      <w:r>
        <w:rPr>
          <w:rStyle w:val="FootnoteReference"/>
        </w:rPr>
        <w:footnoteRef/>
      </w:r>
      <w:r>
        <w:t xml:space="preserve"> </w:t>
      </w:r>
      <w:r w:rsidRPr="005028CD">
        <w:t xml:space="preserve">Manufacturers, other than those subject to the </w:t>
      </w:r>
      <w:r w:rsidRPr="005028CD">
        <w:rPr>
          <w:i/>
        </w:rPr>
        <w:t xml:space="preserve">de minimis </w:t>
      </w:r>
      <w:r w:rsidRPr="005028CD">
        <w:t xml:space="preserve">exception, </w:t>
      </w:r>
      <w:r>
        <w:t>must</w:t>
      </w:r>
      <w:r w:rsidRPr="005028CD">
        <w:t xml:space="preserve"> meet at least an M3 rating for RF interference reduction for at least one-third of their models (rounded down) over each air interface, with a minimum of two models, and meet a T3 rating for inductive coupling capability for at least 25 percent of their models (rounded down) over each air interface, with a minimum of two models.  47 C.F.R. </w:t>
      </w:r>
      <w:r>
        <w:t>§</w:t>
      </w:r>
      <w:r w:rsidRPr="005028CD">
        <w:t>§ 20.19(c)(1), (d)(1).  Service providers must meet an M3 rating for at least 50 percent of their models or 10 models over each air interface, and must meet a T3 rating for at least one-third of their models or seven models over each air interface.  47 C.F.R. §</w:t>
      </w:r>
      <w:r>
        <w:t>§</w:t>
      </w:r>
      <w:r w:rsidRPr="005028CD">
        <w:t xml:space="preserve"> 20.19(c)(2), (3), (d)(2), (3).</w:t>
      </w:r>
    </w:p>
  </w:footnote>
  <w:footnote w:id="29">
    <w:p w:rsidR="00297738" w:rsidRDefault="00297738">
      <w:pPr>
        <w:pStyle w:val="FootnoteText"/>
      </w:pPr>
      <w:r>
        <w:rPr>
          <w:rStyle w:val="FootnoteReference"/>
        </w:rPr>
        <w:footnoteRef/>
      </w:r>
      <w:r>
        <w:t xml:space="preserve"> </w:t>
      </w:r>
      <w:r w:rsidR="00142424" w:rsidRPr="008B2B4C">
        <w:rPr>
          <w:i/>
        </w:rPr>
        <w:t>See</w:t>
      </w:r>
      <w:r w:rsidR="00142424" w:rsidRPr="008B2B4C">
        <w:t xml:space="preserve"> Apple Inc. FCC Form 655 filing dated July 15, 2014 available at </w:t>
      </w:r>
      <w:hyperlink r:id="rId1" w:history="1">
        <w:r w:rsidR="00142424" w:rsidRPr="008B2B4C">
          <w:rPr>
            <w:rStyle w:val="Hyperlink"/>
            <w:color w:val="auto"/>
          </w:rPr>
          <w:t>http://wireless.fcc.gov/hac_documents/141020/8408469_18.PDF</w:t>
        </w:r>
      </w:hyperlink>
      <w:r w:rsidR="00142424" w:rsidRPr="008B2B4C">
        <w:t xml:space="preserve"> (last visited Oct. 29, 2014); Samsung Telecommunications America FCC Form 655 filing dated July 16, 2014 available at</w:t>
      </w:r>
      <w:r w:rsidR="00142424">
        <w:t xml:space="preserve"> </w:t>
      </w:r>
      <w:hyperlink r:id="rId2" w:history="1">
        <w:r w:rsidR="00142424">
          <w:rPr>
            <w:rStyle w:val="Hyperlink"/>
          </w:rPr>
          <w:t>http://wireless.fcc.gov/hac_documents/141020/8400038_14.PDF</w:t>
        </w:r>
      </w:hyperlink>
      <w:r w:rsidR="00142424">
        <w:rPr>
          <w:color w:val="1F497D"/>
        </w:rPr>
        <w:t xml:space="preserve"> </w:t>
      </w:r>
      <w:r w:rsidR="00142424" w:rsidRPr="008B2B4C">
        <w:t>(last visited Oct. 29, 2014).</w:t>
      </w:r>
    </w:p>
  </w:footnote>
  <w:footnote w:id="30">
    <w:p w:rsidR="00E318A9" w:rsidRDefault="00E318A9" w:rsidP="00332C70">
      <w:pPr>
        <w:pStyle w:val="FootnoteText"/>
      </w:pPr>
      <w:r>
        <w:rPr>
          <w:rStyle w:val="FootnoteReference"/>
        </w:rPr>
        <w:footnoteRef/>
      </w:r>
      <w:r>
        <w:t xml:space="preserve"> </w:t>
      </w:r>
      <w:r w:rsidRPr="00CB1056">
        <w:rPr>
          <w:i/>
        </w:rPr>
        <w:t xml:space="preserve">See </w:t>
      </w:r>
      <w:hyperlink r:id="rId3" w:history="1">
        <w:r w:rsidRPr="00CB1056">
          <w:rPr>
            <w:rStyle w:val="Hyperlink"/>
            <w:snapToGrid w:val="0"/>
          </w:rPr>
          <w:t>http://www.cdc.gov/nchs/data/nhis/earlyrelease/wireless201407.pdf</w:t>
        </w:r>
      </w:hyperlink>
      <w:r>
        <w:rPr>
          <w:snapToGrid w:val="0"/>
        </w:rPr>
        <w:t xml:space="preserve"> (last </w:t>
      </w:r>
      <w:r w:rsidRPr="00CB1056">
        <w:t>visited</w:t>
      </w:r>
      <w:r>
        <w:rPr>
          <w:snapToGrid w:val="0"/>
        </w:rPr>
        <w:t xml:space="preserve"> Oct. 9, 2014)</w:t>
      </w:r>
      <w:r w:rsidRPr="00CB1056">
        <w:rPr>
          <w:snapToGrid w:val="0"/>
        </w:rPr>
        <w:t xml:space="preserve">; </w:t>
      </w:r>
      <w:hyperlink r:id="rId4" w:tgtFrame="_blank" w:history="1">
        <w:r w:rsidRPr="00CB1056">
          <w:rPr>
            <w:rStyle w:val="Hyperlink"/>
          </w:rPr>
          <w:t>http://www.pewresearch.org/fact-tank/2014/07/08/two-of-every-five-u-s-households-have-only-wireless-phones/</w:t>
        </w:r>
      </w:hyperlink>
      <w:r>
        <w:rPr>
          <w:color w:val="000000"/>
        </w:rPr>
        <w:t xml:space="preserve"> (last visited Oct. 9, 2014)</w:t>
      </w:r>
      <w:r w:rsidRPr="00CB1056">
        <w:t>.</w:t>
      </w:r>
    </w:p>
  </w:footnote>
  <w:footnote w:id="31">
    <w:p w:rsidR="00D3505F" w:rsidRDefault="00D3505F" w:rsidP="00D3505F">
      <w:pPr>
        <w:pStyle w:val="FootnoteText"/>
      </w:pPr>
      <w:r>
        <w:rPr>
          <w:rStyle w:val="FootnoteReference"/>
        </w:rPr>
        <w:footnoteRef/>
      </w:r>
      <w:r>
        <w:t xml:space="preserve"> </w:t>
      </w:r>
      <w:r w:rsidR="002C6CBA" w:rsidRPr="0086412C">
        <w:rPr>
          <w:i/>
        </w:rPr>
        <w:t>See</w:t>
      </w:r>
      <w:r w:rsidR="002C6CBA">
        <w:t xml:space="preserve"> </w:t>
      </w:r>
      <w:r w:rsidRPr="00D3505F">
        <w:rPr>
          <w:i/>
        </w:rPr>
        <w:t>2010 Review PN</w:t>
      </w:r>
      <w:r>
        <w:t xml:space="preserve">, </w:t>
      </w:r>
      <w:r w:rsidRPr="00D3505F">
        <w:t xml:space="preserve">25 FCC Rcd </w:t>
      </w:r>
      <w:r>
        <w:t xml:space="preserve">at </w:t>
      </w:r>
      <w:r w:rsidRPr="00D3505F">
        <w:t>175</w:t>
      </w:r>
      <w:r>
        <w:t>70-71</w:t>
      </w:r>
      <w:r w:rsidR="0060504C">
        <w:t xml:space="preserve"> (“Should the benchmarks be increased in future years or restructured in any way?</w:t>
      </w:r>
      <w:r w:rsidR="00E85B0A">
        <w:t>”</w:t>
      </w:r>
      <w:r w:rsidR="0060504C">
        <w:t>)</w:t>
      </w:r>
      <w:r>
        <w:t xml:space="preserve">; </w:t>
      </w:r>
      <w:r w:rsidRPr="00D3505F">
        <w:rPr>
          <w:i/>
        </w:rPr>
        <w:t>201</w:t>
      </w:r>
      <w:r>
        <w:rPr>
          <w:i/>
        </w:rPr>
        <w:t>2</w:t>
      </w:r>
      <w:r w:rsidRPr="00D3505F">
        <w:rPr>
          <w:i/>
        </w:rPr>
        <w:t xml:space="preserve"> </w:t>
      </w:r>
      <w:r>
        <w:rPr>
          <w:i/>
        </w:rPr>
        <w:t>Refresh</w:t>
      </w:r>
      <w:r w:rsidRPr="00D3505F">
        <w:rPr>
          <w:i/>
        </w:rPr>
        <w:t xml:space="preserve"> PN</w:t>
      </w:r>
      <w:r w:rsidRPr="00D3505F">
        <w:t xml:space="preserve">, 27 FCC Rcd </w:t>
      </w:r>
      <w:r>
        <w:t xml:space="preserve">at </w:t>
      </w:r>
      <w:r w:rsidRPr="00D3505F">
        <w:t>134</w:t>
      </w:r>
      <w:r>
        <w:t>51</w:t>
      </w:r>
      <w:r w:rsidRPr="00D3505F">
        <w:t>.</w:t>
      </w:r>
      <w:r w:rsidR="002C5006">
        <w:t xml:space="preserve">  </w:t>
      </w:r>
      <w:r w:rsidR="002C5006" w:rsidRPr="00445FAE">
        <w:rPr>
          <w:i/>
        </w:rPr>
        <w:t>See also</w:t>
      </w:r>
      <w:r w:rsidR="002C5006">
        <w:t xml:space="preserve"> </w:t>
      </w:r>
      <w:r w:rsidR="002C5006" w:rsidRPr="00D3694E">
        <w:rPr>
          <w:i/>
        </w:rPr>
        <w:t>Hearing Aid Compatibility</w:t>
      </w:r>
      <w:r w:rsidR="002C5006">
        <w:rPr>
          <w:i/>
        </w:rPr>
        <w:t xml:space="preserve"> Second Report and Order</w:t>
      </w:r>
      <w:r w:rsidR="002C5006">
        <w:t>, 25 FCC Rcd at 11173-74 ¶ 17 (authorizing a comprehensive review of the hearing aid compatibility provisions</w:t>
      </w:r>
      <w:r w:rsidR="0060504C">
        <w:t>, “</w:t>
      </w:r>
      <w:r w:rsidR="0060504C" w:rsidRPr="0060504C">
        <w:t>including possible increases in the deployment benchmarks</w:t>
      </w:r>
      <w:r w:rsidR="0060504C">
        <w:t>”</w:t>
      </w:r>
      <w:r w:rsidR="002C5006">
        <w:t>).</w:t>
      </w:r>
    </w:p>
  </w:footnote>
  <w:footnote w:id="32">
    <w:p w:rsidR="0024094C" w:rsidRDefault="0024094C">
      <w:pPr>
        <w:pStyle w:val="FootnoteText"/>
      </w:pPr>
      <w:r>
        <w:rPr>
          <w:rStyle w:val="FootnoteReference"/>
        </w:rPr>
        <w:footnoteRef/>
      </w:r>
      <w:r>
        <w:t xml:space="preserve"> </w:t>
      </w:r>
      <w:r w:rsidRPr="00D3505F">
        <w:rPr>
          <w:i/>
        </w:rPr>
        <w:t>2010 Review PN</w:t>
      </w:r>
      <w:r>
        <w:t xml:space="preserve">, </w:t>
      </w:r>
      <w:r w:rsidRPr="00D3505F">
        <w:t xml:space="preserve">25 FCC Rcd </w:t>
      </w:r>
      <w:r>
        <w:t xml:space="preserve">at </w:t>
      </w:r>
      <w:r w:rsidRPr="008D633F">
        <w:t>17570</w:t>
      </w:r>
      <w:r>
        <w:t xml:space="preserve"> (“</w:t>
      </w:r>
      <w:r w:rsidR="0060504C">
        <w:t>[S]</w:t>
      </w:r>
      <w:r>
        <w:t>hould the Commission be moving toward a goal of ensuring that all wireless handsets meet hearing aid compatibility standards</w:t>
      </w:r>
      <w:r w:rsidR="0060504C">
        <w:t>?  If the Commission were to institute a 100% compatibility requirement, what would be the effects on investment and innovation?</w:t>
      </w:r>
      <w:r>
        <w:t>”).</w:t>
      </w:r>
    </w:p>
  </w:footnote>
  <w:footnote w:id="33">
    <w:p w:rsidR="00957EC1" w:rsidRDefault="00957EC1" w:rsidP="00957EC1">
      <w:pPr>
        <w:pStyle w:val="FootnoteText"/>
      </w:pPr>
      <w:r>
        <w:rPr>
          <w:rStyle w:val="FootnoteReference"/>
        </w:rPr>
        <w:footnoteRef/>
      </w:r>
      <w:r>
        <w:t xml:space="preserve"> </w:t>
      </w:r>
      <w:r>
        <w:rPr>
          <w:i/>
        </w:rPr>
        <w:t>See</w:t>
      </w:r>
      <w:r>
        <w:t xml:space="preserve"> Consumer Groups</w:t>
      </w:r>
      <w:r w:rsidRPr="00FD3A90">
        <w:t xml:space="preserve"> </w:t>
      </w:r>
      <w:r>
        <w:t xml:space="preserve">2010 </w:t>
      </w:r>
      <w:r w:rsidRPr="00FD3A90">
        <w:t>Furth</w:t>
      </w:r>
      <w:r>
        <w:t>er NPRM</w:t>
      </w:r>
      <w:r w:rsidRPr="00FD3A90">
        <w:t xml:space="preserve"> Comments at 6</w:t>
      </w:r>
      <w:r>
        <w:t xml:space="preserve">; </w:t>
      </w:r>
      <w:r w:rsidRPr="007E5E8B">
        <w:t xml:space="preserve">HIA </w:t>
      </w:r>
      <w:r>
        <w:t>2010 Further NPRM</w:t>
      </w:r>
      <w:r w:rsidRPr="007E5E8B">
        <w:t xml:space="preserve"> Comments at 6.</w:t>
      </w:r>
    </w:p>
  </w:footnote>
  <w:footnote w:id="34">
    <w:p w:rsidR="0024094C" w:rsidRDefault="0024094C">
      <w:pPr>
        <w:pStyle w:val="FootnoteText"/>
      </w:pPr>
      <w:r>
        <w:rPr>
          <w:rStyle w:val="FootnoteReference"/>
        </w:rPr>
        <w:footnoteRef/>
      </w:r>
      <w:r>
        <w:t xml:space="preserve"> </w:t>
      </w:r>
      <w:r w:rsidRPr="00D3505F">
        <w:rPr>
          <w:i/>
        </w:rPr>
        <w:t>2010 Review PN</w:t>
      </w:r>
      <w:r>
        <w:t xml:space="preserve">, </w:t>
      </w:r>
      <w:r w:rsidRPr="00D3505F">
        <w:t xml:space="preserve">25 FCC Rcd </w:t>
      </w:r>
      <w:r>
        <w:t xml:space="preserve">at </w:t>
      </w:r>
      <w:r w:rsidRPr="008D633F">
        <w:t>17570</w:t>
      </w:r>
      <w:r w:rsidR="008D633F">
        <w:t xml:space="preserve"> </w:t>
      </w:r>
      <w:r>
        <w:t>(“Should the Commission consider applying different benchmarks to different technologies in light of the circumstances surrounding each technology</w:t>
      </w:r>
      <w:r w:rsidR="00E85B0A">
        <w:t>?</w:t>
      </w:r>
      <w:r>
        <w:t>”).</w:t>
      </w:r>
    </w:p>
  </w:footnote>
  <w:footnote w:id="35">
    <w:p w:rsidR="004A2900" w:rsidRDefault="004A2900">
      <w:pPr>
        <w:pStyle w:val="FootnoteText"/>
      </w:pPr>
      <w:r>
        <w:rPr>
          <w:rStyle w:val="FootnoteReference"/>
        </w:rPr>
        <w:footnoteRef/>
      </w:r>
      <w:r>
        <w:t xml:space="preserve"> </w:t>
      </w:r>
      <w:r w:rsidR="009C4AB4">
        <w:t xml:space="preserve">As noted above, </w:t>
      </w:r>
      <w:r w:rsidR="009C4AB4" w:rsidRPr="007E21E2">
        <w:rPr>
          <w:i/>
        </w:rPr>
        <w:t>see</w:t>
      </w:r>
      <w:r w:rsidR="009C4AB4">
        <w:t xml:space="preserve"> </w:t>
      </w:r>
      <w:r w:rsidR="006C7871">
        <w:t>para</w:t>
      </w:r>
      <w:r w:rsidR="0060504C">
        <w:t xml:space="preserve"> </w:t>
      </w:r>
      <w:r w:rsidR="009C4AB4">
        <w:t xml:space="preserve">6, </w:t>
      </w:r>
      <w:r w:rsidR="009C4AB4" w:rsidRPr="007E21E2">
        <w:rPr>
          <w:i/>
        </w:rPr>
        <w:t>supra</w:t>
      </w:r>
      <w:r w:rsidR="009C4AB4">
        <w:t>, t</w:t>
      </w:r>
      <w:r>
        <w:t xml:space="preserve">he CVAA directs the Commission, in implementing </w:t>
      </w:r>
      <w:r w:rsidR="0075223F">
        <w:t xml:space="preserve">new </w:t>
      </w:r>
      <w:r>
        <w:t xml:space="preserve">hearing aid compatibility </w:t>
      </w:r>
      <w:r w:rsidR="0075223F">
        <w:t>requirements</w:t>
      </w:r>
      <w:r>
        <w:t>, to use appropriate timetables or benchmarks that take into consideration (1) technical feasibility and (2) marketability or availability of new technologies.  47 U</w:t>
      </w:r>
      <w:r w:rsidR="0075223F">
        <w:t>.</w:t>
      </w:r>
      <w:r>
        <w:t>S</w:t>
      </w:r>
      <w:r w:rsidR="0075223F">
        <w:t>.</w:t>
      </w:r>
      <w:r>
        <w:t>C</w:t>
      </w:r>
      <w:r w:rsidR="0075223F">
        <w:t>. § 610(e).</w:t>
      </w:r>
    </w:p>
  </w:footnote>
  <w:footnote w:id="36">
    <w:p w:rsidR="00E318A9" w:rsidRDefault="00E318A9" w:rsidP="000737F9">
      <w:pPr>
        <w:pStyle w:val="FootnoteText"/>
      </w:pPr>
      <w:r>
        <w:rPr>
          <w:rStyle w:val="FootnoteReference"/>
        </w:rPr>
        <w:footnoteRef/>
      </w:r>
      <w:r>
        <w:t xml:space="preserve"> </w:t>
      </w:r>
      <w:r w:rsidRPr="005028CD">
        <w:t>47 C.F.R.</w:t>
      </w:r>
      <w:r>
        <w:t xml:space="preserve"> § 20.19(i).</w:t>
      </w:r>
    </w:p>
  </w:footnote>
  <w:footnote w:id="37">
    <w:p w:rsidR="003963EC" w:rsidRDefault="003963EC">
      <w:pPr>
        <w:pStyle w:val="FootnoteText"/>
      </w:pPr>
      <w:r>
        <w:rPr>
          <w:rStyle w:val="FootnoteReference"/>
        </w:rPr>
        <w:footnoteRef/>
      </w:r>
      <w:r>
        <w:t xml:space="preserve"> </w:t>
      </w:r>
      <w:r w:rsidR="0016461B" w:rsidRPr="00445FAE">
        <w:rPr>
          <w:i/>
        </w:rPr>
        <w:t>Id</w:t>
      </w:r>
      <w:r w:rsidR="0016461B">
        <w:rPr>
          <w:i/>
        </w:rPr>
        <w:t>.</w:t>
      </w:r>
      <w:r w:rsidR="0016461B">
        <w:t xml:space="preserve"> at </w:t>
      </w:r>
      <w:r>
        <w:t>§ 20.19(c)(1)(ii).</w:t>
      </w:r>
    </w:p>
  </w:footnote>
  <w:footnote w:id="38">
    <w:p w:rsidR="00E318A9" w:rsidRDefault="00E318A9" w:rsidP="000737F9">
      <w:pPr>
        <w:pStyle w:val="FootnoteText"/>
      </w:pPr>
      <w:r>
        <w:rPr>
          <w:rStyle w:val="FootnoteReference"/>
        </w:rPr>
        <w:footnoteRef/>
      </w:r>
      <w:r>
        <w:t xml:space="preserve"> </w:t>
      </w:r>
      <w:r w:rsidR="0016461B" w:rsidRPr="00445FAE">
        <w:rPr>
          <w:i/>
        </w:rPr>
        <w:t>Id</w:t>
      </w:r>
      <w:r w:rsidR="0016461B">
        <w:rPr>
          <w:i/>
        </w:rPr>
        <w:t>.</w:t>
      </w:r>
      <w:r w:rsidR="00A73623">
        <w:t xml:space="preserve"> at</w:t>
      </w:r>
      <w:r>
        <w:t xml:space="preserve"> § 20.19(d)(4)(ii).</w:t>
      </w:r>
    </w:p>
  </w:footnote>
  <w:footnote w:id="39">
    <w:p w:rsidR="0024094C" w:rsidRDefault="0024094C">
      <w:pPr>
        <w:pStyle w:val="FootnoteText"/>
      </w:pPr>
      <w:r>
        <w:rPr>
          <w:rStyle w:val="FootnoteReference"/>
        </w:rPr>
        <w:footnoteRef/>
      </w:r>
      <w:r>
        <w:t xml:space="preserve"> </w:t>
      </w:r>
      <w:r w:rsidRPr="00D3505F">
        <w:rPr>
          <w:i/>
        </w:rPr>
        <w:t>2010 Review PN</w:t>
      </w:r>
      <w:r>
        <w:t xml:space="preserve">, </w:t>
      </w:r>
      <w:r w:rsidRPr="00D3505F">
        <w:t xml:space="preserve">25 FCC Rcd </w:t>
      </w:r>
      <w:r>
        <w:t xml:space="preserve">at </w:t>
      </w:r>
      <w:r w:rsidRPr="00200793">
        <w:t>1757</w:t>
      </w:r>
      <w:r w:rsidR="00200793">
        <w:t>1</w:t>
      </w:r>
      <w:r>
        <w:t>.</w:t>
      </w:r>
    </w:p>
  </w:footnote>
  <w:footnote w:id="40">
    <w:p w:rsidR="0024094C" w:rsidRDefault="0024094C">
      <w:pPr>
        <w:pStyle w:val="FootnoteText"/>
      </w:pPr>
      <w:r>
        <w:rPr>
          <w:rStyle w:val="FootnoteReference"/>
        </w:rPr>
        <w:footnoteRef/>
      </w:r>
      <w:r>
        <w:t xml:space="preserve"> </w:t>
      </w:r>
      <w:r w:rsidR="0016461B">
        <w:rPr>
          <w:i/>
        </w:rPr>
        <w:t xml:space="preserve">Id. at </w:t>
      </w:r>
      <w:r w:rsidRPr="00200793">
        <w:t>1757</w:t>
      </w:r>
      <w:r w:rsidR="00200793">
        <w:t>2</w:t>
      </w:r>
      <w:r>
        <w:t>.</w:t>
      </w:r>
    </w:p>
  </w:footnote>
  <w:footnote w:id="41">
    <w:p w:rsidR="006C7871" w:rsidRDefault="006C7871">
      <w:pPr>
        <w:pStyle w:val="FootnoteText"/>
      </w:pPr>
      <w:r>
        <w:rPr>
          <w:rStyle w:val="FootnoteReference"/>
        </w:rPr>
        <w:footnoteRef/>
      </w:r>
      <w:r>
        <w:t xml:space="preserve"> </w:t>
      </w:r>
      <w:r w:rsidRPr="00EC7D4B">
        <w:rPr>
          <w:i/>
        </w:rPr>
        <w:t>See</w:t>
      </w:r>
      <w:r>
        <w:t xml:space="preserve"> n.29, </w:t>
      </w:r>
      <w:r w:rsidRPr="00EC7D4B">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DA" w:rsidRDefault="00423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DA" w:rsidRDefault="00423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9" w:rsidRPr="00A64031" w:rsidRDefault="00E318A9" w:rsidP="00A13D79">
    <w:pPr>
      <w:pStyle w:val="Header"/>
      <w:spacing w:before="40"/>
      <w:ind w:firstLine="1080"/>
      <w:rPr>
        <w:rFonts w:ascii="Calibri" w:hAnsi="Calibri"/>
        <w:b w:val="0"/>
        <w:sz w:val="96"/>
      </w:rPr>
    </w:pPr>
    <w:r>
      <w:rPr>
        <w:rFonts w:ascii="News Gothic MT" w:hAnsi="News Gothic MT"/>
        <w:b w:val="0"/>
        <w:noProof/>
        <w:sz w:val="24"/>
      </w:rPr>
      <w:drawing>
        <wp:anchor distT="0" distB="0" distL="114300" distR="114300" simplePos="0" relativeHeight="251669504" behindDoc="0" locked="0" layoutInCell="0" allowOverlap="1" wp14:anchorId="118383BC" wp14:editId="7D616CBB">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sz w:val="96"/>
      </w:rPr>
      <w:t xml:space="preserve">  </w:t>
    </w:r>
    <w:r w:rsidRPr="00A64031">
      <w:rPr>
        <w:rFonts w:ascii="Calibri" w:hAnsi="Calibri"/>
        <w:sz w:val="96"/>
      </w:rPr>
      <w:t>PUBLIC NOTICE</w:t>
    </w:r>
  </w:p>
  <w:p w:rsidR="00E318A9" w:rsidRPr="00E40CDE" w:rsidRDefault="00E318A9" w:rsidP="00E40CDE">
    <w:pPr>
      <w:pStyle w:val="Header"/>
      <w:tabs>
        <w:tab w:val="left" w:pos="1080"/>
      </w:tabs>
      <w:spacing w:line="1120" w:lineRule="exact"/>
      <w:ind w:left="720"/>
      <w:rPr>
        <w:rFonts w:ascii="Arial" w:hAnsi="Arial"/>
        <w:b w:val="0"/>
        <w:sz w:val="28"/>
      </w:rPr>
    </w:pPr>
    <w:r>
      <w:rPr>
        <w:rFonts w:ascii="Arial" w:hAnsi="Arial"/>
        <w:b w:val="0"/>
        <w:noProof/>
        <w:snapToGrid/>
      </w:rPr>
      <mc:AlternateContent>
        <mc:Choice Requires="wps">
          <w:drawing>
            <wp:anchor distT="0" distB="0" distL="114300" distR="114300" simplePos="0" relativeHeight="251667456" behindDoc="0" locked="0" layoutInCell="0" allowOverlap="1" wp14:anchorId="1D952CEF" wp14:editId="7EE98EFB">
              <wp:simplePos x="0" y="0"/>
              <wp:positionH relativeFrom="column">
                <wp:posOffset>477520</wp:posOffset>
              </wp:positionH>
              <wp:positionV relativeFrom="paragraph">
                <wp:posOffset>697865</wp:posOffset>
              </wp:positionV>
              <wp:extent cx="5886450" cy="2540"/>
              <wp:effectExtent l="0" t="0" r="19050" b="355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xFwIAACw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LMFKk&#10;B402QnGUh9YMxpUQUautDcXRk3oxG02/O6R03RG155Hi69lAWhYykjcpYeMMXLAbvmgGMeTgdezT&#10;qbV9gIQOoFOU43yXg588onBYzGbTvADVKPgmRR7VSkh5yzXW+c9c9ygYFZZAO2KT48b5wIWUt5Bw&#10;ldJrIWUUXCo0VHheTIqY4LQULDhDmLP7XS0tOpIwMvGLhYHnMczqg2IRrOOEra62J0JebLhcqoAH&#10;1QCdq3WZiR/zdL6arWb5KJ9MV6M8bZrRp3Wdj6br7GPRfGjqusl+BmpZXnaCMa4Cu9t8Zvnf6X99&#10;KZfJuk/ovQ3JW/TYLyB7+0fSUc6g4GUWdpqdt/YmM4xkDL4+nzDzj3uwHx/58hcAAAD//wMAUEsD&#10;BBQABgAIAAAAIQAEnEBi3wAAAAsBAAAPAAAAZHJzL2Rvd25yZXYueG1sTI9BT8MwDIXvSPyHyEhc&#10;pi1ZJxgrTScE9MZlA8TVa01b0Thdk22FX493gpv93tPz52w9uk4daQitZwvzmQFFXPqq5drC22sx&#10;vQMVInKFnWey8E0B1vnlRYZp5U+8oeM21kpKOKRooYmxT7UOZUMOw8z3xOJ9+sFhlHWodTXgScpd&#10;pxNjbrXDluVCgz09NlR+bQ/OQijeaV/8TMqJ+VjUnpL908szWnt9NT7cg4o0xr8wnPEFHXJh2vkD&#10;V0F1FpY3iSRFN6sVqHPAmESknUxzswCdZ/r/D/kvAAAA//8DAFBLAQItABQABgAIAAAAIQC2gziS&#10;/gAAAOEBAAATAAAAAAAAAAAAAAAAAAAAAABbQ29udGVudF9UeXBlc10ueG1sUEsBAi0AFAAGAAgA&#10;AAAhADj9If/WAAAAlAEAAAsAAAAAAAAAAAAAAAAALwEAAF9yZWxzLy5yZWxzUEsBAi0AFAAGAAgA&#10;AAAhAI+z8LEXAgAALAQAAA4AAAAAAAAAAAAAAAAALgIAAGRycy9lMm9Eb2MueG1sUEsBAi0AFAAG&#10;AAgAAAAhAAScQGLfAAAACwEAAA8AAAAAAAAAAAAAAAAAcQQAAGRycy9kb3ducmV2LnhtbFBLBQYA&#10;AAAABAAEAPMAAAB9BQAAAAA=&#10;" o:allowincell="f"/>
          </w:pict>
        </mc:Fallback>
      </mc:AlternateContent>
    </w:r>
    <w:r>
      <w:rPr>
        <w:rFonts w:ascii="News Gothic MT" w:hAnsi="News Gothic MT"/>
        <w:b w:val="0"/>
        <w:noProof/>
        <w:snapToGrid/>
        <w:sz w:val="24"/>
      </w:rPr>
      <mc:AlternateContent>
        <mc:Choice Requires="wps">
          <w:drawing>
            <wp:anchor distT="0" distB="0" distL="114300" distR="114300" simplePos="0" relativeHeight="251666432" behindDoc="0" locked="0" layoutInCell="0" allowOverlap="1" wp14:anchorId="611F424C" wp14:editId="073F34E8">
              <wp:simplePos x="0" y="0"/>
              <wp:positionH relativeFrom="column">
                <wp:posOffset>381000</wp:posOffset>
              </wp:positionH>
              <wp:positionV relativeFrom="paragraph">
                <wp:posOffset>5080</wp:posOffset>
              </wp:positionV>
              <wp:extent cx="3108960" cy="6400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8A9" w:rsidRDefault="00E318A9" w:rsidP="00A13D79">
                          <w:pPr>
                            <w:rPr>
                              <w:rFonts w:ascii="Arial" w:hAnsi="Arial"/>
                              <w:b/>
                            </w:rPr>
                          </w:pPr>
                          <w:r>
                            <w:rPr>
                              <w:rFonts w:ascii="Arial" w:hAnsi="Arial"/>
                              <w:b/>
                            </w:rPr>
                            <w:t>Federal Communications Commission</w:t>
                          </w:r>
                        </w:p>
                        <w:p w:rsidR="00E318A9" w:rsidRDefault="00E318A9" w:rsidP="00A13D7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18A9" w:rsidRDefault="00E318A9" w:rsidP="00A13D7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Fh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AOTs3w2&#10;UvTHJNP4/S7JTnhoSCm6Gi9OTqQKxL5WDNImlSdCjvPk5/BjlaEGx3+sSpRBYH7UgB/WA6AEbaw1&#10;24MgrAa+gFp4RWDSavsVox46ssbuy5ZYjpF8q0BUZVYUoYXjophd5LCw55b1uYUoClA19hiN01s/&#10;tv3WWLFp4aZRxkpfgxAbETXyFNVBvtB1MZnDCxHa+nwdvZ7eseUP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HvqcWGBAgAA&#10;DwUAAA4AAAAAAAAAAAAAAAAALgIAAGRycy9lMm9Eb2MueG1sUEsBAi0AFAAGAAgAAAAhAGlm3vTb&#10;AAAABwEAAA8AAAAAAAAAAAAAAAAA2wQAAGRycy9kb3ducmV2LnhtbFBLBQYAAAAABAAEAPMAAADj&#10;BQAAAAA=&#10;" o:allowincell="f" stroked="f">
              <v:textbox>
                <w:txbxContent>
                  <w:p w:rsidR="00E318A9" w:rsidRDefault="00E318A9" w:rsidP="00A13D79">
                    <w:pPr>
                      <w:rPr>
                        <w:rFonts w:ascii="Arial" w:hAnsi="Arial"/>
                        <w:b/>
                      </w:rPr>
                    </w:pPr>
                    <w:r>
                      <w:rPr>
                        <w:rFonts w:ascii="Arial" w:hAnsi="Arial"/>
                        <w:b/>
                      </w:rPr>
                      <w:t>Federal Communications Commission</w:t>
                    </w:r>
                  </w:p>
                  <w:p w:rsidR="00E318A9" w:rsidRDefault="00E318A9" w:rsidP="00A13D7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318A9" w:rsidRDefault="00E318A9" w:rsidP="00A13D79">
                    <w:pPr>
                      <w:rPr>
                        <w:rFonts w:ascii="Arial" w:hAnsi="Arial"/>
                        <w:sz w:val="24"/>
                      </w:rPr>
                    </w:pPr>
                    <w:r>
                      <w:rPr>
                        <w:rFonts w:ascii="Arial" w:hAnsi="Arial"/>
                        <w:b/>
                      </w:rPr>
                      <w:t>Washington, D.C. 20554</w:t>
                    </w:r>
                  </w:p>
                </w:txbxContent>
              </v:textbox>
            </v:shape>
          </w:pict>
        </mc:Fallback>
      </mc:AlternateContent>
    </w:r>
    <w:r>
      <w:rPr>
        <w:rFonts w:ascii="News Gothic MT" w:hAnsi="News Gothic MT"/>
        <w:b w:val="0"/>
        <w:noProof/>
        <w:snapToGrid/>
        <w:sz w:val="24"/>
      </w:rPr>
      <mc:AlternateContent>
        <mc:Choice Requires="wps">
          <w:drawing>
            <wp:anchor distT="0" distB="0" distL="114300" distR="114300" simplePos="0" relativeHeight="251668480" behindDoc="0" locked="0" layoutInCell="0" allowOverlap="1" wp14:anchorId="1EDD4CD9" wp14:editId="2AD9ECE3">
              <wp:simplePos x="0" y="0"/>
              <wp:positionH relativeFrom="column">
                <wp:posOffset>3829050</wp:posOffset>
              </wp:positionH>
              <wp:positionV relativeFrom="paragraph">
                <wp:posOffset>130175</wp:posOffset>
              </wp:positionV>
              <wp:extent cx="2640965" cy="548640"/>
              <wp:effectExtent l="0" t="0" r="6985"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8A9" w:rsidRDefault="00E318A9" w:rsidP="00A13D79">
                          <w:pPr>
                            <w:spacing w:before="40"/>
                            <w:jc w:val="right"/>
                            <w:rPr>
                              <w:rFonts w:ascii="Arial" w:hAnsi="Arial"/>
                              <w:b/>
                              <w:sz w:val="16"/>
                            </w:rPr>
                          </w:pPr>
                          <w:r>
                            <w:rPr>
                              <w:rFonts w:ascii="Arial" w:hAnsi="Arial"/>
                              <w:b/>
                              <w:sz w:val="16"/>
                            </w:rPr>
                            <w:t>News Media Information 202 / 418-0500</w:t>
                          </w:r>
                        </w:p>
                        <w:p w:rsidR="00E318A9" w:rsidRDefault="00E318A9" w:rsidP="00A13D7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318A9" w:rsidRDefault="00E318A9" w:rsidP="00A13D79">
                          <w:pPr>
                            <w:jc w:val="right"/>
                            <w:rPr>
                              <w:rFonts w:ascii="Arial" w:hAnsi="Arial"/>
                              <w:b/>
                              <w:sz w:val="16"/>
                            </w:rPr>
                          </w:pPr>
                          <w:r>
                            <w:rPr>
                              <w:rFonts w:ascii="Arial" w:hAnsi="Arial"/>
                              <w:b/>
                              <w:sz w:val="16"/>
                            </w:rPr>
                            <w:t>TTY: 1-888-835-5322</w:t>
                          </w:r>
                        </w:p>
                        <w:p w:rsidR="00E318A9" w:rsidRDefault="00E318A9" w:rsidP="00A13D7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ha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xSJ&#10;0qxDih7E4Mk1DGQWqtMbV6LRvUEzP+A2shwzdeYO6i+OaLhpmd6IK2uhbwXjGF0WbiYnV0ccF0DW&#10;/Xvg6IZtPUSgobFdKB0WgyA6svR4ZCaEUuPmdJ6nxXxGSY1ns3yBy+iClYfbxjr/VkBHwqSiFpmP&#10;6Gx353yIhpUHk+DMgZJ8JZWKC7tZ3yhLdgxVsorfHv2FmdLBWEO4NiKOOxgk+ghnIdzI+vcim+bp&#10;9bSYrOaL80m+ymeT4jxdTNKsuC7maV7kt6unEGCWl63kXOg7qcVBgVn+dwzve2HUTtQg6StazKaz&#10;kaI/JpnG73dJdtJjQyrZoSKORqwMxL7RHNNmpWdSjfPkZfixyliDwz9WJcogMD9qwA/rIeotaiRI&#10;ZA38EXVhAWlD8vExwUkL9hslPTZmRd3XLbOCEvVOo7aKLEfyiY8LnNjT3fVhl+kaISrqKRmnN37s&#10;+q2xctOih1HFGq5Qh42MEnmOZq9ebLqYy/6BCF19uo5Wz8/Y8gc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A12yha&#10;gAIAAA4FAAAOAAAAAAAAAAAAAAAAAC4CAABkcnMvZTJvRG9jLnhtbFBLAQItABQABgAIAAAAIQA1&#10;FHZJ4AAAAAsBAAAPAAAAAAAAAAAAAAAAANoEAABkcnMvZG93bnJldi54bWxQSwUGAAAAAAQABADz&#10;AAAA5wUAAAAA&#10;" o:allowincell="f" stroked="f">
              <v:textbox inset=",0,,0">
                <w:txbxContent>
                  <w:p w:rsidR="00E318A9" w:rsidRDefault="00E318A9" w:rsidP="00A13D79">
                    <w:pPr>
                      <w:spacing w:before="40"/>
                      <w:jc w:val="right"/>
                      <w:rPr>
                        <w:rFonts w:ascii="Arial" w:hAnsi="Arial"/>
                        <w:b/>
                        <w:sz w:val="16"/>
                      </w:rPr>
                    </w:pPr>
                    <w:r>
                      <w:rPr>
                        <w:rFonts w:ascii="Arial" w:hAnsi="Arial"/>
                        <w:b/>
                        <w:sz w:val="16"/>
                      </w:rPr>
                      <w:t>News Media Information 202 / 418-0500</w:t>
                    </w:r>
                  </w:p>
                  <w:p w:rsidR="00E318A9" w:rsidRDefault="00E318A9" w:rsidP="00A13D7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318A9" w:rsidRDefault="00E318A9" w:rsidP="00A13D79">
                    <w:pPr>
                      <w:jc w:val="right"/>
                      <w:rPr>
                        <w:rFonts w:ascii="Arial" w:hAnsi="Arial"/>
                        <w:b/>
                        <w:sz w:val="16"/>
                      </w:rPr>
                    </w:pPr>
                    <w:r>
                      <w:rPr>
                        <w:rFonts w:ascii="Arial" w:hAnsi="Arial"/>
                        <w:b/>
                        <w:sz w:val="16"/>
                      </w:rPr>
                      <w:t>TTY: 1-888-835-5322</w:t>
                    </w:r>
                  </w:p>
                  <w:p w:rsidR="00E318A9" w:rsidRDefault="00E318A9" w:rsidP="00A13D79">
                    <w:pPr>
                      <w:jc w:val="right"/>
                    </w:pPr>
                  </w:p>
                </w:txbxContent>
              </v:textbox>
            </v:shape>
          </w:pict>
        </mc:Fallback>
      </mc:AlternateContent>
    </w:r>
  </w:p>
  <w:p w:rsidR="00E318A9" w:rsidRDefault="00E318A9" w:rsidP="00FB0B30">
    <w:pPr>
      <w:pStyle w:val="Header"/>
      <w:tabs>
        <w:tab w:val="left" w:pos="1080"/>
      </w:tabs>
      <w:rPr>
        <w:rFonts w:ascii="Arial" w:hAnsi="Arial"/>
        <w:b w:val="0"/>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A9" w:rsidRDefault="00E318A9">
    <w:pPr>
      <w:pStyle w:val="Header"/>
      <w:tabs>
        <w:tab w:val="left" w:pos="1080"/>
      </w:tabs>
      <w:spacing w:line="1120" w:lineRule="exact"/>
      <w:ind w:left="720"/>
      <w:rPr>
        <w:rFonts w:ascii="Arial" w:hAnsi="Arial"/>
        <w:b w:val="0"/>
        <w:sz w:val="96"/>
      </w:rPr>
    </w:pPr>
    <w:r>
      <w:rPr>
        <w:noProof/>
      </w:rPr>
      <w:drawing>
        <wp:anchor distT="0" distB="0" distL="114300" distR="114300" simplePos="0" relativeHeight="251664384" behindDoc="0" locked="0" layoutInCell="0" allowOverlap="1" wp14:anchorId="496BE2EC" wp14:editId="4AED4B94">
          <wp:simplePos x="0" y="0"/>
          <wp:positionH relativeFrom="column">
            <wp:posOffset>50165</wp:posOffset>
          </wp:positionH>
          <wp:positionV relativeFrom="paragraph">
            <wp:posOffset>91440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noProof/>
        <w:snapToGrid/>
      </w:rPr>
      <mc:AlternateContent>
        <mc:Choice Requires="wps">
          <w:drawing>
            <wp:anchor distT="0" distB="0" distL="114300" distR="114300" simplePos="0" relativeHeight="251661312" behindDoc="0" locked="0" layoutInCell="0" allowOverlap="1" wp14:anchorId="0C79506C" wp14:editId="250F090A">
              <wp:simplePos x="0" y="0"/>
              <wp:positionH relativeFrom="column">
                <wp:posOffset>604520</wp:posOffset>
              </wp:positionH>
              <wp:positionV relativeFrom="paragraph">
                <wp:posOffset>731520</wp:posOffset>
              </wp:positionV>
              <wp:extent cx="3108960" cy="6400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8A9" w:rsidRDefault="00E318A9">
                          <w:pPr>
                            <w:rPr>
                              <w:rFonts w:ascii="Arial" w:hAnsi="Arial"/>
                              <w:b/>
                              <w:sz w:val="24"/>
                            </w:rPr>
                          </w:pPr>
                          <w:r>
                            <w:rPr>
                              <w:rFonts w:ascii="Arial" w:hAnsi="Arial"/>
                              <w:b/>
                              <w:sz w:val="24"/>
                            </w:rPr>
                            <w:t>Federal Communications Commission</w:t>
                          </w:r>
                        </w:p>
                        <w:p w:rsidR="00E318A9" w:rsidRDefault="00E318A9">
                          <w:pPr>
                            <w:rPr>
                              <w:rFonts w:ascii="Arial" w:hAnsi="Arial"/>
                              <w:b/>
                              <w:sz w:val="24"/>
                            </w:rPr>
                          </w:pPr>
                          <w:r>
                            <w:rPr>
                              <w:rFonts w:ascii="Arial" w:hAnsi="Arial"/>
                              <w:b/>
                              <w:sz w:val="24"/>
                            </w:rPr>
                            <w:t>445 12th St., S.W.</w:t>
                          </w:r>
                        </w:p>
                        <w:p w:rsidR="00E318A9" w:rsidRDefault="00E318A9">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6pt;margin-top:57.6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rFgw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pTmeVF&#10;ep2Xk/VsMZ8U62I6KefpYpJm5TUkUpTF7fpbCDArqlYwxtWdUPyowKz4O4YPvTBqJ2oQ9TUup/l0&#10;pOiPSabx+12SnfDQkFJ0NV6cnEgViH2tGKRNKk+EHOfJz+HHKkMNjv9YlSiDwPyoAT9shqi3k7o2&#10;mj2CLqwG2oBheExg0mr7FaMeGrPG7suOWI6RfKtAW2VWFKGT46KYznNY2HPL5txCFAWoGnuMxumN&#10;H7t/Z6zYtnDTqGalr0CPjYhSCcIdozqoGJov5nR4KEJ3n6+j14/nbPUd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Eh9q&#10;xYMCAAAWBQAADgAAAAAAAAAAAAAAAAAuAgAAZHJzL2Uyb0RvYy54bWxQSwECLQAUAAYACAAAACEA&#10;YFnZv94AAAAKAQAADwAAAAAAAAAAAAAAAADdBAAAZHJzL2Rvd25yZXYueG1sUEsFBgAAAAAEAAQA&#10;8wAAAOgFAAAAAA==&#10;" o:allowincell="f" stroked="f">
              <v:textbox>
                <w:txbxContent>
                  <w:p w:rsidR="00E318A9" w:rsidRDefault="00E318A9">
                    <w:pPr>
                      <w:rPr>
                        <w:rFonts w:ascii="Arial" w:hAnsi="Arial"/>
                        <w:b/>
                        <w:sz w:val="24"/>
                      </w:rPr>
                    </w:pPr>
                    <w:r>
                      <w:rPr>
                        <w:rFonts w:ascii="Arial" w:hAnsi="Arial"/>
                        <w:b/>
                        <w:sz w:val="24"/>
                      </w:rPr>
                      <w:t>Federal Communications Commission</w:t>
                    </w:r>
                  </w:p>
                  <w:p w:rsidR="00E318A9" w:rsidRDefault="00E318A9">
                    <w:pPr>
                      <w:rPr>
                        <w:rFonts w:ascii="Arial" w:hAnsi="Arial"/>
                        <w:b/>
                        <w:sz w:val="24"/>
                      </w:rPr>
                    </w:pPr>
                    <w:r>
                      <w:rPr>
                        <w:rFonts w:ascii="Arial" w:hAnsi="Arial"/>
                        <w:b/>
                        <w:sz w:val="24"/>
                      </w:rPr>
                      <w:t>445 12th St., S.W.</w:t>
                    </w:r>
                  </w:p>
                  <w:p w:rsidR="00E318A9" w:rsidRDefault="00E318A9">
                    <w:pPr>
                      <w:rPr>
                        <w:rFonts w:ascii="Arial" w:hAnsi="Arial"/>
                        <w:sz w:val="24"/>
                      </w:rPr>
                    </w:pPr>
                    <w:r>
                      <w:rPr>
                        <w:rFonts w:ascii="Arial" w:hAnsi="Arial"/>
                        <w:b/>
                        <w:sz w:val="24"/>
                      </w:rPr>
                      <w:t>Washington, D.C. 20554</w:t>
                    </w:r>
                  </w:p>
                </w:txbxContent>
              </v:textbox>
            </v:shape>
          </w:pict>
        </mc:Fallback>
      </mc:AlternateContent>
    </w:r>
    <w:r>
      <w:tab/>
    </w:r>
    <w:r>
      <w:rPr>
        <w:rFonts w:ascii="Arial" w:hAnsi="Arial"/>
        <w:sz w:val="96"/>
      </w:rPr>
      <w:t>PUBLIC NOTICE</w:t>
    </w:r>
  </w:p>
  <w:p w:rsidR="00E318A9" w:rsidRDefault="00E318A9">
    <w:pPr>
      <w:pStyle w:val="Header"/>
      <w:tabs>
        <w:tab w:val="left" w:pos="1080"/>
      </w:tabs>
      <w:spacing w:line="1120" w:lineRule="exact"/>
      <w:ind w:left="720"/>
      <w:rPr>
        <w:rFonts w:ascii="Arial" w:hAnsi="Arial"/>
        <w:b w:val="0"/>
        <w:sz w:val="28"/>
      </w:rPr>
    </w:pPr>
    <w:r>
      <w:rPr>
        <w:noProof/>
        <w:snapToGrid/>
      </w:rPr>
      <mc:AlternateContent>
        <mc:Choice Requires="wps">
          <w:drawing>
            <wp:anchor distT="0" distB="0" distL="114300" distR="114300" simplePos="0" relativeHeight="251663360" behindDoc="0" locked="0" layoutInCell="0" allowOverlap="1" wp14:anchorId="4CDA9B40" wp14:editId="7982BF30">
              <wp:simplePos x="0" y="0"/>
              <wp:positionH relativeFrom="column">
                <wp:posOffset>5486400</wp:posOffset>
              </wp:positionH>
              <wp:positionV relativeFrom="paragraph">
                <wp:posOffset>-20320</wp:posOffset>
              </wp:positionV>
              <wp:extent cx="2743200" cy="6680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8A9" w:rsidRDefault="00E318A9">
                          <w:pPr>
                            <w:spacing w:before="40"/>
                            <w:jc w:val="right"/>
                            <w:rPr>
                              <w:rFonts w:ascii="Arial" w:hAnsi="Arial"/>
                              <w:sz w:val="16"/>
                            </w:rPr>
                          </w:pPr>
                          <w:r>
                            <w:rPr>
                              <w:rFonts w:ascii="Arial" w:hAnsi="Arial"/>
                              <w:sz w:val="16"/>
                            </w:rPr>
                            <w:tab/>
                          </w:r>
                        </w:p>
                        <w:p w:rsidR="00E318A9" w:rsidRDefault="00E318A9">
                          <w:pPr>
                            <w:spacing w:before="40"/>
                            <w:jc w:val="right"/>
                            <w:rPr>
                              <w:rFonts w:ascii="Arial" w:hAnsi="Arial"/>
                              <w:b/>
                              <w:sz w:val="16"/>
                            </w:rPr>
                          </w:pPr>
                          <w:r>
                            <w:rPr>
                              <w:rFonts w:ascii="Arial" w:hAnsi="Arial"/>
                              <w:b/>
                              <w:sz w:val="16"/>
                            </w:rPr>
                            <w:t>News Media Information 202 / 418-0500</w:t>
                          </w:r>
                        </w:p>
                        <w:p w:rsidR="00E318A9" w:rsidRDefault="00E318A9">
                          <w:pPr>
                            <w:jc w:val="right"/>
                            <w:rPr>
                              <w:rFonts w:ascii="Arial" w:hAnsi="Arial"/>
                              <w:b/>
                              <w:sz w:val="16"/>
                            </w:rPr>
                          </w:pPr>
                          <w:r>
                            <w:rPr>
                              <w:rFonts w:ascii="Arial" w:hAnsi="Arial"/>
                              <w:b/>
                              <w:sz w:val="16"/>
                            </w:rPr>
                            <w:tab/>
                            <w:t>Internet: http://www.fcc.gov</w:t>
                          </w:r>
                        </w:p>
                        <w:p w:rsidR="00E318A9" w:rsidRDefault="00E318A9">
                          <w:pPr>
                            <w:jc w:val="right"/>
                            <w:rPr>
                              <w:rFonts w:ascii="Arial" w:hAnsi="Arial"/>
                              <w:b/>
                              <w:sz w:val="16"/>
                            </w:rPr>
                          </w:pPr>
                          <w:r>
                            <w:rPr>
                              <w:rFonts w:ascii="Arial" w:hAnsi="Arial"/>
                              <w:b/>
                              <w:sz w:val="16"/>
                            </w:rPr>
                            <w:t>TTY: 1-888-835-5322</w:t>
                          </w:r>
                        </w:p>
                        <w:p w:rsidR="00E318A9" w:rsidRDefault="00E318A9">
                          <w:pPr>
                            <w:jc w:val="right"/>
                          </w:pPr>
                        </w:p>
                        <w:p w:rsidR="00E318A9" w:rsidRDefault="00E318A9">
                          <w:pPr>
                            <w:jc w:val="right"/>
                            <w:rPr>
                              <w:rFonts w:ascii="Arial" w:hAnsi="Arial"/>
                              <w:sz w:val="16"/>
                            </w:rPr>
                          </w:pPr>
                        </w:p>
                        <w:p w:rsidR="00E318A9" w:rsidRDefault="00E318A9">
                          <w:pPr>
                            <w:jc w:val="right"/>
                            <w:rPr>
                              <w:rFonts w:ascii="Arial" w:hAnsi="Arial"/>
                              <w:sz w:val="16"/>
                            </w:rPr>
                          </w:pPr>
                          <w:r>
                            <w:rPr>
                              <w:rFonts w:ascii="Arial" w:hAnsi="Arial"/>
                              <w:sz w:val="16"/>
                            </w:rPr>
                            <w:tab/>
                          </w:r>
                        </w:p>
                        <w:p w:rsidR="00E318A9" w:rsidRDefault="00E318A9">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in;margin-top:-1.6pt;width:3in;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P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zQN1emNq8DpwYCbH2AbWI6ZOnOv6SeHlL5tidrya2t133LCILosnEzOjo44LoBs&#10;+reawTVk53UEGhrbhdJBMRCgA0tPJ2ZCKBQ283lxCXRjRME2my3SPFKXkOp42ljnX3PdoTCpsQXm&#10;IzrZ3zsfoiHV0SVc5rQUbC2kjAu73dxKi/YEVLKOX0zgmZtUwVnpcGxEHHcgSLgj2EK4kfWvZZYX&#10;6U1eTtazxXxSrIvppJyni0malTflLC3K4m79LQSYFVUrGOPqXih+VGBW/B3Dh14YtRM1iPoal9N8&#10;OlL0xyTT+P0uyU54aEgpuhovTk6kCsS+UgzSJpUnQo7z5OfwY5WhBsd/rEqUQWB+1IAfNkPU2+VR&#10;XRvNnkAXVgNtwDA8JjBptf2CUQ+NWWP3eUcsx0i+UaCtMiuK0MlxUUznoARkzy2bcwtRFKBq7DEa&#10;p7d+7P6dsWLbwk2jmpW+Bj02IkolCHeM6qBiaL6Y0+GhCN19vo5eP56z1XcAAAD//wMAUEsDBBQA&#10;BgAIAAAAIQDwY6zN4AAAAAsBAAAPAAAAZHJzL2Rvd25yZXYueG1sTI/BTsMwEETvSPyDtUhcUGsT&#10;StqmcSpAAnFt6Qds4m0SNV5Hsdukf497gtvuzmj2Tb6dbCcuNPjWsYbnuQJBXDnTcq3h8PM5W4Hw&#10;Adlg55g0XMnDtri/yzEzbuQdXfahFjGEfYYamhD6TEpfNWTRz11PHLWjGyyGuA61NAOOMdx2MlEq&#10;lRZbjh8a7Omjoeq0P1sNx+/x6XU9ll/hsNwt0ndsl6W7av34ML1tQASawp8ZbvgRHYrIVLozGy86&#10;Dat0EbsEDbOXBMTNkKzTeCnjpBIFssjl/w7FLwAAAP//AwBQSwECLQAUAAYACAAAACEAtoM4kv4A&#10;AADhAQAAEwAAAAAAAAAAAAAAAAAAAAAAW0NvbnRlbnRfVHlwZXNdLnhtbFBLAQItABQABgAIAAAA&#10;IQA4/SH/1gAAAJQBAAALAAAAAAAAAAAAAAAAAC8BAABfcmVscy8ucmVsc1BLAQItABQABgAIAAAA&#10;IQDX/B3PhgIAABYFAAAOAAAAAAAAAAAAAAAAAC4CAABkcnMvZTJvRG9jLnhtbFBLAQItABQABgAI&#10;AAAAIQDwY6zN4AAAAAsBAAAPAAAAAAAAAAAAAAAAAOAEAABkcnMvZG93bnJldi54bWxQSwUGAAAA&#10;AAQABADzAAAA7QUAAAAA&#10;" o:allowincell="f" stroked="f">
              <v:textbox>
                <w:txbxContent>
                  <w:p w:rsidR="00E318A9" w:rsidRDefault="00E318A9">
                    <w:pPr>
                      <w:spacing w:before="40"/>
                      <w:jc w:val="right"/>
                      <w:rPr>
                        <w:rFonts w:ascii="Arial" w:hAnsi="Arial"/>
                        <w:sz w:val="16"/>
                      </w:rPr>
                    </w:pPr>
                    <w:r>
                      <w:rPr>
                        <w:rFonts w:ascii="Arial" w:hAnsi="Arial"/>
                        <w:sz w:val="16"/>
                      </w:rPr>
                      <w:tab/>
                    </w:r>
                  </w:p>
                  <w:p w:rsidR="00E318A9" w:rsidRDefault="00E318A9">
                    <w:pPr>
                      <w:spacing w:before="40"/>
                      <w:jc w:val="right"/>
                      <w:rPr>
                        <w:rFonts w:ascii="Arial" w:hAnsi="Arial"/>
                        <w:b/>
                        <w:sz w:val="16"/>
                      </w:rPr>
                    </w:pPr>
                    <w:r>
                      <w:rPr>
                        <w:rFonts w:ascii="Arial" w:hAnsi="Arial"/>
                        <w:b/>
                        <w:sz w:val="16"/>
                      </w:rPr>
                      <w:t>News Media Information 202 / 418-0500</w:t>
                    </w:r>
                  </w:p>
                  <w:p w:rsidR="00E318A9" w:rsidRDefault="00E318A9">
                    <w:pPr>
                      <w:jc w:val="right"/>
                      <w:rPr>
                        <w:rFonts w:ascii="Arial" w:hAnsi="Arial"/>
                        <w:b/>
                        <w:sz w:val="16"/>
                      </w:rPr>
                    </w:pPr>
                    <w:r>
                      <w:rPr>
                        <w:rFonts w:ascii="Arial" w:hAnsi="Arial"/>
                        <w:b/>
                        <w:sz w:val="16"/>
                      </w:rPr>
                      <w:tab/>
                      <w:t>Internet: http://www.fcc.gov</w:t>
                    </w:r>
                  </w:p>
                  <w:p w:rsidR="00E318A9" w:rsidRDefault="00E318A9">
                    <w:pPr>
                      <w:jc w:val="right"/>
                      <w:rPr>
                        <w:rFonts w:ascii="Arial" w:hAnsi="Arial"/>
                        <w:b/>
                        <w:sz w:val="16"/>
                      </w:rPr>
                    </w:pPr>
                    <w:r>
                      <w:rPr>
                        <w:rFonts w:ascii="Arial" w:hAnsi="Arial"/>
                        <w:b/>
                        <w:sz w:val="16"/>
                      </w:rPr>
                      <w:t>TTY: 1-888-835-5322</w:t>
                    </w:r>
                  </w:p>
                  <w:p w:rsidR="00E318A9" w:rsidRDefault="00E318A9">
                    <w:pPr>
                      <w:jc w:val="right"/>
                    </w:pPr>
                  </w:p>
                  <w:p w:rsidR="00E318A9" w:rsidRDefault="00E318A9">
                    <w:pPr>
                      <w:jc w:val="right"/>
                      <w:rPr>
                        <w:rFonts w:ascii="Arial" w:hAnsi="Arial"/>
                        <w:sz w:val="16"/>
                      </w:rPr>
                    </w:pPr>
                  </w:p>
                  <w:p w:rsidR="00E318A9" w:rsidRDefault="00E318A9">
                    <w:pPr>
                      <w:jc w:val="right"/>
                      <w:rPr>
                        <w:rFonts w:ascii="Arial" w:hAnsi="Arial"/>
                        <w:sz w:val="16"/>
                      </w:rPr>
                    </w:pPr>
                    <w:r>
                      <w:rPr>
                        <w:rFonts w:ascii="Arial" w:hAnsi="Arial"/>
                        <w:sz w:val="16"/>
                      </w:rPr>
                      <w:tab/>
                    </w:r>
                  </w:p>
                  <w:p w:rsidR="00E318A9" w:rsidRDefault="00E318A9">
                    <w:pPr>
                      <w:jc w:val="right"/>
                      <w:rPr>
                        <w:rFonts w:ascii="Arial" w:hAnsi="Arial"/>
                        <w:sz w:val="16"/>
                      </w:rPr>
                    </w:pPr>
                    <w:r>
                      <w:rPr>
                        <w:rFonts w:ascii="Arial" w:hAnsi="Arial"/>
                        <w:sz w:val="16"/>
                      </w:rPr>
                      <w:tab/>
                    </w:r>
                  </w:p>
                </w:txbxContent>
              </v:textbox>
            </v:shape>
          </w:pict>
        </mc:Fallback>
      </mc:AlternateContent>
    </w:r>
  </w:p>
  <w:p w:rsidR="00E318A9" w:rsidRDefault="00E318A9">
    <w:pPr>
      <w:pStyle w:val="Header"/>
      <w:tabs>
        <w:tab w:val="left" w:pos="1080"/>
      </w:tabs>
      <w:ind w:left="720"/>
      <w:rPr>
        <w:rFonts w:ascii="Arial" w:hAnsi="Arial"/>
        <w:b w:val="0"/>
        <w:sz w:val="24"/>
      </w:rPr>
    </w:pPr>
    <w:r>
      <w:rPr>
        <w:noProof/>
        <w:snapToGrid/>
      </w:rPr>
      <mc:AlternateContent>
        <mc:Choice Requires="wps">
          <w:drawing>
            <wp:anchor distT="4294967294" distB="4294967294" distL="114300" distR="114300" simplePos="0" relativeHeight="251662336" behindDoc="0" locked="0" layoutInCell="0" allowOverlap="1" wp14:anchorId="27ED8595" wp14:editId="5E2A633E">
              <wp:simplePos x="0" y="0"/>
              <wp:positionH relativeFrom="column">
                <wp:posOffset>0</wp:posOffset>
              </wp:positionH>
              <wp:positionV relativeFrom="paragraph">
                <wp:posOffset>105409</wp:posOffset>
              </wp:positionV>
              <wp:extent cx="8229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3pt" to="9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l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A2mcynKYhGB19CiiHRWOe/ct2hYJRYAucITI4b5wMRUgwh4R6l10LK&#10;KLZUqAe28/QhjRlOS8GCN8Q5u99V0qIjCfMSv1gWeO7DrD4oFtFaTtjqansi5MWG26UKeFAL8Lla&#10;l4H4NU/nq9lqlo/yyXQ1ytO6Hn1ZV/lous4+P9Sf6qqqs9+BWpYXrWCMq8BuGM4s/z/xr8/kMla3&#10;8bz1IXmNHhsGZId/JB3FDPpdJmGn2XlrB5FhHmPw9e2Egb/fg33/wpd/AAAA//8DAFBLAwQUAAYA&#10;CAAAACEAYSz4yNkAAAAHAQAADwAAAGRycy9kb3ducmV2LnhtbEyPwU7DMAyG70i8Q2Qkbixlgqor&#10;TSeYxGU3ygQcvSZrqyVO1WRd+/Z44sCO/n/r8+diPTkrRjOEzpOCx0UCwlDtdUeNgt3n+0MGIkQk&#10;jdaTUTCbAOvy9qbAXPszfZixio1gCIUcFbQx9rmUoW6Nw7DwvSHuDn5wGHkcGqkHPDPcWblMklQ6&#10;7IgvtNibTWvqY3VyTHn+zt62mO3m2VY/q6fN13Ykp9T93fT6AiKaKf4vw0Wf1aFkp70/kQ7CKuBH&#10;IqdpCuLSLlcpJ/u/RJaFvPYvfwEAAP//AwBQSwECLQAUAAYACAAAACEAtoM4kv4AAADhAQAAEwAA&#10;AAAAAAAAAAAAAAAAAAAAW0NvbnRlbnRfVHlwZXNdLnhtbFBLAQItABQABgAIAAAAIQA4/SH/1gAA&#10;AJQBAAALAAAAAAAAAAAAAAAAAC8BAABfcmVscy8ucmVsc1BLAQItABQABgAIAAAAIQBvo0plEgIA&#10;ACkEAAAOAAAAAAAAAAAAAAAAAC4CAABkcnMvZTJvRG9jLnhtbFBLAQItABQABgAIAAAAIQBhLPjI&#10;2QAAAAcBAAAPAAAAAAAAAAAAAAAAAGw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E9718E"/>
    <w:multiLevelType w:val="hybridMultilevel"/>
    <w:tmpl w:val="3FC03D7C"/>
    <w:lvl w:ilvl="0" w:tplc="ABBE417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033DDF"/>
    <w:multiLevelType w:val="hybridMultilevel"/>
    <w:tmpl w:val="B6600292"/>
    <w:lvl w:ilvl="0" w:tplc="28C80D6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9D4D2B"/>
    <w:multiLevelType w:val="hybridMultilevel"/>
    <w:tmpl w:val="62F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71EF35B5"/>
    <w:multiLevelType w:val="hybridMultilevel"/>
    <w:tmpl w:val="A30CB1D4"/>
    <w:lvl w:ilvl="0" w:tplc="3AC06964">
      <w:start w:val="1"/>
      <w:numFmt w:val="bullet"/>
      <w:lvlText w:val=""/>
      <w:lvlJc w:val="left"/>
      <w:pPr>
        <w:tabs>
          <w:tab w:val="num" w:pos="864"/>
        </w:tabs>
        <w:ind w:left="864" w:hanging="50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8"/>
  </w:num>
  <w:num w:numId="13">
    <w:abstractNumId w:val="15"/>
  </w:num>
  <w:num w:numId="14">
    <w:abstractNumId w:val="14"/>
  </w:num>
  <w:num w:numId="15">
    <w:abstractNumId w:val="2"/>
  </w:num>
  <w:num w:numId="16">
    <w:abstractNumId w:val="1"/>
  </w:num>
  <w:num w:numId="17">
    <w:abstractNumId w:val="8"/>
  </w:num>
  <w:num w:numId="18">
    <w:abstractNumId w:val="8"/>
  </w:num>
  <w:num w:numId="19">
    <w:abstractNumId w:val="3"/>
  </w:num>
  <w:num w:numId="20">
    <w:abstractNumId w:val="5"/>
  </w:num>
  <w:num w:numId="21">
    <w:abstractNumId w:val="9"/>
  </w:num>
  <w:num w:numId="22">
    <w:abstractNumId w:val="4"/>
  </w:num>
  <w:num w:numId="23">
    <w:abstractNumId w:val="0"/>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lvlOverride w:ilvl="0">
      <w:startOverride w:val="1"/>
    </w:lvlOverride>
  </w:num>
  <w:num w:numId="47">
    <w:abstractNumId w:val="14"/>
  </w:num>
  <w:num w:numId="48">
    <w:abstractNumId w:val="7"/>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2F"/>
    <w:rsid w:val="00003AC2"/>
    <w:rsid w:val="00024C67"/>
    <w:rsid w:val="00025BF4"/>
    <w:rsid w:val="000265AE"/>
    <w:rsid w:val="00026C10"/>
    <w:rsid w:val="000334E3"/>
    <w:rsid w:val="0004547D"/>
    <w:rsid w:val="000527BB"/>
    <w:rsid w:val="000618AA"/>
    <w:rsid w:val="000737F9"/>
    <w:rsid w:val="00075009"/>
    <w:rsid w:val="00081DA5"/>
    <w:rsid w:val="00091BE3"/>
    <w:rsid w:val="00092D8D"/>
    <w:rsid w:val="000A2F57"/>
    <w:rsid w:val="000A4BB9"/>
    <w:rsid w:val="000A6FEA"/>
    <w:rsid w:val="000A72E0"/>
    <w:rsid w:val="000A7931"/>
    <w:rsid w:val="000B4199"/>
    <w:rsid w:val="000C0C85"/>
    <w:rsid w:val="000C573C"/>
    <w:rsid w:val="000D41E9"/>
    <w:rsid w:val="000D75E6"/>
    <w:rsid w:val="000D7878"/>
    <w:rsid w:val="000E1BB5"/>
    <w:rsid w:val="000E35E1"/>
    <w:rsid w:val="000E669F"/>
    <w:rsid w:val="000F2314"/>
    <w:rsid w:val="001029A5"/>
    <w:rsid w:val="00103145"/>
    <w:rsid w:val="001038CF"/>
    <w:rsid w:val="00105BCB"/>
    <w:rsid w:val="00106836"/>
    <w:rsid w:val="00107659"/>
    <w:rsid w:val="00114BB9"/>
    <w:rsid w:val="0012304B"/>
    <w:rsid w:val="00124337"/>
    <w:rsid w:val="0013002F"/>
    <w:rsid w:val="00131CB9"/>
    <w:rsid w:val="00134509"/>
    <w:rsid w:val="00142424"/>
    <w:rsid w:val="00142528"/>
    <w:rsid w:val="00143306"/>
    <w:rsid w:val="00153551"/>
    <w:rsid w:val="0016057C"/>
    <w:rsid w:val="0016461B"/>
    <w:rsid w:val="00165392"/>
    <w:rsid w:val="00165651"/>
    <w:rsid w:val="0016748F"/>
    <w:rsid w:val="00177121"/>
    <w:rsid w:val="001878F5"/>
    <w:rsid w:val="00193DB4"/>
    <w:rsid w:val="0019457B"/>
    <w:rsid w:val="00195A5A"/>
    <w:rsid w:val="001964ED"/>
    <w:rsid w:val="0019774E"/>
    <w:rsid w:val="001A3256"/>
    <w:rsid w:val="001A414F"/>
    <w:rsid w:val="001A4346"/>
    <w:rsid w:val="001A58BC"/>
    <w:rsid w:val="001B3069"/>
    <w:rsid w:val="001B386F"/>
    <w:rsid w:val="001B4129"/>
    <w:rsid w:val="001C379C"/>
    <w:rsid w:val="001D003F"/>
    <w:rsid w:val="001D26F5"/>
    <w:rsid w:val="001D7E72"/>
    <w:rsid w:val="001E4989"/>
    <w:rsid w:val="001F50F4"/>
    <w:rsid w:val="001F53E9"/>
    <w:rsid w:val="00200793"/>
    <w:rsid w:val="00200E85"/>
    <w:rsid w:val="00205E89"/>
    <w:rsid w:val="002065E7"/>
    <w:rsid w:val="00211FCF"/>
    <w:rsid w:val="00213475"/>
    <w:rsid w:val="00215EAB"/>
    <w:rsid w:val="00223EE0"/>
    <w:rsid w:val="0022687A"/>
    <w:rsid w:val="00230706"/>
    <w:rsid w:val="0024094C"/>
    <w:rsid w:val="00240AA2"/>
    <w:rsid w:val="0024475A"/>
    <w:rsid w:val="002504AF"/>
    <w:rsid w:val="00250AAE"/>
    <w:rsid w:val="00252CB1"/>
    <w:rsid w:val="0025345C"/>
    <w:rsid w:val="00265B62"/>
    <w:rsid w:val="00266BC5"/>
    <w:rsid w:val="00266DB3"/>
    <w:rsid w:val="00270AA2"/>
    <w:rsid w:val="00276943"/>
    <w:rsid w:val="00280C45"/>
    <w:rsid w:val="0029141E"/>
    <w:rsid w:val="00297738"/>
    <w:rsid w:val="002A286F"/>
    <w:rsid w:val="002A38D1"/>
    <w:rsid w:val="002B1E0A"/>
    <w:rsid w:val="002B4953"/>
    <w:rsid w:val="002C49C2"/>
    <w:rsid w:val="002C5006"/>
    <w:rsid w:val="002C6AA5"/>
    <w:rsid w:val="002C6CBA"/>
    <w:rsid w:val="002D3775"/>
    <w:rsid w:val="002D4774"/>
    <w:rsid w:val="002D7F8C"/>
    <w:rsid w:val="002E2C02"/>
    <w:rsid w:val="002E2ED2"/>
    <w:rsid w:val="002E7700"/>
    <w:rsid w:val="002F696A"/>
    <w:rsid w:val="002F74D5"/>
    <w:rsid w:val="003156D1"/>
    <w:rsid w:val="00322B4B"/>
    <w:rsid w:val="00322C80"/>
    <w:rsid w:val="00325020"/>
    <w:rsid w:val="00325A66"/>
    <w:rsid w:val="00326646"/>
    <w:rsid w:val="00330496"/>
    <w:rsid w:val="00332C70"/>
    <w:rsid w:val="003347D7"/>
    <w:rsid w:val="00341637"/>
    <w:rsid w:val="00347A61"/>
    <w:rsid w:val="00375216"/>
    <w:rsid w:val="0038368F"/>
    <w:rsid w:val="003963EC"/>
    <w:rsid w:val="003A04D8"/>
    <w:rsid w:val="003A4A9F"/>
    <w:rsid w:val="003B2027"/>
    <w:rsid w:val="003B7417"/>
    <w:rsid w:val="003C6FFF"/>
    <w:rsid w:val="003F61FA"/>
    <w:rsid w:val="00404F6F"/>
    <w:rsid w:val="00422E25"/>
    <w:rsid w:val="00423CDA"/>
    <w:rsid w:val="00427EF4"/>
    <w:rsid w:val="00442D4D"/>
    <w:rsid w:val="00444764"/>
    <w:rsid w:val="00445FAE"/>
    <w:rsid w:val="00447FC2"/>
    <w:rsid w:val="00451AC7"/>
    <w:rsid w:val="004523FA"/>
    <w:rsid w:val="0045715F"/>
    <w:rsid w:val="00462B63"/>
    <w:rsid w:val="00464ACA"/>
    <w:rsid w:val="00467AF9"/>
    <w:rsid w:val="00473167"/>
    <w:rsid w:val="00476DD5"/>
    <w:rsid w:val="00477C40"/>
    <w:rsid w:val="004932FC"/>
    <w:rsid w:val="004A1DAF"/>
    <w:rsid w:val="004A2900"/>
    <w:rsid w:val="004A6C7F"/>
    <w:rsid w:val="004A7578"/>
    <w:rsid w:val="004B024B"/>
    <w:rsid w:val="004B04A7"/>
    <w:rsid w:val="004B3D70"/>
    <w:rsid w:val="004B5A60"/>
    <w:rsid w:val="004B6146"/>
    <w:rsid w:val="004C623D"/>
    <w:rsid w:val="004D0DB7"/>
    <w:rsid w:val="004D11B0"/>
    <w:rsid w:val="004D2063"/>
    <w:rsid w:val="004D4C15"/>
    <w:rsid w:val="004D6589"/>
    <w:rsid w:val="005028CD"/>
    <w:rsid w:val="0051004F"/>
    <w:rsid w:val="00510EAC"/>
    <w:rsid w:val="005140A4"/>
    <w:rsid w:val="00516673"/>
    <w:rsid w:val="0051719C"/>
    <w:rsid w:val="005202FD"/>
    <w:rsid w:val="00530BD3"/>
    <w:rsid w:val="00540DAF"/>
    <w:rsid w:val="00541A98"/>
    <w:rsid w:val="0054644A"/>
    <w:rsid w:val="00550CCF"/>
    <w:rsid w:val="00560D2F"/>
    <w:rsid w:val="0057318E"/>
    <w:rsid w:val="00574817"/>
    <w:rsid w:val="0057545B"/>
    <w:rsid w:val="00575B8B"/>
    <w:rsid w:val="00582809"/>
    <w:rsid w:val="00584C45"/>
    <w:rsid w:val="005853F8"/>
    <w:rsid w:val="005968A3"/>
    <w:rsid w:val="005A0A58"/>
    <w:rsid w:val="005B791B"/>
    <w:rsid w:val="005C5726"/>
    <w:rsid w:val="005D0322"/>
    <w:rsid w:val="005D4F96"/>
    <w:rsid w:val="005E586B"/>
    <w:rsid w:val="006008A6"/>
    <w:rsid w:val="006017E1"/>
    <w:rsid w:val="00602577"/>
    <w:rsid w:val="00602637"/>
    <w:rsid w:val="0060504C"/>
    <w:rsid w:val="00611FCD"/>
    <w:rsid w:val="00617998"/>
    <w:rsid w:val="0063161E"/>
    <w:rsid w:val="00631A6D"/>
    <w:rsid w:val="00642952"/>
    <w:rsid w:val="00654EC9"/>
    <w:rsid w:val="0066486C"/>
    <w:rsid w:val="0067661A"/>
    <w:rsid w:val="006774B1"/>
    <w:rsid w:val="00683B72"/>
    <w:rsid w:val="00693231"/>
    <w:rsid w:val="006B2A3B"/>
    <w:rsid w:val="006B2B9F"/>
    <w:rsid w:val="006C1773"/>
    <w:rsid w:val="006C7871"/>
    <w:rsid w:val="006D4EB2"/>
    <w:rsid w:val="006D681D"/>
    <w:rsid w:val="006E4C0B"/>
    <w:rsid w:val="006F204B"/>
    <w:rsid w:val="006F30E9"/>
    <w:rsid w:val="006F6A00"/>
    <w:rsid w:val="00703BF5"/>
    <w:rsid w:val="00703DEB"/>
    <w:rsid w:val="00704D00"/>
    <w:rsid w:val="00711442"/>
    <w:rsid w:val="007136F2"/>
    <w:rsid w:val="00716E11"/>
    <w:rsid w:val="00723673"/>
    <w:rsid w:val="0072520C"/>
    <w:rsid w:val="00726EE2"/>
    <w:rsid w:val="007375C1"/>
    <w:rsid w:val="0075223F"/>
    <w:rsid w:val="0075575C"/>
    <w:rsid w:val="00763B1E"/>
    <w:rsid w:val="00764E0C"/>
    <w:rsid w:val="007831C4"/>
    <w:rsid w:val="00784001"/>
    <w:rsid w:val="00786C9E"/>
    <w:rsid w:val="007875A2"/>
    <w:rsid w:val="00792871"/>
    <w:rsid w:val="0079684A"/>
    <w:rsid w:val="007970D0"/>
    <w:rsid w:val="007A32B1"/>
    <w:rsid w:val="007A3697"/>
    <w:rsid w:val="007A3A1A"/>
    <w:rsid w:val="007B12F3"/>
    <w:rsid w:val="007B1606"/>
    <w:rsid w:val="007B20D1"/>
    <w:rsid w:val="007B3D49"/>
    <w:rsid w:val="007B4137"/>
    <w:rsid w:val="007C1BDA"/>
    <w:rsid w:val="007D26BE"/>
    <w:rsid w:val="007D2840"/>
    <w:rsid w:val="007D7E24"/>
    <w:rsid w:val="007E21E2"/>
    <w:rsid w:val="007F576E"/>
    <w:rsid w:val="008003EC"/>
    <w:rsid w:val="00800897"/>
    <w:rsid w:val="00803689"/>
    <w:rsid w:val="008053F8"/>
    <w:rsid w:val="0080570B"/>
    <w:rsid w:val="008109EA"/>
    <w:rsid w:val="00813A6D"/>
    <w:rsid w:val="00817373"/>
    <w:rsid w:val="00830119"/>
    <w:rsid w:val="008444F9"/>
    <w:rsid w:val="0084755C"/>
    <w:rsid w:val="0085139C"/>
    <w:rsid w:val="008574F0"/>
    <w:rsid w:val="008604F7"/>
    <w:rsid w:val="00861C0B"/>
    <w:rsid w:val="0086412C"/>
    <w:rsid w:val="00872FD9"/>
    <w:rsid w:val="008738F0"/>
    <w:rsid w:val="0087654D"/>
    <w:rsid w:val="00876D8F"/>
    <w:rsid w:val="008771FA"/>
    <w:rsid w:val="00880906"/>
    <w:rsid w:val="008850D2"/>
    <w:rsid w:val="008878CE"/>
    <w:rsid w:val="008A216E"/>
    <w:rsid w:val="008A3E67"/>
    <w:rsid w:val="008B130D"/>
    <w:rsid w:val="008B2558"/>
    <w:rsid w:val="008B573B"/>
    <w:rsid w:val="008B680B"/>
    <w:rsid w:val="008C2CEA"/>
    <w:rsid w:val="008C6616"/>
    <w:rsid w:val="008D5A73"/>
    <w:rsid w:val="008D633F"/>
    <w:rsid w:val="008E3A4A"/>
    <w:rsid w:val="008E41E7"/>
    <w:rsid w:val="008E591C"/>
    <w:rsid w:val="008F7C88"/>
    <w:rsid w:val="009052A8"/>
    <w:rsid w:val="009079ED"/>
    <w:rsid w:val="009122CD"/>
    <w:rsid w:val="00915CB9"/>
    <w:rsid w:val="00922EF5"/>
    <w:rsid w:val="00924672"/>
    <w:rsid w:val="00933827"/>
    <w:rsid w:val="0094343C"/>
    <w:rsid w:val="00951DAA"/>
    <w:rsid w:val="009523FA"/>
    <w:rsid w:val="00952F71"/>
    <w:rsid w:val="00957EC1"/>
    <w:rsid w:val="00973B31"/>
    <w:rsid w:val="00974C6D"/>
    <w:rsid w:val="00975168"/>
    <w:rsid w:val="00976F53"/>
    <w:rsid w:val="009777F7"/>
    <w:rsid w:val="00977E6A"/>
    <w:rsid w:val="0098096D"/>
    <w:rsid w:val="00981DBB"/>
    <w:rsid w:val="00982A13"/>
    <w:rsid w:val="0099293B"/>
    <w:rsid w:val="00996646"/>
    <w:rsid w:val="009A55EF"/>
    <w:rsid w:val="009B09DE"/>
    <w:rsid w:val="009B2F85"/>
    <w:rsid w:val="009B42C5"/>
    <w:rsid w:val="009C3815"/>
    <w:rsid w:val="009C4AB4"/>
    <w:rsid w:val="009D2C77"/>
    <w:rsid w:val="009E65A8"/>
    <w:rsid w:val="009E6B0C"/>
    <w:rsid w:val="009F087A"/>
    <w:rsid w:val="00A01482"/>
    <w:rsid w:val="00A05CC4"/>
    <w:rsid w:val="00A13D79"/>
    <w:rsid w:val="00A14E3B"/>
    <w:rsid w:val="00A21A4E"/>
    <w:rsid w:val="00A31252"/>
    <w:rsid w:val="00A36543"/>
    <w:rsid w:val="00A3780A"/>
    <w:rsid w:val="00A52FCE"/>
    <w:rsid w:val="00A54D36"/>
    <w:rsid w:val="00A64031"/>
    <w:rsid w:val="00A67AFC"/>
    <w:rsid w:val="00A726B6"/>
    <w:rsid w:val="00A73623"/>
    <w:rsid w:val="00A77EFA"/>
    <w:rsid w:val="00A80BCA"/>
    <w:rsid w:val="00A80EE2"/>
    <w:rsid w:val="00A93BD5"/>
    <w:rsid w:val="00A944B4"/>
    <w:rsid w:val="00AA239B"/>
    <w:rsid w:val="00AB3202"/>
    <w:rsid w:val="00AB59D6"/>
    <w:rsid w:val="00AC1895"/>
    <w:rsid w:val="00AC3169"/>
    <w:rsid w:val="00AC736F"/>
    <w:rsid w:val="00AC74D1"/>
    <w:rsid w:val="00AD421D"/>
    <w:rsid w:val="00AE2345"/>
    <w:rsid w:val="00AF1D9A"/>
    <w:rsid w:val="00B006C7"/>
    <w:rsid w:val="00B022F5"/>
    <w:rsid w:val="00B042F0"/>
    <w:rsid w:val="00B06845"/>
    <w:rsid w:val="00B12618"/>
    <w:rsid w:val="00B1596E"/>
    <w:rsid w:val="00B22A17"/>
    <w:rsid w:val="00B249DB"/>
    <w:rsid w:val="00B25F0B"/>
    <w:rsid w:val="00B30725"/>
    <w:rsid w:val="00B34B8E"/>
    <w:rsid w:val="00B365C9"/>
    <w:rsid w:val="00B404E1"/>
    <w:rsid w:val="00B41597"/>
    <w:rsid w:val="00B43024"/>
    <w:rsid w:val="00B46491"/>
    <w:rsid w:val="00B54D96"/>
    <w:rsid w:val="00B70B58"/>
    <w:rsid w:val="00B71193"/>
    <w:rsid w:val="00B95CD7"/>
    <w:rsid w:val="00B96B92"/>
    <w:rsid w:val="00BB0E52"/>
    <w:rsid w:val="00BB3BEB"/>
    <w:rsid w:val="00BB7CC5"/>
    <w:rsid w:val="00BC1B89"/>
    <w:rsid w:val="00BC38D3"/>
    <w:rsid w:val="00BC5C5B"/>
    <w:rsid w:val="00BD2DDE"/>
    <w:rsid w:val="00BD562D"/>
    <w:rsid w:val="00BD7390"/>
    <w:rsid w:val="00BE28C2"/>
    <w:rsid w:val="00BF040A"/>
    <w:rsid w:val="00BF0496"/>
    <w:rsid w:val="00BF187A"/>
    <w:rsid w:val="00C06B8E"/>
    <w:rsid w:val="00C102EF"/>
    <w:rsid w:val="00C1790F"/>
    <w:rsid w:val="00C2234C"/>
    <w:rsid w:val="00C272AF"/>
    <w:rsid w:val="00C27805"/>
    <w:rsid w:val="00C32300"/>
    <w:rsid w:val="00C32D27"/>
    <w:rsid w:val="00C33257"/>
    <w:rsid w:val="00C37B94"/>
    <w:rsid w:val="00C539F4"/>
    <w:rsid w:val="00C56889"/>
    <w:rsid w:val="00C61798"/>
    <w:rsid w:val="00C83D13"/>
    <w:rsid w:val="00C86FAB"/>
    <w:rsid w:val="00C90E99"/>
    <w:rsid w:val="00CA2B17"/>
    <w:rsid w:val="00CA5D86"/>
    <w:rsid w:val="00CA6407"/>
    <w:rsid w:val="00CA6A4F"/>
    <w:rsid w:val="00CB1056"/>
    <w:rsid w:val="00CC2B7B"/>
    <w:rsid w:val="00CC79A8"/>
    <w:rsid w:val="00CE596A"/>
    <w:rsid w:val="00CE684F"/>
    <w:rsid w:val="00CF188F"/>
    <w:rsid w:val="00CF1896"/>
    <w:rsid w:val="00D0497D"/>
    <w:rsid w:val="00D057B7"/>
    <w:rsid w:val="00D05B05"/>
    <w:rsid w:val="00D076BE"/>
    <w:rsid w:val="00D13354"/>
    <w:rsid w:val="00D17DC0"/>
    <w:rsid w:val="00D20E54"/>
    <w:rsid w:val="00D27460"/>
    <w:rsid w:val="00D3505F"/>
    <w:rsid w:val="00D36A28"/>
    <w:rsid w:val="00D438C9"/>
    <w:rsid w:val="00D52624"/>
    <w:rsid w:val="00D54B55"/>
    <w:rsid w:val="00D56DD4"/>
    <w:rsid w:val="00D600BC"/>
    <w:rsid w:val="00D60EFF"/>
    <w:rsid w:val="00D62AE5"/>
    <w:rsid w:val="00D70A0E"/>
    <w:rsid w:val="00D76857"/>
    <w:rsid w:val="00D823A3"/>
    <w:rsid w:val="00D833BF"/>
    <w:rsid w:val="00D868E8"/>
    <w:rsid w:val="00D90A67"/>
    <w:rsid w:val="00D90C37"/>
    <w:rsid w:val="00D90CB8"/>
    <w:rsid w:val="00D965EA"/>
    <w:rsid w:val="00D96AC4"/>
    <w:rsid w:val="00D97219"/>
    <w:rsid w:val="00DC3E94"/>
    <w:rsid w:val="00DD0B29"/>
    <w:rsid w:val="00DD270B"/>
    <w:rsid w:val="00DD51C1"/>
    <w:rsid w:val="00DE2EF3"/>
    <w:rsid w:val="00DF198B"/>
    <w:rsid w:val="00DF4E5C"/>
    <w:rsid w:val="00E0310D"/>
    <w:rsid w:val="00E0460E"/>
    <w:rsid w:val="00E11379"/>
    <w:rsid w:val="00E20FFA"/>
    <w:rsid w:val="00E2706D"/>
    <w:rsid w:val="00E27C17"/>
    <w:rsid w:val="00E318A9"/>
    <w:rsid w:val="00E406D0"/>
    <w:rsid w:val="00E40CDE"/>
    <w:rsid w:val="00E40FE0"/>
    <w:rsid w:val="00E42733"/>
    <w:rsid w:val="00E608A9"/>
    <w:rsid w:val="00E67ECD"/>
    <w:rsid w:val="00E7152A"/>
    <w:rsid w:val="00E73642"/>
    <w:rsid w:val="00E75E0D"/>
    <w:rsid w:val="00E8179A"/>
    <w:rsid w:val="00E85B0A"/>
    <w:rsid w:val="00E90ABF"/>
    <w:rsid w:val="00E9338A"/>
    <w:rsid w:val="00E94FE0"/>
    <w:rsid w:val="00E95DE9"/>
    <w:rsid w:val="00E97335"/>
    <w:rsid w:val="00EB760F"/>
    <w:rsid w:val="00EC7D4B"/>
    <w:rsid w:val="00EE513E"/>
    <w:rsid w:val="00EE6468"/>
    <w:rsid w:val="00EF0761"/>
    <w:rsid w:val="00EF1C22"/>
    <w:rsid w:val="00EF1F69"/>
    <w:rsid w:val="00EF4806"/>
    <w:rsid w:val="00F025DA"/>
    <w:rsid w:val="00F0436F"/>
    <w:rsid w:val="00F110B2"/>
    <w:rsid w:val="00F167D6"/>
    <w:rsid w:val="00F24C36"/>
    <w:rsid w:val="00F24EA7"/>
    <w:rsid w:val="00F27467"/>
    <w:rsid w:val="00F3246D"/>
    <w:rsid w:val="00F32FBC"/>
    <w:rsid w:val="00F33903"/>
    <w:rsid w:val="00F3442A"/>
    <w:rsid w:val="00F4238D"/>
    <w:rsid w:val="00F4355F"/>
    <w:rsid w:val="00F52A48"/>
    <w:rsid w:val="00F575CF"/>
    <w:rsid w:val="00F646E7"/>
    <w:rsid w:val="00F8481E"/>
    <w:rsid w:val="00F951D2"/>
    <w:rsid w:val="00FA0D4F"/>
    <w:rsid w:val="00FA6D76"/>
    <w:rsid w:val="00FB0A2D"/>
    <w:rsid w:val="00FB0B30"/>
    <w:rsid w:val="00FC1F6F"/>
    <w:rsid w:val="00FD04DE"/>
    <w:rsid w:val="00FD0C1F"/>
    <w:rsid w:val="00FD16AA"/>
    <w:rsid w:val="00FD6109"/>
    <w:rsid w:val="00FE07B0"/>
    <w:rsid w:val="00FE577D"/>
    <w:rsid w:val="00FE6028"/>
    <w:rsid w:val="00FE7289"/>
    <w:rsid w:val="00FF48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1B"/>
    <w:pPr>
      <w:widowControl w:val="0"/>
    </w:pPr>
    <w:rPr>
      <w:snapToGrid w:val="0"/>
      <w:kern w:val="28"/>
      <w:sz w:val="22"/>
    </w:rPr>
  </w:style>
  <w:style w:type="paragraph" w:styleId="Heading1">
    <w:name w:val="heading 1"/>
    <w:basedOn w:val="Normal"/>
    <w:next w:val="ParaNum0"/>
    <w:qFormat/>
    <w:rsid w:val="005B791B"/>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B791B"/>
    <w:pPr>
      <w:keepNext/>
      <w:numPr>
        <w:ilvl w:val="1"/>
        <w:numId w:val="20"/>
      </w:numPr>
      <w:spacing w:after="120"/>
      <w:outlineLvl w:val="1"/>
    </w:pPr>
    <w:rPr>
      <w:b/>
    </w:rPr>
  </w:style>
  <w:style w:type="paragraph" w:styleId="Heading3">
    <w:name w:val="heading 3"/>
    <w:basedOn w:val="Normal"/>
    <w:next w:val="ParaNum0"/>
    <w:qFormat/>
    <w:rsid w:val="005B791B"/>
    <w:pPr>
      <w:keepNext/>
      <w:numPr>
        <w:ilvl w:val="2"/>
        <w:numId w:val="20"/>
      </w:numPr>
      <w:tabs>
        <w:tab w:val="left" w:pos="2160"/>
      </w:tabs>
      <w:spacing w:after="120"/>
      <w:outlineLvl w:val="2"/>
    </w:pPr>
    <w:rPr>
      <w:b/>
    </w:rPr>
  </w:style>
  <w:style w:type="paragraph" w:styleId="Heading4">
    <w:name w:val="heading 4"/>
    <w:basedOn w:val="Normal"/>
    <w:next w:val="ParaNum0"/>
    <w:qFormat/>
    <w:rsid w:val="005B791B"/>
    <w:pPr>
      <w:keepNext/>
      <w:numPr>
        <w:ilvl w:val="3"/>
        <w:numId w:val="20"/>
      </w:numPr>
      <w:tabs>
        <w:tab w:val="left" w:pos="2880"/>
      </w:tabs>
      <w:spacing w:after="120"/>
      <w:outlineLvl w:val="3"/>
    </w:pPr>
    <w:rPr>
      <w:b/>
    </w:rPr>
  </w:style>
  <w:style w:type="paragraph" w:styleId="Heading5">
    <w:name w:val="heading 5"/>
    <w:basedOn w:val="Normal"/>
    <w:next w:val="ParaNum0"/>
    <w:qFormat/>
    <w:rsid w:val="005B791B"/>
    <w:pPr>
      <w:keepNext/>
      <w:numPr>
        <w:ilvl w:val="4"/>
        <w:numId w:val="20"/>
      </w:numPr>
      <w:tabs>
        <w:tab w:val="left" w:pos="3600"/>
      </w:tabs>
      <w:suppressAutoHyphens/>
      <w:spacing w:after="120"/>
      <w:outlineLvl w:val="4"/>
    </w:pPr>
    <w:rPr>
      <w:b/>
    </w:rPr>
  </w:style>
  <w:style w:type="paragraph" w:styleId="Heading6">
    <w:name w:val="heading 6"/>
    <w:basedOn w:val="Normal"/>
    <w:next w:val="ParaNum0"/>
    <w:qFormat/>
    <w:rsid w:val="005B791B"/>
    <w:pPr>
      <w:numPr>
        <w:ilvl w:val="5"/>
        <w:numId w:val="20"/>
      </w:numPr>
      <w:tabs>
        <w:tab w:val="left" w:pos="4320"/>
      </w:tabs>
      <w:spacing w:after="120"/>
      <w:outlineLvl w:val="5"/>
    </w:pPr>
    <w:rPr>
      <w:b/>
    </w:rPr>
  </w:style>
  <w:style w:type="paragraph" w:styleId="Heading7">
    <w:name w:val="heading 7"/>
    <w:basedOn w:val="Normal"/>
    <w:next w:val="ParaNum0"/>
    <w:qFormat/>
    <w:rsid w:val="005B791B"/>
    <w:pPr>
      <w:numPr>
        <w:ilvl w:val="6"/>
        <w:numId w:val="20"/>
      </w:numPr>
      <w:tabs>
        <w:tab w:val="left" w:pos="5040"/>
      </w:tabs>
      <w:spacing w:after="120"/>
      <w:ind w:left="5040" w:hanging="720"/>
      <w:outlineLvl w:val="6"/>
    </w:pPr>
    <w:rPr>
      <w:b/>
    </w:rPr>
  </w:style>
  <w:style w:type="paragraph" w:styleId="Heading8">
    <w:name w:val="heading 8"/>
    <w:basedOn w:val="Normal"/>
    <w:next w:val="ParaNum0"/>
    <w:qFormat/>
    <w:rsid w:val="005B791B"/>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0"/>
    <w:qFormat/>
    <w:rsid w:val="005B791B"/>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79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91B"/>
  </w:style>
  <w:style w:type="paragraph" w:styleId="Header">
    <w:name w:val="header"/>
    <w:basedOn w:val="Normal"/>
    <w:link w:val="HeaderChar"/>
    <w:autoRedefine/>
    <w:rsid w:val="005B791B"/>
    <w:pPr>
      <w:tabs>
        <w:tab w:val="center" w:pos="4680"/>
        <w:tab w:val="right" w:pos="9360"/>
      </w:tabs>
    </w:pPr>
    <w:rPr>
      <w:b/>
    </w:rPr>
  </w:style>
  <w:style w:type="paragraph" w:styleId="Footer">
    <w:name w:val="footer"/>
    <w:basedOn w:val="Normal"/>
    <w:link w:val="FooterChar"/>
    <w:rsid w:val="005B791B"/>
    <w:pPr>
      <w:tabs>
        <w:tab w:val="center" w:pos="4320"/>
        <w:tab w:val="right" w:pos="8640"/>
      </w:tabs>
    </w:pPr>
  </w:style>
  <w:style w:type="character" w:styleId="Hyperlink">
    <w:name w:val="Hyperlink"/>
    <w:rsid w:val="005B791B"/>
    <w:rPr>
      <w:color w:val="0000FF"/>
      <w:u w:val="single"/>
    </w:rPr>
  </w:style>
  <w:style w:type="paragraph" w:styleId="BlockText">
    <w:name w:val="Block Text"/>
    <w:basedOn w:val="Normal"/>
    <w:rsid w:val="005B791B"/>
    <w:pPr>
      <w:spacing w:after="240"/>
      <w:ind w:left="1440" w:right="1440"/>
    </w:pPr>
  </w:style>
  <w:style w:type="paragraph" w:customStyle="1" w:styleId="Bullet">
    <w:name w:val="Bullet"/>
    <w:basedOn w:val="Normal"/>
    <w:rsid w:val="005B791B"/>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sid w:val="005B791B"/>
    <w:rPr>
      <w:rFonts w:ascii="Times New Roman" w:hAnsi="Times New Roman"/>
      <w:dstrike w:val="0"/>
      <w:color w:val="auto"/>
      <w:sz w:val="20"/>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5B791B"/>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5B791B"/>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13002F"/>
  </w:style>
  <w:style w:type="character" w:customStyle="1" w:styleId="FooterChar">
    <w:name w:val="Footer Char"/>
    <w:link w:val="Footer"/>
    <w:rsid w:val="0013002F"/>
    <w:rPr>
      <w:snapToGrid w:val="0"/>
      <w:kern w:val="28"/>
      <w:sz w:val="22"/>
    </w:rPr>
  </w:style>
  <w:style w:type="paragraph" w:customStyle="1" w:styleId="ParaNum0">
    <w:name w:val="ParaNum"/>
    <w:basedOn w:val="Normal"/>
    <w:link w:val="ParaNumChar"/>
    <w:rsid w:val="005B791B"/>
    <w:pPr>
      <w:numPr>
        <w:numId w:val="14"/>
      </w:numPr>
      <w:tabs>
        <w:tab w:val="clear" w:pos="1080"/>
        <w:tab w:val="num" w:pos="1440"/>
      </w:tabs>
      <w:spacing w:after="120"/>
    </w:pPr>
  </w:style>
  <w:style w:type="character" w:customStyle="1" w:styleId="ParaNumChar">
    <w:name w:val="ParaNum Char"/>
    <w:link w:val="ParaNum0"/>
    <w:rsid w:val="00B404E1"/>
    <w:rPr>
      <w:snapToGrid w:val="0"/>
      <w:kern w:val="28"/>
      <w:sz w:val="22"/>
    </w:rPr>
  </w:style>
  <w:style w:type="paragraph" w:styleId="ListParagraph">
    <w:name w:val="List Paragraph"/>
    <w:basedOn w:val="Normal"/>
    <w:uiPriority w:val="34"/>
    <w:qFormat/>
    <w:rsid w:val="00704D00"/>
    <w:pPr>
      <w:ind w:left="720"/>
      <w:contextualSpacing/>
    </w:pPr>
  </w:style>
  <w:style w:type="character" w:styleId="CommentReference">
    <w:name w:val="annotation reference"/>
    <w:basedOn w:val="DefaultParagraphFont"/>
    <w:uiPriority w:val="99"/>
    <w:semiHidden/>
    <w:unhideWhenUsed/>
    <w:rsid w:val="001B3069"/>
    <w:rPr>
      <w:sz w:val="16"/>
      <w:szCs w:val="16"/>
    </w:rPr>
  </w:style>
  <w:style w:type="paragraph" w:styleId="CommentText">
    <w:name w:val="annotation text"/>
    <w:basedOn w:val="Normal"/>
    <w:link w:val="CommentTextChar"/>
    <w:uiPriority w:val="99"/>
    <w:semiHidden/>
    <w:unhideWhenUsed/>
    <w:rsid w:val="001B3069"/>
  </w:style>
  <w:style w:type="character" w:customStyle="1" w:styleId="CommentTextChar">
    <w:name w:val="Comment Text Char"/>
    <w:basedOn w:val="DefaultParagraphFont"/>
    <w:link w:val="CommentText"/>
    <w:uiPriority w:val="99"/>
    <w:semiHidden/>
    <w:rsid w:val="001B3069"/>
  </w:style>
  <w:style w:type="paragraph" w:styleId="CommentSubject">
    <w:name w:val="annotation subject"/>
    <w:basedOn w:val="CommentText"/>
    <w:next w:val="CommentText"/>
    <w:link w:val="CommentSubjectChar"/>
    <w:uiPriority w:val="99"/>
    <w:semiHidden/>
    <w:unhideWhenUsed/>
    <w:rsid w:val="001B3069"/>
    <w:rPr>
      <w:b/>
      <w:bCs/>
    </w:rPr>
  </w:style>
  <w:style w:type="character" w:customStyle="1" w:styleId="CommentSubjectChar">
    <w:name w:val="Comment Subject Char"/>
    <w:basedOn w:val="CommentTextChar"/>
    <w:link w:val="CommentSubject"/>
    <w:uiPriority w:val="99"/>
    <w:semiHidden/>
    <w:rsid w:val="001B3069"/>
    <w:rPr>
      <w:b/>
      <w:bCs/>
    </w:rPr>
  </w:style>
  <w:style w:type="paragraph" w:styleId="BalloonText">
    <w:name w:val="Balloon Text"/>
    <w:basedOn w:val="Normal"/>
    <w:link w:val="BalloonTextChar"/>
    <w:uiPriority w:val="99"/>
    <w:semiHidden/>
    <w:unhideWhenUsed/>
    <w:rsid w:val="001B3069"/>
    <w:rPr>
      <w:rFonts w:ascii="Tahoma" w:hAnsi="Tahoma" w:cs="Tahoma"/>
      <w:sz w:val="16"/>
      <w:szCs w:val="16"/>
    </w:rPr>
  </w:style>
  <w:style w:type="character" w:customStyle="1" w:styleId="BalloonTextChar">
    <w:name w:val="Balloon Text Char"/>
    <w:basedOn w:val="DefaultParagraphFont"/>
    <w:link w:val="BalloonText"/>
    <w:uiPriority w:val="99"/>
    <w:semiHidden/>
    <w:rsid w:val="001B3069"/>
    <w:rPr>
      <w:rFonts w:ascii="Tahoma" w:hAnsi="Tahoma" w:cs="Tahoma"/>
      <w:sz w:val="16"/>
      <w:szCs w:val="16"/>
    </w:rPr>
  </w:style>
  <w:style w:type="character" w:customStyle="1" w:styleId="HeaderChar">
    <w:name w:val="Header Char"/>
    <w:basedOn w:val="DefaultParagraphFont"/>
    <w:link w:val="Header"/>
    <w:rsid w:val="00A64031"/>
    <w:rPr>
      <w:b/>
      <w:snapToGrid w:val="0"/>
      <w:kern w:val="28"/>
      <w:sz w:val="22"/>
    </w:rPr>
  </w:style>
  <w:style w:type="paragraph" w:styleId="EndnoteText">
    <w:name w:val="endnote text"/>
    <w:basedOn w:val="Normal"/>
    <w:link w:val="EndnoteTextChar"/>
    <w:semiHidden/>
    <w:rsid w:val="005B791B"/>
    <w:rPr>
      <w:sz w:val="20"/>
    </w:rPr>
  </w:style>
  <w:style w:type="character" w:customStyle="1" w:styleId="EndnoteTextChar">
    <w:name w:val="Endnote Text Char"/>
    <w:basedOn w:val="DefaultParagraphFont"/>
    <w:link w:val="EndnoteText"/>
    <w:semiHidden/>
    <w:rsid w:val="000A6FEA"/>
    <w:rPr>
      <w:snapToGrid w:val="0"/>
      <w:kern w:val="28"/>
    </w:rPr>
  </w:style>
  <w:style w:type="character" w:styleId="EndnoteReference">
    <w:name w:val="endnote reference"/>
    <w:semiHidden/>
    <w:rsid w:val="005B791B"/>
    <w:rPr>
      <w:vertAlign w:val="superscript"/>
    </w:rPr>
  </w:style>
  <w:style w:type="paragraph" w:styleId="TOC2">
    <w:name w:val="toc 2"/>
    <w:basedOn w:val="Normal"/>
    <w:next w:val="Normal"/>
    <w:semiHidden/>
    <w:rsid w:val="005B791B"/>
    <w:pPr>
      <w:tabs>
        <w:tab w:val="left" w:pos="720"/>
        <w:tab w:val="right" w:leader="dot" w:pos="9360"/>
      </w:tabs>
      <w:suppressAutoHyphens/>
      <w:ind w:left="720" w:right="720" w:hanging="360"/>
    </w:pPr>
    <w:rPr>
      <w:noProof/>
    </w:rPr>
  </w:style>
  <w:style w:type="paragraph" w:styleId="TOC3">
    <w:name w:val="toc 3"/>
    <w:basedOn w:val="Normal"/>
    <w:next w:val="Normal"/>
    <w:semiHidden/>
    <w:rsid w:val="005B791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79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79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79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79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79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79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791B"/>
    <w:pPr>
      <w:tabs>
        <w:tab w:val="right" w:pos="9360"/>
      </w:tabs>
      <w:suppressAutoHyphens/>
    </w:pPr>
  </w:style>
  <w:style w:type="character" w:customStyle="1" w:styleId="EquationCaption">
    <w:name w:val="_Equation Caption"/>
    <w:rsid w:val="005B791B"/>
  </w:style>
  <w:style w:type="character" w:styleId="PageNumber">
    <w:name w:val="page number"/>
    <w:basedOn w:val="DefaultParagraphFont"/>
    <w:rsid w:val="005B791B"/>
  </w:style>
  <w:style w:type="paragraph" w:customStyle="1" w:styleId="Paratitle">
    <w:name w:val="Para title"/>
    <w:basedOn w:val="Normal"/>
    <w:rsid w:val="005B791B"/>
    <w:pPr>
      <w:tabs>
        <w:tab w:val="center" w:pos="9270"/>
      </w:tabs>
      <w:spacing w:after="240"/>
    </w:pPr>
    <w:rPr>
      <w:spacing w:val="-2"/>
    </w:rPr>
  </w:style>
  <w:style w:type="paragraph" w:customStyle="1" w:styleId="TableFormat0">
    <w:name w:val="TableFormat"/>
    <w:basedOn w:val="Bullet"/>
    <w:rsid w:val="005B791B"/>
    <w:pPr>
      <w:tabs>
        <w:tab w:val="clear" w:pos="2160"/>
        <w:tab w:val="left" w:pos="5040"/>
      </w:tabs>
      <w:ind w:left="5040" w:hanging="3600"/>
    </w:pPr>
  </w:style>
  <w:style w:type="paragraph" w:customStyle="1" w:styleId="TOCTitle">
    <w:name w:val="TOC Title"/>
    <w:basedOn w:val="Normal"/>
    <w:rsid w:val="005B79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791B"/>
    <w:pPr>
      <w:jc w:val="center"/>
    </w:pPr>
    <w:rPr>
      <w:rFonts w:ascii="Times New Roman Bold" w:hAnsi="Times New Roman Bold"/>
      <w:b/>
      <w:bCs/>
      <w:caps/>
      <w:szCs w:val="22"/>
    </w:rPr>
  </w:style>
  <w:style w:type="character" w:customStyle="1" w:styleId="FootnoteTextChar2">
    <w:name w:val="Footnote Text Char2"/>
    <w:aliases w:val="Footnote Text Char1 Char5,Footnote Text Char Char Char5,Footnote Text Char5 Char Char Char5,Footnote Text Char Char Char Char Char5,Footnote Text Char4 Char Char1 Char Char Char5,Footnote Text Char2 Char Char2 Char2 Char Char Char5"/>
    <w:semiHidden/>
    <w:rsid w:val="00F27467"/>
    <w:rPr>
      <w:lang w:val="en-US" w:eastAsia="en-US" w:bidi="ar-SA"/>
    </w:rPr>
  </w:style>
  <w:style w:type="paragraph" w:customStyle="1" w:styleId="Default">
    <w:name w:val="Default"/>
    <w:rsid w:val="00F2746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A286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1B"/>
    <w:pPr>
      <w:widowControl w:val="0"/>
    </w:pPr>
    <w:rPr>
      <w:snapToGrid w:val="0"/>
      <w:kern w:val="28"/>
      <w:sz w:val="22"/>
    </w:rPr>
  </w:style>
  <w:style w:type="paragraph" w:styleId="Heading1">
    <w:name w:val="heading 1"/>
    <w:basedOn w:val="Normal"/>
    <w:next w:val="ParaNum0"/>
    <w:qFormat/>
    <w:rsid w:val="005B791B"/>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B791B"/>
    <w:pPr>
      <w:keepNext/>
      <w:numPr>
        <w:ilvl w:val="1"/>
        <w:numId w:val="20"/>
      </w:numPr>
      <w:spacing w:after="120"/>
      <w:outlineLvl w:val="1"/>
    </w:pPr>
    <w:rPr>
      <w:b/>
    </w:rPr>
  </w:style>
  <w:style w:type="paragraph" w:styleId="Heading3">
    <w:name w:val="heading 3"/>
    <w:basedOn w:val="Normal"/>
    <w:next w:val="ParaNum0"/>
    <w:qFormat/>
    <w:rsid w:val="005B791B"/>
    <w:pPr>
      <w:keepNext/>
      <w:numPr>
        <w:ilvl w:val="2"/>
        <w:numId w:val="20"/>
      </w:numPr>
      <w:tabs>
        <w:tab w:val="left" w:pos="2160"/>
      </w:tabs>
      <w:spacing w:after="120"/>
      <w:outlineLvl w:val="2"/>
    </w:pPr>
    <w:rPr>
      <w:b/>
    </w:rPr>
  </w:style>
  <w:style w:type="paragraph" w:styleId="Heading4">
    <w:name w:val="heading 4"/>
    <w:basedOn w:val="Normal"/>
    <w:next w:val="ParaNum0"/>
    <w:qFormat/>
    <w:rsid w:val="005B791B"/>
    <w:pPr>
      <w:keepNext/>
      <w:numPr>
        <w:ilvl w:val="3"/>
        <w:numId w:val="20"/>
      </w:numPr>
      <w:tabs>
        <w:tab w:val="left" w:pos="2880"/>
      </w:tabs>
      <w:spacing w:after="120"/>
      <w:outlineLvl w:val="3"/>
    </w:pPr>
    <w:rPr>
      <w:b/>
    </w:rPr>
  </w:style>
  <w:style w:type="paragraph" w:styleId="Heading5">
    <w:name w:val="heading 5"/>
    <w:basedOn w:val="Normal"/>
    <w:next w:val="ParaNum0"/>
    <w:qFormat/>
    <w:rsid w:val="005B791B"/>
    <w:pPr>
      <w:keepNext/>
      <w:numPr>
        <w:ilvl w:val="4"/>
        <w:numId w:val="20"/>
      </w:numPr>
      <w:tabs>
        <w:tab w:val="left" w:pos="3600"/>
      </w:tabs>
      <w:suppressAutoHyphens/>
      <w:spacing w:after="120"/>
      <w:outlineLvl w:val="4"/>
    </w:pPr>
    <w:rPr>
      <w:b/>
    </w:rPr>
  </w:style>
  <w:style w:type="paragraph" w:styleId="Heading6">
    <w:name w:val="heading 6"/>
    <w:basedOn w:val="Normal"/>
    <w:next w:val="ParaNum0"/>
    <w:qFormat/>
    <w:rsid w:val="005B791B"/>
    <w:pPr>
      <w:numPr>
        <w:ilvl w:val="5"/>
        <w:numId w:val="20"/>
      </w:numPr>
      <w:tabs>
        <w:tab w:val="left" w:pos="4320"/>
      </w:tabs>
      <w:spacing w:after="120"/>
      <w:outlineLvl w:val="5"/>
    </w:pPr>
    <w:rPr>
      <w:b/>
    </w:rPr>
  </w:style>
  <w:style w:type="paragraph" w:styleId="Heading7">
    <w:name w:val="heading 7"/>
    <w:basedOn w:val="Normal"/>
    <w:next w:val="ParaNum0"/>
    <w:qFormat/>
    <w:rsid w:val="005B791B"/>
    <w:pPr>
      <w:numPr>
        <w:ilvl w:val="6"/>
        <w:numId w:val="20"/>
      </w:numPr>
      <w:tabs>
        <w:tab w:val="left" w:pos="5040"/>
      </w:tabs>
      <w:spacing w:after="120"/>
      <w:ind w:left="5040" w:hanging="720"/>
      <w:outlineLvl w:val="6"/>
    </w:pPr>
    <w:rPr>
      <w:b/>
    </w:rPr>
  </w:style>
  <w:style w:type="paragraph" w:styleId="Heading8">
    <w:name w:val="heading 8"/>
    <w:basedOn w:val="Normal"/>
    <w:next w:val="ParaNum0"/>
    <w:qFormat/>
    <w:rsid w:val="005B791B"/>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0"/>
    <w:qFormat/>
    <w:rsid w:val="005B791B"/>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79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91B"/>
  </w:style>
  <w:style w:type="paragraph" w:styleId="Header">
    <w:name w:val="header"/>
    <w:basedOn w:val="Normal"/>
    <w:link w:val="HeaderChar"/>
    <w:autoRedefine/>
    <w:rsid w:val="005B791B"/>
    <w:pPr>
      <w:tabs>
        <w:tab w:val="center" w:pos="4680"/>
        <w:tab w:val="right" w:pos="9360"/>
      </w:tabs>
    </w:pPr>
    <w:rPr>
      <w:b/>
    </w:rPr>
  </w:style>
  <w:style w:type="paragraph" w:styleId="Footer">
    <w:name w:val="footer"/>
    <w:basedOn w:val="Normal"/>
    <w:link w:val="FooterChar"/>
    <w:rsid w:val="005B791B"/>
    <w:pPr>
      <w:tabs>
        <w:tab w:val="center" w:pos="4320"/>
        <w:tab w:val="right" w:pos="8640"/>
      </w:tabs>
    </w:pPr>
  </w:style>
  <w:style w:type="character" w:styleId="Hyperlink">
    <w:name w:val="Hyperlink"/>
    <w:rsid w:val="005B791B"/>
    <w:rPr>
      <w:color w:val="0000FF"/>
      <w:u w:val="single"/>
    </w:rPr>
  </w:style>
  <w:style w:type="paragraph" w:styleId="BlockText">
    <w:name w:val="Block Text"/>
    <w:basedOn w:val="Normal"/>
    <w:rsid w:val="005B791B"/>
    <w:pPr>
      <w:spacing w:after="240"/>
      <w:ind w:left="1440" w:right="1440"/>
    </w:pPr>
  </w:style>
  <w:style w:type="paragraph" w:customStyle="1" w:styleId="Bullet">
    <w:name w:val="Bullet"/>
    <w:basedOn w:val="Normal"/>
    <w:rsid w:val="005B791B"/>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sid w:val="005B791B"/>
    <w:rPr>
      <w:rFonts w:ascii="Times New Roman" w:hAnsi="Times New Roman"/>
      <w:dstrike w:val="0"/>
      <w:color w:val="auto"/>
      <w:sz w:val="20"/>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5B791B"/>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5B791B"/>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13002F"/>
  </w:style>
  <w:style w:type="character" w:customStyle="1" w:styleId="FooterChar">
    <w:name w:val="Footer Char"/>
    <w:link w:val="Footer"/>
    <w:rsid w:val="0013002F"/>
    <w:rPr>
      <w:snapToGrid w:val="0"/>
      <w:kern w:val="28"/>
      <w:sz w:val="22"/>
    </w:rPr>
  </w:style>
  <w:style w:type="paragraph" w:customStyle="1" w:styleId="ParaNum0">
    <w:name w:val="ParaNum"/>
    <w:basedOn w:val="Normal"/>
    <w:link w:val="ParaNumChar"/>
    <w:rsid w:val="005B791B"/>
    <w:pPr>
      <w:numPr>
        <w:numId w:val="14"/>
      </w:numPr>
      <w:tabs>
        <w:tab w:val="clear" w:pos="1080"/>
        <w:tab w:val="num" w:pos="1440"/>
      </w:tabs>
      <w:spacing w:after="120"/>
    </w:pPr>
  </w:style>
  <w:style w:type="character" w:customStyle="1" w:styleId="ParaNumChar">
    <w:name w:val="ParaNum Char"/>
    <w:link w:val="ParaNum0"/>
    <w:rsid w:val="00B404E1"/>
    <w:rPr>
      <w:snapToGrid w:val="0"/>
      <w:kern w:val="28"/>
      <w:sz w:val="22"/>
    </w:rPr>
  </w:style>
  <w:style w:type="paragraph" w:styleId="ListParagraph">
    <w:name w:val="List Paragraph"/>
    <w:basedOn w:val="Normal"/>
    <w:uiPriority w:val="34"/>
    <w:qFormat/>
    <w:rsid w:val="00704D00"/>
    <w:pPr>
      <w:ind w:left="720"/>
      <w:contextualSpacing/>
    </w:pPr>
  </w:style>
  <w:style w:type="character" w:styleId="CommentReference">
    <w:name w:val="annotation reference"/>
    <w:basedOn w:val="DefaultParagraphFont"/>
    <w:uiPriority w:val="99"/>
    <w:semiHidden/>
    <w:unhideWhenUsed/>
    <w:rsid w:val="001B3069"/>
    <w:rPr>
      <w:sz w:val="16"/>
      <w:szCs w:val="16"/>
    </w:rPr>
  </w:style>
  <w:style w:type="paragraph" w:styleId="CommentText">
    <w:name w:val="annotation text"/>
    <w:basedOn w:val="Normal"/>
    <w:link w:val="CommentTextChar"/>
    <w:uiPriority w:val="99"/>
    <w:semiHidden/>
    <w:unhideWhenUsed/>
    <w:rsid w:val="001B3069"/>
  </w:style>
  <w:style w:type="character" w:customStyle="1" w:styleId="CommentTextChar">
    <w:name w:val="Comment Text Char"/>
    <w:basedOn w:val="DefaultParagraphFont"/>
    <w:link w:val="CommentText"/>
    <w:uiPriority w:val="99"/>
    <w:semiHidden/>
    <w:rsid w:val="001B3069"/>
  </w:style>
  <w:style w:type="paragraph" w:styleId="CommentSubject">
    <w:name w:val="annotation subject"/>
    <w:basedOn w:val="CommentText"/>
    <w:next w:val="CommentText"/>
    <w:link w:val="CommentSubjectChar"/>
    <w:uiPriority w:val="99"/>
    <w:semiHidden/>
    <w:unhideWhenUsed/>
    <w:rsid w:val="001B3069"/>
    <w:rPr>
      <w:b/>
      <w:bCs/>
    </w:rPr>
  </w:style>
  <w:style w:type="character" w:customStyle="1" w:styleId="CommentSubjectChar">
    <w:name w:val="Comment Subject Char"/>
    <w:basedOn w:val="CommentTextChar"/>
    <w:link w:val="CommentSubject"/>
    <w:uiPriority w:val="99"/>
    <w:semiHidden/>
    <w:rsid w:val="001B3069"/>
    <w:rPr>
      <w:b/>
      <w:bCs/>
    </w:rPr>
  </w:style>
  <w:style w:type="paragraph" w:styleId="BalloonText">
    <w:name w:val="Balloon Text"/>
    <w:basedOn w:val="Normal"/>
    <w:link w:val="BalloonTextChar"/>
    <w:uiPriority w:val="99"/>
    <w:semiHidden/>
    <w:unhideWhenUsed/>
    <w:rsid w:val="001B3069"/>
    <w:rPr>
      <w:rFonts w:ascii="Tahoma" w:hAnsi="Tahoma" w:cs="Tahoma"/>
      <w:sz w:val="16"/>
      <w:szCs w:val="16"/>
    </w:rPr>
  </w:style>
  <w:style w:type="character" w:customStyle="1" w:styleId="BalloonTextChar">
    <w:name w:val="Balloon Text Char"/>
    <w:basedOn w:val="DefaultParagraphFont"/>
    <w:link w:val="BalloonText"/>
    <w:uiPriority w:val="99"/>
    <w:semiHidden/>
    <w:rsid w:val="001B3069"/>
    <w:rPr>
      <w:rFonts w:ascii="Tahoma" w:hAnsi="Tahoma" w:cs="Tahoma"/>
      <w:sz w:val="16"/>
      <w:szCs w:val="16"/>
    </w:rPr>
  </w:style>
  <w:style w:type="character" w:customStyle="1" w:styleId="HeaderChar">
    <w:name w:val="Header Char"/>
    <w:basedOn w:val="DefaultParagraphFont"/>
    <w:link w:val="Header"/>
    <w:rsid w:val="00A64031"/>
    <w:rPr>
      <w:b/>
      <w:snapToGrid w:val="0"/>
      <w:kern w:val="28"/>
      <w:sz w:val="22"/>
    </w:rPr>
  </w:style>
  <w:style w:type="paragraph" w:styleId="EndnoteText">
    <w:name w:val="endnote text"/>
    <w:basedOn w:val="Normal"/>
    <w:link w:val="EndnoteTextChar"/>
    <w:semiHidden/>
    <w:rsid w:val="005B791B"/>
    <w:rPr>
      <w:sz w:val="20"/>
    </w:rPr>
  </w:style>
  <w:style w:type="character" w:customStyle="1" w:styleId="EndnoteTextChar">
    <w:name w:val="Endnote Text Char"/>
    <w:basedOn w:val="DefaultParagraphFont"/>
    <w:link w:val="EndnoteText"/>
    <w:semiHidden/>
    <w:rsid w:val="000A6FEA"/>
    <w:rPr>
      <w:snapToGrid w:val="0"/>
      <w:kern w:val="28"/>
    </w:rPr>
  </w:style>
  <w:style w:type="character" w:styleId="EndnoteReference">
    <w:name w:val="endnote reference"/>
    <w:semiHidden/>
    <w:rsid w:val="005B791B"/>
    <w:rPr>
      <w:vertAlign w:val="superscript"/>
    </w:rPr>
  </w:style>
  <w:style w:type="paragraph" w:styleId="TOC2">
    <w:name w:val="toc 2"/>
    <w:basedOn w:val="Normal"/>
    <w:next w:val="Normal"/>
    <w:semiHidden/>
    <w:rsid w:val="005B791B"/>
    <w:pPr>
      <w:tabs>
        <w:tab w:val="left" w:pos="720"/>
        <w:tab w:val="right" w:leader="dot" w:pos="9360"/>
      </w:tabs>
      <w:suppressAutoHyphens/>
      <w:ind w:left="720" w:right="720" w:hanging="360"/>
    </w:pPr>
    <w:rPr>
      <w:noProof/>
    </w:rPr>
  </w:style>
  <w:style w:type="paragraph" w:styleId="TOC3">
    <w:name w:val="toc 3"/>
    <w:basedOn w:val="Normal"/>
    <w:next w:val="Normal"/>
    <w:semiHidden/>
    <w:rsid w:val="005B791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79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79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79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79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79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79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791B"/>
    <w:pPr>
      <w:tabs>
        <w:tab w:val="right" w:pos="9360"/>
      </w:tabs>
      <w:suppressAutoHyphens/>
    </w:pPr>
  </w:style>
  <w:style w:type="character" w:customStyle="1" w:styleId="EquationCaption">
    <w:name w:val="_Equation Caption"/>
    <w:rsid w:val="005B791B"/>
  </w:style>
  <w:style w:type="character" w:styleId="PageNumber">
    <w:name w:val="page number"/>
    <w:basedOn w:val="DefaultParagraphFont"/>
    <w:rsid w:val="005B791B"/>
  </w:style>
  <w:style w:type="paragraph" w:customStyle="1" w:styleId="Paratitle">
    <w:name w:val="Para title"/>
    <w:basedOn w:val="Normal"/>
    <w:rsid w:val="005B791B"/>
    <w:pPr>
      <w:tabs>
        <w:tab w:val="center" w:pos="9270"/>
      </w:tabs>
      <w:spacing w:after="240"/>
    </w:pPr>
    <w:rPr>
      <w:spacing w:val="-2"/>
    </w:rPr>
  </w:style>
  <w:style w:type="paragraph" w:customStyle="1" w:styleId="TableFormat0">
    <w:name w:val="TableFormat"/>
    <w:basedOn w:val="Bullet"/>
    <w:rsid w:val="005B791B"/>
    <w:pPr>
      <w:tabs>
        <w:tab w:val="clear" w:pos="2160"/>
        <w:tab w:val="left" w:pos="5040"/>
      </w:tabs>
      <w:ind w:left="5040" w:hanging="3600"/>
    </w:pPr>
  </w:style>
  <w:style w:type="paragraph" w:customStyle="1" w:styleId="TOCTitle">
    <w:name w:val="TOC Title"/>
    <w:basedOn w:val="Normal"/>
    <w:rsid w:val="005B79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791B"/>
    <w:pPr>
      <w:jc w:val="center"/>
    </w:pPr>
    <w:rPr>
      <w:rFonts w:ascii="Times New Roman Bold" w:hAnsi="Times New Roman Bold"/>
      <w:b/>
      <w:bCs/>
      <w:caps/>
      <w:szCs w:val="22"/>
    </w:rPr>
  </w:style>
  <w:style w:type="character" w:customStyle="1" w:styleId="FootnoteTextChar2">
    <w:name w:val="Footnote Text Char2"/>
    <w:aliases w:val="Footnote Text Char1 Char5,Footnote Text Char Char Char5,Footnote Text Char5 Char Char Char5,Footnote Text Char Char Char Char Char5,Footnote Text Char4 Char Char1 Char Char Char5,Footnote Text Char2 Char Char2 Char2 Char Char Char5"/>
    <w:semiHidden/>
    <w:rsid w:val="00F27467"/>
    <w:rPr>
      <w:lang w:val="en-US" w:eastAsia="en-US" w:bidi="ar-SA"/>
    </w:rPr>
  </w:style>
  <w:style w:type="paragraph" w:customStyle="1" w:styleId="Default">
    <w:name w:val="Default"/>
    <w:rsid w:val="00F2746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A28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5010">
      <w:bodyDiv w:val="1"/>
      <w:marLeft w:val="0"/>
      <w:marRight w:val="0"/>
      <w:marTop w:val="0"/>
      <w:marBottom w:val="0"/>
      <w:divBdr>
        <w:top w:val="none" w:sz="0" w:space="0" w:color="auto"/>
        <w:left w:val="none" w:sz="0" w:space="0" w:color="auto"/>
        <w:bottom w:val="none" w:sz="0" w:space="0" w:color="auto"/>
        <w:right w:val="none" w:sz="0" w:space="0" w:color="auto"/>
      </w:divBdr>
    </w:div>
    <w:div w:id="2102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 TargetMode="External"/><Relationship Id="rId2" Type="http://schemas.openxmlformats.org/officeDocument/2006/relationships/styles" Target="styles.xml"/><Relationship Id="rId16" Type="http://schemas.openxmlformats.org/officeDocument/2006/relationships/hyperlink" Target="mailto:Eli.Johnso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nhis/earlyrelease/wireless201407.pdf" TargetMode="External"/><Relationship Id="rId2" Type="http://schemas.openxmlformats.org/officeDocument/2006/relationships/hyperlink" Target="http://wireless.fcc.gov/hac_documents/141020/8400038_14.PDF" TargetMode="External"/><Relationship Id="rId1" Type="http://schemas.openxmlformats.org/officeDocument/2006/relationships/hyperlink" Target="http://wireless.fcc.gov/hac_documents/141020/8408469_18.PDF" TargetMode="External"/><Relationship Id="rId4" Type="http://schemas.openxmlformats.org/officeDocument/2006/relationships/hyperlink" Target="http://www.pewresearch.org/fact-tank/2014/07/08/two-of-every-five-u-s-households-have-only-wireless-pho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3046</Words>
  <Characters>17543</Characters>
  <Application>Microsoft Office Word</Application>
  <DocSecurity>0</DocSecurity>
  <Lines>232</Lines>
  <Paragraphs>44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2014-11-21T18:25:00Z</cp:lastPrinted>
  <dcterms:created xsi:type="dcterms:W3CDTF">2014-11-21T18:27:00Z</dcterms:created>
  <dcterms:modified xsi:type="dcterms:W3CDTF">2014-11-21T18:27:00Z</dcterms:modified>
  <cp:category> </cp:category>
  <cp:contentStatus> </cp:contentStatus>
</cp:coreProperties>
</file>