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70" w:rsidRPr="00064ACA" w:rsidRDefault="00416170">
      <w:pPr>
        <w:pStyle w:val="TOCTitle"/>
        <w:widowControl/>
        <w:spacing w:before="0" w:after="0"/>
        <w:rPr>
          <w:rFonts w:ascii="Times New Roman" w:hAnsi="Times New Roman"/>
          <w:caps w:val="0"/>
          <w:spacing w:val="0"/>
          <w:szCs w:val="22"/>
        </w:rPr>
      </w:pPr>
      <w:bookmarkStart w:id="0" w:name="_GoBack"/>
      <w:bookmarkEnd w:id="0"/>
      <w:r w:rsidRPr="00064ACA">
        <w:rPr>
          <w:rFonts w:ascii="Times New Roman" w:hAnsi="Times New Roman"/>
          <w:caps w:val="0"/>
          <w:spacing w:val="0"/>
          <w:szCs w:val="22"/>
        </w:rPr>
        <w:t>Before the</w:t>
      </w:r>
    </w:p>
    <w:p w:rsidR="00416170" w:rsidRPr="00064ACA" w:rsidRDefault="00416170">
      <w:pPr>
        <w:jc w:val="center"/>
        <w:rPr>
          <w:b/>
          <w:szCs w:val="22"/>
        </w:rPr>
      </w:pPr>
      <w:r w:rsidRPr="00064ACA">
        <w:rPr>
          <w:b/>
          <w:szCs w:val="22"/>
        </w:rPr>
        <w:t>Federal Communications Commission</w:t>
      </w:r>
    </w:p>
    <w:p w:rsidR="00416170" w:rsidRPr="00064ACA" w:rsidRDefault="00416170">
      <w:pPr>
        <w:jc w:val="center"/>
        <w:rPr>
          <w:b/>
          <w:szCs w:val="22"/>
        </w:rPr>
      </w:pPr>
      <w:r w:rsidRPr="00064ACA">
        <w:rPr>
          <w:b/>
          <w:szCs w:val="22"/>
        </w:rPr>
        <w:t>Washington, D.C. 20554</w:t>
      </w:r>
    </w:p>
    <w:p w:rsidR="00416170" w:rsidRPr="00064ACA" w:rsidRDefault="00416170">
      <w:pPr>
        <w:tabs>
          <w:tab w:val="left" w:pos="-720"/>
        </w:tabs>
        <w:suppressAutoHyphens/>
        <w:rPr>
          <w:spacing w:val="-2"/>
          <w:szCs w:val="22"/>
        </w:rPr>
      </w:pPr>
    </w:p>
    <w:tbl>
      <w:tblPr>
        <w:tblW w:w="0" w:type="auto"/>
        <w:tblLayout w:type="fixed"/>
        <w:tblLook w:val="0000" w:firstRow="0" w:lastRow="0" w:firstColumn="0" w:lastColumn="0" w:noHBand="0" w:noVBand="0"/>
      </w:tblPr>
      <w:tblGrid>
        <w:gridCol w:w="4698"/>
        <w:gridCol w:w="630"/>
        <w:gridCol w:w="4248"/>
      </w:tblGrid>
      <w:tr w:rsidR="00416170" w:rsidRPr="00064ACA">
        <w:tc>
          <w:tcPr>
            <w:tcW w:w="4698" w:type="dxa"/>
          </w:tcPr>
          <w:p w:rsidR="00416170" w:rsidRPr="00064ACA" w:rsidRDefault="00416170">
            <w:pPr>
              <w:tabs>
                <w:tab w:val="center" w:pos="4680"/>
              </w:tabs>
              <w:suppressAutoHyphens/>
              <w:rPr>
                <w:spacing w:val="-2"/>
                <w:szCs w:val="22"/>
              </w:rPr>
            </w:pPr>
            <w:r w:rsidRPr="00064ACA">
              <w:rPr>
                <w:spacing w:val="-2"/>
                <w:szCs w:val="22"/>
              </w:rPr>
              <w:t>In the Matter of</w:t>
            </w:r>
          </w:p>
          <w:p w:rsidR="00416170" w:rsidRPr="00064ACA" w:rsidRDefault="00416170">
            <w:pPr>
              <w:tabs>
                <w:tab w:val="center" w:pos="4680"/>
              </w:tabs>
              <w:suppressAutoHyphens/>
              <w:rPr>
                <w:spacing w:val="-2"/>
                <w:szCs w:val="22"/>
              </w:rPr>
            </w:pPr>
          </w:p>
          <w:p w:rsidR="00416170" w:rsidRPr="00064ACA" w:rsidRDefault="00416170">
            <w:pPr>
              <w:tabs>
                <w:tab w:val="right" w:pos="4482"/>
              </w:tabs>
              <w:rPr>
                <w:szCs w:val="22"/>
              </w:rPr>
            </w:pPr>
            <w:r w:rsidRPr="00064ACA">
              <w:rPr>
                <w:szCs w:val="22"/>
              </w:rPr>
              <w:t xml:space="preserve">Review of the Emergency Alert System; </w:t>
            </w:r>
            <w:r w:rsidRPr="00064ACA">
              <w:rPr>
                <w:szCs w:val="22"/>
              </w:rPr>
              <w:tab/>
            </w:r>
          </w:p>
          <w:p w:rsidR="00416170" w:rsidRPr="00064ACA" w:rsidRDefault="00416170">
            <w:pPr>
              <w:rPr>
                <w:szCs w:val="22"/>
              </w:rPr>
            </w:pPr>
          </w:p>
          <w:p w:rsidR="00416170" w:rsidRPr="00064ACA" w:rsidRDefault="00416170">
            <w:pPr>
              <w:rPr>
                <w:szCs w:val="22"/>
              </w:rPr>
            </w:pPr>
            <w:r w:rsidRPr="00064ACA">
              <w:rPr>
                <w:szCs w:val="22"/>
              </w:rPr>
              <w:t>Independent Spanish Broadcasters Association, the Office of Communication of the United Church of Christ, Inc., and the Minority Media and Telecommunications Council, Petition for Immediate Relief</w:t>
            </w:r>
            <w:r w:rsidR="00CD591A" w:rsidRPr="00064ACA">
              <w:rPr>
                <w:szCs w:val="22"/>
              </w:rPr>
              <w:t>;</w:t>
            </w:r>
          </w:p>
          <w:p w:rsidR="00416170" w:rsidRPr="00064ACA" w:rsidRDefault="00416170">
            <w:pPr>
              <w:rPr>
                <w:szCs w:val="22"/>
              </w:rPr>
            </w:pPr>
          </w:p>
          <w:p w:rsidR="00416170" w:rsidRPr="00064ACA" w:rsidRDefault="00416170">
            <w:pPr>
              <w:rPr>
                <w:szCs w:val="22"/>
              </w:rPr>
            </w:pPr>
            <w:r w:rsidRPr="00064ACA">
              <w:rPr>
                <w:szCs w:val="22"/>
              </w:rPr>
              <w:t>Randy Gehman Petition for Rulemaking</w:t>
            </w:r>
          </w:p>
        </w:tc>
        <w:tc>
          <w:tcPr>
            <w:tcW w:w="630" w:type="dxa"/>
          </w:tcPr>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spacing w:val="-2"/>
                <w:szCs w:val="22"/>
              </w:rPr>
            </w:pPr>
            <w:r w:rsidRPr="00064ACA">
              <w:rPr>
                <w:b/>
                <w:spacing w:val="-2"/>
                <w:szCs w:val="22"/>
              </w:rPr>
              <w:t>)</w:t>
            </w:r>
          </w:p>
        </w:tc>
        <w:tc>
          <w:tcPr>
            <w:tcW w:w="4248" w:type="dxa"/>
          </w:tcPr>
          <w:p w:rsidR="00416170" w:rsidRPr="00064ACA" w:rsidRDefault="00416170">
            <w:pPr>
              <w:tabs>
                <w:tab w:val="center" w:pos="4680"/>
              </w:tabs>
              <w:suppressAutoHyphens/>
              <w:rPr>
                <w:spacing w:val="-2"/>
                <w:szCs w:val="22"/>
              </w:rPr>
            </w:pPr>
          </w:p>
          <w:p w:rsidR="00416170" w:rsidRDefault="00416170">
            <w:pPr>
              <w:tabs>
                <w:tab w:val="center" w:pos="4680"/>
              </w:tabs>
              <w:suppressAutoHyphens/>
              <w:rPr>
                <w:spacing w:val="-2"/>
                <w:szCs w:val="22"/>
              </w:rPr>
            </w:pPr>
          </w:p>
          <w:p w:rsidR="0092331E" w:rsidRPr="00064ACA" w:rsidRDefault="0092331E">
            <w:pPr>
              <w:tabs>
                <w:tab w:val="center" w:pos="4680"/>
              </w:tabs>
              <w:suppressAutoHyphens/>
              <w:rPr>
                <w:spacing w:val="-2"/>
                <w:szCs w:val="22"/>
              </w:rPr>
            </w:pPr>
          </w:p>
          <w:p w:rsidR="00416170" w:rsidRPr="00064ACA" w:rsidRDefault="00416170">
            <w:pPr>
              <w:pStyle w:val="TOAHeading"/>
              <w:tabs>
                <w:tab w:val="clear" w:pos="9360"/>
                <w:tab w:val="center" w:pos="4680"/>
              </w:tabs>
              <w:rPr>
                <w:spacing w:val="-2"/>
                <w:szCs w:val="22"/>
              </w:rPr>
            </w:pPr>
            <w:r w:rsidRPr="00064ACA">
              <w:rPr>
                <w:spacing w:val="-2"/>
                <w:szCs w:val="22"/>
              </w:rPr>
              <w:t xml:space="preserve">           EB Docket No. </w:t>
            </w:r>
            <w:bookmarkStart w:id="1" w:name="OLE_LINK3"/>
            <w:r w:rsidRPr="00064ACA">
              <w:rPr>
                <w:spacing w:val="-2"/>
                <w:szCs w:val="22"/>
              </w:rPr>
              <w:t>04-296</w:t>
            </w:r>
            <w:bookmarkEnd w:id="1"/>
          </w:p>
          <w:p w:rsidR="00416170" w:rsidRPr="00064ACA" w:rsidRDefault="00416170">
            <w:pPr>
              <w:rPr>
                <w:szCs w:val="22"/>
              </w:rPr>
            </w:pPr>
          </w:p>
          <w:p w:rsidR="00416170" w:rsidRPr="00064ACA" w:rsidRDefault="00416170">
            <w:pPr>
              <w:rPr>
                <w:szCs w:val="22"/>
              </w:rPr>
            </w:pPr>
          </w:p>
          <w:p w:rsidR="00416170" w:rsidRPr="00064ACA" w:rsidRDefault="00416170">
            <w:pPr>
              <w:rPr>
                <w:szCs w:val="22"/>
              </w:rPr>
            </w:pPr>
          </w:p>
          <w:p w:rsidR="00416170" w:rsidRPr="00064ACA" w:rsidRDefault="00416170">
            <w:pPr>
              <w:tabs>
                <w:tab w:val="center" w:pos="4680"/>
              </w:tabs>
              <w:suppressAutoHyphens/>
              <w:rPr>
                <w:spacing w:val="-2"/>
                <w:szCs w:val="22"/>
              </w:rPr>
            </w:pPr>
          </w:p>
        </w:tc>
      </w:tr>
    </w:tbl>
    <w:p w:rsidR="00416170" w:rsidRPr="00064ACA" w:rsidRDefault="00416170">
      <w:pPr>
        <w:tabs>
          <w:tab w:val="left" w:pos="-720"/>
        </w:tabs>
        <w:suppressAutoHyphens/>
        <w:rPr>
          <w:spacing w:val="-2"/>
          <w:szCs w:val="22"/>
        </w:rPr>
      </w:pPr>
    </w:p>
    <w:p w:rsidR="00416170" w:rsidRPr="00064ACA" w:rsidRDefault="00416170">
      <w:pPr>
        <w:jc w:val="center"/>
        <w:rPr>
          <w:b/>
          <w:szCs w:val="22"/>
        </w:rPr>
      </w:pPr>
      <w:r w:rsidRPr="00064ACA">
        <w:rPr>
          <w:b/>
          <w:szCs w:val="22"/>
        </w:rPr>
        <w:t xml:space="preserve">ORDER </w:t>
      </w:r>
    </w:p>
    <w:p w:rsidR="00416170" w:rsidRPr="00064ACA" w:rsidRDefault="00416170">
      <w:pPr>
        <w:tabs>
          <w:tab w:val="left" w:pos="-720"/>
        </w:tabs>
        <w:suppressAutoHyphens/>
        <w:rPr>
          <w:spacing w:val="-2"/>
          <w:szCs w:val="22"/>
        </w:rPr>
      </w:pPr>
    </w:p>
    <w:p w:rsidR="00416170" w:rsidRPr="00064ACA" w:rsidRDefault="00416170">
      <w:pPr>
        <w:tabs>
          <w:tab w:val="left" w:pos="720"/>
          <w:tab w:val="left" w:pos="5760"/>
        </w:tabs>
        <w:suppressAutoHyphens/>
        <w:rPr>
          <w:spacing w:val="-2"/>
          <w:szCs w:val="22"/>
        </w:rPr>
      </w:pPr>
      <w:r w:rsidRPr="00064ACA">
        <w:rPr>
          <w:b/>
          <w:spacing w:val="-2"/>
          <w:szCs w:val="22"/>
        </w:rPr>
        <w:t xml:space="preserve">Adopted: </w:t>
      </w:r>
      <w:r w:rsidR="00752FA8">
        <w:rPr>
          <w:b/>
          <w:spacing w:val="-2"/>
          <w:szCs w:val="22"/>
        </w:rPr>
        <w:t>November 21</w:t>
      </w:r>
      <w:r w:rsidR="00A1531D" w:rsidRPr="00064ACA">
        <w:rPr>
          <w:b/>
          <w:spacing w:val="-2"/>
          <w:szCs w:val="22"/>
        </w:rPr>
        <w:t>, 201</w:t>
      </w:r>
      <w:r w:rsidR="00A02D30">
        <w:rPr>
          <w:b/>
          <w:spacing w:val="-2"/>
          <w:szCs w:val="22"/>
        </w:rPr>
        <w:t>4</w:t>
      </w:r>
      <w:r w:rsidRPr="00064ACA">
        <w:rPr>
          <w:b/>
          <w:spacing w:val="-2"/>
          <w:szCs w:val="22"/>
        </w:rPr>
        <w:tab/>
        <w:t xml:space="preserve">Released: </w:t>
      </w:r>
      <w:r w:rsidR="00A02D30">
        <w:rPr>
          <w:b/>
          <w:spacing w:val="-2"/>
          <w:szCs w:val="22"/>
        </w:rPr>
        <w:t xml:space="preserve"> </w:t>
      </w:r>
      <w:r w:rsidR="00752FA8">
        <w:rPr>
          <w:b/>
          <w:spacing w:val="-2"/>
          <w:szCs w:val="22"/>
        </w:rPr>
        <w:t xml:space="preserve">November 21, </w:t>
      </w:r>
      <w:r w:rsidRPr="00064ACA">
        <w:rPr>
          <w:b/>
          <w:spacing w:val="-2"/>
          <w:szCs w:val="22"/>
        </w:rPr>
        <w:t>201</w:t>
      </w:r>
      <w:r w:rsidR="00A02D30">
        <w:rPr>
          <w:b/>
          <w:spacing w:val="-2"/>
          <w:szCs w:val="22"/>
        </w:rPr>
        <w:t>4</w:t>
      </w:r>
    </w:p>
    <w:p w:rsidR="00416170" w:rsidRPr="00064ACA" w:rsidRDefault="00416170">
      <w:pPr>
        <w:tabs>
          <w:tab w:val="left" w:pos="720"/>
          <w:tab w:val="left" w:pos="5760"/>
        </w:tabs>
        <w:suppressAutoHyphens/>
        <w:rPr>
          <w:spacing w:val="-2"/>
          <w:szCs w:val="22"/>
        </w:rPr>
      </w:pPr>
    </w:p>
    <w:p w:rsidR="00416170" w:rsidRDefault="00416170">
      <w:pPr>
        <w:tabs>
          <w:tab w:val="left" w:pos="1890"/>
        </w:tabs>
        <w:rPr>
          <w:szCs w:val="22"/>
        </w:rPr>
      </w:pPr>
      <w:r w:rsidRPr="00064ACA">
        <w:rPr>
          <w:szCs w:val="22"/>
        </w:rPr>
        <w:t xml:space="preserve">By the </w:t>
      </w:r>
      <w:r w:rsidR="00576AB8" w:rsidRPr="00064ACA">
        <w:rPr>
          <w:szCs w:val="22"/>
        </w:rPr>
        <w:t>Chief, Public Safety and Homeland Security Bureau</w:t>
      </w:r>
      <w:r w:rsidRPr="00064ACA">
        <w:rPr>
          <w:szCs w:val="22"/>
        </w:rPr>
        <w:t xml:space="preserve">:  </w:t>
      </w:r>
    </w:p>
    <w:p w:rsidR="00322D58" w:rsidRDefault="00322D58">
      <w:pPr>
        <w:tabs>
          <w:tab w:val="left" w:pos="1890"/>
        </w:tabs>
        <w:rPr>
          <w:szCs w:val="22"/>
        </w:rPr>
      </w:pPr>
    </w:p>
    <w:p w:rsidR="00322D58" w:rsidRPr="00322D58" w:rsidRDefault="00322D58" w:rsidP="00322D58">
      <w:pPr>
        <w:rPr>
          <w:b/>
          <w:szCs w:val="22"/>
        </w:rPr>
      </w:pPr>
      <w:r>
        <w:rPr>
          <w:b/>
          <w:szCs w:val="22"/>
        </w:rPr>
        <w:t>I.</w:t>
      </w:r>
      <w:r>
        <w:rPr>
          <w:b/>
          <w:szCs w:val="22"/>
        </w:rPr>
        <w:tab/>
        <w:t>Introduction</w:t>
      </w:r>
    </w:p>
    <w:p w:rsidR="00416170" w:rsidRPr="00064ACA" w:rsidRDefault="00416170">
      <w:pPr>
        <w:rPr>
          <w:szCs w:val="22"/>
        </w:rPr>
      </w:pPr>
    </w:p>
    <w:p w:rsidR="007F7C9B" w:rsidRPr="006C3568" w:rsidRDefault="00DC0516" w:rsidP="006C3568">
      <w:pPr>
        <w:pStyle w:val="ParaNum"/>
        <w:widowControl/>
        <w:tabs>
          <w:tab w:val="clear" w:pos="900"/>
          <w:tab w:val="num" w:pos="720"/>
        </w:tabs>
        <w:ind w:left="0" w:firstLine="720"/>
      </w:pPr>
      <w:r w:rsidRPr="000C47CD">
        <w:rPr>
          <w:szCs w:val="22"/>
        </w:rPr>
        <w:t>In this Order we address</w:t>
      </w:r>
      <w:r w:rsidR="00940CB9" w:rsidRPr="000C47CD">
        <w:rPr>
          <w:szCs w:val="22"/>
        </w:rPr>
        <w:t xml:space="preserve"> the</w:t>
      </w:r>
      <w:r w:rsidRPr="000C47CD">
        <w:rPr>
          <w:szCs w:val="22"/>
        </w:rPr>
        <w:t xml:space="preserve"> petitions for </w:t>
      </w:r>
      <w:r w:rsidR="0067117A">
        <w:rPr>
          <w:szCs w:val="22"/>
          <w:lang w:val="en-US"/>
        </w:rPr>
        <w:t xml:space="preserve">temporary </w:t>
      </w:r>
      <w:r w:rsidRPr="000C47CD">
        <w:rPr>
          <w:szCs w:val="22"/>
        </w:rPr>
        <w:t xml:space="preserve">waiver of </w:t>
      </w:r>
      <w:r w:rsidR="00F94634" w:rsidRPr="000C47CD">
        <w:rPr>
          <w:szCs w:val="22"/>
        </w:rPr>
        <w:t>Section 11.56 of the Commission’s rules</w:t>
      </w:r>
      <w:r w:rsidR="00D60DCF" w:rsidRPr="000C47CD">
        <w:rPr>
          <w:szCs w:val="22"/>
        </w:rPr>
        <w:t>,</w:t>
      </w:r>
      <w:r w:rsidR="00284668" w:rsidRPr="00064ACA">
        <w:rPr>
          <w:rStyle w:val="FootnoteReference"/>
          <w:szCs w:val="22"/>
        </w:rPr>
        <w:footnoteReference w:id="2"/>
      </w:r>
      <w:r w:rsidR="00F94634" w:rsidRPr="000C47CD">
        <w:rPr>
          <w:szCs w:val="22"/>
        </w:rPr>
        <w:t xml:space="preserve"> </w:t>
      </w:r>
      <w:r w:rsidR="00B3619B" w:rsidRPr="000C47CD">
        <w:rPr>
          <w:szCs w:val="22"/>
        </w:rPr>
        <w:t xml:space="preserve">filed by </w:t>
      </w:r>
      <w:r w:rsidR="00E01DD1" w:rsidRPr="000C47CD">
        <w:rPr>
          <w:szCs w:val="22"/>
          <w:lang w:val="en-US"/>
        </w:rPr>
        <w:t>Charter Communications (Charter);</w:t>
      </w:r>
      <w:r w:rsidR="00347B1F">
        <w:rPr>
          <w:rStyle w:val="FootnoteReference"/>
          <w:szCs w:val="22"/>
          <w:lang w:val="en-US"/>
        </w:rPr>
        <w:footnoteReference w:id="3"/>
      </w:r>
      <w:r w:rsidR="00E01DD1" w:rsidRPr="000C47CD">
        <w:rPr>
          <w:szCs w:val="22"/>
          <w:lang w:val="en-US"/>
        </w:rPr>
        <w:t xml:space="preserve"> </w:t>
      </w:r>
      <w:r w:rsidR="000C47CD">
        <w:rPr>
          <w:szCs w:val="22"/>
          <w:lang w:val="en-US"/>
        </w:rPr>
        <w:t>Comcast Cable Communications, LLC (Comcast);</w:t>
      </w:r>
      <w:r w:rsidR="00347B1F">
        <w:rPr>
          <w:rStyle w:val="FootnoteReference"/>
          <w:szCs w:val="22"/>
          <w:lang w:val="en-US"/>
        </w:rPr>
        <w:footnoteReference w:id="4"/>
      </w:r>
      <w:r w:rsidR="000C47CD">
        <w:rPr>
          <w:szCs w:val="22"/>
          <w:lang w:val="en-US"/>
        </w:rPr>
        <w:t xml:space="preserve"> </w:t>
      </w:r>
      <w:r w:rsidR="00B97136">
        <w:rPr>
          <w:szCs w:val="22"/>
          <w:lang w:val="en-US"/>
        </w:rPr>
        <w:t>Kenai Broadcasting, LLC (Kenai)</w:t>
      </w:r>
      <w:r w:rsidR="006C3568">
        <w:rPr>
          <w:szCs w:val="22"/>
        </w:rPr>
        <w:t>;</w:t>
      </w:r>
      <w:r w:rsidR="003E0048">
        <w:rPr>
          <w:rStyle w:val="FootnoteReference"/>
          <w:szCs w:val="22"/>
        </w:rPr>
        <w:footnoteReference w:id="5"/>
      </w:r>
      <w:r w:rsidR="000C47CD">
        <w:rPr>
          <w:szCs w:val="22"/>
          <w:lang w:val="en-US"/>
        </w:rPr>
        <w:t xml:space="preserve"> </w:t>
      </w:r>
      <w:r w:rsidR="006C3568" w:rsidRPr="00027A1B">
        <w:t>New Ulm Telecom, Inc.</w:t>
      </w:r>
      <w:r w:rsidR="006C3568">
        <w:rPr>
          <w:lang w:val="en-US"/>
        </w:rPr>
        <w:t xml:space="preserve"> (New Ulm)</w:t>
      </w:r>
      <w:r w:rsidR="006C3568">
        <w:t>;</w:t>
      </w:r>
      <w:r w:rsidR="003E0048">
        <w:rPr>
          <w:rStyle w:val="FootnoteReference"/>
        </w:rPr>
        <w:footnoteReference w:id="6"/>
      </w:r>
      <w:r w:rsidR="006C3568">
        <w:t xml:space="preserve"> </w:t>
      </w:r>
      <w:r w:rsidR="006C3568" w:rsidRPr="000C47CD">
        <w:rPr>
          <w:szCs w:val="22"/>
          <w:lang w:val="en-US"/>
        </w:rPr>
        <w:t>Oregon Amateur Radio Club (OARC);</w:t>
      </w:r>
      <w:r w:rsidR="00A6050B">
        <w:rPr>
          <w:rStyle w:val="FootnoteReference"/>
          <w:szCs w:val="22"/>
          <w:lang w:val="en-US"/>
        </w:rPr>
        <w:footnoteReference w:id="7"/>
      </w:r>
      <w:r w:rsidR="006C3568" w:rsidRPr="000C47CD">
        <w:rPr>
          <w:szCs w:val="22"/>
          <w:lang w:val="en-US"/>
        </w:rPr>
        <w:t xml:space="preserve"> </w:t>
      </w:r>
      <w:r w:rsidR="006C3568" w:rsidRPr="00AA62A6">
        <w:t>Townsquare Media Oneonta License, LLC</w:t>
      </w:r>
      <w:r w:rsidR="006C3568">
        <w:rPr>
          <w:lang w:val="en-US"/>
        </w:rPr>
        <w:t xml:space="preserve"> (Townsquare)</w:t>
      </w:r>
      <w:r w:rsidR="006C3568">
        <w:t>;</w:t>
      </w:r>
      <w:r w:rsidR="00A6050B">
        <w:rPr>
          <w:rStyle w:val="FootnoteReference"/>
        </w:rPr>
        <w:footnoteReference w:id="8"/>
      </w:r>
      <w:r w:rsidR="006C3568">
        <w:t xml:space="preserve"> </w:t>
      </w:r>
      <w:r w:rsidR="006C3568" w:rsidRPr="000C47CD">
        <w:rPr>
          <w:szCs w:val="22"/>
          <w:lang w:val="en-US"/>
        </w:rPr>
        <w:t xml:space="preserve">Western Oregon Radio </w:t>
      </w:r>
      <w:r w:rsidR="006C3568" w:rsidRPr="000C47CD">
        <w:rPr>
          <w:szCs w:val="22"/>
          <w:lang w:val="en-US"/>
        </w:rPr>
        <w:lastRenderedPageBreak/>
        <w:t>Club, Inc.</w:t>
      </w:r>
      <w:r w:rsidR="006C3568">
        <w:rPr>
          <w:szCs w:val="22"/>
          <w:lang w:val="en-US"/>
        </w:rPr>
        <w:t xml:space="preserve"> (WORC);</w:t>
      </w:r>
      <w:r w:rsidR="00A6050B">
        <w:rPr>
          <w:rStyle w:val="FootnoteReference"/>
          <w:szCs w:val="22"/>
          <w:lang w:val="en-US"/>
        </w:rPr>
        <w:footnoteReference w:id="9"/>
      </w:r>
      <w:r w:rsidR="006C3568">
        <w:rPr>
          <w:szCs w:val="22"/>
          <w:lang w:val="en-US"/>
        </w:rPr>
        <w:t xml:space="preserve"> </w:t>
      </w:r>
      <w:r w:rsidR="006C3568">
        <w:t xml:space="preserve">and </w:t>
      </w:r>
      <w:r w:rsidR="006C3568" w:rsidRPr="00EA19F6">
        <w:t>WVCH Communications, Inc.</w:t>
      </w:r>
      <w:r w:rsidR="006C3568">
        <w:rPr>
          <w:lang w:val="en-US"/>
        </w:rPr>
        <w:t xml:space="preserve"> (WVCH)</w:t>
      </w:r>
      <w:r w:rsidR="006C3568">
        <w:t xml:space="preserve"> </w:t>
      </w:r>
      <w:r w:rsidR="00B3619B" w:rsidRPr="006C3568">
        <w:rPr>
          <w:szCs w:val="22"/>
        </w:rPr>
        <w:t>(collectively, the Petitioners).</w:t>
      </w:r>
      <w:r w:rsidR="00B3619B" w:rsidRPr="00064ACA">
        <w:rPr>
          <w:rStyle w:val="FootnoteReference"/>
          <w:szCs w:val="22"/>
        </w:rPr>
        <w:footnoteReference w:id="10"/>
      </w:r>
      <w:r w:rsidR="00B3619B" w:rsidRPr="006C3568">
        <w:rPr>
          <w:szCs w:val="22"/>
        </w:rPr>
        <w:t xml:space="preserve">  Section 11.56</w:t>
      </w:r>
      <w:r w:rsidRPr="006C3568">
        <w:rPr>
          <w:szCs w:val="22"/>
        </w:rPr>
        <w:t xml:space="preserve"> </w:t>
      </w:r>
      <w:r w:rsidR="006B5614">
        <w:rPr>
          <w:szCs w:val="22"/>
          <w:lang w:val="en-US"/>
        </w:rPr>
        <w:t xml:space="preserve">of the Commission’s rules </w:t>
      </w:r>
      <w:r w:rsidR="00F94634" w:rsidRPr="006C3568">
        <w:rPr>
          <w:szCs w:val="22"/>
        </w:rPr>
        <w:t>requires Emergency Alert System (EAS) Participants</w:t>
      </w:r>
      <w:r w:rsidR="006C3568">
        <w:rPr>
          <w:rStyle w:val="FootnoteReference"/>
          <w:szCs w:val="22"/>
        </w:rPr>
        <w:footnoteReference w:id="11"/>
      </w:r>
      <w:r w:rsidR="006C3568" w:rsidRPr="006C3568">
        <w:rPr>
          <w:szCs w:val="22"/>
        </w:rPr>
        <w:t xml:space="preserve"> </w:t>
      </w:r>
      <w:r w:rsidR="00F94634" w:rsidRPr="006C3568">
        <w:rPr>
          <w:szCs w:val="22"/>
        </w:rPr>
        <w:t xml:space="preserve">to </w:t>
      </w:r>
      <w:r w:rsidR="00DE1C98" w:rsidRPr="006C3568">
        <w:rPr>
          <w:szCs w:val="22"/>
        </w:rPr>
        <w:t>have installed</w:t>
      </w:r>
      <w:r w:rsidR="00F94634" w:rsidRPr="006C3568">
        <w:rPr>
          <w:szCs w:val="22"/>
        </w:rPr>
        <w:t xml:space="preserve"> operational equipment that </w:t>
      </w:r>
      <w:r w:rsidR="00BB2C44" w:rsidRPr="006C3568">
        <w:rPr>
          <w:szCs w:val="22"/>
        </w:rPr>
        <w:t>can</w:t>
      </w:r>
      <w:r w:rsidR="00F94634" w:rsidRPr="006C3568">
        <w:rPr>
          <w:szCs w:val="22"/>
        </w:rPr>
        <w:t xml:space="preserve"> receive and process EAS alerts</w:t>
      </w:r>
      <w:r w:rsidR="006B5614">
        <w:rPr>
          <w:szCs w:val="22"/>
          <w:lang w:val="en-US"/>
        </w:rPr>
        <w:t xml:space="preserve"> formatted</w:t>
      </w:r>
      <w:r w:rsidR="00F94634" w:rsidRPr="006C3568">
        <w:rPr>
          <w:szCs w:val="22"/>
        </w:rPr>
        <w:t xml:space="preserve"> in the Common Alerting Protocol (CAP) by June 30, 2012.</w:t>
      </w:r>
      <w:r w:rsidR="00F94634" w:rsidRPr="00064ACA">
        <w:rPr>
          <w:rStyle w:val="FootnoteReference"/>
          <w:szCs w:val="22"/>
        </w:rPr>
        <w:footnoteReference w:id="12"/>
      </w:r>
      <w:r w:rsidR="00282243" w:rsidRPr="006C3568">
        <w:rPr>
          <w:szCs w:val="22"/>
        </w:rPr>
        <w:t xml:space="preserve">  </w:t>
      </w:r>
      <w:r w:rsidR="00B3619B" w:rsidRPr="006C3568">
        <w:rPr>
          <w:szCs w:val="22"/>
        </w:rPr>
        <w:t xml:space="preserve"> </w:t>
      </w:r>
      <w:r w:rsidRPr="006C3568">
        <w:rPr>
          <w:szCs w:val="22"/>
        </w:rPr>
        <w:t>F</w:t>
      </w:r>
      <w:r w:rsidR="004F2F9D" w:rsidRPr="006C3568">
        <w:rPr>
          <w:szCs w:val="22"/>
        </w:rPr>
        <w:t xml:space="preserve">or the reasons set </w:t>
      </w:r>
      <w:r w:rsidRPr="006C3568">
        <w:rPr>
          <w:szCs w:val="22"/>
        </w:rPr>
        <w:t>out</w:t>
      </w:r>
      <w:r w:rsidR="004F2F9D" w:rsidRPr="006C3568">
        <w:rPr>
          <w:szCs w:val="22"/>
        </w:rPr>
        <w:t xml:space="preserve"> herein, we </w:t>
      </w:r>
      <w:r w:rsidR="006C3568" w:rsidRPr="006C3568">
        <w:rPr>
          <w:szCs w:val="22"/>
          <w:lang w:val="en-US"/>
        </w:rPr>
        <w:t>grant</w:t>
      </w:r>
      <w:r w:rsidR="00386293">
        <w:rPr>
          <w:szCs w:val="22"/>
          <w:lang w:val="en-US"/>
        </w:rPr>
        <w:t xml:space="preserve">, </w:t>
      </w:r>
      <w:r w:rsidR="00386293" w:rsidRPr="00386293">
        <w:rPr>
          <w:i/>
          <w:szCs w:val="22"/>
          <w:lang w:val="en-US"/>
        </w:rPr>
        <w:t>nunc pro tunc</w:t>
      </w:r>
      <w:r w:rsidR="00386293">
        <w:rPr>
          <w:szCs w:val="22"/>
          <w:lang w:val="en-US"/>
        </w:rPr>
        <w:t>,</w:t>
      </w:r>
      <w:r w:rsidR="006C3568" w:rsidRPr="006C3568">
        <w:rPr>
          <w:szCs w:val="22"/>
          <w:lang w:val="en-US"/>
        </w:rPr>
        <w:t xml:space="preserve"> </w:t>
      </w:r>
      <w:r w:rsidR="00921416" w:rsidRPr="006C3568">
        <w:rPr>
          <w:szCs w:val="22"/>
        </w:rPr>
        <w:t>these</w:t>
      </w:r>
      <w:r w:rsidR="001B4E40" w:rsidRPr="006C3568">
        <w:rPr>
          <w:szCs w:val="22"/>
        </w:rPr>
        <w:t xml:space="preserve"> petitions.  </w:t>
      </w:r>
    </w:p>
    <w:p w:rsidR="008277F8" w:rsidRDefault="008277F8" w:rsidP="008277F8">
      <w:pPr>
        <w:pStyle w:val="ParaNum"/>
        <w:widowControl/>
        <w:numPr>
          <w:ilvl w:val="0"/>
          <w:numId w:val="0"/>
        </w:numPr>
        <w:ind w:left="720"/>
        <w:rPr>
          <w:szCs w:val="22"/>
        </w:rPr>
      </w:pPr>
    </w:p>
    <w:p w:rsidR="008277F8" w:rsidRPr="0068340B" w:rsidRDefault="005204A8" w:rsidP="008277F8">
      <w:pPr>
        <w:pStyle w:val="ParaNum"/>
        <w:widowControl/>
        <w:numPr>
          <w:ilvl w:val="0"/>
          <w:numId w:val="0"/>
        </w:numPr>
        <w:rPr>
          <w:b/>
          <w:szCs w:val="22"/>
        </w:rPr>
      </w:pPr>
      <w:r>
        <w:rPr>
          <w:b/>
          <w:szCs w:val="22"/>
        </w:rPr>
        <w:t>I</w:t>
      </w:r>
      <w:r w:rsidR="00322D58">
        <w:rPr>
          <w:b/>
          <w:szCs w:val="22"/>
        </w:rPr>
        <w:t>I</w:t>
      </w:r>
      <w:r>
        <w:rPr>
          <w:b/>
          <w:szCs w:val="22"/>
        </w:rPr>
        <w:t xml:space="preserve">. </w:t>
      </w:r>
      <w:r>
        <w:rPr>
          <w:b/>
          <w:szCs w:val="22"/>
        </w:rPr>
        <w:tab/>
        <w:t>Background</w:t>
      </w:r>
    </w:p>
    <w:p w:rsidR="0068340B" w:rsidRDefault="0068340B" w:rsidP="0068340B">
      <w:pPr>
        <w:pStyle w:val="ParaNum"/>
        <w:widowControl/>
        <w:numPr>
          <w:ilvl w:val="0"/>
          <w:numId w:val="0"/>
        </w:numPr>
        <w:ind w:firstLine="360"/>
        <w:rPr>
          <w:szCs w:val="22"/>
        </w:rPr>
      </w:pPr>
      <w:bookmarkStart w:id="2" w:name="_Ref301425683"/>
    </w:p>
    <w:p w:rsidR="006C3568" w:rsidRPr="006C2B74" w:rsidRDefault="00FE5A83" w:rsidP="00FE5A83">
      <w:pPr>
        <w:pStyle w:val="ParaNum"/>
        <w:widowControl/>
        <w:tabs>
          <w:tab w:val="clear" w:pos="900"/>
          <w:tab w:val="num" w:pos="720"/>
        </w:tabs>
        <w:ind w:left="0" w:firstLine="720"/>
        <w:rPr>
          <w:bCs/>
          <w:color w:val="262626"/>
          <w:szCs w:val="22"/>
        </w:rPr>
      </w:pPr>
      <w:r>
        <w:rPr>
          <w:lang w:val="en-US"/>
        </w:rPr>
        <w:t>Under Commission rules, EAS Participants are required to be able to receive CAP-based EAS alerts by June 30, 2012.</w:t>
      </w:r>
      <w:r>
        <w:rPr>
          <w:rStyle w:val="FootnoteReference"/>
          <w:lang w:val="en-US"/>
        </w:rPr>
        <w:footnoteReference w:id="13"/>
      </w:r>
      <w:r>
        <w:rPr>
          <w:lang w:val="en-US"/>
        </w:rPr>
        <w:t xml:space="preserve">  </w:t>
      </w:r>
      <w:bookmarkEnd w:id="2"/>
      <w:r>
        <w:rPr>
          <w:lang w:val="en-US"/>
        </w:rPr>
        <w:t>In its</w:t>
      </w:r>
      <w:r w:rsidR="006C3568" w:rsidRPr="006C3568">
        <w:rPr>
          <w:lang w:val="en-US"/>
        </w:rPr>
        <w:t xml:space="preserve"> </w:t>
      </w:r>
      <w:r w:rsidR="006C3568" w:rsidRPr="006C3568">
        <w:rPr>
          <w:i/>
          <w:lang w:val="en-US"/>
        </w:rPr>
        <w:t>EAS</w:t>
      </w:r>
      <w:r w:rsidR="006C3568">
        <w:t xml:space="preserve"> </w:t>
      </w:r>
      <w:r w:rsidR="006C3568" w:rsidRPr="006C3568">
        <w:rPr>
          <w:i/>
        </w:rPr>
        <w:t>Fifth Report and Order</w:t>
      </w:r>
      <w:r w:rsidR="006C3568">
        <w:t xml:space="preserve">, </w:t>
      </w:r>
      <w:r>
        <w:rPr>
          <w:lang w:val="en-US"/>
        </w:rPr>
        <w:t>t</w:t>
      </w:r>
      <w:r w:rsidR="006C3568">
        <w:rPr>
          <w:lang w:val="en-US"/>
        </w:rPr>
        <w:t xml:space="preserve">he Commission </w:t>
      </w:r>
      <w:r w:rsidR="006C3568" w:rsidRPr="00094A3B">
        <w:t>observe</w:t>
      </w:r>
      <w:r w:rsidR="006C3568">
        <w:rPr>
          <w:lang w:val="en-US"/>
        </w:rPr>
        <w:t xml:space="preserve">d </w:t>
      </w:r>
      <w:r w:rsidR="006C3568" w:rsidRPr="00094A3B">
        <w:t xml:space="preserve">that </w:t>
      </w:r>
      <w:r w:rsidR="006C3568">
        <w:rPr>
          <w:lang w:val="en-US"/>
        </w:rPr>
        <w:t xml:space="preserve">because </w:t>
      </w:r>
      <w:r w:rsidR="006C3568" w:rsidRPr="00094A3B">
        <w:t>the primary method of distributing CAP messages will be via</w:t>
      </w:r>
      <w:r w:rsidR="006C3568">
        <w:t xml:space="preserve"> broadband </w:t>
      </w:r>
      <w:r w:rsidR="006C3568" w:rsidRPr="00094A3B">
        <w:t>Internet</w:t>
      </w:r>
      <w:r w:rsidR="006C3568">
        <w:t xml:space="preserve"> connection</w:t>
      </w:r>
      <w:r w:rsidR="00CB5392">
        <w:rPr>
          <w:lang w:val="en-US"/>
        </w:rPr>
        <w:t>s</w:t>
      </w:r>
      <w:r w:rsidR="006C3568">
        <w:rPr>
          <w:lang w:val="en-US"/>
        </w:rPr>
        <w:t xml:space="preserve">, </w:t>
      </w:r>
      <w:r w:rsidR="006C3568" w:rsidRPr="00094A3B">
        <w:t xml:space="preserve">the physical availability of </w:t>
      </w:r>
      <w:r w:rsidR="006C3568">
        <w:t>b</w:t>
      </w:r>
      <w:r w:rsidR="006C3568" w:rsidRPr="00094A3B">
        <w:t xml:space="preserve">roadband Internet access would </w:t>
      </w:r>
      <w:r w:rsidR="006C3568">
        <w:t xml:space="preserve">be a predicate for compliance with </w:t>
      </w:r>
      <w:r w:rsidR="006C3568" w:rsidRPr="00094A3B">
        <w:t xml:space="preserve">the </w:t>
      </w:r>
      <w:r w:rsidR="006C3568">
        <w:t xml:space="preserve">requirement that EAS Participants be able to receive </w:t>
      </w:r>
      <w:r w:rsidR="006C3568" w:rsidRPr="00094A3B">
        <w:t>CAP-</w:t>
      </w:r>
      <w:r w:rsidR="006C3568">
        <w:t>based alerts</w:t>
      </w:r>
      <w:r w:rsidR="006C3568" w:rsidRPr="00094A3B">
        <w:t>.</w:t>
      </w:r>
      <w:r w:rsidR="006C3568">
        <w:rPr>
          <w:rStyle w:val="FootnoteReference"/>
        </w:rPr>
        <w:footnoteReference w:id="14"/>
      </w:r>
      <w:r w:rsidR="006C3568" w:rsidRPr="00094A3B">
        <w:t xml:space="preserve"> </w:t>
      </w:r>
      <w:r w:rsidR="006C3568" w:rsidRPr="00094A3B">
        <w:rPr>
          <w:szCs w:val="22"/>
        </w:rPr>
        <w:t xml:space="preserve"> </w:t>
      </w:r>
      <w:r w:rsidR="006C3568">
        <w:rPr>
          <w:szCs w:val="22"/>
        </w:rPr>
        <w:t xml:space="preserve">Accordingly, </w:t>
      </w:r>
      <w:r w:rsidR="006C3568">
        <w:rPr>
          <w:szCs w:val="22"/>
          <w:lang w:val="en-US"/>
        </w:rPr>
        <w:t xml:space="preserve">the Commission </w:t>
      </w:r>
      <w:r w:rsidR="006C3568">
        <w:rPr>
          <w:szCs w:val="22"/>
        </w:rPr>
        <w:t>conclude</w:t>
      </w:r>
      <w:r w:rsidR="006C3568">
        <w:rPr>
          <w:szCs w:val="22"/>
          <w:lang w:val="en-US"/>
        </w:rPr>
        <w:t>d</w:t>
      </w:r>
      <w:r w:rsidR="006C3568">
        <w:rPr>
          <w:szCs w:val="22"/>
        </w:rPr>
        <w:t xml:space="preserve"> that the physical unavailability of broadband Internet service offer</w:t>
      </w:r>
      <w:r w:rsidR="006C3568">
        <w:rPr>
          <w:szCs w:val="22"/>
          <w:lang w:val="en-US"/>
        </w:rPr>
        <w:t>ed</w:t>
      </w:r>
      <w:r w:rsidR="006C3568">
        <w:rPr>
          <w:szCs w:val="22"/>
        </w:rPr>
        <w:t xml:space="preserve"> a presumption in favor of a waiver.</w:t>
      </w:r>
      <w:r w:rsidR="006C3568">
        <w:rPr>
          <w:rStyle w:val="FootnoteReference"/>
          <w:szCs w:val="22"/>
        </w:rPr>
        <w:footnoteReference w:id="15"/>
      </w:r>
      <w:r w:rsidR="006C3568">
        <w:rPr>
          <w:szCs w:val="22"/>
        </w:rPr>
        <w:t xml:space="preserve">  </w:t>
      </w:r>
      <w:r w:rsidR="006C3568">
        <w:rPr>
          <w:szCs w:val="22"/>
          <w:lang w:val="en-US"/>
        </w:rPr>
        <w:t xml:space="preserve">The Commission also </w:t>
      </w:r>
      <w:r w:rsidR="006C3568" w:rsidRPr="00094A3B">
        <w:rPr>
          <w:szCs w:val="22"/>
        </w:rPr>
        <w:t>observe</w:t>
      </w:r>
      <w:r w:rsidR="006C3568">
        <w:rPr>
          <w:szCs w:val="22"/>
          <w:lang w:val="en-US"/>
        </w:rPr>
        <w:t>d, however,</w:t>
      </w:r>
      <w:r w:rsidR="006C3568" w:rsidRPr="00094A3B">
        <w:rPr>
          <w:szCs w:val="22"/>
        </w:rPr>
        <w:t xml:space="preserve"> that </w:t>
      </w:r>
      <w:r w:rsidR="006C3568">
        <w:rPr>
          <w:szCs w:val="22"/>
        </w:rPr>
        <w:t>broadband Internet access m</w:t>
      </w:r>
      <w:r w:rsidR="006C3568">
        <w:rPr>
          <w:szCs w:val="22"/>
          <w:lang w:val="en-US"/>
        </w:rPr>
        <w:t>ight</w:t>
      </w:r>
      <w:r w:rsidR="006C3568">
        <w:rPr>
          <w:szCs w:val="22"/>
        </w:rPr>
        <w:t xml:space="preserve"> become available at some point after a waiver has been granted, and that </w:t>
      </w:r>
      <w:r w:rsidR="006C3568" w:rsidRPr="00094A3B">
        <w:rPr>
          <w:szCs w:val="22"/>
        </w:rPr>
        <w:t xml:space="preserve">alternate means of distributing CAP alert messages, such as satellite delivery, </w:t>
      </w:r>
      <w:r w:rsidR="006C3568">
        <w:rPr>
          <w:szCs w:val="22"/>
        </w:rPr>
        <w:t>m</w:t>
      </w:r>
      <w:r w:rsidR="006C3568">
        <w:rPr>
          <w:szCs w:val="22"/>
          <w:lang w:val="en-US"/>
        </w:rPr>
        <w:t xml:space="preserve">ight </w:t>
      </w:r>
      <w:r w:rsidR="006C3568">
        <w:rPr>
          <w:szCs w:val="22"/>
        </w:rPr>
        <w:t>also</w:t>
      </w:r>
      <w:r w:rsidR="006C3568" w:rsidRPr="00094A3B">
        <w:rPr>
          <w:szCs w:val="22"/>
        </w:rPr>
        <w:t xml:space="preserve"> </w:t>
      </w:r>
      <w:r w:rsidR="006C3568">
        <w:rPr>
          <w:szCs w:val="22"/>
        </w:rPr>
        <w:t xml:space="preserve">become available, thus </w:t>
      </w:r>
      <w:r w:rsidR="006C3568" w:rsidRPr="00094A3B">
        <w:rPr>
          <w:szCs w:val="22"/>
        </w:rPr>
        <w:t>obviat</w:t>
      </w:r>
      <w:r w:rsidR="006C3568">
        <w:rPr>
          <w:szCs w:val="22"/>
        </w:rPr>
        <w:t xml:space="preserve">ing </w:t>
      </w:r>
      <w:r w:rsidR="006C3568" w:rsidRPr="00094A3B">
        <w:rPr>
          <w:szCs w:val="22"/>
        </w:rPr>
        <w:t xml:space="preserve">the basis for granting </w:t>
      </w:r>
      <w:r w:rsidR="006C3568">
        <w:rPr>
          <w:szCs w:val="22"/>
        </w:rPr>
        <w:t>the</w:t>
      </w:r>
      <w:r w:rsidR="006C3568" w:rsidRPr="00094A3B">
        <w:rPr>
          <w:szCs w:val="22"/>
        </w:rPr>
        <w:t xml:space="preserve"> waiver.</w:t>
      </w:r>
      <w:r w:rsidR="006C3568">
        <w:rPr>
          <w:rStyle w:val="FootnoteReference"/>
          <w:szCs w:val="22"/>
        </w:rPr>
        <w:footnoteReference w:id="16"/>
      </w:r>
      <w:r w:rsidR="006C3568" w:rsidRPr="00094A3B">
        <w:rPr>
          <w:szCs w:val="22"/>
        </w:rPr>
        <w:t xml:space="preserve">  For this reason, </w:t>
      </w:r>
      <w:r w:rsidR="006C3568">
        <w:rPr>
          <w:szCs w:val="22"/>
          <w:lang w:val="en-US"/>
        </w:rPr>
        <w:t xml:space="preserve">the Commission indicated </w:t>
      </w:r>
      <w:r w:rsidR="006C3568">
        <w:rPr>
          <w:szCs w:val="22"/>
        </w:rPr>
        <w:t xml:space="preserve">that </w:t>
      </w:r>
      <w:r w:rsidR="006C3568" w:rsidRPr="00094A3B">
        <w:rPr>
          <w:szCs w:val="22"/>
        </w:rPr>
        <w:t xml:space="preserve">any waiver based on the physical unavailability of </w:t>
      </w:r>
      <w:r w:rsidR="006C3568">
        <w:rPr>
          <w:szCs w:val="22"/>
        </w:rPr>
        <w:t>b</w:t>
      </w:r>
      <w:r w:rsidR="006C3568" w:rsidRPr="00094A3B">
        <w:rPr>
          <w:szCs w:val="22"/>
        </w:rPr>
        <w:t>roadband Internet access likely would not exceed six months</w:t>
      </w:r>
      <w:r w:rsidR="006C3568">
        <w:rPr>
          <w:szCs w:val="22"/>
        </w:rPr>
        <w:t xml:space="preserve">, with the option of </w:t>
      </w:r>
      <w:r w:rsidR="006C3568" w:rsidRPr="00094A3B">
        <w:rPr>
          <w:szCs w:val="22"/>
        </w:rPr>
        <w:t>renew</w:t>
      </w:r>
      <w:r w:rsidR="006C3568">
        <w:rPr>
          <w:szCs w:val="22"/>
        </w:rPr>
        <w:t>al</w:t>
      </w:r>
      <w:r w:rsidR="006C3568" w:rsidRPr="00094A3B">
        <w:rPr>
          <w:szCs w:val="22"/>
        </w:rPr>
        <w:t xml:space="preserve"> if circumstances </w:t>
      </w:r>
      <w:r w:rsidR="006C3568">
        <w:rPr>
          <w:szCs w:val="22"/>
        </w:rPr>
        <w:t>have not changed.</w:t>
      </w:r>
      <w:r w:rsidR="006C3568">
        <w:rPr>
          <w:rStyle w:val="FootnoteReference"/>
          <w:szCs w:val="22"/>
        </w:rPr>
        <w:footnoteReference w:id="17"/>
      </w:r>
      <w:r w:rsidR="006C3568" w:rsidRPr="00094A3B">
        <w:rPr>
          <w:szCs w:val="22"/>
        </w:rPr>
        <w:t xml:space="preserve">  </w:t>
      </w:r>
      <w:r w:rsidR="006C3568">
        <w:rPr>
          <w:szCs w:val="22"/>
          <w:lang w:val="en-US"/>
        </w:rPr>
        <w:t>Finally, the Commission concluded that, i</w:t>
      </w:r>
      <w:r w:rsidR="006C3568" w:rsidRPr="00094A3B">
        <w:rPr>
          <w:szCs w:val="22"/>
        </w:rPr>
        <w:t xml:space="preserve">n all events, to the extent a waiver applies, the affected party </w:t>
      </w:r>
      <w:r w:rsidR="006C3568">
        <w:rPr>
          <w:szCs w:val="22"/>
        </w:rPr>
        <w:t>w</w:t>
      </w:r>
      <w:r w:rsidR="006C3568" w:rsidRPr="00094A3B">
        <w:rPr>
          <w:szCs w:val="22"/>
        </w:rPr>
        <w:t xml:space="preserve">ould </w:t>
      </w:r>
      <w:r w:rsidR="006C3568">
        <w:rPr>
          <w:szCs w:val="22"/>
        </w:rPr>
        <w:t xml:space="preserve">be required to </w:t>
      </w:r>
      <w:r w:rsidR="006C3568" w:rsidRPr="00094A3B">
        <w:rPr>
          <w:szCs w:val="22"/>
        </w:rPr>
        <w:t>continue to operate its legacy EAS equipment.</w:t>
      </w:r>
      <w:r w:rsidR="006C3568">
        <w:rPr>
          <w:rStyle w:val="FootnoteReference"/>
          <w:szCs w:val="22"/>
        </w:rPr>
        <w:footnoteReference w:id="18"/>
      </w:r>
      <w:r w:rsidR="006C3568">
        <w:rPr>
          <w:bCs/>
          <w:color w:val="262626"/>
          <w:szCs w:val="22"/>
        </w:rPr>
        <w:t xml:space="preserve">  </w:t>
      </w:r>
    </w:p>
    <w:p w:rsidR="006C2B74" w:rsidRDefault="006C2B74" w:rsidP="006C2B74">
      <w:pPr>
        <w:pStyle w:val="ParaNum"/>
        <w:widowControl/>
        <w:numPr>
          <w:ilvl w:val="0"/>
          <w:numId w:val="0"/>
        </w:numPr>
        <w:ind w:left="720"/>
        <w:rPr>
          <w:bCs/>
          <w:color w:val="262626"/>
          <w:szCs w:val="22"/>
        </w:rPr>
      </w:pPr>
    </w:p>
    <w:p w:rsidR="009940DD" w:rsidRPr="00921416" w:rsidRDefault="006C3568" w:rsidP="0030715E">
      <w:pPr>
        <w:pStyle w:val="ParaNum"/>
        <w:widowControl/>
        <w:tabs>
          <w:tab w:val="clear" w:pos="900"/>
          <w:tab w:val="num" w:pos="720"/>
        </w:tabs>
        <w:ind w:left="0" w:firstLine="720"/>
      </w:pPr>
      <w:r>
        <w:rPr>
          <w:lang w:val="en-US"/>
        </w:rPr>
        <w:t xml:space="preserve">The Petitioners all </w:t>
      </w:r>
      <w:r w:rsidR="00F94634" w:rsidRPr="00064ACA">
        <w:t xml:space="preserve">filed </w:t>
      </w:r>
      <w:r w:rsidR="00CB5392">
        <w:rPr>
          <w:lang w:val="en-US"/>
        </w:rPr>
        <w:t xml:space="preserve">requests for </w:t>
      </w:r>
      <w:r w:rsidR="00F94634" w:rsidRPr="00064ACA">
        <w:t xml:space="preserve">temporary waiver of </w:t>
      </w:r>
      <w:r>
        <w:rPr>
          <w:lang w:val="en-US"/>
        </w:rPr>
        <w:t xml:space="preserve">the obligation to receive and process CAP-formatted alerts specified in </w:t>
      </w:r>
      <w:r w:rsidR="00E73E67">
        <w:rPr>
          <w:lang w:val="en-US"/>
        </w:rPr>
        <w:t>S</w:t>
      </w:r>
      <w:r w:rsidR="0088403F" w:rsidRPr="00064ACA">
        <w:t>ection 11.56</w:t>
      </w:r>
      <w:r w:rsidR="004536D8" w:rsidRPr="00064ACA">
        <w:t xml:space="preserve"> </w:t>
      </w:r>
      <w:r w:rsidR="00CB5392">
        <w:rPr>
          <w:lang w:val="en-US"/>
        </w:rPr>
        <w:t>of the Commission’s rules</w:t>
      </w:r>
      <w:r>
        <w:rPr>
          <w:lang w:val="en-US"/>
        </w:rPr>
        <w:t xml:space="preserve"> </w:t>
      </w:r>
      <w:r w:rsidR="00954393" w:rsidRPr="00064ACA">
        <w:t xml:space="preserve">due to </w:t>
      </w:r>
      <w:r>
        <w:rPr>
          <w:szCs w:val="22"/>
        </w:rPr>
        <w:t>the physical unavailability of broadband Internet service</w:t>
      </w:r>
      <w:r w:rsidR="00D96F06">
        <w:rPr>
          <w:szCs w:val="22"/>
          <w:lang w:val="en-US"/>
        </w:rPr>
        <w:t xml:space="preserve"> at Petitioners’ facilities</w:t>
      </w:r>
      <w:r w:rsidR="00EC2178" w:rsidRPr="00064ACA">
        <w:t>.</w:t>
      </w:r>
      <w:r w:rsidR="00B3619B">
        <w:rPr>
          <w:rStyle w:val="FootnoteReference"/>
          <w:szCs w:val="22"/>
        </w:rPr>
        <w:footnoteReference w:id="19"/>
      </w:r>
      <w:r w:rsidR="00F94634" w:rsidRPr="00064ACA">
        <w:t xml:space="preserve">  </w:t>
      </w:r>
      <w:r>
        <w:rPr>
          <w:lang w:val="en-US"/>
        </w:rPr>
        <w:t xml:space="preserve">The Petitioners subsequently all filed </w:t>
      </w:r>
      <w:r w:rsidR="00386293">
        <w:rPr>
          <w:lang w:val="en-US"/>
        </w:rPr>
        <w:t>correspondence</w:t>
      </w:r>
      <w:r>
        <w:rPr>
          <w:lang w:val="en-US"/>
        </w:rPr>
        <w:t xml:space="preserve"> indicating that they had secured broadband connectivity and were CAP-compliant</w:t>
      </w:r>
      <w:r w:rsidR="00D96F06">
        <w:rPr>
          <w:lang w:val="en-US"/>
        </w:rPr>
        <w:t xml:space="preserve"> for those facilities</w:t>
      </w:r>
      <w:r>
        <w:rPr>
          <w:lang w:val="en-US"/>
        </w:rPr>
        <w:t>.</w:t>
      </w:r>
      <w:r w:rsidR="00BD563F" w:rsidRPr="00064ACA">
        <w:rPr>
          <w:rStyle w:val="FootnoteReference"/>
          <w:szCs w:val="22"/>
        </w:rPr>
        <w:footnoteReference w:id="20"/>
      </w:r>
      <w:r w:rsidR="00BD563F" w:rsidRPr="006C3568">
        <w:rPr>
          <w:szCs w:val="22"/>
        </w:rPr>
        <w:t xml:space="preserve">  </w:t>
      </w:r>
    </w:p>
    <w:p w:rsidR="00921416" w:rsidRPr="00921416" w:rsidRDefault="00921416" w:rsidP="00921416">
      <w:pPr>
        <w:pStyle w:val="ParaNum"/>
        <w:widowControl/>
        <w:numPr>
          <w:ilvl w:val="0"/>
          <w:numId w:val="0"/>
        </w:numPr>
        <w:ind w:left="720"/>
        <w:rPr>
          <w:szCs w:val="22"/>
        </w:rPr>
      </w:pPr>
    </w:p>
    <w:p w:rsidR="009940DD" w:rsidRPr="00322D58" w:rsidRDefault="005204A8" w:rsidP="008A1D08">
      <w:pPr>
        <w:pStyle w:val="ParaNum"/>
        <w:widowControl/>
        <w:numPr>
          <w:ilvl w:val="0"/>
          <w:numId w:val="0"/>
        </w:numPr>
        <w:rPr>
          <w:szCs w:val="22"/>
        </w:rPr>
      </w:pPr>
      <w:r>
        <w:rPr>
          <w:b/>
          <w:szCs w:val="22"/>
        </w:rPr>
        <w:t>II</w:t>
      </w:r>
      <w:r w:rsidR="00322D58">
        <w:rPr>
          <w:b/>
          <w:szCs w:val="22"/>
        </w:rPr>
        <w:t>I</w:t>
      </w:r>
      <w:r>
        <w:rPr>
          <w:b/>
          <w:szCs w:val="22"/>
        </w:rPr>
        <w:t>.</w:t>
      </w:r>
      <w:r>
        <w:rPr>
          <w:b/>
          <w:szCs w:val="22"/>
        </w:rPr>
        <w:tab/>
      </w:r>
      <w:r w:rsidR="00322D58">
        <w:rPr>
          <w:b/>
          <w:szCs w:val="22"/>
        </w:rPr>
        <w:t>Discussion</w:t>
      </w:r>
    </w:p>
    <w:p w:rsidR="00FE7F5E" w:rsidRPr="00921416" w:rsidRDefault="00FE7F5E" w:rsidP="00921416">
      <w:pPr>
        <w:pStyle w:val="ParaNum"/>
        <w:widowControl/>
        <w:numPr>
          <w:ilvl w:val="0"/>
          <w:numId w:val="0"/>
        </w:numPr>
        <w:ind w:firstLine="360"/>
        <w:rPr>
          <w:szCs w:val="22"/>
        </w:rPr>
      </w:pPr>
    </w:p>
    <w:p w:rsidR="008B7E8A" w:rsidRPr="006C2B74" w:rsidRDefault="00921416" w:rsidP="00CB5392">
      <w:pPr>
        <w:pStyle w:val="ParaNum"/>
        <w:widowControl/>
        <w:tabs>
          <w:tab w:val="clear" w:pos="900"/>
          <w:tab w:val="num" w:pos="720"/>
        </w:tabs>
        <w:ind w:left="0" w:firstLine="720"/>
        <w:rPr>
          <w:szCs w:val="22"/>
        </w:rPr>
      </w:pPr>
      <w:r w:rsidRPr="00921416">
        <w:rPr>
          <w:szCs w:val="22"/>
        </w:rPr>
        <w:t>T</w:t>
      </w:r>
      <w:r w:rsidR="00A96122" w:rsidRPr="00921416">
        <w:rPr>
          <w:color w:val="000000"/>
          <w:szCs w:val="22"/>
        </w:rPr>
        <w:t>he</w:t>
      </w:r>
      <w:r w:rsidR="00A96122" w:rsidRPr="00064ACA">
        <w:rPr>
          <w:color w:val="000000"/>
          <w:szCs w:val="22"/>
        </w:rPr>
        <w:t xml:space="preserve"> Commission</w:t>
      </w:r>
      <w:r w:rsidR="00FE3589" w:rsidRPr="00064ACA">
        <w:rPr>
          <w:color w:val="000000"/>
          <w:szCs w:val="22"/>
        </w:rPr>
        <w:t xml:space="preserve"> </w:t>
      </w:r>
      <w:r w:rsidR="00A96122" w:rsidRPr="00064ACA">
        <w:rPr>
          <w:color w:val="000000"/>
          <w:szCs w:val="22"/>
        </w:rPr>
        <w:t>has</w:t>
      </w:r>
      <w:r w:rsidR="00FE3589" w:rsidRPr="00064ACA">
        <w:rPr>
          <w:color w:val="000000"/>
          <w:szCs w:val="22"/>
        </w:rPr>
        <w:t xml:space="preserve"> authority to waive </w:t>
      </w:r>
      <w:r w:rsidR="00A96122" w:rsidRPr="00064ACA">
        <w:rPr>
          <w:color w:val="000000"/>
          <w:szCs w:val="22"/>
        </w:rPr>
        <w:t>it</w:t>
      </w:r>
      <w:r w:rsidR="00F35010">
        <w:rPr>
          <w:color w:val="000000"/>
          <w:szCs w:val="22"/>
        </w:rPr>
        <w:t>s</w:t>
      </w:r>
      <w:r w:rsidR="00FE3589" w:rsidRPr="00064ACA">
        <w:rPr>
          <w:color w:val="000000"/>
          <w:szCs w:val="22"/>
        </w:rPr>
        <w:t xml:space="preserve"> rules if there is “good cause” to do so</w:t>
      </w:r>
      <w:bookmarkStart w:id="3" w:name="FN[FN20]"/>
      <w:bookmarkEnd w:id="3"/>
      <w:r w:rsidR="00FE3589" w:rsidRPr="00064ACA">
        <w:rPr>
          <w:color w:val="000000"/>
          <w:szCs w:val="22"/>
        </w:rPr>
        <w:t>.</w:t>
      </w:r>
      <w:r w:rsidR="00FE3589" w:rsidRPr="00064ACA">
        <w:rPr>
          <w:rStyle w:val="FootnoteReference"/>
          <w:color w:val="000000"/>
          <w:szCs w:val="22"/>
        </w:rPr>
        <w:footnoteReference w:id="21"/>
      </w:r>
      <w:r w:rsidR="00FE3589" w:rsidRPr="00064ACA">
        <w:rPr>
          <w:color w:val="000000"/>
          <w:szCs w:val="22"/>
        </w:rPr>
        <w:t xml:space="preserve">  </w:t>
      </w:r>
      <w:r w:rsidR="00A96122" w:rsidRPr="00064ACA">
        <w:rPr>
          <w:color w:val="000000"/>
          <w:szCs w:val="22"/>
        </w:rPr>
        <w:t>The Commission</w:t>
      </w:r>
      <w:r w:rsidR="00FE3589" w:rsidRPr="00064ACA">
        <w:rPr>
          <w:color w:val="000000"/>
          <w:szCs w:val="22"/>
        </w:rPr>
        <w:t xml:space="preserve"> </w:t>
      </w:r>
      <w:r w:rsidR="007966DF">
        <w:rPr>
          <w:color w:val="000000"/>
          <w:szCs w:val="22"/>
          <w:lang w:val="en-US"/>
        </w:rPr>
        <w:t>may</w:t>
      </w:r>
      <w:r w:rsidR="00940CB9">
        <w:rPr>
          <w:color w:val="000000"/>
          <w:szCs w:val="22"/>
        </w:rPr>
        <w:t xml:space="preserve"> find such good cause </w:t>
      </w:r>
      <w:r w:rsidR="00FE3589" w:rsidRPr="00064ACA">
        <w:rPr>
          <w:color w:val="000000"/>
          <w:szCs w:val="22"/>
        </w:rPr>
        <w:t xml:space="preserve">where </w:t>
      </w:r>
      <w:r w:rsidR="00A36E6E">
        <w:rPr>
          <w:color w:val="000000"/>
          <w:szCs w:val="22"/>
        </w:rPr>
        <w:t xml:space="preserve">special circumstances warrant a deviation from the general rule, and such deviation will serve </w:t>
      </w:r>
      <w:r w:rsidR="00FE3589" w:rsidRPr="00064ACA">
        <w:rPr>
          <w:color w:val="000000"/>
          <w:szCs w:val="22"/>
        </w:rPr>
        <w:t>the public interest</w:t>
      </w:r>
      <w:bookmarkStart w:id="4" w:name="FN[FN21]"/>
      <w:bookmarkEnd w:id="4"/>
      <w:r w:rsidR="00FE3589" w:rsidRPr="00064ACA">
        <w:rPr>
          <w:color w:val="000000"/>
          <w:szCs w:val="22"/>
        </w:rPr>
        <w:t>.</w:t>
      </w:r>
      <w:r w:rsidR="00FE3589" w:rsidRPr="00064ACA">
        <w:rPr>
          <w:rStyle w:val="FootnoteReference"/>
          <w:color w:val="000000"/>
          <w:szCs w:val="22"/>
        </w:rPr>
        <w:footnoteReference w:id="22"/>
      </w:r>
      <w:r w:rsidR="008F1E7B">
        <w:rPr>
          <w:color w:val="000000"/>
          <w:szCs w:val="22"/>
        </w:rPr>
        <w:t xml:space="preserve">  </w:t>
      </w:r>
      <w:r w:rsidR="004D6766">
        <w:rPr>
          <w:color w:val="000000"/>
          <w:szCs w:val="22"/>
        </w:rPr>
        <w:t>The</w:t>
      </w:r>
      <w:r w:rsidR="00954393" w:rsidRPr="00064ACA">
        <w:rPr>
          <w:szCs w:val="22"/>
        </w:rPr>
        <w:t xml:space="preserve"> </w:t>
      </w:r>
      <w:r w:rsidR="00B87C63" w:rsidRPr="00064ACA">
        <w:rPr>
          <w:szCs w:val="22"/>
        </w:rPr>
        <w:t xml:space="preserve">waiver </w:t>
      </w:r>
      <w:r w:rsidR="00954393" w:rsidRPr="00064ACA">
        <w:rPr>
          <w:szCs w:val="22"/>
        </w:rPr>
        <w:t xml:space="preserve">applicant </w:t>
      </w:r>
      <w:r w:rsidR="008B7E8A">
        <w:rPr>
          <w:szCs w:val="22"/>
          <w:lang w:val="en-US"/>
        </w:rPr>
        <w:t xml:space="preserve">generally </w:t>
      </w:r>
      <w:r w:rsidR="00954393" w:rsidRPr="00064ACA">
        <w:rPr>
          <w:szCs w:val="22"/>
        </w:rPr>
        <w:t>faces a high hurdle and must plead with particularity the facts and circumstances that warrant a waiver.</w:t>
      </w:r>
      <w:r w:rsidR="00954393" w:rsidRPr="00064ACA">
        <w:rPr>
          <w:rStyle w:val="FootnoteReference"/>
          <w:szCs w:val="22"/>
        </w:rPr>
        <w:footnoteReference w:id="23"/>
      </w:r>
      <w:r w:rsidR="00CA07E8">
        <w:rPr>
          <w:szCs w:val="22"/>
          <w:lang w:val="en-US"/>
        </w:rPr>
        <w:t xml:space="preserve"> </w:t>
      </w:r>
      <w:r w:rsidR="008B7E8A">
        <w:rPr>
          <w:szCs w:val="22"/>
          <w:lang w:val="en-US"/>
        </w:rPr>
        <w:t xml:space="preserve"> However, as indicated above, with respect to </w:t>
      </w:r>
      <w:r w:rsidR="007966DF">
        <w:rPr>
          <w:szCs w:val="22"/>
          <w:lang w:val="en-US"/>
        </w:rPr>
        <w:t>applicants</w:t>
      </w:r>
      <w:r w:rsidR="008B7E8A">
        <w:rPr>
          <w:szCs w:val="22"/>
          <w:lang w:val="en-US"/>
        </w:rPr>
        <w:t xml:space="preserve"> </w:t>
      </w:r>
      <w:r w:rsidR="007966DF">
        <w:rPr>
          <w:szCs w:val="22"/>
          <w:lang w:val="en-US"/>
        </w:rPr>
        <w:t xml:space="preserve">for </w:t>
      </w:r>
      <w:r w:rsidR="008B7E8A">
        <w:rPr>
          <w:szCs w:val="22"/>
          <w:lang w:val="en-US"/>
        </w:rPr>
        <w:t xml:space="preserve">waivers of the CAP-related obligations set forth in </w:t>
      </w:r>
      <w:r w:rsidR="00E73E67">
        <w:rPr>
          <w:szCs w:val="22"/>
          <w:lang w:val="en-US"/>
        </w:rPr>
        <w:t>S</w:t>
      </w:r>
      <w:r w:rsidR="008B7E8A">
        <w:rPr>
          <w:szCs w:val="22"/>
          <w:lang w:val="en-US"/>
        </w:rPr>
        <w:t xml:space="preserve">ection 11.56 of the Commission’s rules, the Commission has established a presumption in favor of granting temporary waivers based upon the </w:t>
      </w:r>
      <w:r w:rsidR="008B7E8A">
        <w:rPr>
          <w:szCs w:val="22"/>
        </w:rPr>
        <w:t>physical unavailability of broadband Internet service</w:t>
      </w:r>
      <w:r w:rsidR="008B7E8A">
        <w:rPr>
          <w:szCs w:val="22"/>
          <w:lang w:val="en-US"/>
        </w:rPr>
        <w:t>.</w:t>
      </w:r>
      <w:r w:rsidR="008B7E8A">
        <w:rPr>
          <w:rStyle w:val="FootnoteReference"/>
          <w:szCs w:val="22"/>
        </w:rPr>
        <w:footnoteReference w:id="24"/>
      </w:r>
    </w:p>
    <w:p w:rsidR="006C2B74" w:rsidRPr="00CB5392" w:rsidRDefault="006C2B74" w:rsidP="006C2B74">
      <w:pPr>
        <w:pStyle w:val="ParaNum"/>
        <w:widowControl/>
        <w:numPr>
          <w:ilvl w:val="0"/>
          <w:numId w:val="0"/>
        </w:numPr>
        <w:ind w:left="720"/>
        <w:rPr>
          <w:szCs w:val="22"/>
        </w:rPr>
      </w:pPr>
    </w:p>
    <w:p w:rsidR="006C2B74" w:rsidRPr="006C2B74" w:rsidRDefault="00CA07E8" w:rsidP="009C3CF1">
      <w:pPr>
        <w:pStyle w:val="ParaNum"/>
        <w:widowControl/>
        <w:tabs>
          <w:tab w:val="clear" w:pos="900"/>
          <w:tab w:val="num" w:pos="720"/>
        </w:tabs>
        <w:ind w:left="0" w:firstLine="720"/>
        <w:rPr>
          <w:szCs w:val="22"/>
        </w:rPr>
      </w:pPr>
      <w:r>
        <w:t xml:space="preserve">We find that </w:t>
      </w:r>
      <w:r w:rsidR="00D96F06">
        <w:rPr>
          <w:lang w:val="en-US"/>
        </w:rPr>
        <w:t xml:space="preserve">the Petitions </w:t>
      </w:r>
      <w:r w:rsidR="008B7E8A" w:rsidRPr="00A9716F">
        <w:rPr>
          <w:lang w:val="en-US"/>
        </w:rPr>
        <w:t xml:space="preserve">all meet the presumption for temporary waiver of the CAP-related obligations set forth in </w:t>
      </w:r>
      <w:r w:rsidR="00E73E67">
        <w:rPr>
          <w:szCs w:val="22"/>
          <w:lang w:val="en-US"/>
        </w:rPr>
        <w:t>S</w:t>
      </w:r>
      <w:r w:rsidR="008B7E8A" w:rsidRPr="006C2B74">
        <w:rPr>
          <w:szCs w:val="22"/>
          <w:lang w:val="en-US"/>
        </w:rPr>
        <w:t xml:space="preserve">ection 11.56 of the Commission’s rules, as established by the Commission in the </w:t>
      </w:r>
      <w:r w:rsidR="00D15AE6">
        <w:rPr>
          <w:i/>
          <w:szCs w:val="22"/>
          <w:lang w:val="en-US"/>
        </w:rPr>
        <w:t>EAS Fifth R</w:t>
      </w:r>
      <w:r w:rsidR="008B7E8A" w:rsidRPr="006C2B74">
        <w:rPr>
          <w:i/>
          <w:szCs w:val="22"/>
          <w:lang w:val="en-US"/>
        </w:rPr>
        <w:t>eport and Order</w:t>
      </w:r>
      <w:r w:rsidR="00D96F06" w:rsidRPr="00FF3224">
        <w:rPr>
          <w:lang w:val="en-US"/>
        </w:rPr>
        <w:t>.</w:t>
      </w:r>
      <w:r w:rsidR="004A4497">
        <w:rPr>
          <w:rStyle w:val="FootnoteReference"/>
          <w:lang w:val="en-US"/>
        </w:rPr>
        <w:footnoteReference w:id="25"/>
      </w:r>
      <w:r w:rsidR="00A9716F" w:rsidRPr="00A9716F">
        <w:rPr>
          <w:lang w:val="en-US"/>
        </w:rPr>
        <w:t xml:space="preserve">  </w:t>
      </w:r>
      <w:r w:rsidR="009A5839" w:rsidRPr="00A9716F">
        <w:rPr>
          <w:lang w:val="en-US"/>
        </w:rPr>
        <w:t xml:space="preserve">We further observe that </w:t>
      </w:r>
      <w:r w:rsidR="00A9716F" w:rsidRPr="00A9716F">
        <w:rPr>
          <w:lang w:val="en-US"/>
        </w:rPr>
        <w:t xml:space="preserve">Petitioners </w:t>
      </w:r>
      <w:r w:rsidR="009A5839" w:rsidRPr="006C2B74">
        <w:rPr>
          <w:szCs w:val="22"/>
        </w:rPr>
        <w:t>continue</w:t>
      </w:r>
      <w:r w:rsidR="00A9716F" w:rsidRPr="006C2B74">
        <w:rPr>
          <w:szCs w:val="22"/>
          <w:lang w:val="en-US"/>
        </w:rPr>
        <w:t>d</w:t>
      </w:r>
      <w:r w:rsidR="009A5839" w:rsidRPr="006C2B74">
        <w:rPr>
          <w:szCs w:val="22"/>
        </w:rPr>
        <w:t xml:space="preserve"> to operate legacy EAS equipment</w:t>
      </w:r>
      <w:r w:rsidR="00A9716F" w:rsidRPr="006C2B74">
        <w:rPr>
          <w:szCs w:val="22"/>
          <w:lang w:val="en-US"/>
        </w:rPr>
        <w:t xml:space="preserve"> at all times, thus, the public was not deprived of EAS alerts.</w:t>
      </w:r>
      <w:r w:rsidR="009A5839">
        <w:rPr>
          <w:rStyle w:val="FootnoteReference"/>
          <w:szCs w:val="22"/>
        </w:rPr>
        <w:footnoteReference w:id="26"/>
      </w:r>
      <w:r w:rsidR="009A5839" w:rsidRPr="006C2B74">
        <w:rPr>
          <w:bCs/>
          <w:color w:val="262626"/>
          <w:szCs w:val="22"/>
        </w:rPr>
        <w:t xml:space="preserve"> </w:t>
      </w:r>
      <w:r w:rsidR="00A9716F" w:rsidRPr="006C2B74">
        <w:rPr>
          <w:bCs/>
          <w:color w:val="262626"/>
          <w:szCs w:val="22"/>
          <w:lang w:val="en-US"/>
        </w:rPr>
        <w:t xml:space="preserve"> </w:t>
      </w:r>
      <w:r w:rsidR="00A9716F" w:rsidRPr="00412215">
        <w:rPr>
          <w:bCs/>
          <w:szCs w:val="22"/>
          <w:lang w:val="en-US"/>
        </w:rPr>
        <w:t xml:space="preserve">Finally, we note that </w:t>
      </w:r>
      <w:r w:rsidR="008B7E8A" w:rsidRPr="006C2B74">
        <w:rPr>
          <w:szCs w:val="22"/>
          <w:lang w:val="en-US"/>
        </w:rPr>
        <w:t>Petitioners</w:t>
      </w:r>
      <w:r w:rsidR="009A5839" w:rsidRPr="006C2B74">
        <w:rPr>
          <w:szCs w:val="22"/>
          <w:lang w:val="en-US"/>
        </w:rPr>
        <w:t xml:space="preserve"> have subsequently notified the Commission that all of the </w:t>
      </w:r>
      <w:r w:rsidR="008B7E8A" w:rsidRPr="006C2B74">
        <w:rPr>
          <w:szCs w:val="22"/>
          <w:lang w:val="en-US"/>
        </w:rPr>
        <w:t xml:space="preserve">systems </w:t>
      </w:r>
      <w:r w:rsidR="009A5839" w:rsidRPr="006C2B74">
        <w:rPr>
          <w:szCs w:val="22"/>
          <w:lang w:val="en-US"/>
        </w:rPr>
        <w:t xml:space="preserve">subject to their waiver requests </w:t>
      </w:r>
      <w:r w:rsidR="008B7E8A" w:rsidRPr="006C2B74">
        <w:rPr>
          <w:szCs w:val="22"/>
          <w:lang w:val="en-US"/>
        </w:rPr>
        <w:t xml:space="preserve">are in compliance with Section 11.56 or, in the case of </w:t>
      </w:r>
      <w:r w:rsidR="009A5839" w:rsidRPr="006C2B74">
        <w:rPr>
          <w:szCs w:val="22"/>
          <w:lang w:val="en-US"/>
        </w:rPr>
        <w:t>New Ulm, no longer in service.</w:t>
      </w:r>
      <w:r w:rsidR="007966DF">
        <w:rPr>
          <w:rStyle w:val="FootnoteReference"/>
          <w:szCs w:val="22"/>
          <w:lang w:val="en-US"/>
        </w:rPr>
        <w:footnoteReference w:id="27"/>
      </w:r>
      <w:r w:rsidR="009A5839" w:rsidRPr="006C2B74">
        <w:rPr>
          <w:szCs w:val="22"/>
          <w:lang w:val="en-US"/>
        </w:rPr>
        <w:t xml:space="preserve">  </w:t>
      </w:r>
    </w:p>
    <w:p w:rsidR="006C2B74" w:rsidRPr="00A9716F" w:rsidRDefault="006C2B74" w:rsidP="006C2B74">
      <w:pPr>
        <w:pStyle w:val="ParaNum"/>
        <w:widowControl/>
        <w:numPr>
          <w:ilvl w:val="0"/>
          <w:numId w:val="0"/>
        </w:numPr>
        <w:ind w:firstLine="360"/>
        <w:rPr>
          <w:szCs w:val="22"/>
        </w:rPr>
      </w:pPr>
    </w:p>
    <w:p w:rsidR="00DC49B9" w:rsidRPr="00DC49B9" w:rsidRDefault="00A9716F" w:rsidP="00DC49B9">
      <w:pPr>
        <w:pStyle w:val="ParaNum"/>
        <w:widowControl/>
        <w:tabs>
          <w:tab w:val="clear" w:pos="900"/>
          <w:tab w:val="num" w:pos="720"/>
        </w:tabs>
        <w:ind w:left="0" w:firstLine="720"/>
        <w:rPr>
          <w:szCs w:val="22"/>
        </w:rPr>
      </w:pPr>
      <w:r>
        <w:t>Accordingly, we grant</w:t>
      </w:r>
      <w:r w:rsidR="00386293">
        <w:t xml:space="preserve">, </w:t>
      </w:r>
      <w:r w:rsidR="00386293" w:rsidRPr="00DC49B9">
        <w:rPr>
          <w:i/>
        </w:rPr>
        <w:t>nunc pro tunc</w:t>
      </w:r>
      <w:r w:rsidR="00386293">
        <w:t>,</w:t>
      </w:r>
      <w:r>
        <w:t xml:space="preserve"> </w:t>
      </w:r>
      <w:r w:rsidR="00E11898">
        <w:t xml:space="preserve">the </w:t>
      </w:r>
      <w:r w:rsidR="004D6766">
        <w:t>Petitioner</w:t>
      </w:r>
      <w:r w:rsidR="00E11898">
        <w:t>s</w:t>
      </w:r>
      <w:r w:rsidR="0067117A">
        <w:t xml:space="preserve">’ temporary waiver requests for the period of June 30, 2012, until the date upon which </w:t>
      </w:r>
      <w:r w:rsidR="00386293">
        <w:t xml:space="preserve">the </w:t>
      </w:r>
      <w:r w:rsidR="0067117A">
        <w:t xml:space="preserve">systems subject to the temporary waiver requests became compliant with the CAP obligations set forth in Section 11.56 </w:t>
      </w:r>
      <w:r w:rsidR="0067117A" w:rsidRPr="00A9716F">
        <w:t>of the Commission’s rules</w:t>
      </w:r>
      <w:r w:rsidR="00386293">
        <w:t>, as identified in the Petitioners’ correspondence identified above</w:t>
      </w:r>
      <w:r w:rsidR="0067117A">
        <w:t>.</w:t>
      </w:r>
      <w:r w:rsidR="00386293">
        <w:rPr>
          <w:rStyle w:val="FootnoteReference"/>
          <w:szCs w:val="22"/>
          <w:lang w:val="en-US"/>
        </w:rPr>
        <w:footnoteReference w:id="28"/>
      </w:r>
    </w:p>
    <w:p w:rsidR="00DC49B9" w:rsidRDefault="00DC49B9" w:rsidP="00DC49B9">
      <w:pPr>
        <w:pStyle w:val="ListParagraph"/>
        <w:rPr>
          <w:szCs w:val="22"/>
        </w:rPr>
      </w:pPr>
    </w:p>
    <w:p w:rsidR="00DC49B9" w:rsidRPr="00DC49B9" w:rsidRDefault="00DC49B9" w:rsidP="00DC49B9">
      <w:pPr>
        <w:pStyle w:val="ParaNum"/>
        <w:widowControl/>
        <w:numPr>
          <w:ilvl w:val="0"/>
          <w:numId w:val="0"/>
        </w:numPr>
        <w:tabs>
          <w:tab w:val="left" w:pos="0"/>
        </w:tabs>
        <w:rPr>
          <w:b/>
          <w:szCs w:val="22"/>
        </w:rPr>
      </w:pPr>
      <w:r w:rsidRPr="00DC49B9">
        <w:rPr>
          <w:b/>
          <w:szCs w:val="22"/>
        </w:rPr>
        <w:t>IV.</w:t>
      </w:r>
      <w:r w:rsidRPr="00DC49B9">
        <w:rPr>
          <w:b/>
          <w:szCs w:val="22"/>
        </w:rPr>
        <w:tab/>
        <w:t>Ordering Clauses</w:t>
      </w:r>
    </w:p>
    <w:p w:rsidR="00DC49B9" w:rsidRDefault="00DC49B9" w:rsidP="00DC49B9">
      <w:pPr>
        <w:pStyle w:val="ListParagraph"/>
        <w:rPr>
          <w:szCs w:val="22"/>
        </w:rPr>
      </w:pPr>
    </w:p>
    <w:p w:rsidR="00DC49B9" w:rsidRPr="00DC49B9" w:rsidRDefault="00DC49B9" w:rsidP="00DC49B9">
      <w:pPr>
        <w:pStyle w:val="ParaNum"/>
        <w:widowControl/>
        <w:tabs>
          <w:tab w:val="clear" w:pos="900"/>
          <w:tab w:val="num" w:pos="720"/>
        </w:tabs>
        <w:ind w:left="0" w:firstLine="720"/>
        <w:rPr>
          <w:szCs w:val="22"/>
        </w:rPr>
      </w:pPr>
      <w:r w:rsidRPr="00DC49B9">
        <w:rPr>
          <w:szCs w:val="22"/>
        </w:rPr>
        <w:t>Accordingly, IT IS ORDERED that pursuant to Section 4(i) of the Communications Act of 1934, as amended, 47 U.S.C. § 154(i), and Section 1.3 of the Commission's Rules, 47 C.F.R. § 1.3, the “Requests for Temporary Waiver” filed by Charter Communications; Comcast Cable Communications, LLC; Kenai Broadcasting, LLC; New Ulm Telecom, Inc.; Oregon Amateur Radio Club; Townsquare Media Oneonta License, LLC; Western Oregon Radio Club, Inc.; and WVCH Communications, Inc., ARE GRANTED, as specified herein.</w:t>
      </w:r>
    </w:p>
    <w:p w:rsidR="00634F7C" w:rsidRDefault="00634F7C" w:rsidP="00322D58">
      <w:pPr>
        <w:pStyle w:val="ParaNum"/>
        <w:numPr>
          <w:ilvl w:val="0"/>
          <w:numId w:val="0"/>
        </w:numPr>
        <w:rPr>
          <w:b/>
          <w:szCs w:val="22"/>
          <w:lang w:val="en-US"/>
        </w:rPr>
      </w:pPr>
    </w:p>
    <w:p w:rsidR="0002240D" w:rsidRPr="00064ACA" w:rsidRDefault="0002240D" w:rsidP="0002240D">
      <w:pPr>
        <w:pStyle w:val="ParaNum"/>
        <w:widowControl/>
        <w:numPr>
          <w:ilvl w:val="0"/>
          <w:numId w:val="0"/>
        </w:numPr>
        <w:rPr>
          <w:szCs w:val="22"/>
        </w:rPr>
      </w:pPr>
    </w:p>
    <w:p w:rsidR="00416170" w:rsidRPr="00064ACA" w:rsidRDefault="000F7097" w:rsidP="00AE5DE2">
      <w:pPr>
        <w:pStyle w:val="ParaNum"/>
        <w:widowControl/>
        <w:tabs>
          <w:tab w:val="clear" w:pos="900"/>
          <w:tab w:val="num" w:pos="720"/>
        </w:tabs>
        <w:ind w:left="0" w:firstLine="720"/>
        <w:rPr>
          <w:snapToGrid/>
          <w:kern w:val="0"/>
          <w:szCs w:val="22"/>
        </w:rPr>
      </w:pPr>
      <w:r w:rsidRPr="00064ACA">
        <w:rPr>
          <w:szCs w:val="22"/>
        </w:rPr>
        <w:t>This action is taken under delegated authority pursuant to Sections 0.191 and 0.392 of the Commission’s rules, 47 C.F.R. §§ 0.191, 0.392.</w:t>
      </w:r>
    </w:p>
    <w:p w:rsidR="00416170" w:rsidRPr="00064ACA" w:rsidRDefault="00416170">
      <w:pPr>
        <w:pStyle w:val="ParaNum"/>
        <w:numPr>
          <w:ilvl w:val="0"/>
          <w:numId w:val="0"/>
        </w:numPr>
        <w:ind w:left="-540"/>
        <w:rPr>
          <w:szCs w:val="22"/>
        </w:rPr>
      </w:pPr>
    </w:p>
    <w:p w:rsidR="00416170" w:rsidRPr="00064ACA" w:rsidRDefault="00416170">
      <w:pPr>
        <w:ind w:left="3600"/>
        <w:rPr>
          <w:szCs w:val="22"/>
        </w:rPr>
      </w:pPr>
      <w:r w:rsidRPr="00064ACA">
        <w:rPr>
          <w:szCs w:val="22"/>
        </w:rPr>
        <w:t>FEDERAL COMMUNICATIONS COMMISSION</w:t>
      </w:r>
    </w:p>
    <w:p w:rsidR="00416170" w:rsidRPr="00064ACA" w:rsidRDefault="00416170">
      <w:pPr>
        <w:ind w:left="4320"/>
        <w:rPr>
          <w:szCs w:val="22"/>
        </w:rPr>
      </w:pPr>
    </w:p>
    <w:p w:rsidR="00416170" w:rsidRPr="00064ACA" w:rsidRDefault="00416170">
      <w:pPr>
        <w:ind w:left="4320"/>
        <w:rPr>
          <w:szCs w:val="22"/>
        </w:rPr>
      </w:pPr>
    </w:p>
    <w:p w:rsidR="00416170" w:rsidRPr="00064ACA" w:rsidRDefault="00416170">
      <w:pPr>
        <w:ind w:left="4320"/>
        <w:rPr>
          <w:szCs w:val="22"/>
        </w:rPr>
      </w:pPr>
    </w:p>
    <w:p w:rsidR="004F30BF" w:rsidRDefault="000F7097" w:rsidP="000F7097">
      <w:pPr>
        <w:tabs>
          <w:tab w:val="left" w:pos="3600"/>
        </w:tabs>
        <w:rPr>
          <w:szCs w:val="22"/>
        </w:rPr>
      </w:pPr>
      <w:r w:rsidRPr="00064ACA">
        <w:rPr>
          <w:szCs w:val="22"/>
        </w:rPr>
        <w:tab/>
      </w:r>
      <w:r w:rsidR="00D523B3">
        <w:rPr>
          <w:szCs w:val="22"/>
        </w:rPr>
        <w:t xml:space="preserve">David </w:t>
      </w:r>
      <w:r w:rsidR="0068747C">
        <w:rPr>
          <w:szCs w:val="22"/>
        </w:rPr>
        <w:t>G</w:t>
      </w:r>
      <w:r w:rsidR="00D523B3">
        <w:rPr>
          <w:szCs w:val="22"/>
        </w:rPr>
        <w:t>. Simpson</w:t>
      </w:r>
    </w:p>
    <w:p w:rsidR="000F7097" w:rsidRPr="00064ACA" w:rsidRDefault="004F30BF" w:rsidP="000F7097">
      <w:pPr>
        <w:tabs>
          <w:tab w:val="left" w:pos="3600"/>
        </w:tabs>
        <w:rPr>
          <w:szCs w:val="22"/>
        </w:rPr>
      </w:pPr>
      <w:r>
        <w:rPr>
          <w:szCs w:val="22"/>
        </w:rPr>
        <w:tab/>
      </w:r>
      <w:r w:rsidRPr="004F30BF">
        <w:rPr>
          <w:szCs w:val="22"/>
        </w:rPr>
        <w:t>Rear Admiral (Ret.), USN</w:t>
      </w:r>
    </w:p>
    <w:p w:rsidR="00416170" w:rsidRPr="00064ACA" w:rsidRDefault="000F7097" w:rsidP="00335E9B">
      <w:pPr>
        <w:tabs>
          <w:tab w:val="left" w:pos="3600"/>
        </w:tabs>
        <w:rPr>
          <w:szCs w:val="22"/>
        </w:rPr>
      </w:pPr>
      <w:r w:rsidRPr="00064ACA">
        <w:rPr>
          <w:szCs w:val="22"/>
        </w:rPr>
        <w:tab/>
        <w:t>Chief</w:t>
      </w:r>
      <w:r w:rsidR="004F30BF">
        <w:rPr>
          <w:szCs w:val="22"/>
        </w:rPr>
        <w:t xml:space="preserve">, </w:t>
      </w:r>
      <w:r w:rsidRPr="00064ACA">
        <w:rPr>
          <w:szCs w:val="22"/>
        </w:rPr>
        <w:t>Public Safety and Homeland Security Bureau</w:t>
      </w:r>
    </w:p>
    <w:sectPr w:rsidR="00416170" w:rsidRPr="00064ACA" w:rsidSect="007046A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296"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4C" w:rsidRDefault="00A16C4C">
      <w:r>
        <w:separator/>
      </w:r>
    </w:p>
  </w:endnote>
  <w:endnote w:type="continuationSeparator" w:id="0">
    <w:p w:rsidR="00A16C4C" w:rsidRDefault="00A16C4C">
      <w:r>
        <w:continuationSeparator/>
      </w:r>
    </w:p>
  </w:endnote>
  <w:endnote w:type="continuationNotice" w:id="1">
    <w:p w:rsidR="00A16C4C" w:rsidRDefault="00A1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86" w:rsidRDefault="00AF3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B" w:rsidRDefault="00F95C2B" w:rsidP="00064ACA">
    <w:pPr>
      <w:pStyle w:val="Footer"/>
      <w:jc w:val="center"/>
    </w:pPr>
    <w:r>
      <w:fldChar w:fldCharType="begin"/>
    </w:r>
    <w:r>
      <w:instrText xml:space="preserve"> PAGE   \* MERGEFORMAT </w:instrText>
    </w:r>
    <w:r>
      <w:fldChar w:fldCharType="separate"/>
    </w:r>
    <w:r w:rsidR="00D15AE6">
      <w:rPr>
        <w:noProof/>
      </w:rPr>
      <w:t>4</w:t>
    </w:r>
    <w:r>
      <w:rPr>
        <w:noProof/>
      </w:rPr>
      <w:fldChar w:fldCharType="end"/>
    </w:r>
  </w:p>
  <w:p w:rsidR="00F95C2B" w:rsidRDefault="00F95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86" w:rsidRDefault="00AF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4C" w:rsidRDefault="00A16C4C">
      <w:r>
        <w:separator/>
      </w:r>
    </w:p>
  </w:footnote>
  <w:footnote w:type="continuationSeparator" w:id="0">
    <w:p w:rsidR="00A16C4C" w:rsidRDefault="00A16C4C">
      <w:r>
        <w:continuationSeparator/>
      </w:r>
    </w:p>
  </w:footnote>
  <w:footnote w:type="continuationNotice" w:id="1">
    <w:p w:rsidR="00A16C4C" w:rsidRDefault="00A16C4C"/>
  </w:footnote>
  <w:footnote w:id="2">
    <w:p w:rsidR="00F95C2B" w:rsidRDefault="00F95C2B" w:rsidP="003E0048">
      <w:pPr>
        <w:pStyle w:val="FootnoteText"/>
        <w:spacing w:after="120"/>
      </w:pPr>
      <w:r>
        <w:rPr>
          <w:rStyle w:val="FootnoteReference"/>
        </w:rPr>
        <w:footnoteRef/>
      </w:r>
      <w:r w:rsidRPr="00285EF4">
        <w:t xml:space="preserve"> 47 C.F.R. § 11.56.  </w:t>
      </w:r>
    </w:p>
  </w:footnote>
  <w:footnote w:id="3">
    <w:p w:rsidR="00F95C2B" w:rsidRDefault="00F95C2B" w:rsidP="003E0048">
      <w:pPr>
        <w:pStyle w:val="FootnoteText"/>
        <w:spacing w:after="120"/>
      </w:pPr>
      <w:r>
        <w:rPr>
          <w:rStyle w:val="FootnoteReference"/>
        </w:rPr>
        <w:footnoteRef/>
      </w:r>
      <w:r>
        <w:t xml:space="preserve"> </w:t>
      </w:r>
      <w:r w:rsidRPr="00347B1F">
        <w:rPr>
          <w:i/>
        </w:rPr>
        <w:t>See</w:t>
      </w:r>
      <w:r>
        <w:t xml:space="preserve"> Charter </w:t>
      </w:r>
      <w:r w:rsidRPr="00EA19F6">
        <w:t xml:space="preserve">Communications, </w:t>
      </w:r>
      <w:r>
        <w:t xml:space="preserve">Petition for Temporary Waiver, </w:t>
      </w:r>
      <w:r w:rsidRPr="00285EF4">
        <w:t xml:space="preserve">EB Docket No. 04-296 (filed </w:t>
      </w:r>
      <w:r>
        <w:t xml:space="preserve">June 21, </w:t>
      </w:r>
      <w:r w:rsidRPr="00285EF4">
        <w:t>2012</w:t>
      </w:r>
      <w:r>
        <w:t>)</w:t>
      </w:r>
      <w:r w:rsidR="00386293">
        <w:t xml:space="preserve"> (Charter Petition)</w:t>
      </w:r>
      <w:r>
        <w:t xml:space="preserve">; </w:t>
      </w:r>
      <w:r w:rsidR="00E73E67">
        <w:rPr>
          <w:i/>
        </w:rPr>
        <w:t xml:space="preserve">see also </w:t>
      </w:r>
      <w:r>
        <w:t xml:space="preserve">Charter </w:t>
      </w:r>
      <w:r w:rsidRPr="00EA19F6">
        <w:t xml:space="preserve">Communications, </w:t>
      </w:r>
      <w:r>
        <w:t xml:space="preserve">Petition for Temporary Waiver, </w:t>
      </w:r>
      <w:r w:rsidRPr="00285EF4">
        <w:t>EB Docket No. 04-296 (</w:t>
      </w:r>
      <w:r>
        <w:t>filed on Dec. 31, 2012)</w:t>
      </w:r>
      <w:r w:rsidR="00386293">
        <w:t xml:space="preserve"> (renewing Charter Petition)</w:t>
      </w:r>
      <w:r>
        <w:t>.</w:t>
      </w:r>
    </w:p>
  </w:footnote>
  <w:footnote w:id="4">
    <w:p w:rsidR="00F95C2B" w:rsidRDefault="00F95C2B" w:rsidP="003E0048">
      <w:pPr>
        <w:pStyle w:val="FootnoteText"/>
        <w:spacing w:after="120"/>
      </w:pPr>
      <w:r>
        <w:rPr>
          <w:rStyle w:val="FootnoteReference"/>
        </w:rPr>
        <w:footnoteRef/>
      </w:r>
      <w:r>
        <w:t xml:space="preserve"> </w:t>
      </w:r>
      <w:r w:rsidRPr="003E0048">
        <w:rPr>
          <w:i/>
        </w:rPr>
        <w:t>See</w:t>
      </w:r>
      <w:r>
        <w:t xml:space="preserve"> </w:t>
      </w:r>
      <w:r>
        <w:rPr>
          <w:szCs w:val="22"/>
        </w:rPr>
        <w:t>Comcast Cable Communications, LLC</w:t>
      </w:r>
      <w:r w:rsidRPr="00EA19F6">
        <w:t xml:space="preserve">, </w:t>
      </w:r>
      <w:r>
        <w:t xml:space="preserve">Petition for Temporary Waiver, </w:t>
      </w:r>
      <w:r w:rsidRPr="00285EF4">
        <w:t xml:space="preserve">EB Docket No. 04-296 (filed </w:t>
      </w:r>
      <w:r>
        <w:t xml:space="preserve">June 20, </w:t>
      </w:r>
      <w:r w:rsidRPr="00285EF4">
        <w:t>2012)</w:t>
      </w:r>
      <w:r w:rsidR="00386293">
        <w:t xml:space="preserve"> </w:t>
      </w:r>
      <w:r>
        <w:t xml:space="preserve">(Comcast Petition); </w:t>
      </w:r>
      <w:r w:rsidR="00E73E67">
        <w:rPr>
          <w:i/>
        </w:rPr>
        <w:t xml:space="preserve">see also </w:t>
      </w:r>
      <w:r w:rsidRPr="00045683">
        <w:t xml:space="preserve">Letter </w:t>
      </w:r>
      <w:r>
        <w:t xml:space="preserve">from Steven J. Horvitz, Davis Wright Tremaine LLP, </w:t>
      </w:r>
      <w:r w:rsidRPr="00045683">
        <w:t xml:space="preserve">to </w:t>
      </w:r>
      <w:r>
        <w:t xml:space="preserve">David S. Turetsky, Chief, Public Safety and Homeland Security Bureau, </w:t>
      </w:r>
      <w:r w:rsidRPr="00045683">
        <w:t xml:space="preserve">FCC, EB Docket </w:t>
      </w:r>
      <w:r w:rsidR="00E73E67">
        <w:t xml:space="preserve">No. </w:t>
      </w:r>
      <w:r w:rsidRPr="00045683">
        <w:t>04-296 (filed</w:t>
      </w:r>
      <w:r>
        <w:t xml:space="preserve"> Dec. 26, </w:t>
      </w:r>
      <w:r w:rsidRPr="00045683">
        <w:t>201</w:t>
      </w:r>
      <w:r>
        <w:t>2</w:t>
      </w:r>
      <w:r w:rsidRPr="00045683">
        <w:t>)</w:t>
      </w:r>
      <w:r>
        <w:t xml:space="preserve"> (supplementing </w:t>
      </w:r>
      <w:r w:rsidR="00386293">
        <w:t>Comcast Petition</w:t>
      </w:r>
      <w:r>
        <w:t>)</w:t>
      </w:r>
      <w:r w:rsidR="00386293">
        <w:t>.</w:t>
      </w:r>
      <w:r>
        <w:t xml:space="preserve"> </w:t>
      </w:r>
    </w:p>
  </w:footnote>
  <w:footnote w:id="5">
    <w:p w:rsidR="00F95C2B" w:rsidRDefault="00F95C2B" w:rsidP="003E0048">
      <w:pPr>
        <w:pStyle w:val="FootnoteText"/>
        <w:spacing w:after="120"/>
      </w:pPr>
      <w:r>
        <w:rPr>
          <w:rStyle w:val="FootnoteReference"/>
        </w:rPr>
        <w:footnoteRef/>
      </w:r>
      <w:r>
        <w:t xml:space="preserve"> </w:t>
      </w:r>
      <w:r w:rsidRPr="003E0048">
        <w:rPr>
          <w:i/>
        </w:rPr>
        <w:t>See</w:t>
      </w:r>
      <w:r>
        <w:t xml:space="preserve"> </w:t>
      </w:r>
      <w:r w:rsidRPr="00045683">
        <w:t xml:space="preserve">Letter </w:t>
      </w:r>
      <w:r>
        <w:t xml:space="preserve">from David Tillotson, on behalf of Kenai Broadcasting, LLC, </w:t>
      </w:r>
      <w:r w:rsidRPr="00045683">
        <w:t xml:space="preserve">to Marlene H. Dortch, Secretary, FCC, EB Docket </w:t>
      </w:r>
      <w:r w:rsidR="00E73E67">
        <w:t xml:space="preserve">No. </w:t>
      </w:r>
      <w:r w:rsidRPr="00045683">
        <w:t xml:space="preserve">04-296 (filed </w:t>
      </w:r>
      <w:r>
        <w:t>June 12</w:t>
      </w:r>
      <w:r w:rsidRPr="00045683">
        <w:t>, 201</w:t>
      </w:r>
      <w:r>
        <w:t>2</w:t>
      </w:r>
      <w:r w:rsidRPr="00045683">
        <w:t>)</w:t>
      </w:r>
      <w:r>
        <w:t xml:space="preserve"> (seeking a waiver of the CAP-related requirements in </w:t>
      </w:r>
      <w:r w:rsidRPr="00285EF4">
        <w:t>47 C.F.R. § 11.56</w:t>
      </w:r>
      <w:r>
        <w:t>) (Kenai Petition).</w:t>
      </w:r>
    </w:p>
  </w:footnote>
  <w:footnote w:id="6">
    <w:p w:rsidR="00F95C2B" w:rsidRDefault="00F95C2B" w:rsidP="003E0048">
      <w:pPr>
        <w:pStyle w:val="FootnoteText"/>
        <w:spacing w:after="120"/>
      </w:pPr>
      <w:r>
        <w:rPr>
          <w:rStyle w:val="FootnoteReference"/>
        </w:rPr>
        <w:footnoteRef/>
      </w:r>
      <w:r>
        <w:t xml:space="preserve"> </w:t>
      </w:r>
      <w:r w:rsidRPr="003E0048">
        <w:rPr>
          <w:i/>
        </w:rPr>
        <w:t>See</w:t>
      </w:r>
      <w:r>
        <w:t xml:space="preserve"> </w:t>
      </w:r>
      <w:r w:rsidRPr="00045683">
        <w:t xml:space="preserve">Letter </w:t>
      </w:r>
      <w:r>
        <w:t xml:space="preserve">from Scott C. Friedman, Cinnamon Mueller, </w:t>
      </w:r>
      <w:r w:rsidRPr="00045683">
        <w:t xml:space="preserve">to </w:t>
      </w:r>
      <w:r>
        <w:t xml:space="preserve">David S. Turetsky, Chief, Public Safety and Homeland Security Bureau, </w:t>
      </w:r>
      <w:r w:rsidRPr="00045683">
        <w:t xml:space="preserve">FCC, EB Docket </w:t>
      </w:r>
      <w:r w:rsidR="00E73E67">
        <w:t xml:space="preserve">No. </w:t>
      </w:r>
      <w:r w:rsidRPr="00045683">
        <w:t xml:space="preserve">04-296 (filed </w:t>
      </w:r>
      <w:r>
        <w:t>June 29</w:t>
      </w:r>
      <w:r w:rsidRPr="00045683">
        <w:t>, 201</w:t>
      </w:r>
      <w:r>
        <w:t>2</w:t>
      </w:r>
      <w:r w:rsidRPr="00045683">
        <w:t>)</w:t>
      </w:r>
      <w:r>
        <w:t xml:space="preserve"> (seeking a waiver of the CAP-related requirements in </w:t>
      </w:r>
      <w:r w:rsidRPr="00285EF4">
        <w:t>47 C.F.R. § 11.56</w:t>
      </w:r>
      <w:r>
        <w:t>)</w:t>
      </w:r>
      <w:r w:rsidR="0077656F">
        <w:t xml:space="preserve"> </w:t>
      </w:r>
      <w:r>
        <w:t>(</w:t>
      </w:r>
      <w:r w:rsidR="0077656F">
        <w:t>New Ulm Petition</w:t>
      </w:r>
      <w:r>
        <w:t>)</w:t>
      </w:r>
      <w:r w:rsidR="0077656F">
        <w:t xml:space="preserve">; </w:t>
      </w:r>
      <w:r w:rsidR="00E73E67">
        <w:rPr>
          <w:i/>
        </w:rPr>
        <w:t xml:space="preserve">see also </w:t>
      </w:r>
      <w:r w:rsidR="0077656F" w:rsidRPr="00045683">
        <w:t>Letter</w:t>
      </w:r>
      <w:r w:rsidR="0077656F">
        <w:t>s</w:t>
      </w:r>
      <w:r w:rsidR="0077656F" w:rsidRPr="00045683">
        <w:t xml:space="preserve"> </w:t>
      </w:r>
      <w:r w:rsidR="0077656F">
        <w:t xml:space="preserve">from Scott C. Friedman, Cinnamon Mueller, </w:t>
      </w:r>
      <w:r w:rsidR="0077656F" w:rsidRPr="00045683">
        <w:t xml:space="preserve">to </w:t>
      </w:r>
      <w:r w:rsidR="0077656F">
        <w:t xml:space="preserve">David S. Turetsky, Chief, Public Safety and Homeland Security Bureau, </w:t>
      </w:r>
      <w:r w:rsidR="0077656F" w:rsidRPr="00045683">
        <w:t xml:space="preserve">FCC, EB Docket </w:t>
      </w:r>
      <w:r w:rsidR="00E73E67">
        <w:t xml:space="preserve">No. </w:t>
      </w:r>
      <w:r w:rsidR="0077656F" w:rsidRPr="00045683">
        <w:t xml:space="preserve">04-296 (filed </w:t>
      </w:r>
      <w:r w:rsidR="0077656F">
        <w:t>June 28, 2013, and Dec. 31, 2013</w:t>
      </w:r>
      <w:r w:rsidR="0077656F" w:rsidRPr="00045683">
        <w:t>)</w:t>
      </w:r>
      <w:r w:rsidR="0077656F">
        <w:t xml:space="preserve"> (renewing New Ulm Petition).</w:t>
      </w:r>
    </w:p>
  </w:footnote>
  <w:footnote w:id="7">
    <w:p w:rsidR="00F95C2B" w:rsidRDefault="00F95C2B" w:rsidP="00A6050B">
      <w:pPr>
        <w:pStyle w:val="FootnoteText"/>
        <w:spacing w:after="120"/>
      </w:pPr>
      <w:r>
        <w:rPr>
          <w:rStyle w:val="FootnoteReference"/>
        </w:rPr>
        <w:footnoteRef/>
      </w:r>
      <w:r>
        <w:t xml:space="preserve"> </w:t>
      </w:r>
      <w:r w:rsidRPr="00A6050B">
        <w:rPr>
          <w:i/>
        </w:rPr>
        <w:t>See</w:t>
      </w:r>
      <w:r>
        <w:t xml:space="preserve"> </w:t>
      </w:r>
      <w:r w:rsidRPr="00045683">
        <w:t xml:space="preserve">Letter </w:t>
      </w:r>
      <w:r>
        <w:t xml:space="preserve">from Peter Tannenwald, Fletcher, Heald and Hildreth, </w:t>
      </w:r>
      <w:r w:rsidRPr="00045683">
        <w:t xml:space="preserve">to Marlene H. Dortch, Secretary, FCC, EB Docket </w:t>
      </w:r>
      <w:r w:rsidR="00E73E67">
        <w:t xml:space="preserve">No. </w:t>
      </w:r>
      <w:r w:rsidRPr="00045683">
        <w:t xml:space="preserve">04-296 (filed </w:t>
      </w:r>
      <w:r>
        <w:t>June 26</w:t>
      </w:r>
      <w:r w:rsidRPr="00045683">
        <w:t>, 201</w:t>
      </w:r>
      <w:r>
        <w:t>2</w:t>
      </w:r>
      <w:r w:rsidRPr="00045683">
        <w:t>)</w:t>
      </w:r>
      <w:r>
        <w:t xml:space="preserve"> (seeking a waiver of the CAP-related requirements in </w:t>
      </w:r>
      <w:r w:rsidRPr="00285EF4">
        <w:t>47 C.F.R. § 11.56</w:t>
      </w:r>
      <w:r>
        <w:t>) (OARC</w:t>
      </w:r>
      <w:r w:rsidRPr="00AA62A6">
        <w:t xml:space="preserve"> </w:t>
      </w:r>
      <w:r>
        <w:t xml:space="preserve">Petition). </w:t>
      </w:r>
    </w:p>
  </w:footnote>
  <w:footnote w:id="8">
    <w:p w:rsidR="00F95C2B" w:rsidRDefault="00F95C2B" w:rsidP="00A6050B">
      <w:pPr>
        <w:pStyle w:val="FootnoteText"/>
        <w:spacing w:after="120"/>
      </w:pPr>
      <w:r w:rsidRPr="009C3CF1">
        <w:rPr>
          <w:rStyle w:val="FootnoteReference"/>
        </w:rPr>
        <w:footnoteRef/>
      </w:r>
      <w:r>
        <w:t xml:space="preserve"> </w:t>
      </w:r>
      <w:r w:rsidRPr="0077656F">
        <w:rPr>
          <w:i/>
        </w:rPr>
        <w:t>See</w:t>
      </w:r>
      <w:r>
        <w:t xml:space="preserve"> </w:t>
      </w:r>
      <w:r w:rsidRPr="00045683">
        <w:t xml:space="preserve">Letter </w:t>
      </w:r>
      <w:r>
        <w:t xml:space="preserve">from Howard M. Liberman, Drinker, Biddle and Reath, LLP, </w:t>
      </w:r>
      <w:r w:rsidRPr="00045683">
        <w:t xml:space="preserve">to Marlene H. Dortch, Secretary, FCC, EB Docket </w:t>
      </w:r>
      <w:r w:rsidR="00E73E67">
        <w:t xml:space="preserve">No. </w:t>
      </w:r>
      <w:r w:rsidRPr="00045683">
        <w:t xml:space="preserve">04-296 (filed </w:t>
      </w:r>
      <w:r>
        <w:t>July 3</w:t>
      </w:r>
      <w:r w:rsidRPr="00045683">
        <w:t>, 201</w:t>
      </w:r>
      <w:r>
        <w:t>2</w:t>
      </w:r>
      <w:r w:rsidRPr="00045683">
        <w:t>)</w:t>
      </w:r>
      <w:r>
        <w:t xml:space="preserve"> (seeking a temporary waiver of the CAP-related requirements in Part 11) (</w:t>
      </w:r>
      <w:r w:rsidRPr="00AA62A6">
        <w:t xml:space="preserve">Townsquare </w:t>
      </w:r>
      <w:r>
        <w:t xml:space="preserve">Petition).  </w:t>
      </w:r>
    </w:p>
  </w:footnote>
  <w:footnote w:id="9">
    <w:p w:rsidR="00F95C2B" w:rsidRDefault="00F95C2B" w:rsidP="00A6050B">
      <w:pPr>
        <w:pStyle w:val="FootnoteText"/>
        <w:spacing w:after="120"/>
      </w:pPr>
      <w:r>
        <w:rPr>
          <w:rStyle w:val="FootnoteReference"/>
        </w:rPr>
        <w:footnoteRef/>
      </w:r>
      <w:r>
        <w:t xml:space="preserve"> </w:t>
      </w:r>
      <w:r w:rsidRPr="00A6050B">
        <w:rPr>
          <w:i/>
        </w:rPr>
        <w:t>See</w:t>
      </w:r>
      <w:r>
        <w:t xml:space="preserve"> </w:t>
      </w:r>
      <w:r w:rsidRPr="00045683">
        <w:t xml:space="preserve">Letter </w:t>
      </w:r>
      <w:r>
        <w:t xml:space="preserve">from Peter Tannenwald, Fletcher, Heald and Hildreth, </w:t>
      </w:r>
      <w:r w:rsidRPr="00045683">
        <w:t xml:space="preserve">to Marlene H. Dortch, Secretary, FCC, EB Docket </w:t>
      </w:r>
      <w:r w:rsidR="00E73E67">
        <w:t xml:space="preserve">No. </w:t>
      </w:r>
      <w:r w:rsidRPr="00045683">
        <w:t xml:space="preserve">04-296 (filed </w:t>
      </w:r>
      <w:r>
        <w:t>June 26</w:t>
      </w:r>
      <w:r w:rsidRPr="00045683">
        <w:t>, 201</w:t>
      </w:r>
      <w:r>
        <w:t>2</w:t>
      </w:r>
      <w:r w:rsidRPr="00045683">
        <w:t>)</w:t>
      </w:r>
      <w:r>
        <w:t xml:space="preserve"> (seeking a waiver of the CAP-related requirements in </w:t>
      </w:r>
      <w:r w:rsidRPr="00285EF4">
        <w:t>47 C.F.R. § 11.56</w:t>
      </w:r>
      <w:r>
        <w:t>) (WORC</w:t>
      </w:r>
      <w:r w:rsidRPr="00AA62A6">
        <w:t xml:space="preserve"> </w:t>
      </w:r>
      <w:r>
        <w:t>Petition).</w:t>
      </w:r>
    </w:p>
  </w:footnote>
  <w:footnote w:id="10">
    <w:p w:rsidR="00F95C2B" w:rsidRPr="00285EF4" w:rsidRDefault="00F95C2B" w:rsidP="00A6050B">
      <w:pPr>
        <w:pStyle w:val="FootnoteText"/>
        <w:spacing w:after="120"/>
        <w:rPr>
          <w:i/>
        </w:rPr>
      </w:pPr>
      <w:r w:rsidRPr="00285EF4">
        <w:rPr>
          <w:rStyle w:val="FootnoteReference"/>
        </w:rPr>
        <w:footnoteRef/>
      </w:r>
      <w:r w:rsidRPr="00285EF4">
        <w:t xml:space="preserve"> </w:t>
      </w:r>
      <w:r w:rsidRPr="00285EF4">
        <w:rPr>
          <w:i/>
        </w:rPr>
        <w:t>See</w:t>
      </w:r>
      <w:r>
        <w:rPr>
          <w:i/>
        </w:rPr>
        <w:t xml:space="preserve"> </w:t>
      </w:r>
      <w:r w:rsidRPr="00EA19F6">
        <w:t>WVCH Communications, Inc.</w:t>
      </w:r>
      <w:r>
        <w:t xml:space="preserve">, Petition for Temporary Waiver of CAP Obligations, </w:t>
      </w:r>
      <w:r w:rsidRPr="00285EF4">
        <w:t xml:space="preserve">EB Docket No. 04-296 (filed </w:t>
      </w:r>
      <w:r>
        <w:t xml:space="preserve">June 27, </w:t>
      </w:r>
      <w:r w:rsidRPr="00285EF4">
        <w:t>2012)</w:t>
      </w:r>
      <w:r>
        <w:t xml:space="preserve"> (WVCH Petition). </w:t>
      </w:r>
    </w:p>
  </w:footnote>
  <w:footnote w:id="11">
    <w:p w:rsidR="00F95C2B" w:rsidRDefault="00F95C2B" w:rsidP="006C3568">
      <w:pPr>
        <w:pStyle w:val="FootnoteText"/>
      </w:pPr>
      <w:r>
        <w:rPr>
          <w:rStyle w:val="FootnoteReference"/>
        </w:rPr>
        <w:footnoteRef/>
      </w:r>
      <w:r>
        <w:t xml:space="preserve"> EAS Participants are the FCC-</w:t>
      </w:r>
      <w:r>
        <w:rPr>
          <w:szCs w:val="22"/>
        </w:rPr>
        <w:t xml:space="preserve">regulated entities required to receive and broadcast </w:t>
      </w:r>
      <w:r w:rsidR="00E73E67">
        <w:rPr>
          <w:szCs w:val="22"/>
        </w:rPr>
        <w:t xml:space="preserve">EAS </w:t>
      </w:r>
      <w:r>
        <w:rPr>
          <w:szCs w:val="22"/>
        </w:rPr>
        <w:t xml:space="preserve">alerts.  </w:t>
      </w:r>
      <w:r>
        <w:t xml:space="preserve">These entities are defined in </w:t>
      </w:r>
      <w:r w:rsidR="00E73E67">
        <w:t>S</w:t>
      </w:r>
      <w:r>
        <w:t>ection 11.1</w:t>
      </w:r>
      <w:r w:rsidR="00AB708D">
        <w:t>1</w:t>
      </w:r>
      <w:r>
        <w:t xml:space="preserve">(a) of the Commission’s rules and include radio and </w:t>
      </w:r>
      <w:r w:rsidRPr="00BF639A">
        <w:t>television broadcast stations</w:t>
      </w:r>
      <w:r>
        <w:t xml:space="preserve">, </w:t>
      </w:r>
      <w:r w:rsidRPr="00D023EB">
        <w:t>cable systems</w:t>
      </w:r>
      <w:r>
        <w:t xml:space="preserve">, </w:t>
      </w:r>
      <w:r w:rsidRPr="00D023EB">
        <w:t>wireline video systems</w:t>
      </w:r>
      <w:r>
        <w:t>, w</w:t>
      </w:r>
      <w:r w:rsidRPr="00D023EB">
        <w:t>ireless cable systems</w:t>
      </w:r>
      <w:r>
        <w:t xml:space="preserve">, </w:t>
      </w:r>
      <w:r w:rsidRPr="00D023EB">
        <w:t>direct broadcast satellite (DBS) service providers</w:t>
      </w:r>
      <w:r>
        <w:t>,</w:t>
      </w:r>
      <w:r w:rsidRPr="00D023EB">
        <w:t xml:space="preserve"> and digital audio radio service (SDARS) providers. </w:t>
      </w:r>
      <w:r>
        <w:t xml:space="preserve"> </w:t>
      </w:r>
      <w:r w:rsidRPr="00D023EB">
        <w:rPr>
          <w:i/>
        </w:rPr>
        <w:t>See</w:t>
      </w:r>
      <w:r w:rsidRPr="00D023EB">
        <w:t xml:space="preserve"> 47 C.F.R. § 11.11(a).</w:t>
      </w:r>
      <w:r w:rsidRPr="00AD0FC3">
        <w:t xml:space="preserve">  </w:t>
      </w:r>
      <w:r w:rsidR="002C2A2F" w:rsidRPr="00285EF4">
        <w:t xml:space="preserve">The EAS </w:t>
      </w:r>
      <w:r w:rsidR="002C2A2F">
        <w:t xml:space="preserve">is a hierarchical alert message distribution system that delivers alerts initiated by federal, state and local alerting authorities utilizing </w:t>
      </w:r>
      <w:r w:rsidR="002C2A2F" w:rsidRPr="00285EF4">
        <w:t>the transmission facilities of radio and television broadcast stations, cable operators</w:t>
      </w:r>
      <w:r w:rsidR="002C2A2F">
        <w:t xml:space="preserve"> and other EAS Participants.</w:t>
      </w:r>
      <w:r w:rsidR="002C2A2F" w:rsidRPr="00285EF4">
        <w:t xml:space="preserve">  </w:t>
      </w:r>
      <w:r w:rsidR="006B5614">
        <w:t>An ov</w:t>
      </w:r>
      <w:r w:rsidR="006B5614" w:rsidRPr="005819FA">
        <w:t xml:space="preserve">erview of the EAS is contained in the </w:t>
      </w:r>
      <w:r w:rsidR="006B5614" w:rsidRPr="005819FA">
        <w:rPr>
          <w:i/>
        </w:rPr>
        <w:t>Fifth Report and Order</w:t>
      </w:r>
      <w:r w:rsidR="006B5614" w:rsidRPr="005819FA">
        <w:t xml:space="preserve"> in this docket. </w:t>
      </w:r>
      <w:r w:rsidR="006B5614">
        <w:t xml:space="preserve"> </w:t>
      </w:r>
      <w:r w:rsidR="006B5614" w:rsidRPr="00285EF4">
        <w:rPr>
          <w:i/>
        </w:rPr>
        <w:t xml:space="preserve">See </w:t>
      </w:r>
      <w:r w:rsidR="006B5614" w:rsidRPr="00285EF4">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w:t>
      </w:r>
      <w:r w:rsidR="00E73E67">
        <w:t xml:space="preserve">No. </w:t>
      </w:r>
      <w:r w:rsidR="006B5614" w:rsidRPr="00285EF4">
        <w:t xml:space="preserve">04-296, </w:t>
      </w:r>
      <w:r w:rsidR="006B5614" w:rsidRPr="00285EF4">
        <w:rPr>
          <w:i/>
        </w:rPr>
        <w:t>Fifth Report and Order</w:t>
      </w:r>
      <w:r w:rsidR="006B5614" w:rsidRPr="00285EF4">
        <w:t>, 27 FCC Rcd 642, 64</w:t>
      </w:r>
      <w:r w:rsidR="006B5614">
        <w:t>6-47,</w:t>
      </w:r>
      <w:r w:rsidR="006B5614" w:rsidRPr="00285EF4">
        <w:t xml:space="preserve"> </w:t>
      </w:r>
      <w:r w:rsidR="00A424BD">
        <w:t>¶¶</w:t>
      </w:r>
      <w:r w:rsidR="006B5614">
        <w:t xml:space="preserve"> 6-7</w:t>
      </w:r>
      <w:r w:rsidR="006B5614" w:rsidRPr="00285EF4">
        <w:t xml:space="preserve"> (2012)</w:t>
      </w:r>
      <w:r w:rsidR="006B5614">
        <w:t xml:space="preserve"> </w:t>
      </w:r>
      <w:r w:rsidR="006B5614" w:rsidRPr="00285EF4">
        <w:t>(</w:t>
      </w:r>
      <w:r w:rsidR="006B5614" w:rsidRPr="006C3568">
        <w:rPr>
          <w:i/>
        </w:rPr>
        <w:t>EAS</w:t>
      </w:r>
      <w:r w:rsidR="006B5614">
        <w:t xml:space="preserve"> </w:t>
      </w:r>
      <w:r w:rsidR="006B5614" w:rsidRPr="00285EF4">
        <w:rPr>
          <w:i/>
        </w:rPr>
        <w:t>Fifth Report and Order</w:t>
      </w:r>
      <w:r w:rsidR="006B5614" w:rsidRPr="00285EF4">
        <w:t>).</w:t>
      </w:r>
      <w:r w:rsidR="006B5614" w:rsidRPr="00285EF4">
        <w:rPr>
          <w:bCs/>
        </w:rPr>
        <w:t xml:space="preserve"> </w:t>
      </w:r>
    </w:p>
    <w:p w:rsidR="00F95C2B" w:rsidRDefault="00F95C2B" w:rsidP="006C3568">
      <w:pPr>
        <w:pStyle w:val="FootnoteText"/>
      </w:pPr>
    </w:p>
  </w:footnote>
  <w:footnote w:id="12">
    <w:p w:rsidR="00F95C2B" w:rsidRPr="00285EF4" w:rsidRDefault="00F95C2B" w:rsidP="00153FC4">
      <w:pPr>
        <w:pStyle w:val="FootnoteText"/>
      </w:pPr>
      <w:r w:rsidRPr="00285EF4">
        <w:rPr>
          <w:rStyle w:val="FootnoteReference"/>
        </w:rPr>
        <w:footnoteRef/>
      </w:r>
      <w:r w:rsidRPr="00285EF4">
        <w:t xml:space="preserve"> </w:t>
      </w:r>
      <w:r w:rsidR="00AB708D" w:rsidRPr="00285EF4">
        <w:rPr>
          <w:i/>
        </w:rPr>
        <w:t xml:space="preserve">See </w:t>
      </w:r>
      <w:r w:rsidR="00AB708D" w:rsidRPr="00285EF4">
        <w:t>47 C.F.R. §11.</w:t>
      </w:r>
      <w:r w:rsidR="00AB708D">
        <w:t>56</w:t>
      </w:r>
      <w:r w:rsidR="00AB708D" w:rsidRPr="00285EF4">
        <w:t>(</w:t>
      </w:r>
      <w:r w:rsidR="00AB708D">
        <w:t>a</w:t>
      </w:r>
      <w:r w:rsidR="00AB708D" w:rsidRPr="00285EF4">
        <w:t xml:space="preserve">). </w:t>
      </w:r>
      <w:r w:rsidR="00AB708D">
        <w:t xml:space="preserve"> </w:t>
      </w:r>
      <w:r w:rsidRPr="00285EF4">
        <w:t xml:space="preserve">CAP is an open, interoperable XML-based standard that allows an alert initiator to deliver information-rich alerts to multiple devices.  </w:t>
      </w:r>
      <w:r w:rsidRPr="00285EF4">
        <w:rPr>
          <w:i/>
        </w:rPr>
        <w:t xml:space="preserve">See </w:t>
      </w:r>
      <w:r w:rsidR="00336604">
        <w:rPr>
          <w:i/>
        </w:rPr>
        <w:t xml:space="preserve">EAS </w:t>
      </w:r>
      <w:r w:rsidRPr="00285EF4">
        <w:rPr>
          <w:i/>
        </w:rPr>
        <w:t>Fifth Report and Order</w:t>
      </w:r>
      <w:r w:rsidRPr="00285EF4">
        <w:t xml:space="preserve">, 27 FCC Rcd 642, 648 </w:t>
      </w:r>
      <w:r w:rsidR="00A424BD">
        <w:t>¶</w:t>
      </w:r>
      <w:r w:rsidRPr="00285EF4">
        <w:t xml:space="preserve"> 10</w:t>
      </w:r>
      <w:r w:rsidR="006B5614">
        <w:t>.</w:t>
      </w:r>
      <w:r w:rsidRPr="00285EF4">
        <w:rPr>
          <w:bCs/>
        </w:rPr>
        <w:t xml:space="preserve"> </w:t>
      </w:r>
    </w:p>
    <w:p w:rsidR="00F95C2B" w:rsidRPr="00285EF4" w:rsidRDefault="00F95C2B" w:rsidP="00153FC4">
      <w:pPr>
        <w:pStyle w:val="FootnoteText"/>
      </w:pPr>
    </w:p>
  </w:footnote>
  <w:footnote w:id="13">
    <w:p w:rsidR="00FE5A83" w:rsidRPr="00634F7C" w:rsidRDefault="00FE5A83">
      <w:pPr>
        <w:pStyle w:val="FootnoteText"/>
        <w:rPr>
          <w:b/>
        </w:rPr>
      </w:pPr>
      <w:r>
        <w:rPr>
          <w:rStyle w:val="FootnoteReference"/>
        </w:rPr>
        <w:footnoteRef/>
      </w:r>
      <w:r>
        <w:t xml:space="preserve"> </w:t>
      </w:r>
      <w:r w:rsidR="00634F7C" w:rsidRPr="00634F7C">
        <w:rPr>
          <w:i/>
        </w:rPr>
        <w:t>See</w:t>
      </w:r>
      <w:r w:rsidR="00634F7C">
        <w:t xml:space="preserve"> 47 C.F.R. §11.56(a).</w:t>
      </w:r>
    </w:p>
  </w:footnote>
  <w:footnote w:id="14">
    <w:p w:rsidR="00F95C2B" w:rsidRDefault="00F95C2B" w:rsidP="00F95C2B">
      <w:pPr>
        <w:pStyle w:val="FootnoteText"/>
        <w:spacing w:before="120"/>
      </w:pPr>
      <w:r>
        <w:rPr>
          <w:rStyle w:val="FootnoteReference"/>
        </w:rPr>
        <w:footnoteRef/>
      </w:r>
      <w:r>
        <w:t xml:space="preserve"> </w:t>
      </w:r>
      <w:r w:rsidRPr="00F95C2B">
        <w:rPr>
          <w:i/>
        </w:rPr>
        <w:t xml:space="preserve">See </w:t>
      </w:r>
      <w:r w:rsidR="00E73E67">
        <w:rPr>
          <w:i/>
        </w:rPr>
        <w:t xml:space="preserve">EAS </w:t>
      </w:r>
      <w:r w:rsidR="00E73E67" w:rsidRPr="00285EF4">
        <w:rPr>
          <w:i/>
        </w:rPr>
        <w:t xml:space="preserve">Fifth Report and </w:t>
      </w:r>
      <w:r w:rsidR="00E73E67" w:rsidRPr="00E73E67">
        <w:rPr>
          <w:i/>
        </w:rPr>
        <w:t>Order</w:t>
      </w:r>
      <w:r w:rsidR="00E73E67">
        <w:t>,</w:t>
      </w:r>
      <w:r>
        <w:t xml:space="preserve"> </w:t>
      </w:r>
      <w:r w:rsidRPr="00285EF4">
        <w:t>27 FCC Rcd 6</w:t>
      </w:r>
      <w:r>
        <w:t xml:space="preserve">95-96, </w:t>
      </w:r>
      <w:r w:rsidR="00A424BD">
        <w:t>¶</w:t>
      </w:r>
      <w:r>
        <w:t xml:space="preserve"> 152.  </w:t>
      </w:r>
      <w:r>
        <w:rPr>
          <w:szCs w:val="22"/>
        </w:rPr>
        <w:t xml:space="preserve"> </w:t>
      </w:r>
    </w:p>
  </w:footnote>
  <w:footnote w:id="15">
    <w:p w:rsidR="00F95C2B" w:rsidRDefault="00F95C2B" w:rsidP="00F95C2B">
      <w:pPr>
        <w:pStyle w:val="FootnoteText"/>
        <w:spacing w:before="120"/>
      </w:pPr>
      <w:r>
        <w:rPr>
          <w:rStyle w:val="FootnoteReference"/>
        </w:rPr>
        <w:footnoteRef/>
      </w:r>
      <w:r>
        <w:t xml:space="preserve"> </w:t>
      </w:r>
      <w:r w:rsidRPr="00F95C2B">
        <w:rPr>
          <w:i/>
        </w:rPr>
        <w:t>See id</w:t>
      </w:r>
      <w:r>
        <w:t>.</w:t>
      </w:r>
    </w:p>
  </w:footnote>
  <w:footnote w:id="16">
    <w:p w:rsidR="00F95C2B" w:rsidRDefault="00F95C2B" w:rsidP="00F95C2B">
      <w:pPr>
        <w:pStyle w:val="FootnoteText"/>
        <w:spacing w:before="120"/>
      </w:pPr>
      <w:r>
        <w:rPr>
          <w:rStyle w:val="FootnoteReference"/>
        </w:rPr>
        <w:footnoteRef/>
      </w:r>
      <w:r>
        <w:t xml:space="preserve"> </w:t>
      </w:r>
      <w:r w:rsidRPr="00F95C2B">
        <w:rPr>
          <w:i/>
        </w:rPr>
        <w:t>See id</w:t>
      </w:r>
      <w:r>
        <w:t>.</w:t>
      </w:r>
    </w:p>
  </w:footnote>
  <w:footnote w:id="17">
    <w:p w:rsidR="00F95C2B" w:rsidRDefault="00F95C2B" w:rsidP="00F95C2B">
      <w:pPr>
        <w:pStyle w:val="FootnoteText"/>
        <w:spacing w:before="120"/>
      </w:pPr>
      <w:r>
        <w:rPr>
          <w:rStyle w:val="FootnoteReference"/>
        </w:rPr>
        <w:footnoteRef/>
      </w:r>
      <w:r>
        <w:t xml:space="preserve"> </w:t>
      </w:r>
      <w:r w:rsidRPr="00F95C2B">
        <w:rPr>
          <w:i/>
        </w:rPr>
        <w:t>See id</w:t>
      </w:r>
      <w:r>
        <w:t>.</w:t>
      </w:r>
    </w:p>
  </w:footnote>
  <w:footnote w:id="18">
    <w:p w:rsidR="00F95C2B" w:rsidRDefault="00F95C2B" w:rsidP="00F95C2B">
      <w:pPr>
        <w:pStyle w:val="FootnoteText"/>
        <w:spacing w:before="120"/>
      </w:pPr>
      <w:r>
        <w:rPr>
          <w:rStyle w:val="FootnoteReference"/>
        </w:rPr>
        <w:footnoteRef/>
      </w:r>
      <w:r>
        <w:t xml:space="preserve"> </w:t>
      </w:r>
      <w:r w:rsidRPr="00F95C2B">
        <w:rPr>
          <w:i/>
        </w:rPr>
        <w:t>See id</w:t>
      </w:r>
      <w:r>
        <w:t>.</w:t>
      </w:r>
    </w:p>
  </w:footnote>
  <w:footnote w:id="19">
    <w:p w:rsidR="00F95C2B" w:rsidRPr="00B3619B" w:rsidRDefault="00F95C2B" w:rsidP="00F95C2B">
      <w:pPr>
        <w:pStyle w:val="FootnoteText"/>
        <w:spacing w:before="120" w:after="120"/>
      </w:pPr>
      <w:r>
        <w:rPr>
          <w:rStyle w:val="FootnoteReference"/>
        </w:rPr>
        <w:footnoteRef/>
      </w:r>
      <w:r>
        <w:t xml:space="preserve"> </w:t>
      </w:r>
      <w:r>
        <w:rPr>
          <w:i/>
        </w:rPr>
        <w:t xml:space="preserve">See </w:t>
      </w:r>
      <w:r>
        <w:t xml:space="preserve">Charter Petition at 2; </w:t>
      </w:r>
      <w:r w:rsidR="00E73E67">
        <w:rPr>
          <w:i/>
        </w:rPr>
        <w:t xml:space="preserve">see also </w:t>
      </w:r>
      <w:r>
        <w:t>Comcast Petition at 1-2; Kenai Petition at 1; New Ulm Petition at 1; OARC</w:t>
      </w:r>
      <w:r w:rsidRPr="00AA62A6">
        <w:t xml:space="preserve"> </w:t>
      </w:r>
      <w:r>
        <w:t xml:space="preserve">Petition at 1; </w:t>
      </w:r>
      <w:r w:rsidRPr="00AA62A6">
        <w:t xml:space="preserve">Townsquare </w:t>
      </w:r>
      <w:r>
        <w:t>Petition at 1; WORC</w:t>
      </w:r>
      <w:r w:rsidRPr="00AA62A6">
        <w:t xml:space="preserve"> </w:t>
      </w:r>
      <w:r>
        <w:t xml:space="preserve">Petition at 1; and WVCH Petition at 1. </w:t>
      </w:r>
    </w:p>
  </w:footnote>
  <w:footnote w:id="20">
    <w:p w:rsidR="00F95C2B" w:rsidRPr="00285EF4" w:rsidRDefault="00F95C2B" w:rsidP="00D5225A">
      <w:pPr>
        <w:pStyle w:val="FootnoteText"/>
        <w:spacing w:after="120"/>
        <w:rPr>
          <w:i/>
        </w:rPr>
      </w:pPr>
      <w:r w:rsidRPr="00285EF4">
        <w:rPr>
          <w:rStyle w:val="FootnoteReference"/>
        </w:rPr>
        <w:footnoteRef/>
      </w:r>
      <w:r w:rsidRPr="00285EF4">
        <w:t xml:space="preserve"> </w:t>
      </w:r>
      <w:r w:rsidRPr="00285EF4">
        <w:rPr>
          <w:i/>
        </w:rPr>
        <w:t>See</w:t>
      </w:r>
      <w:r>
        <w:rPr>
          <w:i/>
        </w:rPr>
        <w:t xml:space="preserve"> </w:t>
      </w:r>
      <w:r w:rsidRPr="00045683">
        <w:t xml:space="preserve">Letter </w:t>
      </w:r>
      <w:r>
        <w:t xml:space="preserve">from Jennifer Towland Frewer, Davis Wright Tremaine LLP, to Gregory Cooke, </w:t>
      </w:r>
      <w:r w:rsidRPr="00204B61">
        <w:t>Associate Chief, Policy and Licensing Division</w:t>
      </w:r>
      <w:r>
        <w:t xml:space="preserve">, </w:t>
      </w:r>
      <w:r w:rsidRPr="00204B61">
        <w:t>Public Safety and Homeland Security Bureau</w:t>
      </w:r>
      <w:r>
        <w:t xml:space="preserve">, </w:t>
      </w:r>
      <w:r w:rsidRPr="00045683">
        <w:t xml:space="preserve">FCC, EB Docket </w:t>
      </w:r>
      <w:r w:rsidR="00E73E67">
        <w:t xml:space="preserve">No. </w:t>
      </w:r>
      <w:r w:rsidRPr="00045683">
        <w:t xml:space="preserve">04-296 (filed </w:t>
      </w:r>
      <w:r>
        <w:t>Mar</w:t>
      </w:r>
      <w:r w:rsidR="00E73E67">
        <w:t>.</w:t>
      </w:r>
      <w:r>
        <w:t xml:space="preserve"> 21, 2014) (withdrawing the Charter Petition and indicating that Charter became CAP-compliant as of April 30, 2013); </w:t>
      </w:r>
      <w:r w:rsidR="00E73E67">
        <w:rPr>
          <w:i/>
        </w:rPr>
        <w:t xml:space="preserve">see also </w:t>
      </w:r>
      <w:r w:rsidRPr="00045683">
        <w:t xml:space="preserve">Letter </w:t>
      </w:r>
      <w:r>
        <w:t xml:space="preserve">from Catherine Fox, Comcast Cable Communications, LLC, to Thomas Beers, </w:t>
      </w:r>
      <w:r w:rsidRPr="00204B61">
        <w:t>Chief, Policy and Licensing Division</w:t>
      </w:r>
      <w:r>
        <w:t xml:space="preserve">, </w:t>
      </w:r>
      <w:r w:rsidRPr="00204B61">
        <w:t>Public Safety and Homeland Security Bureau</w:t>
      </w:r>
      <w:r>
        <w:t xml:space="preserve">, </w:t>
      </w:r>
      <w:r w:rsidRPr="00045683">
        <w:t xml:space="preserve">FCC, EB Docket </w:t>
      </w:r>
      <w:r w:rsidR="00E73E67">
        <w:t xml:space="preserve">No. </w:t>
      </w:r>
      <w:r w:rsidRPr="00045683">
        <w:t xml:space="preserve">04-296 (filed </w:t>
      </w:r>
      <w:r>
        <w:t>Apr</w:t>
      </w:r>
      <w:r w:rsidR="00E73E67">
        <w:t>.</w:t>
      </w:r>
      <w:r>
        <w:t xml:space="preserve"> 15, 2013), (withdrawing the Comcast Petition and indicating that Comcast became CAP-compliant as of the end of February 2013); </w:t>
      </w:r>
      <w:r w:rsidRPr="00045683">
        <w:t xml:space="preserve">Letter </w:t>
      </w:r>
      <w:r>
        <w:t xml:space="preserve">from David Tillotson, on behalf of Kenai Broadcasting, LLC, </w:t>
      </w:r>
      <w:r w:rsidRPr="00045683">
        <w:t xml:space="preserve">to Marlene H. Dortch, Secretary, FCC, EB Docket </w:t>
      </w:r>
      <w:r w:rsidR="00E73E67">
        <w:t xml:space="preserve">No. </w:t>
      </w:r>
      <w:r w:rsidRPr="00045683">
        <w:t xml:space="preserve">04-296 (filed </w:t>
      </w:r>
      <w:r>
        <w:t>Jan. 15</w:t>
      </w:r>
      <w:r w:rsidRPr="00045683">
        <w:t>, 201</w:t>
      </w:r>
      <w:r>
        <w:t>4</w:t>
      </w:r>
      <w:r w:rsidRPr="00045683">
        <w:t>)</w:t>
      </w:r>
      <w:r>
        <w:t xml:space="preserve"> (withdrawing the Kenai Petition and indicating that the studio </w:t>
      </w:r>
      <w:r w:rsidR="00402739">
        <w:t xml:space="preserve">at </w:t>
      </w:r>
      <w:r>
        <w:t xml:space="preserve">issue </w:t>
      </w:r>
      <w:r w:rsidR="00402739">
        <w:t xml:space="preserve">was relocated to where CAP formatted EAS alerts can be received and </w:t>
      </w:r>
      <w:r>
        <w:t xml:space="preserve">is compliant); </w:t>
      </w:r>
      <w:r w:rsidRPr="00045683">
        <w:t xml:space="preserve">Letter </w:t>
      </w:r>
      <w:r>
        <w:t xml:space="preserve">from Scott C. Friedman, Cinnamon Mueller, </w:t>
      </w:r>
      <w:r w:rsidRPr="00045683">
        <w:t xml:space="preserve">to </w:t>
      </w:r>
      <w:r>
        <w:t xml:space="preserve">David G. Simpson, Chief, Public Safety and Homeland Security Bureau, </w:t>
      </w:r>
      <w:r w:rsidRPr="00045683">
        <w:t xml:space="preserve">FCC, EB Docket </w:t>
      </w:r>
      <w:r w:rsidR="00E73E67">
        <w:t xml:space="preserve">No. </w:t>
      </w:r>
      <w:r w:rsidRPr="00045683">
        <w:t xml:space="preserve">04-296 (filed </w:t>
      </w:r>
      <w:r>
        <w:t>Mar</w:t>
      </w:r>
      <w:r w:rsidR="00E73E67">
        <w:t>.</w:t>
      </w:r>
      <w:r>
        <w:t xml:space="preserve"> 21</w:t>
      </w:r>
      <w:r w:rsidRPr="00045683">
        <w:t>, 201</w:t>
      </w:r>
      <w:r>
        <w:t>4</w:t>
      </w:r>
      <w:r w:rsidRPr="00045683">
        <w:t>)</w:t>
      </w:r>
      <w:r>
        <w:t xml:space="preserve"> (indicating that</w:t>
      </w:r>
      <w:r w:rsidR="007740A8">
        <w:t xml:space="preserve"> broadband access for</w:t>
      </w:r>
      <w:r>
        <w:t xml:space="preserve"> the subject system of the New Ulm Petition </w:t>
      </w:r>
      <w:r w:rsidR="007740A8">
        <w:t xml:space="preserve">remained physically unavailable and that they system </w:t>
      </w:r>
      <w:r>
        <w:t>was deactivated on Mar</w:t>
      </w:r>
      <w:r w:rsidR="00E73E67">
        <w:t>.</w:t>
      </w:r>
      <w:r>
        <w:t xml:space="preserve"> 1, 2014); Lett</w:t>
      </w:r>
      <w:r w:rsidRPr="00045683">
        <w:t xml:space="preserve">er </w:t>
      </w:r>
      <w:r>
        <w:t xml:space="preserve">from Peter Tannenwald, Fletcher, Heald and Hildreth, </w:t>
      </w:r>
      <w:r w:rsidRPr="00045683">
        <w:t xml:space="preserve">to </w:t>
      </w:r>
      <w:r>
        <w:t xml:space="preserve">Thomas Beers, </w:t>
      </w:r>
      <w:r w:rsidRPr="00204B61">
        <w:t>Chief, Policy and Licensing Division</w:t>
      </w:r>
      <w:r>
        <w:t xml:space="preserve">, </w:t>
      </w:r>
      <w:r w:rsidRPr="00204B61">
        <w:t>Public Safety and Homeland Security Bureau</w:t>
      </w:r>
      <w:r>
        <w:t xml:space="preserve">, </w:t>
      </w:r>
      <w:r w:rsidRPr="00045683">
        <w:t>FCC</w:t>
      </w:r>
      <w:r>
        <w:t xml:space="preserve"> (originally filed via email to Mr. Beers on Sept. 4, 2012; subsequently filed in EB Docke</w:t>
      </w:r>
      <w:r w:rsidRPr="00045683">
        <w:t xml:space="preserve">t </w:t>
      </w:r>
      <w:r w:rsidR="00E73E67">
        <w:t xml:space="preserve">No. </w:t>
      </w:r>
      <w:r w:rsidRPr="00045683">
        <w:t>04-296</w:t>
      </w:r>
      <w:r>
        <w:t xml:space="preserve"> on Mar</w:t>
      </w:r>
      <w:r w:rsidR="00E73E67">
        <w:t>.</w:t>
      </w:r>
      <w:r>
        <w:t xml:space="preserve"> 20, 2014) (indicating that the subject system of the OARC Petition was compliant with CAP requirements as of Sept. 4, 2012); </w:t>
      </w:r>
      <w:r w:rsidRPr="00045683">
        <w:t xml:space="preserve">Letter </w:t>
      </w:r>
      <w:r>
        <w:t xml:space="preserve">from David J. Remund, </w:t>
      </w:r>
      <w:r w:rsidRPr="00AA62A6">
        <w:t>Townsquare Media Oneonta License, LLC</w:t>
      </w:r>
      <w:r>
        <w:t xml:space="preserve">, </w:t>
      </w:r>
      <w:r w:rsidRPr="00045683">
        <w:t xml:space="preserve">to Marlene H. Dortch, Secretary, FCC, EB Docket </w:t>
      </w:r>
      <w:r w:rsidR="00E73E67">
        <w:t xml:space="preserve">No. </w:t>
      </w:r>
      <w:r w:rsidRPr="00045683">
        <w:t xml:space="preserve">04-296 (filed </w:t>
      </w:r>
      <w:r>
        <w:t>Mar</w:t>
      </w:r>
      <w:r w:rsidR="00E73E67">
        <w:t>.</w:t>
      </w:r>
      <w:r>
        <w:t xml:space="preserve"> 20</w:t>
      </w:r>
      <w:r w:rsidRPr="00045683">
        <w:t>, 201</w:t>
      </w:r>
      <w:r>
        <w:t>4</w:t>
      </w:r>
      <w:r w:rsidRPr="00045683">
        <w:t>)</w:t>
      </w:r>
      <w:r>
        <w:t xml:space="preserve"> (indicating that the subject system of the Townsquare Petition was compliant with CAP requirements as of August 28, 2012); Lett</w:t>
      </w:r>
      <w:r w:rsidRPr="00045683">
        <w:t xml:space="preserve">er </w:t>
      </w:r>
      <w:r>
        <w:t xml:space="preserve">from Peter Tannenwald, Fletcher, Heald and Hildreth, </w:t>
      </w:r>
      <w:r w:rsidRPr="00045683">
        <w:t xml:space="preserve">to </w:t>
      </w:r>
      <w:r>
        <w:t xml:space="preserve">Thomas J. Beers, </w:t>
      </w:r>
      <w:r w:rsidRPr="00204B61">
        <w:t>Chief, Policy and Licensing Division</w:t>
      </w:r>
      <w:r>
        <w:t xml:space="preserve">, </w:t>
      </w:r>
      <w:r w:rsidRPr="00204B61">
        <w:t>Public Safety and Homeland Security Bureau</w:t>
      </w:r>
      <w:r>
        <w:t xml:space="preserve">, </w:t>
      </w:r>
      <w:r w:rsidRPr="00045683">
        <w:t>FCC</w:t>
      </w:r>
      <w:r>
        <w:t xml:space="preserve"> (originally filed via email to Mr. Beers on Aug. 23, 2012; subsequently filed in EB Docke</w:t>
      </w:r>
      <w:r w:rsidRPr="00045683">
        <w:t xml:space="preserve">t </w:t>
      </w:r>
      <w:r w:rsidR="00E73E67">
        <w:t xml:space="preserve">No. </w:t>
      </w:r>
      <w:r w:rsidRPr="00045683">
        <w:t>04-296</w:t>
      </w:r>
      <w:r>
        <w:t xml:space="preserve"> on Mar</w:t>
      </w:r>
      <w:r w:rsidR="00E73E67">
        <w:t>.</w:t>
      </w:r>
      <w:r>
        <w:t xml:space="preserve"> 20, 2014) (indicating that the subject system of the WORC Petition would be compliant with CAP requirements by Aug. 31, 2012); and Lett</w:t>
      </w:r>
      <w:r w:rsidRPr="00045683">
        <w:t xml:space="preserve">er </w:t>
      </w:r>
      <w:r w:rsidRPr="00C95E3A">
        <w:t xml:space="preserve">from Anthony T. Lepore, Esq., </w:t>
      </w:r>
      <w:r>
        <w:t xml:space="preserve">on behalf of </w:t>
      </w:r>
      <w:r w:rsidRPr="00EA19F6">
        <w:t>WVCH Communications, Inc.</w:t>
      </w:r>
      <w:r>
        <w:t xml:space="preserve">, </w:t>
      </w:r>
      <w:r w:rsidRPr="00045683">
        <w:t xml:space="preserve">to </w:t>
      </w:r>
      <w:r>
        <w:t xml:space="preserve">Thomas J. Beers, </w:t>
      </w:r>
      <w:r w:rsidRPr="00204B61">
        <w:t>Chief, Policy and Licensing Division</w:t>
      </w:r>
      <w:r>
        <w:t xml:space="preserve">, </w:t>
      </w:r>
      <w:r w:rsidRPr="00204B61">
        <w:t>Public Safety and Homeland Security Bureau</w:t>
      </w:r>
      <w:r>
        <w:t xml:space="preserve">, </w:t>
      </w:r>
      <w:r w:rsidRPr="00045683">
        <w:t>FCC</w:t>
      </w:r>
      <w:r>
        <w:t xml:space="preserve"> (originally mailed directly to Mr. Beers on May 9, 2013; subsequently filed in EB Docke</w:t>
      </w:r>
      <w:r w:rsidRPr="00045683">
        <w:t xml:space="preserve">t </w:t>
      </w:r>
      <w:r w:rsidR="00E73E67">
        <w:t xml:space="preserve">No. </w:t>
      </w:r>
      <w:r w:rsidRPr="00045683">
        <w:t>04-296</w:t>
      </w:r>
      <w:r>
        <w:t xml:space="preserve"> on Mar</w:t>
      </w:r>
      <w:r w:rsidR="00E73E67">
        <w:t>.</w:t>
      </w:r>
      <w:r>
        <w:t xml:space="preserve"> 20, 2014) (indicating that WVCH had established a broadband connection enabling CAP compliance </w:t>
      </w:r>
      <w:r w:rsidR="00A25803">
        <w:t>and r</w:t>
      </w:r>
      <w:r w:rsidR="00C04109">
        <w:t>equesting</w:t>
      </w:r>
      <w:r w:rsidR="00A25803">
        <w:t xml:space="preserve"> </w:t>
      </w:r>
      <w:r>
        <w:t>the</w:t>
      </w:r>
      <w:r w:rsidR="00C04109">
        <w:t>ir waiver request be dismissed as</w:t>
      </w:r>
      <w:r>
        <w:t xml:space="preserve"> moot).  </w:t>
      </w:r>
    </w:p>
  </w:footnote>
  <w:footnote w:id="21">
    <w:p w:rsidR="00F95C2B" w:rsidRPr="00285EF4" w:rsidRDefault="00F95C2B" w:rsidP="00300679">
      <w:pPr>
        <w:pStyle w:val="FootnoteText"/>
        <w:spacing w:after="120"/>
      </w:pPr>
      <w:r w:rsidRPr="00285EF4">
        <w:rPr>
          <w:rStyle w:val="FootnoteReference"/>
        </w:rPr>
        <w:footnoteRef/>
      </w:r>
      <w:r w:rsidRPr="00285EF4">
        <w:t xml:space="preserve"> </w:t>
      </w:r>
      <w:r w:rsidR="00336604" w:rsidRPr="00336604">
        <w:rPr>
          <w:i/>
        </w:rPr>
        <w:t>See</w:t>
      </w:r>
      <w:r w:rsidR="00336604">
        <w:t xml:space="preserve"> </w:t>
      </w:r>
      <w:r w:rsidRPr="008277F8">
        <w:rPr>
          <w:iCs/>
        </w:rPr>
        <w:t xml:space="preserve">47 C.F.R. </w:t>
      </w:r>
      <w:r w:rsidRPr="00300679">
        <w:t>§ 1.3</w:t>
      </w:r>
      <w:r w:rsidRPr="00285EF4">
        <w:t xml:space="preserve">.  </w:t>
      </w:r>
      <w:r w:rsidR="00DB3035">
        <w:t xml:space="preserve"> </w:t>
      </w:r>
    </w:p>
  </w:footnote>
  <w:footnote w:id="22">
    <w:p w:rsidR="00F95C2B" w:rsidRPr="00285EF4" w:rsidRDefault="00F95C2B" w:rsidP="00300679">
      <w:pPr>
        <w:pStyle w:val="FootnoteText"/>
        <w:spacing w:after="120"/>
      </w:pPr>
      <w:r w:rsidRPr="009C3CF1">
        <w:rPr>
          <w:rStyle w:val="FootnoteReference"/>
        </w:rPr>
        <w:footnoteRef/>
      </w:r>
      <w:r w:rsidRPr="00285EF4">
        <w:t xml:space="preserve"> </w:t>
      </w:r>
      <w:r w:rsidR="00336604" w:rsidRPr="00336604">
        <w:rPr>
          <w:i/>
        </w:rPr>
        <w:t>See</w:t>
      </w:r>
      <w:r w:rsidR="00336604">
        <w:t xml:space="preserve"> </w:t>
      </w:r>
      <w:hyperlink r:id="rId1" w:tgtFrame="_top" w:history="1">
        <w:r w:rsidR="00336604" w:rsidRPr="00300679">
          <w:t>Northeast Cellular Telephone Co. v. FCC</w:t>
        </w:r>
        <w:r w:rsidR="00336604" w:rsidRPr="00285EF4">
          <w:t>, 897 F.2d 1164, 1166 (D.C. Cir. 1990)</w:t>
        </w:r>
      </w:hyperlink>
      <w:r w:rsidRPr="00285EF4">
        <w:t xml:space="preserve"> (</w:t>
      </w:r>
      <w:r w:rsidRPr="00412215">
        <w:t xml:space="preserve">citing </w:t>
      </w:r>
      <w:r w:rsidRPr="00300679">
        <w:t>WAIT Radio v. FCC</w:t>
      </w:r>
      <w:r w:rsidRPr="00285EF4">
        <w:t>, 418 F.2d 1153, 1159 (D.C.</w:t>
      </w:r>
      <w:r>
        <w:t xml:space="preserve"> </w:t>
      </w:r>
      <w:r w:rsidRPr="00285EF4">
        <w:t>Cir.</w:t>
      </w:r>
      <w:r w:rsidR="00686554">
        <w:t xml:space="preserve"> </w:t>
      </w:r>
      <w:r w:rsidRPr="00285EF4">
        <w:t xml:space="preserve">1969), </w:t>
      </w:r>
      <w:r w:rsidRPr="00412215">
        <w:rPr>
          <w:i/>
        </w:rPr>
        <w:t>aff’d</w:t>
      </w:r>
      <w:r w:rsidRPr="00300679">
        <w:t xml:space="preserve">, </w:t>
      </w:r>
      <w:r w:rsidRPr="00285EF4">
        <w:t xml:space="preserve">459 F.2d 1203 (1973), </w:t>
      </w:r>
      <w:r w:rsidRPr="00412215">
        <w:rPr>
          <w:i/>
        </w:rPr>
        <w:t>cert. denied</w:t>
      </w:r>
      <w:r w:rsidRPr="00300679">
        <w:t xml:space="preserve">, </w:t>
      </w:r>
      <w:r w:rsidRPr="00285EF4">
        <w:t>409 U.S. 1027 (1972)</w:t>
      </w:r>
      <w:r>
        <w:t>)</w:t>
      </w:r>
      <w:r w:rsidRPr="00285EF4">
        <w:t>.</w:t>
      </w:r>
    </w:p>
  </w:footnote>
  <w:footnote w:id="23">
    <w:p w:rsidR="00F95C2B" w:rsidRPr="00285EF4" w:rsidRDefault="00F95C2B" w:rsidP="00300679">
      <w:pPr>
        <w:pStyle w:val="FootnoteText"/>
        <w:spacing w:after="120"/>
      </w:pPr>
      <w:r w:rsidRPr="009C3CF1">
        <w:rPr>
          <w:rStyle w:val="FootnoteReference"/>
        </w:rPr>
        <w:footnoteRef/>
      </w:r>
      <w:r w:rsidRPr="00285EF4">
        <w:t xml:space="preserve"> </w:t>
      </w:r>
      <w:r w:rsidR="00336604" w:rsidRPr="00336604">
        <w:rPr>
          <w:i/>
        </w:rPr>
        <w:t>See</w:t>
      </w:r>
      <w:r w:rsidR="00336604">
        <w:t xml:space="preserve"> </w:t>
      </w:r>
      <w:r w:rsidR="00336604" w:rsidRPr="00300679">
        <w:t>WAIT Radio v. FCC</w:t>
      </w:r>
      <w:r w:rsidR="00336604" w:rsidRPr="00285EF4">
        <w:t xml:space="preserve">, 418 F.2d 1153, </w:t>
      </w:r>
      <w:r w:rsidRPr="00285EF4">
        <w:t xml:space="preserve">1157. </w:t>
      </w:r>
    </w:p>
  </w:footnote>
  <w:footnote w:id="24">
    <w:p w:rsidR="00F95C2B" w:rsidRDefault="00F95C2B" w:rsidP="00300679">
      <w:pPr>
        <w:pStyle w:val="FootnoteText"/>
        <w:spacing w:after="120"/>
      </w:pPr>
      <w:r w:rsidRPr="009C3CF1">
        <w:rPr>
          <w:rStyle w:val="FootnoteReference"/>
        </w:rPr>
        <w:footnoteRef/>
      </w:r>
      <w:r>
        <w:t xml:space="preserve"> </w:t>
      </w:r>
      <w:r w:rsidRPr="009C3CF1">
        <w:rPr>
          <w:i/>
        </w:rPr>
        <w:t>See</w:t>
      </w:r>
      <w:r w:rsidRPr="00A15C11">
        <w:t xml:space="preserve"> </w:t>
      </w:r>
      <w:r w:rsidRPr="009C3CF1">
        <w:rPr>
          <w:i/>
        </w:rPr>
        <w:t>EAS Fifth Report and Order</w:t>
      </w:r>
      <w:r w:rsidRPr="00300679">
        <w:t xml:space="preserve">, </w:t>
      </w:r>
      <w:r w:rsidRPr="00285EF4">
        <w:t>27 FCC Rcd 642</w:t>
      </w:r>
      <w:r>
        <w:t xml:space="preserve">, </w:t>
      </w:r>
      <w:r w:rsidRPr="00285EF4">
        <w:t>6</w:t>
      </w:r>
      <w:r>
        <w:t xml:space="preserve">95-96, </w:t>
      </w:r>
      <w:r w:rsidR="00A424BD">
        <w:t>¶</w:t>
      </w:r>
      <w:r>
        <w:t xml:space="preserve"> 152.  </w:t>
      </w:r>
      <w:r w:rsidRPr="00300679">
        <w:t xml:space="preserve"> </w:t>
      </w:r>
    </w:p>
  </w:footnote>
  <w:footnote w:id="25">
    <w:p w:rsidR="00A8241D" w:rsidRPr="004A4497" w:rsidRDefault="004A4497" w:rsidP="00412215">
      <w:pPr>
        <w:pStyle w:val="FootnoteText"/>
        <w:spacing w:after="120"/>
      </w:pPr>
      <w:r>
        <w:rPr>
          <w:rStyle w:val="FootnoteReference"/>
        </w:rPr>
        <w:footnoteRef/>
      </w:r>
      <w:r>
        <w:t xml:space="preserve"> </w:t>
      </w:r>
      <w:r>
        <w:rPr>
          <w:i/>
        </w:rPr>
        <w:t>See id</w:t>
      </w:r>
      <w:r w:rsidR="00E73E67">
        <w:rPr>
          <w:i/>
        </w:rPr>
        <w:t>.</w:t>
      </w:r>
      <w:r w:rsidR="00E73E67">
        <w:t xml:space="preserve"> at 644,</w:t>
      </w:r>
      <w:r>
        <w:rPr>
          <w:i/>
        </w:rPr>
        <w:t xml:space="preserve"> </w:t>
      </w:r>
      <w:r w:rsidR="00E73E67">
        <w:t>¶</w:t>
      </w:r>
      <w:r>
        <w:t xml:space="preserve"> </w:t>
      </w:r>
      <w:r w:rsidR="00634F7C">
        <w:t>3</w:t>
      </w:r>
      <w:r w:rsidR="00E73E67">
        <w:t xml:space="preserve">; </w:t>
      </w:r>
      <w:r w:rsidR="00E73E67">
        <w:rPr>
          <w:i/>
        </w:rPr>
        <w:t>see also</w:t>
      </w:r>
      <w:r>
        <w:t xml:space="preserve"> </w:t>
      </w:r>
      <w:r w:rsidR="00E73E67">
        <w:rPr>
          <w:i/>
        </w:rPr>
        <w:t xml:space="preserve">supra </w:t>
      </w:r>
      <w:r>
        <w:t>n.</w:t>
      </w:r>
      <w:r w:rsidR="00634F7C">
        <w:t>18</w:t>
      </w:r>
      <w:r>
        <w:t>.</w:t>
      </w:r>
    </w:p>
  </w:footnote>
  <w:footnote w:id="26">
    <w:p w:rsidR="00F95C2B" w:rsidRDefault="00F95C2B" w:rsidP="00300679">
      <w:pPr>
        <w:pStyle w:val="FootnoteText"/>
        <w:spacing w:after="120"/>
      </w:pPr>
      <w:r w:rsidRPr="009C3CF1">
        <w:rPr>
          <w:rStyle w:val="FootnoteReference"/>
        </w:rPr>
        <w:footnoteRef/>
      </w:r>
      <w:r>
        <w:t xml:space="preserve"> </w:t>
      </w:r>
      <w:r w:rsidR="0077656F" w:rsidRPr="009C3CF1">
        <w:rPr>
          <w:i/>
        </w:rPr>
        <w:t>See</w:t>
      </w:r>
      <w:r w:rsidR="0077656F" w:rsidRPr="00300679">
        <w:t xml:space="preserve"> </w:t>
      </w:r>
      <w:r w:rsidR="0077656F">
        <w:t xml:space="preserve">Charter Petition at </w:t>
      </w:r>
      <w:r w:rsidR="00300679">
        <w:t>4</w:t>
      </w:r>
      <w:r w:rsidR="0077656F">
        <w:t xml:space="preserve">; </w:t>
      </w:r>
      <w:r w:rsidR="00E73E67">
        <w:rPr>
          <w:i/>
        </w:rPr>
        <w:t xml:space="preserve">see also </w:t>
      </w:r>
      <w:r w:rsidR="0077656F">
        <w:t xml:space="preserve">Comcast Petition at </w:t>
      </w:r>
      <w:r w:rsidR="00300679">
        <w:t>5</w:t>
      </w:r>
      <w:r w:rsidR="0077656F">
        <w:t xml:space="preserve">; New Ulm Petition at </w:t>
      </w:r>
      <w:r w:rsidR="003E1AC4">
        <w:t>3</w:t>
      </w:r>
      <w:r w:rsidR="0077656F">
        <w:t>; OARC</w:t>
      </w:r>
      <w:r w:rsidR="0077656F" w:rsidRPr="00AA62A6">
        <w:t xml:space="preserve"> </w:t>
      </w:r>
      <w:r w:rsidR="0077656F">
        <w:t xml:space="preserve">Petition at 1; </w:t>
      </w:r>
      <w:r w:rsidR="0077656F" w:rsidRPr="00AA62A6">
        <w:t xml:space="preserve">Townsquare </w:t>
      </w:r>
      <w:r w:rsidR="0077656F">
        <w:t xml:space="preserve">Petition at </w:t>
      </w:r>
      <w:r w:rsidR="003E1AC4">
        <w:t>2</w:t>
      </w:r>
      <w:r w:rsidR="0077656F">
        <w:t>; WORC</w:t>
      </w:r>
      <w:r w:rsidR="0077656F" w:rsidRPr="00AA62A6">
        <w:t xml:space="preserve"> </w:t>
      </w:r>
      <w:r w:rsidR="0077656F">
        <w:t>Petition at 1; and WVCH Petition at 3.</w:t>
      </w:r>
    </w:p>
  </w:footnote>
  <w:footnote w:id="27">
    <w:p w:rsidR="00F95C2B" w:rsidRDefault="00F95C2B" w:rsidP="00300679">
      <w:pPr>
        <w:pStyle w:val="FootnoteText"/>
        <w:spacing w:after="120"/>
      </w:pPr>
      <w:r w:rsidRPr="009C3CF1">
        <w:rPr>
          <w:rStyle w:val="FootnoteReference"/>
        </w:rPr>
        <w:footnoteRef/>
      </w:r>
      <w:r>
        <w:t xml:space="preserve"> </w:t>
      </w:r>
      <w:r w:rsidRPr="00300679">
        <w:rPr>
          <w:i/>
        </w:rPr>
        <w:t>See supra</w:t>
      </w:r>
      <w:r>
        <w:t xml:space="preserve"> n</w:t>
      </w:r>
      <w:r w:rsidR="007C012B">
        <w:t>.</w:t>
      </w:r>
      <w:r w:rsidR="00300679">
        <w:t>2</w:t>
      </w:r>
      <w:r w:rsidR="00634F7C">
        <w:t>2</w:t>
      </w:r>
      <w:r w:rsidR="00300679">
        <w:t xml:space="preserve">. </w:t>
      </w:r>
    </w:p>
  </w:footnote>
  <w:footnote w:id="28">
    <w:p w:rsidR="00386293" w:rsidRDefault="00386293" w:rsidP="00300679">
      <w:pPr>
        <w:pStyle w:val="FootnoteText"/>
        <w:spacing w:after="120"/>
      </w:pPr>
      <w:r w:rsidRPr="009C3CF1">
        <w:rPr>
          <w:rStyle w:val="FootnoteReference"/>
        </w:rPr>
        <w:footnoteRef/>
      </w:r>
      <w:r>
        <w:t xml:space="preserve"> </w:t>
      </w:r>
      <w:r w:rsidRPr="00300679">
        <w:rPr>
          <w:i/>
        </w:rPr>
        <w:t>See supra</w:t>
      </w:r>
      <w:r>
        <w:t xml:space="preserve"> n</w:t>
      </w:r>
      <w:r w:rsidR="007C012B">
        <w:t>.</w:t>
      </w:r>
      <w:r w:rsidR="00300679">
        <w:t>2</w:t>
      </w:r>
      <w:r w:rsidR="00634F7C">
        <w:t>2</w:t>
      </w:r>
      <w:r w:rsidR="00300679">
        <w:t>.</w:t>
      </w:r>
      <w:r w:rsidR="009C3CF1">
        <w:t xml:space="preserve"> </w:t>
      </w:r>
      <w:r w:rsidR="00300679">
        <w:t xml:space="preserve"> </w:t>
      </w:r>
      <w:r w:rsidR="0050564E" w:rsidRPr="0050564E">
        <w:t>We note that</w:t>
      </w:r>
      <w:r w:rsidR="007100F7">
        <w:t>,</w:t>
      </w:r>
      <w:r w:rsidR="0050564E" w:rsidRPr="0050564E">
        <w:t xml:space="preserve"> in light of their ultimate compliance with the Commission’s CAP requirement, Petitioners Charter, Comcast, and Kenai request to withdraw their petitions and WVCH requests that its petition be dismissed as moot.  We note that notwithstanding these Petitioners’ ultimate compliance with the Commission’s CAP rules, all were out of compliance for some period of time.  Accordingly, and for the reasons discussed in the body of this order, the appropriate relief for all the above-referenced Petitioners is grant of their waiver petitions for their stated periods of non-compliance.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86" w:rsidRDefault="00AF3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B" w:rsidRDefault="00F95C2B">
    <w:pPr>
      <w:pStyle w:val="Header"/>
      <w:tabs>
        <w:tab w:val="clear" w:pos="4320"/>
        <w:tab w:val="left" w:pos="7200"/>
        <w:tab w:val="right" w:pos="9270"/>
      </w:tabs>
      <w:rPr>
        <w:b/>
      </w:rPr>
    </w:pPr>
    <w:r>
      <w:t xml:space="preserve">                                               </w:t>
    </w:r>
    <w:r>
      <w:rPr>
        <w:b/>
      </w:rPr>
      <w:t xml:space="preserve">Federal Communications Commission                                     DA </w:t>
    </w:r>
    <w:r w:rsidR="00752FA8">
      <w:rPr>
        <w:b/>
      </w:rPr>
      <w:t>14-1690</w:t>
    </w:r>
  </w:p>
  <w:p w:rsidR="00F95C2B" w:rsidRDefault="00F95C2B">
    <w:pPr>
      <w:pStyle w:val="Header"/>
    </w:pPr>
    <w:r>
      <w:rPr>
        <w:noProof/>
        <w:snapToGrid/>
      </w:rPr>
      <mc:AlternateContent>
        <mc:Choice Requires="wps">
          <w:drawing>
            <wp:anchor distT="4294967294" distB="4294967294" distL="114300" distR="114300" simplePos="0" relativeHeight="251657216" behindDoc="0" locked="0" layoutInCell="0" allowOverlap="1" wp14:anchorId="794D1B23" wp14:editId="1E16FF15">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B" w:rsidRDefault="00F95C2B">
    <w:pPr>
      <w:pStyle w:val="Header"/>
      <w:tabs>
        <w:tab w:val="clear" w:pos="4320"/>
        <w:tab w:val="clear" w:pos="8640"/>
        <w:tab w:val="left" w:pos="7200"/>
        <w:tab w:val="left" w:pos="8010"/>
        <w:tab w:val="right" w:pos="9270"/>
        <w:tab w:val="right" w:pos="9360"/>
      </w:tabs>
      <w:rPr>
        <w:b/>
      </w:rPr>
    </w:pPr>
    <w:r>
      <w:t xml:space="preserve">                                                  </w:t>
    </w:r>
    <w:r>
      <w:rPr>
        <w:b/>
      </w:rPr>
      <w:t xml:space="preserve">Federal Communications Commission                           </w:t>
    </w:r>
    <w:r>
      <w:rPr>
        <w:b/>
      </w:rPr>
      <w:tab/>
    </w:r>
    <w:r>
      <w:rPr>
        <w:b/>
      </w:rPr>
      <w:tab/>
      <w:t xml:space="preserve">DA </w:t>
    </w:r>
    <w:r w:rsidR="00752FA8">
      <w:rPr>
        <w:b/>
      </w:rPr>
      <w:t>14-1690</w:t>
    </w:r>
  </w:p>
  <w:p w:rsidR="00F95C2B" w:rsidRDefault="00F95C2B">
    <w:pPr>
      <w:pStyle w:val="Header"/>
    </w:pPr>
    <w:r>
      <w:rPr>
        <w:noProof/>
        <w:snapToGrid/>
      </w:rPr>
      <mc:AlternateContent>
        <mc:Choice Requires="wps">
          <w:drawing>
            <wp:anchor distT="4294967294" distB="4294967294" distL="114300" distR="114300" simplePos="0" relativeHeight="251658240" behindDoc="0" locked="0" layoutInCell="0" allowOverlap="1" wp14:anchorId="21C5C7B7" wp14:editId="3B8B75BF">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F95C2B" w:rsidRDefault="00F95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3240"/>
        </w:tabs>
        <w:ind w:left="3240" w:hanging="720"/>
      </w:pPr>
      <w:rPr>
        <w:rFonts w:cs="Times New Roman"/>
      </w:rPr>
    </w:lvl>
  </w:abstractNum>
  <w:abstractNum w:abstractNumId="1">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2">
    <w:nsid w:val="037673A6"/>
    <w:multiLevelType w:val="multilevel"/>
    <w:tmpl w:val="12F6ECC0"/>
    <w:name w:val="WW8Num4"/>
    <w:lvl w:ilvl="0">
      <w:start w:val="1"/>
      <w:numFmt w:val="upperRoman"/>
      <w:lvlText w:val="%1."/>
      <w:lvlJc w:val="left"/>
      <w:pPr>
        <w:tabs>
          <w:tab w:val="num" w:pos="720"/>
        </w:tabs>
        <w:ind w:left="720" w:hanging="720"/>
      </w:pPr>
      <w:rPr>
        <w:rFonts w:ascii="Times New Roman" w:hAnsi="Times New Roman" w:hint="default"/>
        <w:sz w:val="22"/>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6CE4944"/>
    <w:multiLevelType w:val="multilevel"/>
    <w:tmpl w:val="C236499C"/>
    <w:lvl w:ilvl="0">
      <w:start w:val="1"/>
      <w:numFmt w:val="decimal"/>
      <w:lvlText w:val="%1."/>
      <w:lvlJc w:val="left"/>
      <w:pPr>
        <w:tabs>
          <w:tab w:val="num" w:pos="900"/>
        </w:tabs>
        <w:ind w:left="-540" w:firstLine="900"/>
      </w:pPr>
      <w:rPr>
        <w:rFonts w:ascii="Times New Roman" w:hAnsi="Times New Roman" w:hint="default"/>
        <w:b w:val="0"/>
        <w:i w:val="0"/>
        <w:caps w:val="0"/>
        <w:strike w:val="0"/>
        <w:dstrike w:val="0"/>
        <w:vanish w:val="0"/>
        <w:sz w:val="22"/>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B44166"/>
    <w:multiLevelType w:val="hybridMultilevel"/>
    <w:tmpl w:val="F2880164"/>
    <w:lvl w:ilvl="0" w:tplc="AFEEC53C">
      <w:start w:val="1"/>
      <w:numFmt w:val="decimal"/>
      <w:lvlText w:val="%1."/>
      <w:lvlJc w:val="left"/>
      <w:pPr>
        <w:tabs>
          <w:tab w:val="num" w:pos="720"/>
        </w:tabs>
        <w:ind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BF32B3C"/>
    <w:multiLevelType w:val="hybridMultilevel"/>
    <w:tmpl w:val="FD902954"/>
    <w:lvl w:ilvl="0" w:tplc="AFEEC53C">
      <w:start w:val="1"/>
      <w:numFmt w:val="decimal"/>
      <w:pStyle w:val="ParaNum"/>
      <w:lvlText w:val="%1."/>
      <w:lvlJc w:val="left"/>
      <w:pPr>
        <w:tabs>
          <w:tab w:val="num" w:pos="900"/>
        </w:tabs>
        <w:ind w:left="-540" w:firstLine="900"/>
      </w:pPr>
      <w:rPr>
        <w:rFonts w:ascii="Times New Roman" w:hAnsi="Times New Roman" w:hint="default"/>
        <w:b w:val="0"/>
        <w:i w:val="0"/>
        <w:caps w:val="0"/>
        <w:strike w:val="0"/>
        <w:dstrike w:val="0"/>
        <w:vanish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82E3D"/>
    <w:multiLevelType w:val="hybridMultilevel"/>
    <w:tmpl w:val="0AB40F10"/>
    <w:lvl w:ilvl="0" w:tplc="AFEEC53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5E715533"/>
    <w:multiLevelType w:val="multilevel"/>
    <w:tmpl w:val="05AE21FC"/>
    <w:lvl w:ilvl="0">
      <w:start w:val="1"/>
      <w:numFmt w:val="upperRoman"/>
      <w:pStyle w:val="Heading1"/>
      <w:lvlText w:val="%1."/>
      <w:lvlJc w:val="left"/>
      <w:pPr>
        <w:tabs>
          <w:tab w:val="num" w:pos="720"/>
        </w:tabs>
        <w:ind w:left="720" w:hanging="720"/>
      </w:pPr>
      <w:rPr>
        <w:rFonts w:ascii="Times New Roman" w:hAnsi="Times New Roman" w:hint="default"/>
        <w:b/>
        <w:i w:val="0"/>
        <w:sz w:val="22"/>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b/>
        <w:i w:val="0"/>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61182925"/>
    <w:multiLevelType w:val="singleLevel"/>
    <w:tmpl w:val="974CC14E"/>
    <w:lvl w:ilvl="0">
      <w:start w:val="1"/>
      <w:numFmt w:val="decimal"/>
      <w:lvlText w:val="%1."/>
      <w:lvlJc w:val="left"/>
      <w:pPr>
        <w:tabs>
          <w:tab w:val="num" w:pos="1080"/>
        </w:tabs>
        <w:ind w:firstLine="720"/>
      </w:pPr>
      <w:rPr>
        <w:rFonts w:ascii="Times New Roman" w:hAnsi="Times New Roman" w:cs="Times New Roman"/>
        <w:sz w:val="22"/>
      </w:rPr>
    </w:lvl>
  </w:abstractNum>
  <w:abstractNum w:abstractNumId="9">
    <w:nsid w:val="68FF4F99"/>
    <w:multiLevelType w:val="hybridMultilevel"/>
    <w:tmpl w:val="003C3D20"/>
    <w:lvl w:ilvl="0" w:tplc="82DEDC42">
      <w:start w:val="1"/>
      <w:numFmt w:val="decimal"/>
      <w:lvlText w:val="%1."/>
      <w:lvlJc w:val="left"/>
      <w:pPr>
        <w:tabs>
          <w:tab w:val="num" w:pos="1440"/>
        </w:tabs>
        <w:ind w:left="144" w:firstLine="576"/>
      </w:pPr>
      <w:rPr>
        <w:rFonts w:cs="Times New Roman" w:hint="default"/>
        <w:sz w:val="24"/>
        <w:szCs w:val="24"/>
      </w:rPr>
    </w:lvl>
    <w:lvl w:ilvl="1" w:tplc="798A153C">
      <w:start w:val="1"/>
      <w:numFmt w:val="lowerLetter"/>
      <w:lvlText w:val="%2."/>
      <w:lvlJc w:val="left"/>
      <w:pPr>
        <w:tabs>
          <w:tab w:val="num" w:pos="1440"/>
        </w:tabs>
        <w:ind w:left="1440" w:hanging="360"/>
      </w:pPr>
      <w:rPr>
        <w:rFonts w:cs="Times New Roman"/>
      </w:rPr>
    </w:lvl>
    <w:lvl w:ilvl="2" w:tplc="23CE1456">
      <w:start w:val="1"/>
      <w:numFmt w:val="lowerRoman"/>
      <w:lvlText w:val="%3."/>
      <w:lvlJc w:val="right"/>
      <w:pPr>
        <w:tabs>
          <w:tab w:val="num" w:pos="2160"/>
        </w:tabs>
        <w:ind w:left="2160" w:hanging="180"/>
      </w:pPr>
      <w:rPr>
        <w:rFonts w:cs="Times New Roman"/>
      </w:rPr>
    </w:lvl>
    <w:lvl w:ilvl="3" w:tplc="9B36E37C">
      <w:start w:val="1"/>
      <w:numFmt w:val="decimal"/>
      <w:lvlText w:val="%4."/>
      <w:lvlJc w:val="left"/>
      <w:pPr>
        <w:tabs>
          <w:tab w:val="num" w:pos="2880"/>
        </w:tabs>
        <w:ind w:left="2880" w:hanging="360"/>
      </w:pPr>
      <w:rPr>
        <w:rFonts w:cs="Times New Roman"/>
      </w:rPr>
    </w:lvl>
    <w:lvl w:ilvl="4" w:tplc="8E04B936">
      <w:start w:val="1"/>
      <w:numFmt w:val="lowerLetter"/>
      <w:lvlText w:val="%5."/>
      <w:lvlJc w:val="left"/>
      <w:pPr>
        <w:tabs>
          <w:tab w:val="num" w:pos="3600"/>
        </w:tabs>
        <w:ind w:left="3600" w:hanging="360"/>
      </w:pPr>
      <w:rPr>
        <w:rFonts w:cs="Times New Roman"/>
      </w:rPr>
    </w:lvl>
    <w:lvl w:ilvl="5" w:tplc="F322EBD8">
      <w:start w:val="1"/>
      <w:numFmt w:val="lowerRoman"/>
      <w:lvlText w:val="%6."/>
      <w:lvlJc w:val="right"/>
      <w:pPr>
        <w:tabs>
          <w:tab w:val="num" w:pos="4320"/>
        </w:tabs>
        <w:ind w:left="4320" w:hanging="180"/>
      </w:pPr>
      <w:rPr>
        <w:rFonts w:cs="Times New Roman"/>
      </w:rPr>
    </w:lvl>
    <w:lvl w:ilvl="6" w:tplc="3C48FFBE">
      <w:start w:val="1"/>
      <w:numFmt w:val="decimal"/>
      <w:lvlText w:val="%7."/>
      <w:lvlJc w:val="left"/>
      <w:pPr>
        <w:tabs>
          <w:tab w:val="num" w:pos="5040"/>
        </w:tabs>
        <w:ind w:left="5040" w:hanging="360"/>
      </w:pPr>
      <w:rPr>
        <w:rFonts w:cs="Times New Roman"/>
      </w:rPr>
    </w:lvl>
    <w:lvl w:ilvl="7" w:tplc="E14E300A">
      <w:start w:val="1"/>
      <w:numFmt w:val="lowerLetter"/>
      <w:lvlText w:val="%8."/>
      <w:lvlJc w:val="left"/>
      <w:pPr>
        <w:tabs>
          <w:tab w:val="num" w:pos="5760"/>
        </w:tabs>
        <w:ind w:left="5760" w:hanging="360"/>
      </w:pPr>
      <w:rPr>
        <w:rFonts w:cs="Times New Roman"/>
      </w:rPr>
    </w:lvl>
    <w:lvl w:ilvl="8" w:tplc="4CC45776">
      <w:start w:val="1"/>
      <w:numFmt w:val="lowerRoman"/>
      <w:lvlText w:val="%9."/>
      <w:lvlJc w:val="right"/>
      <w:pPr>
        <w:tabs>
          <w:tab w:val="num" w:pos="6480"/>
        </w:tabs>
        <w:ind w:left="6480" w:hanging="180"/>
      </w:pPr>
      <w:rPr>
        <w:rFonts w:cs="Times New Roman"/>
      </w:rPr>
    </w:lvl>
  </w:abstractNum>
  <w:abstractNum w:abstractNumId="10">
    <w:nsid w:val="6A4A6C7A"/>
    <w:multiLevelType w:val="hybridMultilevel"/>
    <w:tmpl w:val="B0CE47DA"/>
    <w:lvl w:ilvl="0" w:tplc="FFFFFFFF">
      <w:start w:val="1"/>
      <w:numFmt w:val="decimal"/>
      <w:lvlText w:val="%1."/>
      <w:lvlJc w:val="left"/>
      <w:pPr>
        <w:tabs>
          <w:tab w:val="num" w:pos="756"/>
        </w:tabs>
        <w:ind w:left="-180" w:firstLine="900"/>
      </w:pPr>
      <w:rPr>
        <w:rFonts w:ascii="Times New Roman" w:hAnsi="Times New Roman" w:cs="Times New Roman" w:hint="default"/>
        <w:b w:val="0"/>
        <w:i w:val="0"/>
        <w:caps w:val="0"/>
        <w:strike w:val="0"/>
        <w:dstrike w:val="0"/>
        <w:vanish w:val="0"/>
        <w:sz w:val="22"/>
        <w:u w:val="none"/>
        <w:vertAlign w:val="baseline"/>
      </w:rPr>
    </w:lvl>
    <w:lvl w:ilvl="1" w:tplc="FFFFFFFF">
      <w:start w:val="4"/>
      <w:numFmt w:val="upperLetter"/>
      <w:lvlText w:val="%2."/>
      <w:lvlJc w:val="left"/>
      <w:pPr>
        <w:tabs>
          <w:tab w:val="num" w:pos="1440"/>
        </w:tabs>
        <w:ind w:left="1440" w:hanging="360"/>
      </w:pPr>
      <w:rPr>
        <w:rFonts w:cs="Times New Roman" w:hint="default"/>
      </w:rPr>
    </w:lvl>
    <w:lvl w:ilvl="2" w:tplc="FFFFFFFF">
      <w:start w:val="3"/>
      <w:numFmt w:val="lowerLetter"/>
      <w:lvlText w:val="%3."/>
      <w:lvlJc w:val="left"/>
      <w:pPr>
        <w:tabs>
          <w:tab w:val="num" w:pos="2340"/>
        </w:tabs>
        <w:ind w:left="2340" w:hanging="360"/>
      </w:pPr>
      <w:rPr>
        <w:rFonts w:cs="Times New Roman" w:hint="default"/>
      </w:rPr>
    </w:lvl>
    <w:lvl w:ilvl="3" w:tplc="FFFFFFFF">
      <w:start w:val="5"/>
      <w:numFmt w:val="lowerRoman"/>
      <w:lvlText w:val="(%4)"/>
      <w:lvlJc w:val="left"/>
      <w:pPr>
        <w:tabs>
          <w:tab w:val="num" w:pos="3240"/>
        </w:tabs>
        <w:ind w:left="3240" w:hanging="720"/>
      </w:pPr>
      <w:rPr>
        <w:rFonts w:cs="Times New Roman" w:hint="default"/>
        <w:i/>
      </w:rPr>
    </w:lvl>
    <w:lvl w:ilvl="4" w:tplc="FFFFFFFF">
      <w:start w:val="1"/>
      <w:numFmt w:val="decimal"/>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F6F3684"/>
    <w:multiLevelType w:val="hybridMultilevel"/>
    <w:tmpl w:val="2C3EA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5"/>
  </w:num>
  <w:num w:numId="5">
    <w:abstractNumId w:val="5"/>
  </w:num>
  <w:num w:numId="6">
    <w:abstractNumId w:val="6"/>
  </w:num>
  <w:num w:numId="7">
    <w:abstractNumId w:val="5"/>
  </w:num>
  <w:num w:numId="8">
    <w:abstractNumId w:val="9"/>
  </w:num>
  <w:num w:numId="9">
    <w:abstractNumId w:val="1"/>
  </w:num>
  <w:num w:numId="10">
    <w:abstractNumId w:val="5"/>
  </w:num>
  <w:num w:numId="11">
    <w:abstractNumId w:val="5"/>
  </w:num>
  <w:num w:numId="12">
    <w:abstractNumId w:val="5"/>
  </w:num>
  <w:num w:numId="13">
    <w:abstractNumId w:val="3"/>
  </w:num>
  <w:num w:numId="14">
    <w:abstractNumId w:val="5"/>
  </w:num>
  <w:num w:numId="15">
    <w:abstractNumId w:val="5"/>
  </w:num>
  <w:num w:numId="16">
    <w:abstractNumId w:val="4"/>
  </w:num>
  <w:num w:numId="17">
    <w:abstractNumId w:val="5"/>
  </w:num>
  <w:num w:numId="18">
    <w:abstractNumId w:val="10"/>
  </w:num>
  <w:num w:numId="19">
    <w:abstractNumId w:val="5"/>
  </w:num>
  <w:num w:numId="20">
    <w:abstractNumId w:val="5"/>
    <w:lvlOverride w:ilvl="0">
      <w:startOverride w:val="1"/>
    </w:lvlOverride>
  </w:num>
  <w:num w:numId="21">
    <w:abstractNumId w:val="5"/>
  </w:num>
  <w:num w:numId="22">
    <w:abstractNumId w:val="5"/>
  </w:num>
  <w:num w:numId="23">
    <w:abstractNumId w:val="5"/>
  </w:num>
  <w:num w:numId="24">
    <w:abstractNumId w:val="11"/>
  </w:num>
  <w:num w:numId="25">
    <w:abstractNumId w:val="5"/>
  </w:num>
  <w:num w:numId="26">
    <w:abstractNumId w:val="5"/>
  </w:num>
  <w:num w:numId="27">
    <w:abstractNumId w:val="5"/>
  </w:num>
  <w:num w:numId="28">
    <w:abstractNumId w:val="5"/>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5"/>
  </w:num>
  <w:num w:numId="33">
    <w:abstractNumId w:val="5"/>
  </w:num>
  <w:num w:numId="34">
    <w:abstractNumId w:val="5"/>
  </w:num>
  <w:num w:numId="3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70"/>
    <w:rsid w:val="0000041E"/>
    <w:rsid w:val="0002240D"/>
    <w:rsid w:val="000235E2"/>
    <w:rsid w:val="00030384"/>
    <w:rsid w:val="00031AC0"/>
    <w:rsid w:val="00032ADD"/>
    <w:rsid w:val="0003409F"/>
    <w:rsid w:val="000429D3"/>
    <w:rsid w:val="00053627"/>
    <w:rsid w:val="0006023B"/>
    <w:rsid w:val="00064ACA"/>
    <w:rsid w:val="00065B5F"/>
    <w:rsid w:val="00067BDE"/>
    <w:rsid w:val="0008124A"/>
    <w:rsid w:val="00081E71"/>
    <w:rsid w:val="00086519"/>
    <w:rsid w:val="000A0D86"/>
    <w:rsid w:val="000A4529"/>
    <w:rsid w:val="000A4BA7"/>
    <w:rsid w:val="000A56AC"/>
    <w:rsid w:val="000B1DF8"/>
    <w:rsid w:val="000B2A26"/>
    <w:rsid w:val="000B7AEC"/>
    <w:rsid w:val="000C028E"/>
    <w:rsid w:val="000C3CAC"/>
    <w:rsid w:val="000C47CD"/>
    <w:rsid w:val="000C70E5"/>
    <w:rsid w:val="000D0786"/>
    <w:rsid w:val="000E25AC"/>
    <w:rsid w:val="000E3BD3"/>
    <w:rsid w:val="000E71E1"/>
    <w:rsid w:val="000F269A"/>
    <w:rsid w:val="000F45A7"/>
    <w:rsid w:val="000F5117"/>
    <w:rsid w:val="000F5A99"/>
    <w:rsid w:val="000F6D27"/>
    <w:rsid w:val="000F7097"/>
    <w:rsid w:val="00101A9F"/>
    <w:rsid w:val="00103818"/>
    <w:rsid w:val="0010733A"/>
    <w:rsid w:val="0011007B"/>
    <w:rsid w:val="00112362"/>
    <w:rsid w:val="00136E77"/>
    <w:rsid w:val="00144095"/>
    <w:rsid w:val="00146646"/>
    <w:rsid w:val="00153FC4"/>
    <w:rsid w:val="00157786"/>
    <w:rsid w:val="001A440A"/>
    <w:rsid w:val="001A5B78"/>
    <w:rsid w:val="001A6068"/>
    <w:rsid w:val="001A74B5"/>
    <w:rsid w:val="001B131B"/>
    <w:rsid w:val="001B4E40"/>
    <w:rsid w:val="001C3B10"/>
    <w:rsid w:val="001D2951"/>
    <w:rsid w:val="001D6BF8"/>
    <w:rsid w:val="001E1CF2"/>
    <w:rsid w:val="001E2832"/>
    <w:rsid w:val="001E3F30"/>
    <w:rsid w:val="001F2ACD"/>
    <w:rsid w:val="00200B70"/>
    <w:rsid w:val="002010D6"/>
    <w:rsid w:val="00204B61"/>
    <w:rsid w:val="00216A69"/>
    <w:rsid w:val="00233B2C"/>
    <w:rsid w:val="00264688"/>
    <w:rsid w:val="00273AE6"/>
    <w:rsid w:val="00276B9F"/>
    <w:rsid w:val="002812A4"/>
    <w:rsid w:val="00282243"/>
    <w:rsid w:val="0028401F"/>
    <w:rsid w:val="0028411C"/>
    <w:rsid w:val="00284668"/>
    <w:rsid w:val="00285EF4"/>
    <w:rsid w:val="00286FBA"/>
    <w:rsid w:val="00293D50"/>
    <w:rsid w:val="0029552C"/>
    <w:rsid w:val="0029553E"/>
    <w:rsid w:val="002A0E8B"/>
    <w:rsid w:val="002A7897"/>
    <w:rsid w:val="002B456E"/>
    <w:rsid w:val="002B5C63"/>
    <w:rsid w:val="002C2A2F"/>
    <w:rsid w:val="002C620B"/>
    <w:rsid w:val="002D5039"/>
    <w:rsid w:val="002D5F33"/>
    <w:rsid w:val="002D68C3"/>
    <w:rsid w:val="002E0B50"/>
    <w:rsid w:val="002E6822"/>
    <w:rsid w:val="002F197A"/>
    <w:rsid w:val="002F64F9"/>
    <w:rsid w:val="00300679"/>
    <w:rsid w:val="0030177B"/>
    <w:rsid w:val="0030715E"/>
    <w:rsid w:val="0032254D"/>
    <w:rsid w:val="00322D58"/>
    <w:rsid w:val="00327869"/>
    <w:rsid w:val="003300CC"/>
    <w:rsid w:val="00335E9B"/>
    <w:rsid w:val="00336604"/>
    <w:rsid w:val="003373BC"/>
    <w:rsid w:val="00347B1F"/>
    <w:rsid w:val="0035335A"/>
    <w:rsid w:val="00363A59"/>
    <w:rsid w:val="003854EB"/>
    <w:rsid w:val="00385C02"/>
    <w:rsid w:val="00386293"/>
    <w:rsid w:val="003877BC"/>
    <w:rsid w:val="00392D40"/>
    <w:rsid w:val="003B34F1"/>
    <w:rsid w:val="003B3B54"/>
    <w:rsid w:val="003C4563"/>
    <w:rsid w:val="003D0758"/>
    <w:rsid w:val="003E0048"/>
    <w:rsid w:val="003E1AC4"/>
    <w:rsid w:val="003F2274"/>
    <w:rsid w:val="00400529"/>
    <w:rsid w:val="0040149F"/>
    <w:rsid w:val="00402739"/>
    <w:rsid w:val="00402E3B"/>
    <w:rsid w:val="00406765"/>
    <w:rsid w:val="00412215"/>
    <w:rsid w:val="00414A95"/>
    <w:rsid w:val="00416170"/>
    <w:rsid w:val="00434D57"/>
    <w:rsid w:val="00437A51"/>
    <w:rsid w:val="00441E06"/>
    <w:rsid w:val="00445F0C"/>
    <w:rsid w:val="00446227"/>
    <w:rsid w:val="0044654F"/>
    <w:rsid w:val="004536D8"/>
    <w:rsid w:val="0046074E"/>
    <w:rsid w:val="00461877"/>
    <w:rsid w:val="00461C45"/>
    <w:rsid w:val="00473A95"/>
    <w:rsid w:val="00474B17"/>
    <w:rsid w:val="00475DE9"/>
    <w:rsid w:val="004771E7"/>
    <w:rsid w:val="0047733D"/>
    <w:rsid w:val="004832F1"/>
    <w:rsid w:val="00485209"/>
    <w:rsid w:val="0049149C"/>
    <w:rsid w:val="00492048"/>
    <w:rsid w:val="00497BF5"/>
    <w:rsid w:val="004A23DF"/>
    <w:rsid w:val="004A35DD"/>
    <w:rsid w:val="004A4497"/>
    <w:rsid w:val="004A48E0"/>
    <w:rsid w:val="004A7145"/>
    <w:rsid w:val="004B319D"/>
    <w:rsid w:val="004B5E87"/>
    <w:rsid w:val="004B70BE"/>
    <w:rsid w:val="004B7270"/>
    <w:rsid w:val="004C2CE2"/>
    <w:rsid w:val="004C67A3"/>
    <w:rsid w:val="004C6E87"/>
    <w:rsid w:val="004C7E75"/>
    <w:rsid w:val="004D6766"/>
    <w:rsid w:val="004D6DAF"/>
    <w:rsid w:val="004E3234"/>
    <w:rsid w:val="004E68B7"/>
    <w:rsid w:val="004F2F9D"/>
    <w:rsid w:val="004F30BF"/>
    <w:rsid w:val="004F40AF"/>
    <w:rsid w:val="005004B7"/>
    <w:rsid w:val="0050564E"/>
    <w:rsid w:val="0051604A"/>
    <w:rsid w:val="005204A8"/>
    <w:rsid w:val="00534F52"/>
    <w:rsid w:val="005451A8"/>
    <w:rsid w:val="00551F2E"/>
    <w:rsid w:val="0055201D"/>
    <w:rsid w:val="00553C66"/>
    <w:rsid w:val="00553FC7"/>
    <w:rsid w:val="0055584E"/>
    <w:rsid w:val="00557749"/>
    <w:rsid w:val="0056251F"/>
    <w:rsid w:val="00573977"/>
    <w:rsid w:val="00576AB8"/>
    <w:rsid w:val="00581461"/>
    <w:rsid w:val="005839E4"/>
    <w:rsid w:val="005902CA"/>
    <w:rsid w:val="00596860"/>
    <w:rsid w:val="00597FF4"/>
    <w:rsid w:val="005B1AF0"/>
    <w:rsid w:val="005C572E"/>
    <w:rsid w:val="005C7562"/>
    <w:rsid w:val="005D23FE"/>
    <w:rsid w:val="005D2898"/>
    <w:rsid w:val="005D32EC"/>
    <w:rsid w:val="005D3429"/>
    <w:rsid w:val="005E0D85"/>
    <w:rsid w:val="005E2B4B"/>
    <w:rsid w:val="005E3126"/>
    <w:rsid w:val="005E3D25"/>
    <w:rsid w:val="005F1201"/>
    <w:rsid w:val="005F2BA5"/>
    <w:rsid w:val="005F5613"/>
    <w:rsid w:val="005F78B1"/>
    <w:rsid w:val="00600BCA"/>
    <w:rsid w:val="00607AFC"/>
    <w:rsid w:val="0061044A"/>
    <w:rsid w:val="00615554"/>
    <w:rsid w:val="006158FC"/>
    <w:rsid w:val="00617C4A"/>
    <w:rsid w:val="006205BE"/>
    <w:rsid w:val="0062436F"/>
    <w:rsid w:val="006264AF"/>
    <w:rsid w:val="00630BB1"/>
    <w:rsid w:val="006323E5"/>
    <w:rsid w:val="00634F7C"/>
    <w:rsid w:val="00647B09"/>
    <w:rsid w:val="006535CB"/>
    <w:rsid w:val="006609A5"/>
    <w:rsid w:val="006615BD"/>
    <w:rsid w:val="006635F0"/>
    <w:rsid w:val="006656EA"/>
    <w:rsid w:val="0067117A"/>
    <w:rsid w:val="00677C0A"/>
    <w:rsid w:val="0068340B"/>
    <w:rsid w:val="006857BA"/>
    <w:rsid w:val="00686554"/>
    <w:rsid w:val="0068747C"/>
    <w:rsid w:val="006959FF"/>
    <w:rsid w:val="006A28DC"/>
    <w:rsid w:val="006A5E09"/>
    <w:rsid w:val="006B5614"/>
    <w:rsid w:val="006C00ED"/>
    <w:rsid w:val="006C2B74"/>
    <w:rsid w:val="006C3568"/>
    <w:rsid w:val="006E0705"/>
    <w:rsid w:val="006E3E03"/>
    <w:rsid w:val="006F411E"/>
    <w:rsid w:val="006F4A8A"/>
    <w:rsid w:val="006F5403"/>
    <w:rsid w:val="007015AE"/>
    <w:rsid w:val="00701A51"/>
    <w:rsid w:val="007046A0"/>
    <w:rsid w:val="007100F7"/>
    <w:rsid w:val="00714C25"/>
    <w:rsid w:val="00714CA3"/>
    <w:rsid w:val="0071516D"/>
    <w:rsid w:val="00715E00"/>
    <w:rsid w:val="00716DFE"/>
    <w:rsid w:val="00717C1F"/>
    <w:rsid w:val="007255E1"/>
    <w:rsid w:val="00725C5F"/>
    <w:rsid w:val="00726C80"/>
    <w:rsid w:val="007312BE"/>
    <w:rsid w:val="00737B2B"/>
    <w:rsid w:val="007506F7"/>
    <w:rsid w:val="00752FA8"/>
    <w:rsid w:val="007535A7"/>
    <w:rsid w:val="007535E9"/>
    <w:rsid w:val="0075735C"/>
    <w:rsid w:val="007740A8"/>
    <w:rsid w:val="0077656F"/>
    <w:rsid w:val="00792325"/>
    <w:rsid w:val="007940B1"/>
    <w:rsid w:val="007966DF"/>
    <w:rsid w:val="007A2A94"/>
    <w:rsid w:val="007B68B5"/>
    <w:rsid w:val="007B6B47"/>
    <w:rsid w:val="007C012B"/>
    <w:rsid w:val="007D01D8"/>
    <w:rsid w:val="007D02AA"/>
    <w:rsid w:val="007D2BBF"/>
    <w:rsid w:val="007F0115"/>
    <w:rsid w:val="007F7C9B"/>
    <w:rsid w:val="008000E2"/>
    <w:rsid w:val="008018D1"/>
    <w:rsid w:val="0080354F"/>
    <w:rsid w:val="008050CD"/>
    <w:rsid w:val="00821237"/>
    <w:rsid w:val="008277F8"/>
    <w:rsid w:val="0084721E"/>
    <w:rsid w:val="00860A2D"/>
    <w:rsid w:val="00863777"/>
    <w:rsid w:val="00872083"/>
    <w:rsid w:val="00873C39"/>
    <w:rsid w:val="00874476"/>
    <w:rsid w:val="008811EB"/>
    <w:rsid w:val="00881782"/>
    <w:rsid w:val="0088403F"/>
    <w:rsid w:val="00891D6E"/>
    <w:rsid w:val="00894AC9"/>
    <w:rsid w:val="008A05C0"/>
    <w:rsid w:val="008A1D08"/>
    <w:rsid w:val="008B4542"/>
    <w:rsid w:val="008B7E8A"/>
    <w:rsid w:val="008C045C"/>
    <w:rsid w:val="008C11DB"/>
    <w:rsid w:val="008C142D"/>
    <w:rsid w:val="008F0F9D"/>
    <w:rsid w:val="008F1E7B"/>
    <w:rsid w:val="0090004B"/>
    <w:rsid w:val="00902A3F"/>
    <w:rsid w:val="009145BC"/>
    <w:rsid w:val="00921416"/>
    <w:rsid w:val="0092186C"/>
    <w:rsid w:val="0092331E"/>
    <w:rsid w:val="00934147"/>
    <w:rsid w:val="00940CB9"/>
    <w:rsid w:val="00941E81"/>
    <w:rsid w:val="00954393"/>
    <w:rsid w:val="00960159"/>
    <w:rsid w:val="009604B9"/>
    <w:rsid w:val="0098101F"/>
    <w:rsid w:val="00984BB8"/>
    <w:rsid w:val="009940DD"/>
    <w:rsid w:val="009A00B0"/>
    <w:rsid w:val="009A29BC"/>
    <w:rsid w:val="009A4758"/>
    <w:rsid w:val="009A54C2"/>
    <w:rsid w:val="009A5839"/>
    <w:rsid w:val="009A5D96"/>
    <w:rsid w:val="009B2266"/>
    <w:rsid w:val="009B2CB9"/>
    <w:rsid w:val="009C3CF1"/>
    <w:rsid w:val="009C4423"/>
    <w:rsid w:val="009D0BCD"/>
    <w:rsid w:val="009D2AC6"/>
    <w:rsid w:val="009D60B3"/>
    <w:rsid w:val="00A0110C"/>
    <w:rsid w:val="00A02D30"/>
    <w:rsid w:val="00A06524"/>
    <w:rsid w:val="00A11729"/>
    <w:rsid w:val="00A1390C"/>
    <w:rsid w:val="00A1531D"/>
    <w:rsid w:val="00A16C4C"/>
    <w:rsid w:val="00A16C9F"/>
    <w:rsid w:val="00A21235"/>
    <w:rsid w:val="00A24C4F"/>
    <w:rsid w:val="00A25803"/>
    <w:rsid w:val="00A274AA"/>
    <w:rsid w:val="00A3116C"/>
    <w:rsid w:val="00A3388C"/>
    <w:rsid w:val="00A3611F"/>
    <w:rsid w:val="00A36E6E"/>
    <w:rsid w:val="00A4057F"/>
    <w:rsid w:val="00A424BD"/>
    <w:rsid w:val="00A46470"/>
    <w:rsid w:val="00A519CE"/>
    <w:rsid w:val="00A55A73"/>
    <w:rsid w:val="00A6050B"/>
    <w:rsid w:val="00A63810"/>
    <w:rsid w:val="00A64CA9"/>
    <w:rsid w:val="00A67F3C"/>
    <w:rsid w:val="00A75FE5"/>
    <w:rsid w:val="00A776CE"/>
    <w:rsid w:val="00A8034A"/>
    <w:rsid w:val="00A8241D"/>
    <w:rsid w:val="00A828D4"/>
    <w:rsid w:val="00A946A1"/>
    <w:rsid w:val="00A96122"/>
    <w:rsid w:val="00A9716F"/>
    <w:rsid w:val="00A971EF"/>
    <w:rsid w:val="00AA10E0"/>
    <w:rsid w:val="00AB708D"/>
    <w:rsid w:val="00AC2AFA"/>
    <w:rsid w:val="00AC71A4"/>
    <w:rsid w:val="00AD083B"/>
    <w:rsid w:val="00AE095B"/>
    <w:rsid w:val="00AE0F6D"/>
    <w:rsid w:val="00AE5DE2"/>
    <w:rsid w:val="00AF1954"/>
    <w:rsid w:val="00AF3886"/>
    <w:rsid w:val="00AF5FEA"/>
    <w:rsid w:val="00AF665C"/>
    <w:rsid w:val="00B0033C"/>
    <w:rsid w:val="00B11C53"/>
    <w:rsid w:val="00B1367A"/>
    <w:rsid w:val="00B13F94"/>
    <w:rsid w:val="00B2629C"/>
    <w:rsid w:val="00B3619B"/>
    <w:rsid w:val="00B37184"/>
    <w:rsid w:val="00B46909"/>
    <w:rsid w:val="00B50F51"/>
    <w:rsid w:val="00B523F2"/>
    <w:rsid w:val="00B53145"/>
    <w:rsid w:val="00B55D93"/>
    <w:rsid w:val="00B57D34"/>
    <w:rsid w:val="00B61C23"/>
    <w:rsid w:val="00B67736"/>
    <w:rsid w:val="00B763EA"/>
    <w:rsid w:val="00B83879"/>
    <w:rsid w:val="00B85AB1"/>
    <w:rsid w:val="00B87C63"/>
    <w:rsid w:val="00B97136"/>
    <w:rsid w:val="00B97911"/>
    <w:rsid w:val="00BA1A20"/>
    <w:rsid w:val="00BA76F4"/>
    <w:rsid w:val="00BA78D4"/>
    <w:rsid w:val="00BB1517"/>
    <w:rsid w:val="00BB2C44"/>
    <w:rsid w:val="00BB75DC"/>
    <w:rsid w:val="00BC02FE"/>
    <w:rsid w:val="00BC0B59"/>
    <w:rsid w:val="00BD563F"/>
    <w:rsid w:val="00BE2F4E"/>
    <w:rsid w:val="00BF5A9E"/>
    <w:rsid w:val="00C04109"/>
    <w:rsid w:val="00C13F7A"/>
    <w:rsid w:val="00C15D59"/>
    <w:rsid w:val="00C32D1C"/>
    <w:rsid w:val="00C435B4"/>
    <w:rsid w:val="00C44FDD"/>
    <w:rsid w:val="00C52FDA"/>
    <w:rsid w:val="00C547F7"/>
    <w:rsid w:val="00C56BD4"/>
    <w:rsid w:val="00C60FE8"/>
    <w:rsid w:val="00C6566C"/>
    <w:rsid w:val="00C66435"/>
    <w:rsid w:val="00C70C14"/>
    <w:rsid w:val="00C71ABD"/>
    <w:rsid w:val="00C832CF"/>
    <w:rsid w:val="00C8721C"/>
    <w:rsid w:val="00C95E3A"/>
    <w:rsid w:val="00CA07E8"/>
    <w:rsid w:val="00CA1871"/>
    <w:rsid w:val="00CA51C1"/>
    <w:rsid w:val="00CB164C"/>
    <w:rsid w:val="00CB1B0A"/>
    <w:rsid w:val="00CB472B"/>
    <w:rsid w:val="00CB5392"/>
    <w:rsid w:val="00CD591A"/>
    <w:rsid w:val="00CD70D4"/>
    <w:rsid w:val="00CE078F"/>
    <w:rsid w:val="00CE5031"/>
    <w:rsid w:val="00D112EA"/>
    <w:rsid w:val="00D1180F"/>
    <w:rsid w:val="00D13275"/>
    <w:rsid w:val="00D15AE6"/>
    <w:rsid w:val="00D17ABD"/>
    <w:rsid w:val="00D225FE"/>
    <w:rsid w:val="00D40447"/>
    <w:rsid w:val="00D41D89"/>
    <w:rsid w:val="00D439B1"/>
    <w:rsid w:val="00D44B20"/>
    <w:rsid w:val="00D5225A"/>
    <w:rsid w:val="00D523B3"/>
    <w:rsid w:val="00D57F14"/>
    <w:rsid w:val="00D60DCF"/>
    <w:rsid w:val="00D61A0F"/>
    <w:rsid w:val="00D62207"/>
    <w:rsid w:val="00D7054E"/>
    <w:rsid w:val="00D71664"/>
    <w:rsid w:val="00D76C44"/>
    <w:rsid w:val="00D77C6E"/>
    <w:rsid w:val="00D86113"/>
    <w:rsid w:val="00D86AE5"/>
    <w:rsid w:val="00D87DDB"/>
    <w:rsid w:val="00D911AA"/>
    <w:rsid w:val="00D96F06"/>
    <w:rsid w:val="00DA1B48"/>
    <w:rsid w:val="00DB164F"/>
    <w:rsid w:val="00DB2BAB"/>
    <w:rsid w:val="00DB3035"/>
    <w:rsid w:val="00DB5533"/>
    <w:rsid w:val="00DB78B9"/>
    <w:rsid w:val="00DC0516"/>
    <w:rsid w:val="00DC312C"/>
    <w:rsid w:val="00DC49B9"/>
    <w:rsid w:val="00DC67FF"/>
    <w:rsid w:val="00DC6CF9"/>
    <w:rsid w:val="00DD2B1C"/>
    <w:rsid w:val="00DD2FB8"/>
    <w:rsid w:val="00DE10C7"/>
    <w:rsid w:val="00DE11C3"/>
    <w:rsid w:val="00DE1C98"/>
    <w:rsid w:val="00DE4837"/>
    <w:rsid w:val="00DF1917"/>
    <w:rsid w:val="00DF3E5A"/>
    <w:rsid w:val="00E01DD1"/>
    <w:rsid w:val="00E11898"/>
    <w:rsid w:val="00E15D55"/>
    <w:rsid w:val="00E2003E"/>
    <w:rsid w:val="00E207EE"/>
    <w:rsid w:val="00E229ED"/>
    <w:rsid w:val="00E272A2"/>
    <w:rsid w:val="00E36310"/>
    <w:rsid w:val="00E4101E"/>
    <w:rsid w:val="00E43158"/>
    <w:rsid w:val="00E4494C"/>
    <w:rsid w:val="00E562BD"/>
    <w:rsid w:val="00E66B04"/>
    <w:rsid w:val="00E67EAB"/>
    <w:rsid w:val="00E70570"/>
    <w:rsid w:val="00E70ECE"/>
    <w:rsid w:val="00E73E67"/>
    <w:rsid w:val="00E7522E"/>
    <w:rsid w:val="00E8197F"/>
    <w:rsid w:val="00E9146B"/>
    <w:rsid w:val="00E91E45"/>
    <w:rsid w:val="00E9618E"/>
    <w:rsid w:val="00E967FE"/>
    <w:rsid w:val="00E96A5C"/>
    <w:rsid w:val="00EA14A4"/>
    <w:rsid w:val="00EA2FF7"/>
    <w:rsid w:val="00EA316A"/>
    <w:rsid w:val="00EA4575"/>
    <w:rsid w:val="00EA63B5"/>
    <w:rsid w:val="00EA6D49"/>
    <w:rsid w:val="00EB01FC"/>
    <w:rsid w:val="00EB46D2"/>
    <w:rsid w:val="00EB5493"/>
    <w:rsid w:val="00EC2178"/>
    <w:rsid w:val="00EE5F4D"/>
    <w:rsid w:val="00EF1CD9"/>
    <w:rsid w:val="00EF7F72"/>
    <w:rsid w:val="00F00D8E"/>
    <w:rsid w:val="00F01584"/>
    <w:rsid w:val="00F052AF"/>
    <w:rsid w:val="00F07FB2"/>
    <w:rsid w:val="00F118A4"/>
    <w:rsid w:val="00F27060"/>
    <w:rsid w:val="00F33667"/>
    <w:rsid w:val="00F35010"/>
    <w:rsid w:val="00F401E1"/>
    <w:rsid w:val="00F40538"/>
    <w:rsid w:val="00F72254"/>
    <w:rsid w:val="00F81F07"/>
    <w:rsid w:val="00F923BF"/>
    <w:rsid w:val="00F933BC"/>
    <w:rsid w:val="00F94634"/>
    <w:rsid w:val="00F94A8A"/>
    <w:rsid w:val="00F95C2B"/>
    <w:rsid w:val="00FA3951"/>
    <w:rsid w:val="00FA6DC0"/>
    <w:rsid w:val="00FB4A05"/>
    <w:rsid w:val="00FB535C"/>
    <w:rsid w:val="00FB5982"/>
    <w:rsid w:val="00FB6C25"/>
    <w:rsid w:val="00FC402B"/>
    <w:rsid w:val="00FC547F"/>
    <w:rsid w:val="00FD0B5F"/>
    <w:rsid w:val="00FD52F7"/>
    <w:rsid w:val="00FE0B4E"/>
    <w:rsid w:val="00FE3589"/>
    <w:rsid w:val="00FE5A83"/>
    <w:rsid w:val="00FE7F5E"/>
    <w:rsid w:val="00FF3224"/>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semiHidden/>
    <w:locked/>
    <w:rPr>
      <w:snapToGrid w:val="0"/>
      <w:kern w:val="28"/>
      <w:sz w:val="22"/>
      <w:lang w:val="en-US" w:eastAsia="en-US" w:bidi="ar-SA"/>
    </w:rPr>
  </w:style>
  <w:style w:type="paragraph" w:customStyle="1" w:styleId="ParaNum">
    <w:name w:val="ParaNum"/>
    <w:basedOn w:val="Normal"/>
    <w:link w:val="ParaNumChar"/>
    <w:uiPriority w:val="99"/>
    <w:pPr>
      <w:numPr>
        <w:numId w:val="1"/>
      </w:numPr>
    </w:pPr>
    <w:rPr>
      <w:lang w:val="x-none" w:eastAsia="x-none"/>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1"/>
    <w:rPr>
      <w:sz w:val="20"/>
    </w:rPr>
  </w:style>
  <w:style w:type="character" w:styleId="FootnoteReference">
    <w:name w:val="footnote reference"/>
    <w:aliases w:val="Style 12,(NECG) Footnote Reference,o,fr,Style 3,Appel note de bas de p,Style 124,Style 17,FR,Style 13,Footnote Reference/,Style 6"/>
    <w:uiPriority w:val="99"/>
    <w:rPr>
      <w:vertAlign w:val="superscript"/>
    </w:rPr>
  </w:style>
  <w:style w:type="character" w:customStyle="1" w:styleId="FootnoteTextChar1">
    <w:name w:val="Footnote Text Char1"/>
    <w:aliases w:val="Footnote Text Char Char1,Footnote Text Char3 Char Char,Footnote Text Char4 Char1 Char Char,Footnote Text Char Char2 Char Char Char,Footnote Text Char3 Char Char Char2 Char Char,Footnote Text Char Char2 Char Char Char2 Char Char"/>
    <w:link w:val="FootnoteText"/>
    <w:uiPriority w:val="99"/>
    <w:locked/>
    <w:rPr>
      <w:snapToGrid w:val="0"/>
      <w:kern w:val="28"/>
      <w:lang w:val="en-US" w:eastAsia="en-US" w:bidi="ar-SA"/>
    </w:rPr>
  </w:style>
  <w:style w:type="character" w:customStyle="1" w:styleId="Heading5Char1">
    <w:name w:val="Heading 5 Char1"/>
    <w:aliases w:val="Heading 5 Char Char"/>
    <w:link w:val="Heading5"/>
    <w:locked/>
    <w:rPr>
      <w:b/>
      <w:bCs/>
      <w:i/>
      <w:iCs/>
      <w:snapToGrid w:val="0"/>
      <w:kern w:val="28"/>
      <w:sz w:val="26"/>
      <w:szCs w:val="26"/>
      <w:lang w:val="en-US" w:eastAsia="en-US" w:bidi="ar-SA"/>
    </w:rPr>
  </w:style>
  <w:style w:type="character" w:customStyle="1" w:styleId="ParaNumChar">
    <w:name w:val="ParaNum Char"/>
    <w:link w:val="ParaNum"/>
    <w:uiPriority w:val="99"/>
    <w:locked/>
    <w:rPr>
      <w:snapToGrid w:val="0"/>
      <w:kern w:val="28"/>
      <w:sz w:val="22"/>
      <w:lang w:val="x-none" w:eastAsia="x-none"/>
    </w:rPr>
  </w:style>
  <w:style w:type="character" w:styleId="Hyperlink">
    <w:name w:val="Hyperlink"/>
    <w:rPr>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f Char"/>
    <w:uiPriority w:val="99"/>
    <w:semiHidden/>
    <w:locked/>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9604B9"/>
    <w:pPr>
      <w:numPr>
        <w:numId w:val="9"/>
      </w:numPr>
      <w:shd w:val="clear" w:color="auto" w:fill="000080"/>
      <w:tabs>
        <w:tab w:val="clear" w:pos="1080"/>
      </w:tabs>
      <w:ind w:firstLine="0"/>
      <w:jc w:val="both"/>
    </w:pPr>
    <w:rPr>
      <w:rFonts w:ascii="Tahoma" w:hAnsi="Tahoma" w:cs="Tahoma"/>
    </w:rPr>
  </w:style>
  <w:style w:type="character" w:customStyle="1" w:styleId="FooterChar">
    <w:name w:val="Footer Char"/>
    <w:link w:val="Footer"/>
    <w:uiPriority w:val="99"/>
    <w:rsid w:val="00064ACA"/>
    <w:rPr>
      <w:snapToGrid w:val="0"/>
      <w:kern w:val="28"/>
      <w:sz w:val="22"/>
    </w:rPr>
  </w:style>
  <w:style w:type="paragraph" w:styleId="ListParagraph">
    <w:name w:val="List Paragraph"/>
    <w:basedOn w:val="Normal"/>
    <w:uiPriority w:val="34"/>
    <w:qFormat/>
    <w:rsid w:val="009940DD"/>
    <w:pPr>
      <w:ind w:left="720"/>
    </w:pPr>
  </w:style>
  <w:style w:type="character" w:customStyle="1" w:styleId="starpage">
    <w:name w:val="starpage"/>
    <w:basedOn w:val="DefaultParagraphFont"/>
    <w:rsid w:val="00031AC0"/>
  </w:style>
  <w:style w:type="character" w:styleId="FollowedHyperlink">
    <w:name w:val="FollowedHyperlink"/>
    <w:rsid w:val="0000041E"/>
    <w:rPr>
      <w:color w:val="800080"/>
      <w:u w:val="single"/>
    </w:rPr>
  </w:style>
  <w:style w:type="paragraph" w:styleId="EndnoteText">
    <w:name w:val="endnote text"/>
    <w:basedOn w:val="Normal"/>
    <w:link w:val="EndnoteTextChar"/>
    <w:rsid w:val="006C3568"/>
    <w:rPr>
      <w:sz w:val="20"/>
    </w:rPr>
  </w:style>
  <w:style w:type="character" w:customStyle="1" w:styleId="EndnoteTextChar">
    <w:name w:val="Endnote Text Char"/>
    <w:basedOn w:val="DefaultParagraphFont"/>
    <w:link w:val="EndnoteText"/>
    <w:rsid w:val="006C3568"/>
    <w:rPr>
      <w:snapToGrid w:val="0"/>
      <w:kern w:val="28"/>
    </w:rPr>
  </w:style>
  <w:style w:type="character" w:styleId="EndnoteReference">
    <w:name w:val="endnote reference"/>
    <w:basedOn w:val="DefaultParagraphFont"/>
    <w:rsid w:val="006C3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semiHidden/>
    <w:locked/>
    <w:rPr>
      <w:snapToGrid w:val="0"/>
      <w:kern w:val="28"/>
      <w:sz w:val="22"/>
      <w:lang w:val="en-US" w:eastAsia="en-US" w:bidi="ar-SA"/>
    </w:rPr>
  </w:style>
  <w:style w:type="paragraph" w:customStyle="1" w:styleId="ParaNum">
    <w:name w:val="ParaNum"/>
    <w:basedOn w:val="Normal"/>
    <w:link w:val="ParaNumChar"/>
    <w:uiPriority w:val="99"/>
    <w:pPr>
      <w:numPr>
        <w:numId w:val="1"/>
      </w:numPr>
    </w:pPr>
    <w:rPr>
      <w:lang w:val="x-none" w:eastAsia="x-none"/>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1"/>
    <w:rPr>
      <w:sz w:val="20"/>
    </w:rPr>
  </w:style>
  <w:style w:type="character" w:styleId="FootnoteReference">
    <w:name w:val="footnote reference"/>
    <w:aliases w:val="Style 12,(NECG) Footnote Reference,o,fr,Style 3,Appel note de bas de p,Style 124,Style 17,FR,Style 13,Footnote Reference/,Style 6"/>
    <w:uiPriority w:val="99"/>
    <w:rPr>
      <w:vertAlign w:val="superscript"/>
    </w:rPr>
  </w:style>
  <w:style w:type="character" w:customStyle="1" w:styleId="FootnoteTextChar1">
    <w:name w:val="Footnote Text Char1"/>
    <w:aliases w:val="Footnote Text Char Char1,Footnote Text Char3 Char Char,Footnote Text Char4 Char1 Char Char,Footnote Text Char Char2 Char Char Char,Footnote Text Char3 Char Char Char2 Char Char,Footnote Text Char Char2 Char Char Char2 Char Char"/>
    <w:link w:val="FootnoteText"/>
    <w:uiPriority w:val="99"/>
    <w:locked/>
    <w:rPr>
      <w:snapToGrid w:val="0"/>
      <w:kern w:val="28"/>
      <w:lang w:val="en-US" w:eastAsia="en-US" w:bidi="ar-SA"/>
    </w:rPr>
  </w:style>
  <w:style w:type="character" w:customStyle="1" w:styleId="Heading5Char1">
    <w:name w:val="Heading 5 Char1"/>
    <w:aliases w:val="Heading 5 Char Char"/>
    <w:link w:val="Heading5"/>
    <w:locked/>
    <w:rPr>
      <w:b/>
      <w:bCs/>
      <w:i/>
      <w:iCs/>
      <w:snapToGrid w:val="0"/>
      <w:kern w:val="28"/>
      <w:sz w:val="26"/>
      <w:szCs w:val="26"/>
      <w:lang w:val="en-US" w:eastAsia="en-US" w:bidi="ar-SA"/>
    </w:rPr>
  </w:style>
  <w:style w:type="character" w:customStyle="1" w:styleId="ParaNumChar">
    <w:name w:val="ParaNum Char"/>
    <w:link w:val="ParaNum"/>
    <w:uiPriority w:val="99"/>
    <w:locked/>
    <w:rPr>
      <w:snapToGrid w:val="0"/>
      <w:kern w:val="28"/>
      <w:sz w:val="22"/>
      <w:lang w:val="x-none" w:eastAsia="x-none"/>
    </w:rPr>
  </w:style>
  <w:style w:type="character" w:styleId="Hyperlink">
    <w:name w:val="Hyperlink"/>
    <w:rPr>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f Char"/>
    <w:uiPriority w:val="99"/>
    <w:semiHidden/>
    <w:locked/>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9604B9"/>
    <w:pPr>
      <w:numPr>
        <w:numId w:val="9"/>
      </w:numPr>
      <w:shd w:val="clear" w:color="auto" w:fill="000080"/>
      <w:tabs>
        <w:tab w:val="clear" w:pos="1080"/>
      </w:tabs>
      <w:ind w:firstLine="0"/>
      <w:jc w:val="both"/>
    </w:pPr>
    <w:rPr>
      <w:rFonts w:ascii="Tahoma" w:hAnsi="Tahoma" w:cs="Tahoma"/>
    </w:rPr>
  </w:style>
  <w:style w:type="character" w:customStyle="1" w:styleId="FooterChar">
    <w:name w:val="Footer Char"/>
    <w:link w:val="Footer"/>
    <w:uiPriority w:val="99"/>
    <w:rsid w:val="00064ACA"/>
    <w:rPr>
      <w:snapToGrid w:val="0"/>
      <w:kern w:val="28"/>
      <w:sz w:val="22"/>
    </w:rPr>
  </w:style>
  <w:style w:type="paragraph" w:styleId="ListParagraph">
    <w:name w:val="List Paragraph"/>
    <w:basedOn w:val="Normal"/>
    <w:uiPriority w:val="34"/>
    <w:qFormat/>
    <w:rsid w:val="009940DD"/>
    <w:pPr>
      <w:ind w:left="720"/>
    </w:pPr>
  </w:style>
  <w:style w:type="character" w:customStyle="1" w:styleId="starpage">
    <w:name w:val="starpage"/>
    <w:basedOn w:val="DefaultParagraphFont"/>
    <w:rsid w:val="00031AC0"/>
  </w:style>
  <w:style w:type="character" w:styleId="FollowedHyperlink">
    <w:name w:val="FollowedHyperlink"/>
    <w:rsid w:val="0000041E"/>
    <w:rPr>
      <w:color w:val="800080"/>
      <w:u w:val="single"/>
    </w:rPr>
  </w:style>
  <w:style w:type="paragraph" w:styleId="EndnoteText">
    <w:name w:val="endnote text"/>
    <w:basedOn w:val="Normal"/>
    <w:link w:val="EndnoteTextChar"/>
    <w:rsid w:val="006C3568"/>
    <w:rPr>
      <w:sz w:val="20"/>
    </w:rPr>
  </w:style>
  <w:style w:type="character" w:customStyle="1" w:styleId="EndnoteTextChar">
    <w:name w:val="Endnote Text Char"/>
    <w:basedOn w:val="DefaultParagraphFont"/>
    <w:link w:val="EndnoteText"/>
    <w:rsid w:val="006C3568"/>
    <w:rPr>
      <w:snapToGrid w:val="0"/>
      <w:kern w:val="28"/>
    </w:rPr>
  </w:style>
  <w:style w:type="character" w:styleId="EndnoteReference">
    <w:name w:val="endnote reference"/>
    <w:basedOn w:val="DefaultParagraphFont"/>
    <w:rsid w:val="006C3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288">
      <w:bodyDiv w:val="1"/>
      <w:marLeft w:val="0"/>
      <w:marRight w:val="0"/>
      <w:marTop w:val="0"/>
      <w:marBottom w:val="0"/>
      <w:divBdr>
        <w:top w:val="none" w:sz="0" w:space="0" w:color="auto"/>
        <w:left w:val="none" w:sz="0" w:space="0" w:color="auto"/>
        <w:bottom w:val="none" w:sz="0" w:space="0" w:color="auto"/>
        <w:right w:val="none" w:sz="0" w:space="0" w:color="auto"/>
      </w:divBdr>
    </w:div>
    <w:div w:id="9948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Communications&amp;db=350&amp;rs=WLW13.04&amp;tc=-1&amp;rp=%2ffind%2fdefault.wl&amp;findtype=Y&amp;ordoc=2022356659&amp;serialnum=1990047144&amp;vr=2.0&amp;fn=_top&amp;sv=Split&amp;tf=-1&amp;referencepositiontype=S&amp;pbc=452EB758&amp;referenceposition=1166&amp;u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4683</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5521</CharactersWithSpaces>
  <SharedDoc>false</SharedDoc>
  <HyperlinkBase> </HyperlinkBase>
  <HLinks>
    <vt:vector size="18" baseType="variant">
      <vt:variant>
        <vt:i4>6488069</vt:i4>
      </vt:variant>
      <vt:variant>
        <vt:i4>0</vt:i4>
      </vt:variant>
      <vt:variant>
        <vt:i4>0</vt:i4>
      </vt:variant>
      <vt:variant>
        <vt:i4>5</vt:i4>
      </vt:variant>
      <vt:variant>
        <vt:lpwstr>http://web2.westlaw.com/find/default.wl?mt=Communications&amp;db=1000546&amp;rs=WLW12.04&amp;docname=47USCAS154&amp;rp=%2ffind%2fdefault.wl&amp;findtype=L&amp;ordoc=2011089772&amp;tc=-1&amp;vr=2.0&amp;fn=_top&amp;sv=Split&amp;tf=-1&amp;pbc=AB4595E3&amp;utid=1</vt:lpwstr>
      </vt:variant>
      <vt:variant>
        <vt:lpwstr/>
      </vt:variant>
      <vt:variant>
        <vt:i4>4980837</vt:i4>
      </vt:variant>
      <vt:variant>
        <vt:i4>3</vt:i4>
      </vt:variant>
      <vt:variant>
        <vt:i4>0</vt:i4>
      </vt:variant>
      <vt:variant>
        <vt:i4>5</vt:i4>
      </vt:variant>
      <vt:variant>
        <vt:lpwstr>http://web2.westlaw.com/find/default.wl?mt=Communications&amp;db=350&amp;rs=WLW13.04&amp;tc=-1&amp;rp=%2ffind%2fdefault.wl&amp;findtype=Y&amp;ordoc=2022356659&amp;serialnum=1990047144&amp;vr=2.0&amp;fn=_top&amp;sv=Split&amp;tf=-1&amp;referencepositiontype=S&amp;pbc=452EB758&amp;referenceposition=1166&amp;utid=1</vt:lpwstr>
      </vt:variant>
      <vt:variant>
        <vt:lpwstr/>
      </vt:variant>
      <vt:variant>
        <vt:i4>4980837</vt:i4>
      </vt:variant>
      <vt:variant>
        <vt:i4>0</vt:i4>
      </vt:variant>
      <vt:variant>
        <vt:i4>0</vt:i4>
      </vt:variant>
      <vt:variant>
        <vt:i4>5</vt:i4>
      </vt:variant>
      <vt:variant>
        <vt:lpwstr>http://web2.westlaw.com/find/default.wl?mt=Communications&amp;db=350&amp;rs=WLW13.04&amp;tc=-1&amp;rp=%2ffind%2fdefault.wl&amp;findtype=Y&amp;ordoc=2022356659&amp;serialnum=1990047144&amp;vr=2.0&amp;fn=_top&amp;sv=Split&amp;tf=-1&amp;referencepositiontype=S&amp;pbc=452EB758&amp;referenceposition=1166&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2012-09-06T16:01:00Z</cp:lastPrinted>
  <dcterms:created xsi:type="dcterms:W3CDTF">2014-11-21T20:59:00Z</dcterms:created>
  <dcterms:modified xsi:type="dcterms:W3CDTF">2014-11-21T20:59:00Z</dcterms:modified>
  <cp:category> </cp:category>
  <cp:contentStatus> </cp:contentStatus>
</cp:coreProperties>
</file>