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99D1F" w14:textId="77777777" w:rsidR="00600422" w:rsidRPr="00064ACA" w:rsidRDefault="00600422">
      <w:pPr>
        <w:pStyle w:val="TOCTitle"/>
        <w:widowControl/>
        <w:spacing w:before="0" w:after="0"/>
        <w:rPr>
          <w:rFonts w:ascii="Times New Roman" w:hAnsi="Times New Roman"/>
          <w:caps w:val="0"/>
          <w:spacing w:val="0"/>
          <w:szCs w:val="22"/>
        </w:rPr>
      </w:pPr>
      <w:bookmarkStart w:id="0" w:name="_GoBack"/>
      <w:bookmarkEnd w:id="0"/>
      <w:r w:rsidRPr="00064ACA">
        <w:rPr>
          <w:rFonts w:ascii="Times New Roman" w:hAnsi="Times New Roman"/>
          <w:caps w:val="0"/>
          <w:spacing w:val="0"/>
          <w:szCs w:val="22"/>
        </w:rPr>
        <w:t>Before the</w:t>
      </w:r>
    </w:p>
    <w:p w14:paraId="683D7751" w14:textId="77777777" w:rsidR="00600422" w:rsidRPr="00064ACA" w:rsidRDefault="00600422">
      <w:pPr>
        <w:jc w:val="center"/>
        <w:rPr>
          <w:b/>
          <w:szCs w:val="22"/>
        </w:rPr>
      </w:pPr>
      <w:r w:rsidRPr="00064ACA">
        <w:rPr>
          <w:b/>
          <w:szCs w:val="22"/>
        </w:rPr>
        <w:t>Federal Communications Commission</w:t>
      </w:r>
    </w:p>
    <w:p w14:paraId="19173C17" w14:textId="77777777" w:rsidR="00600422" w:rsidRPr="00064ACA" w:rsidRDefault="00600422">
      <w:pPr>
        <w:jc w:val="center"/>
        <w:rPr>
          <w:b/>
          <w:szCs w:val="22"/>
        </w:rPr>
      </w:pPr>
      <w:r w:rsidRPr="00064ACA">
        <w:rPr>
          <w:b/>
          <w:szCs w:val="22"/>
        </w:rPr>
        <w:t>Washington, D.C. 20554</w:t>
      </w:r>
    </w:p>
    <w:p w14:paraId="2B68F3C8" w14:textId="77777777" w:rsidR="00600422" w:rsidRPr="00064ACA" w:rsidRDefault="00600422">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600422" w:rsidRPr="00064ACA" w14:paraId="60309487" w14:textId="77777777">
        <w:tc>
          <w:tcPr>
            <w:tcW w:w="4698" w:type="dxa"/>
          </w:tcPr>
          <w:p w14:paraId="745D06AF" w14:textId="77777777" w:rsidR="00600422" w:rsidRPr="00064ACA" w:rsidRDefault="00600422">
            <w:pPr>
              <w:tabs>
                <w:tab w:val="center" w:pos="4680"/>
              </w:tabs>
              <w:suppressAutoHyphens/>
              <w:rPr>
                <w:spacing w:val="-2"/>
                <w:szCs w:val="22"/>
              </w:rPr>
            </w:pPr>
            <w:r w:rsidRPr="00064ACA">
              <w:rPr>
                <w:spacing w:val="-2"/>
                <w:szCs w:val="22"/>
              </w:rPr>
              <w:t>In the Matter of</w:t>
            </w:r>
          </w:p>
          <w:p w14:paraId="2FD66F45" w14:textId="77777777" w:rsidR="00600422" w:rsidRPr="00064ACA" w:rsidRDefault="00600422">
            <w:pPr>
              <w:tabs>
                <w:tab w:val="center" w:pos="4680"/>
              </w:tabs>
              <w:suppressAutoHyphens/>
              <w:rPr>
                <w:spacing w:val="-2"/>
                <w:szCs w:val="22"/>
              </w:rPr>
            </w:pPr>
          </w:p>
          <w:p w14:paraId="5077821B" w14:textId="77777777" w:rsidR="00600422" w:rsidRPr="00064ACA" w:rsidRDefault="00600422">
            <w:pPr>
              <w:tabs>
                <w:tab w:val="right" w:pos="4482"/>
              </w:tabs>
              <w:rPr>
                <w:szCs w:val="22"/>
              </w:rPr>
            </w:pPr>
            <w:r w:rsidRPr="00064ACA">
              <w:rPr>
                <w:szCs w:val="22"/>
              </w:rPr>
              <w:t xml:space="preserve">Review of the Emergency Alert System; </w:t>
            </w:r>
            <w:r w:rsidRPr="00064ACA">
              <w:rPr>
                <w:szCs w:val="22"/>
              </w:rPr>
              <w:tab/>
            </w:r>
          </w:p>
          <w:p w14:paraId="13C7300F" w14:textId="77777777" w:rsidR="00600422" w:rsidRPr="00064ACA" w:rsidRDefault="00600422">
            <w:pPr>
              <w:rPr>
                <w:szCs w:val="22"/>
              </w:rPr>
            </w:pPr>
          </w:p>
          <w:p w14:paraId="5B8B78A7" w14:textId="77777777" w:rsidR="00600422" w:rsidRPr="00064ACA" w:rsidRDefault="00600422">
            <w:pPr>
              <w:rPr>
                <w:szCs w:val="22"/>
              </w:rPr>
            </w:pPr>
            <w:r w:rsidRPr="00064ACA">
              <w:rPr>
                <w:szCs w:val="22"/>
              </w:rPr>
              <w:t>Independent Spanish Broadcasters Association, the Office of Communication of the United Church of Christ, Inc., and the Minority Media and Telecommunications Council, Petition for Immediate Relief;</w:t>
            </w:r>
          </w:p>
          <w:p w14:paraId="10A08A45" w14:textId="77777777" w:rsidR="00600422" w:rsidRPr="00064ACA" w:rsidRDefault="00600422">
            <w:pPr>
              <w:rPr>
                <w:szCs w:val="22"/>
              </w:rPr>
            </w:pPr>
          </w:p>
          <w:p w14:paraId="79E5263F" w14:textId="77777777" w:rsidR="00600422" w:rsidRPr="00064ACA" w:rsidRDefault="00600422">
            <w:pPr>
              <w:rPr>
                <w:szCs w:val="22"/>
              </w:rPr>
            </w:pPr>
            <w:r w:rsidRPr="00064ACA">
              <w:rPr>
                <w:szCs w:val="22"/>
              </w:rPr>
              <w:t>Randy Gehman Petition for Rulemaking</w:t>
            </w:r>
          </w:p>
        </w:tc>
        <w:tc>
          <w:tcPr>
            <w:tcW w:w="630" w:type="dxa"/>
          </w:tcPr>
          <w:p w14:paraId="66F92D07" w14:textId="77777777" w:rsidR="00600422" w:rsidRPr="00064ACA" w:rsidRDefault="00600422">
            <w:pPr>
              <w:tabs>
                <w:tab w:val="center" w:pos="4680"/>
              </w:tabs>
              <w:suppressAutoHyphens/>
              <w:rPr>
                <w:b/>
                <w:spacing w:val="-2"/>
                <w:szCs w:val="22"/>
              </w:rPr>
            </w:pPr>
            <w:r w:rsidRPr="00064ACA">
              <w:rPr>
                <w:b/>
                <w:spacing w:val="-2"/>
                <w:szCs w:val="22"/>
              </w:rPr>
              <w:t>)</w:t>
            </w:r>
          </w:p>
          <w:p w14:paraId="00416659" w14:textId="77777777" w:rsidR="00600422" w:rsidRPr="00064ACA" w:rsidRDefault="00600422">
            <w:pPr>
              <w:tabs>
                <w:tab w:val="center" w:pos="4680"/>
              </w:tabs>
              <w:suppressAutoHyphens/>
              <w:rPr>
                <w:b/>
                <w:spacing w:val="-2"/>
                <w:szCs w:val="22"/>
              </w:rPr>
            </w:pPr>
            <w:r w:rsidRPr="00064ACA">
              <w:rPr>
                <w:b/>
                <w:spacing w:val="-2"/>
                <w:szCs w:val="22"/>
              </w:rPr>
              <w:t>)</w:t>
            </w:r>
          </w:p>
          <w:p w14:paraId="68002106" w14:textId="77777777" w:rsidR="00600422" w:rsidRPr="00064ACA" w:rsidRDefault="00600422">
            <w:pPr>
              <w:tabs>
                <w:tab w:val="center" w:pos="4680"/>
              </w:tabs>
              <w:suppressAutoHyphens/>
              <w:rPr>
                <w:b/>
                <w:spacing w:val="-2"/>
                <w:szCs w:val="22"/>
              </w:rPr>
            </w:pPr>
            <w:r w:rsidRPr="00064ACA">
              <w:rPr>
                <w:b/>
                <w:spacing w:val="-2"/>
                <w:szCs w:val="22"/>
              </w:rPr>
              <w:t>)</w:t>
            </w:r>
          </w:p>
          <w:p w14:paraId="67FFC1F7" w14:textId="77777777" w:rsidR="00600422" w:rsidRPr="00064ACA" w:rsidRDefault="00600422">
            <w:pPr>
              <w:tabs>
                <w:tab w:val="center" w:pos="4680"/>
              </w:tabs>
              <w:suppressAutoHyphens/>
              <w:rPr>
                <w:b/>
                <w:spacing w:val="-2"/>
                <w:szCs w:val="22"/>
              </w:rPr>
            </w:pPr>
            <w:r w:rsidRPr="00064ACA">
              <w:rPr>
                <w:b/>
                <w:spacing w:val="-2"/>
                <w:szCs w:val="22"/>
              </w:rPr>
              <w:t>)</w:t>
            </w:r>
          </w:p>
          <w:p w14:paraId="59C10056" w14:textId="77777777" w:rsidR="00600422" w:rsidRPr="00064ACA" w:rsidRDefault="00600422">
            <w:pPr>
              <w:tabs>
                <w:tab w:val="center" w:pos="4680"/>
              </w:tabs>
              <w:suppressAutoHyphens/>
              <w:rPr>
                <w:b/>
                <w:spacing w:val="-2"/>
                <w:szCs w:val="22"/>
              </w:rPr>
            </w:pPr>
            <w:r w:rsidRPr="00064ACA">
              <w:rPr>
                <w:b/>
                <w:spacing w:val="-2"/>
                <w:szCs w:val="22"/>
              </w:rPr>
              <w:t>)</w:t>
            </w:r>
          </w:p>
          <w:p w14:paraId="5C36DAC0" w14:textId="77777777" w:rsidR="00600422" w:rsidRPr="00064ACA" w:rsidRDefault="00600422">
            <w:pPr>
              <w:tabs>
                <w:tab w:val="center" w:pos="4680"/>
              </w:tabs>
              <w:suppressAutoHyphens/>
              <w:rPr>
                <w:b/>
                <w:spacing w:val="-2"/>
                <w:szCs w:val="22"/>
              </w:rPr>
            </w:pPr>
            <w:r w:rsidRPr="00064ACA">
              <w:rPr>
                <w:b/>
                <w:spacing w:val="-2"/>
                <w:szCs w:val="22"/>
              </w:rPr>
              <w:t>)</w:t>
            </w:r>
          </w:p>
          <w:p w14:paraId="3F72ED17" w14:textId="77777777" w:rsidR="00600422" w:rsidRPr="00064ACA" w:rsidRDefault="00600422">
            <w:pPr>
              <w:tabs>
                <w:tab w:val="center" w:pos="4680"/>
              </w:tabs>
              <w:suppressAutoHyphens/>
              <w:rPr>
                <w:b/>
                <w:spacing w:val="-2"/>
                <w:szCs w:val="22"/>
              </w:rPr>
            </w:pPr>
            <w:r w:rsidRPr="00064ACA">
              <w:rPr>
                <w:b/>
                <w:spacing w:val="-2"/>
                <w:szCs w:val="22"/>
              </w:rPr>
              <w:t>)</w:t>
            </w:r>
          </w:p>
          <w:p w14:paraId="36FE5011" w14:textId="77777777" w:rsidR="00600422" w:rsidRPr="00064ACA" w:rsidRDefault="00600422">
            <w:pPr>
              <w:tabs>
                <w:tab w:val="center" w:pos="4680"/>
              </w:tabs>
              <w:suppressAutoHyphens/>
              <w:rPr>
                <w:b/>
                <w:spacing w:val="-2"/>
                <w:szCs w:val="22"/>
              </w:rPr>
            </w:pPr>
            <w:r w:rsidRPr="00064ACA">
              <w:rPr>
                <w:b/>
                <w:spacing w:val="-2"/>
                <w:szCs w:val="22"/>
              </w:rPr>
              <w:t>)</w:t>
            </w:r>
          </w:p>
          <w:p w14:paraId="5552654E" w14:textId="77777777" w:rsidR="00600422" w:rsidRPr="00064ACA" w:rsidRDefault="00600422">
            <w:pPr>
              <w:tabs>
                <w:tab w:val="center" w:pos="4680"/>
              </w:tabs>
              <w:suppressAutoHyphens/>
              <w:rPr>
                <w:b/>
                <w:spacing w:val="-2"/>
                <w:szCs w:val="22"/>
              </w:rPr>
            </w:pPr>
            <w:r w:rsidRPr="00064ACA">
              <w:rPr>
                <w:b/>
                <w:spacing w:val="-2"/>
                <w:szCs w:val="22"/>
              </w:rPr>
              <w:t>)</w:t>
            </w:r>
          </w:p>
          <w:p w14:paraId="550545F7" w14:textId="77777777" w:rsidR="00600422" w:rsidRPr="00064ACA" w:rsidRDefault="00600422">
            <w:pPr>
              <w:tabs>
                <w:tab w:val="center" w:pos="4680"/>
              </w:tabs>
              <w:suppressAutoHyphens/>
              <w:rPr>
                <w:b/>
                <w:spacing w:val="-2"/>
                <w:szCs w:val="22"/>
              </w:rPr>
            </w:pPr>
            <w:r w:rsidRPr="00064ACA">
              <w:rPr>
                <w:b/>
                <w:spacing w:val="-2"/>
                <w:szCs w:val="22"/>
              </w:rPr>
              <w:t>)</w:t>
            </w:r>
          </w:p>
          <w:p w14:paraId="4659EC66" w14:textId="77777777" w:rsidR="00600422" w:rsidRPr="00064ACA" w:rsidRDefault="00600422">
            <w:pPr>
              <w:tabs>
                <w:tab w:val="center" w:pos="4680"/>
              </w:tabs>
              <w:suppressAutoHyphens/>
              <w:rPr>
                <w:spacing w:val="-2"/>
                <w:szCs w:val="22"/>
              </w:rPr>
            </w:pPr>
            <w:r w:rsidRPr="00064ACA">
              <w:rPr>
                <w:b/>
                <w:spacing w:val="-2"/>
                <w:szCs w:val="22"/>
              </w:rPr>
              <w:t>)</w:t>
            </w:r>
          </w:p>
        </w:tc>
        <w:tc>
          <w:tcPr>
            <w:tcW w:w="4248" w:type="dxa"/>
          </w:tcPr>
          <w:p w14:paraId="02CECC77" w14:textId="77777777" w:rsidR="00600422" w:rsidRPr="00064ACA" w:rsidRDefault="00600422">
            <w:pPr>
              <w:tabs>
                <w:tab w:val="center" w:pos="4680"/>
              </w:tabs>
              <w:suppressAutoHyphens/>
              <w:rPr>
                <w:spacing w:val="-2"/>
                <w:szCs w:val="22"/>
              </w:rPr>
            </w:pPr>
          </w:p>
          <w:p w14:paraId="5286A8AD" w14:textId="77777777" w:rsidR="00600422" w:rsidRDefault="00600422">
            <w:pPr>
              <w:tabs>
                <w:tab w:val="center" w:pos="4680"/>
              </w:tabs>
              <w:suppressAutoHyphens/>
              <w:rPr>
                <w:spacing w:val="-2"/>
                <w:szCs w:val="22"/>
              </w:rPr>
            </w:pPr>
          </w:p>
          <w:p w14:paraId="1301DE94" w14:textId="77777777" w:rsidR="00600422" w:rsidRPr="00064ACA" w:rsidRDefault="00600422">
            <w:pPr>
              <w:tabs>
                <w:tab w:val="center" w:pos="4680"/>
              </w:tabs>
              <w:suppressAutoHyphens/>
              <w:rPr>
                <w:spacing w:val="-2"/>
                <w:szCs w:val="22"/>
              </w:rPr>
            </w:pPr>
          </w:p>
          <w:p w14:paraId="49C48332" w14:textId="77777777" w:rsidR="00600422" w:rsidRPr="00064ACA" w:rsidRDefault="00600422">
            <w:pPr>
              <w:pStyle w:val="TOAHeading"/>
              <w:tabs>
                <w:tab w:val="clear" w:pos="9360"/>
                <w:tab w:val="center" w:pos="4680"/>
              </w:tabs>
              <w:rPr>
                <w:spacing w:val="-2"/>
                <w:szCs w:val="22"/>
              </w:rPr>
            </w:pPr>
            <w:r w:rsidRPr="00064ACA">
              <w:rPr>
                <w:spacing w:val="-2"/>
                <w:szCs w:val="22"/>
              </w:rPr>
              <w:t xml:space="preserve">           EB Docket No. </w:t>
            </w:r>
            <w:bookmarkStart w:id="1" w:name="OLE_LINK3"/>
            <w:r w:rsidRPr="00064ACA">
              <w:rPr>
                <w:spacing w:val="-2"/>
                <w:szCs w:val="22"/>
              </w:rPr>
              <w:t>04-296</w:t>
            </w:r>
            <w:bookmarkEnd w:id="1"/>
          </w:p>
          <w:p w14:paraId="12E9EE2F" w14:textId="77777777" w:rsidR="00600422" w:rsidRPr="00064ACA" w:rsidRDefault="00600422">
            <w:pPr>
              <w:rPr>
                <w:szCs w:val="22"/>
              </w:rPr>
            </w:pPr>
          </w:p>
          <w:p w14:paraId="33632C75" w14:textId="77777777" w:rsidR="00600422" w:rsidRPr="00064ACA" w:rsidRDefault="00600422">
            <w:pPr>
              <w:rPr>
                <w:szCs w:val="22"/>
              </w:rPr>
            </w:pPr>
          </w:p>
          <w:p w14:paraId="7EAD64DC" w14:textId="77777777" w:rsidR="00600422" w:rsidRPr="00064ACA" w:rsidRDefault="00600422">
            <w:pPr>
              <w:rPr>
                <w:szCs w:val="22"/>
              </w:rPr>
            </w:pPr>
          </w:p>
          <w:p w14:paraId="5D033C63" w14:textId="77777777" w:rsidR="00600422" w:rsidRPr="00064ACA" w:rsidRDefault="00600422">
            <w:pPr>
              <w:tabs>
                <w:tab w:val="center" w:pos="4680"/>
              </w:tabs>
              <w:suppressAutoHyphens/>
              <w:rPr>
                <w:spacing w:val="-2"/>
                <w:szCs w:val="22"/>
              </w:rPr>
            </w:pPr>
          </w:p>
        </w:tc>
      </w:tr>
    </w:tbl>
    <w:p w14:paraId="42BEF4D5" w14:textId="77777777" w:rsidR="00600422" w:rsidRPr="00064ACA" w:rsidRDefault="00600422">
      <w:pPr>
        <w:tabs>
          <w:tab w:val="left" w:pos="-720"/>
        </w:tabs>
        <w:suppressAutoHyphens/>
        <w:rPr>
          <w:spacing w:val="-2"/>
          <w:szCs w:val="22"/>
        </w:rPr>
      </w:pPr>
    </w:p>
    <w:p w14:paraId="32C35789" w14:textId="77777777" w:rsidR="00600422" w:rsidRPr="00064ACA" w:rsidRDefault="00600422">
      <w:pPr>
        <w:jc w:val="center"/>
        <w:rPr>
          <w:b/>
          <w:szCs w:val="22"/>
        </w:rPr>
      </w:pPr>
      <w:r w:rsidRPr="00064ACA">
        <w:rPr>
          <w:b/>
          <w:szCs w:val="22"/>
        </w:rPr>
        <w:t xml:space="preserve">ORDER </w:t>
      </w:r>
    </w:p>
    <w:p w14:paraId="0B01F98A" w14:textId="77777777" w:rsidR="00600422" w:rsidRPr="00064ACA" w:rsidRDefault="00600422">
      <w:pPr>
        <w:tabs>
          <w:tab w:val="left" w:pos="-720"/>
        </w:tabs>
        <w:suppressAutoHyphens/>
        <w:rPr>
          <w:spacing w:val="-2"/>
          <w:szCs w:val="22"/>
        </w:rPr>
      </w:pPr>
    </w:p>
    <w:p w14:paraId="65CEE3A5" w14:textId="3ABB0EA9" w:rsidR="00600422" w:rsidRPr="00064ACA" w:rsidRDefault="00600422">
      <w:pPr>
        <w:tabs>
          <w:tab w:val="left" w:pos="720"/>
          <w:tab w:val="left" w:pos="5760"/>
        </w:tabs>
        <w:suppressAutoHyphens/>
        <w:rPr>
          <w:spacing w:val="-2"/>
          <w:szCs w:val="22"/>
        </w:rPr>
      </w:pPr>
      <w:r w:rsidRPr="00064ACA">
        <w:rPr>
          <w:b/>
          <w:spacing w:val="-2"/>
          <w:szCs w:val="22"/>
        </w:rPr>
        <w:t xml:space="preserve">Adopted: </w:t>
      </w:r>
      <w:r w:rsidR="00344F86">
        <w:rPr>
          <w:b/>
          <w:spacing w:val="-2"/>
          <w:szCs w:val="22"/>
        </w:rPr>
        <w:t>November 21,</w:t>
      </w:r>
      <w:r w:rsidRPr="00064ACA">
        <w:rPr>
          <w:b/>
          <w:spacing w:val="-2"/>
          <w:szCs w:val="22"/>
        </w:rPr>
        <w:t xml:space="preserve"> 201</w:t>
      </w:r>
      <w:r>
        <w:rPr>
          <w:b/>
          <w:spacing w:val="-2"/>
          <w:szCs w:val="22"/>
        </w:rPr>
        <w:t>4</w:t>
      </w:r>
      <w:r w:rsidRPr="00064ACA">
        <w:rPr>
          <w:b/>
          <w:spacing w:val="-2"/>
          <w:szCs w:val="22"/>
        </w:rPr>
        <w:tab/>
        <w:t xml:space="preserve">Released: </w:t>
      </w:r>
      <w:r>
        <w:rPr>
          <w:b/>
          <w:spacing w:val="-2"/>
          <w:szCs w:val="22"/>
        </w:rPr>
        <w:t xml:space="preserve"> </w:t>
      </w:r>
      <w:r w:rsidR="00344F86">
        <w:rPr>
          <w:b/>
          <w:spacing w:val="-2"/>
          <w:szCs w:val="22"/>
        </w:rPr>
        <w:t xml:space="preserve">November 21, </w:t>
      </w:r>
      <w:r w:rsidRPr="00064ACA">
        <w:rPr>
          <w:b/>
          <w:spacing w:val="-2"/>
          <w:szCs w:val="22"/>
        </w:rPr>
        <w:t>201</w:t>
      </w:r>
      <w:r>
        <w:rPr>
          <w:b/>
          <w:spacing w:val="-2"/>
          <w:szCs w:val="22"/>
        </w:rPr>
        <w:t>4</w:t>
      </w:r>
    </w:p>
    <w:p w14:paraId="4D0019D7" w14:textId="77777777" w:rsidR="00600422" w:rsidRPr="00064ACA" w:rsidRDefault="00600422">
      <w:pPr>
        <w:tabs>
          <w:tab w:val="left" w:pos="720"/>
          <w:tab w:val="left" w:pos="5760"/>
        </w:tabs>
        <w:suppressAutoHyphens/>
        <w:rPr>
          <w:spacing w:val="-2"/>
          <w:szCs w:val="22"/>
        </w:rPr>
      </w:pPr>
    </w:p>
    <w:p w14:paraId="17EC3256" w14:textId="77777777" w:rsidR="00600422" w:rsidRDefault="00600422">
      <w:pPr>
        <w:tabs>
          <w:tab w:val="left" w:pos="1890"/>
        </w:tabs>
        <w:rPr>
          <w:szCs w:val="22"/>
        </w:rPr>
      </w:pPr>
      <w:r w:rsidRPr="00064ACA">
        <w:rPr>
          <w:szCs w:val="22"/>
        </w:rPr>
        <w:t xml:space="preserve">By the Chief, Public Safety and Homeland Security Bureau:  </w:t>
      </w:r>
    </w:p>
    <w:p w14:paraId="5B53CFED" w14:textId="77777777" w:rsidR="00600422" w:rsidRDefault="00600422">
      <w:pPr>
        <w:tabs>
          <w:tab w:val="left" w:pos="1890"/>
        </w:tabs>
        <w:rPr>
          <w:szCs w:val="22"/>
        </w:rPr>
      </w:pPr>
    </w:p>
    <w:p w14:paraId="395CAA43" w14:textId="77777777" w:rsidR="00600422" w:rsidRPr="00322D58" w:rsidRDefault="00600422" w:rsidP="00445D99">
      <w:pPr>
        <w:widowControl/>
        <w:rPr>
          <w:b/>
          <w:szCs w:val="22"/>
        </w:rPr>
      </w:pPr>
      <w:r>
        <w:rPr>
          <w:b/>
          <w:szCs w:val="22"/>
        </w:rPr>
        <w:t>I.</w:t>
      </w:r>
      <w:r>
        <w:rPr>
          <w:b/>
          <w:szCs w:val="22"/>
        </w:rPr>
        <w:tab/>
        <w:t>Introduction</w:t>
      </w:r>
    </w:p>
    <w:p w14:paraId="32FCAD26" w14:textId="77777777" w:rsidR="00600422" w:rsidRPr="00064ACA" w:rsidRDefault="00600422" w:rsidP="00445D99">
      <w:pPr>
        <w:widowControl/>
        <w:rPr>
          <w:szCs w:val="22"/>
        </w:rPr>
      </w:pPr>
    </w:p>
    <w:p w14:paraId="228B585C" w14:textId="77777777" w:rsidR="00600422" w:rsidRDefault="00600422" w:rsidP="00445D99">
      <w:pPr>
        <w:pStyle w:val="ParaNum"/>
        <w:widowControl/>
        <w:tabs>
          <w:tab w:val="clear" w:pos="900"/>
          <w:tab w:val="num" w:pos="720"/>
        </w:tabs>
        <w:ind w:left="0" w:firstLine="720"/>
      </w:pPr>
      <w:r w:rsidRPr="00B3345C">
        <w:t>In this Order we address the petitions for temporary waiver of Section 11.56 of the Commission’s rules,</w:t>
      </w:r>
      <w:r w:rsidRPr="00506B41">
        <w:rPr>
          <w:rStyle w:val="FootnoteReference"/>
          <w:szCs w:val="22"/>
        </w:rPr>
        <w:footnoteReference w:id="2"/>
      </w:r>
      <w:r w:rsidRPr="00925E8C">
        <w:rPr>
          <w:szCs w:val="22"/>
        </w:rPr>
        <w:t xml:space="preserve"> filed by Allegiance Communications, LLC (Allegiance);</w:t>
      </w:r>
      <w:r>
        <w:rPr>
          <w:rStyle w:val="FootnoteReference"/>
          <w:szCs w:val="22"/>
        </w:rPr>
        <w:footnoteReference w:id="3"/>
      </w:r>
      <w:r w:rsidRPr="00925E8C">
        <w:rPr>
          <w:szCs w:val="22"/>
        </w:rPr>
        <w:t xml:space="preserve"> </w:t>
      </w:r>
      <w:r>
        <w:t>Broadband Cablevision, Inc., Clark Cablevision, Inc., and Etan Industries, Inc. (collectively “CMA Communications”)</w:t>
      </w:r>
      <w:r w:rsidRPr="00925E8C">
        <w:t>;</w:t>
      </w:r>
      <w:r>
        <w:rPr>
          <w:rStyle w:val="FootnoteReference"/>
        </w:rPr>
        <w:footnoteReference w:id="4"/>
      </w:r>
      <w:r>
        <w:t xml:space="preserve"> Cequel Communications, LLC</w:t>
      </w:r>
      <w:r w:rsidRPr="00925E8C">
        <w:t>,</w:t>
      </w:r>
      <w:r>
        <w:t xml:space="preserve"> d/b/a Suddenlink Communications (Suddenlink);</w:t>
      </w:r>
      <w:r>
        <w:rPr>
          <w:rStyle w:val="FootnoteReference"/>
        </w:rPr>
        <w:footnoteReference w:id="5"/>
      </w:r>
      <w:r w:rsidRPr="00925E8C">
        <w:t xml:space="preserve"> Citizens Telephone Company</w:t>
      </w:r>
      <w:r>
        <w:t xml:space="preserve"> </w:t>
      </w:r>
      <w:r>
        <w:lastRenderedPageBreak/>
        <w:t>(CTC)</w:t>
      </w:r>
      <w:r w:rsidRPr="00925E8C">
        <w:t>;</w:t>
      </w:r>
      <w:r>
        <w:rPr>
          <w:rStyle w:val="FootnoteReference"/>
        </w:rPr>
        <w:footnoteReference w:id="6"/>
      </w:r>
      <w:r w:rsidRPr="00925E8C">
        <w:t xml:space="preserve"> Daystar Radio, Ltd. (KLLV);</w:t>
      </w:r>
      <w:r>
        <w:rPr>
          <w:rStyle w:val="FootnoteReference"/>
        </w:rPr>
        <w:footnoteReference w:id="7"/>
      </w:r>
      <w:r w:rsidRPr="00925E8C">
        <w:t xml:space="preserve"> James Cable, LLC (James Cable);</w:t>
      </w:r>
      <w:r>
        <w:rPr>
          <w:rStyle w:val="FootnoteReference"/>
        </w:rPr>
        <w:footnoteReference w:id="8"/>
      </w:r>
      <w:r w:rsidRPr="00925E8C">
        <w:t xml:space="preserve"> JB Cable TV Company (JB Cable);</w:t>
      </w:r>
      <w:r>
        <w:rPr>
          <w:rStyle w:val="FootnoteReference"/>
        </w:rPr>
        <w:footnoteReference w:id="9"/>
      </w:r>
      <w:r w:rsidRPr="00925E8C">
        <w:t xml:space="preserve"> Maddock Cable TV</w:t>
      </w:r>
      <w:r>
        <w:t xml:space="preserve"> (Maddock)</w:t>
      </w:r>
      <w:r w:rsidRPr="00925E8C">
        <w:t>;</w:t>
      </w:r>
      <w:r>
        <w:rPr>
          <w:rStyle w:val="FootnoteReference"/>
        </w:rPr>
        <w:footnoteReference w:id="10"/>
      </w:r>
      <w:r w:rsidRPr="00925E8C">
        <w:t xml:space="preserve"> NATCO Video, LLC </w:t>
      </w:r>
      <w:r>
        <w:t>(NATCO)</w:t>
      </w:r>
      <w:r w:rsidRPr="00925E8C">
        <w:t>;</w:t>
      </w:r>
      <w:r>
        <w:rPr>
          <w:rStyle w:val="FootnoteReference"/>
        </w:rPr>
        <w:footnoteReference w:id="11"/>
      </w:r>
      <w:r w:rsidRPr="00925E8C">
        <w:t xml:space="preserve"> Telecommunications Management, LLC d/b/a New Wave Communications (New Wave);</w:t>
      </w:r>
      <w:r>
        <w:rPr>
          <w:rStyle w:val="FootnoteReference"/>
        </w:rPr>
        <w:footnoteReference w:id="12"/>
      </w:r>
      <w:r w:rsidRPr="00925E8C">
        <w:t xml:space="preserve"> Vyve Broadband A, LLC (Vyve);</w:t>
      </w:r>
      <w:r>
        <w:rPr>
          <w:rStyle w:val="FootnoteReference"/>
        </w:rPr>
        <w:footnoteReference w:id="13"/>
      </w:r>
      <w:r w:rsidRPr="00925E8C">
        <w:t xml:space="preserve"> </w:t>
      </w:r>
      <w:r>
        <w:t xml:space="preserve">and </w:t>
      </w:r>
      <w:r w:rsidRPr="00925E8C">
        <w:t>Yelcot Video Group, Inc. (Yelcot)</w:t>
      </w:r>
      <w:r>
        <w:rPr>
          <w:rStyle w:val="FootnoteReference"/>
        </w:rPr>
        <w:footnoteReference w:id="14"/>
      </w:r>
      <w:r>
        <w:t xml:space="preserve"> (collectively, “Petitioners”).</w:t>
      </w:r>
      <w:r w:rsidRPr="00925E8C">
        <w:t xml:space="preserve"> </w:t>
      </w:r>
      <w:r>
        <w:t xml:space="preserve"> </w:t>
      </w:r>
      <w:r w:rsidRPr="006C3568">
        <w:rPr>
          <w:szCs w:val="22"/>
        </w:rPr>
        <w:t xml:space="preserve">Section 11.56 </w:t>
      </w:r>
      <w:r>
        <w:rPr>
          <w:szCs w:val="22"/>
        </w:rPr>
        <w:t xml:space="preserve">of the Commission’s rules </w:t>
      </w:r>
      <w:r w:rsidRPr="006C3568">
        <w:rPr>
          <w:szCs w:val="22"/>
        </w:rPr>
        <w:t>requires Emergency Alert System (EAS) Participants</w:t>
      </w:r>
      <w:r>
        <w:rPr>
          <w:rStyle w:val="FootnoteReference"/>
          <w:szCs w:val="22"/>
        </w:rPr>
        <w:footnoteReference w:id="15"/>
      </w:r>
      <w:r w:rsidRPr="006C3568">
        <w:rPr>
          <w:szCs w:val="22"/>
        </w:rPr>
        <w:t xml:space="preserve"> to have installed operational equipment that can receive and process EAS alerts</w:t>
      </w:r>
      <w:r>
        <w:rPr>
          <w:szCs w:val="22"/>
        </w:rPr>
        <w:t xml:space="preserve"> formatted</w:t>
      </w:r>
      <w:r w:rsidRPr="006C3568">
        <w:rPr>
          <w:szCs w:val="22"/>
        </w:rPr>
        <w:t xml:space="preserve"> in the Common Alerting Protocol (CAP) by June 30, 2012.</w:t>
      </w:r>
      <w:r w:rsidRPr="00064ACA">
        <w:rPr>
          <w:rStyle w:val="FootnoteReference"/>
          <w:szCs w:val="22"/>
        </w:rPr>
        <w:footnoteReference w:id="16"/>
      </w:r>
      <w:r w:rsidRPr="006C3568">
        <w:rPr>
          <w:szCs w:val="22"/>
        </w:rPr>
        <w:t xml:space="preserve">  </w:t>
      </w:r>
      <w:r>
        <w:rPr>
          <w:szCs w:val="22"/>
        </w:rPr>
        <w:t xml:space="preserve">As </w:t>
      </w:r>
      <w:r w:rsidRPr="006C3568">
        <w:rPr>
          <w:szCs w:val="22"/>
        </w:rPr>
        <w:t xml:space="preserve">set </w:t>
      </w:r>
      <w:r>
        <w:rPr>
          <w:szCs w:val="22"/>
        </w:rPr>
        <w:t xml:space="preserve">forth </w:t>
      </w:r>
      <w:r w:rsidRPr="006C3568">
        <w:rPr>
          <w:szCs w:val="22"/>
        </w:rPr>
        <w:t>herein, we grant</w:t>
      </w:r>
      <w:r>
        <w:rPr>
          <w:szCs w:val="22"/>
        </w:rPr>
        <w:t xml:space="preserve">, </w:t>
      </w:r>
      <w:r w:rsidRPr="00386293">
        <w:rPr>
          <w:i/>
          <w:szCs w:val="22"/>
        </w:rPr>
        <w:t>nunc pro tunc</w:t>
      </w:r>
      <w:r>
        <w:rPr>
          <w:szCs w:val="22"/>
        </w:rPr>
        <w:t>,</w:t>
      </w:r>
      <w:r w:rsidRPr="006C3568">
        <w:rPr>
          <w:szCs w:val="22"/>
        </w:rPr>
        <w:t xml:space="preserve"> the petitions</w:t>
      </w:r>
      <w:r>
        <w:rPr>
          <w:szCs w:val="22"/>
        </w:rPr>
        <w:t xml:space="preserve"> for waiver filed by </w:t>
      </w:r>
      <w:r>
        <w:t>CMA Communications, CTC, KLLV, JB Cable, Maddock, NATCO, New Wave, Suddenlink,</w:t>
      </w:r>
      <w:r w:rsidRPr="00824549">
        <w:t xml:space="preserve"> </w:t>
      </w:r>
      <w:r w:rsidRPr="00925E8C">
        <w:t>Vyve</w:t>
      </w:r>
      <w:r>
        <w:t xml:space="preserve"> and </w:t>
      </w:r>
      <w:r w:rsidRPr="00925E8C">
        <w:t>Yelcot</w:t>
      </w:r>
      <w:r w:rsidR="00513B83">
        <w:t>, and</w:t>
      </w:r>
      <w:r>
        <w:t xml:space="preserve"> dismiss as moot the petitions for waiver filed by </w:t>
      </w:r>
      <w:r w:rsidRPr="00925E8C">
        <w:rPr>
          <w:szCs w:val="22"/>
        </w:rPr>
        <w:t>Allegiance</w:t>
      </w:r>
      <w:r>
        <w:t xml:space="preserve"> and James Cable.  </w:t>
      </w:r>
    </w:p>
    <w:p w14:paraId="56C974D2" w14:textId="77777777" w:rsidR="00600422" w:rsidRDefault="00600422" w:rsidP="00445D99">
      <w:pPr>
        <w:pStyle w:val="ParaNum"/>
        <w:widowControl/>
        <w:numPr>
          <w:ilvl w:val="0"/>
          <w:numId w:val="0"/>
        </w:numPr>
        <w:ind w:left="720"/>
        <w:rPr>
          <w:szCs w:val="22"/>
        </w:rPr>
      </w:pPr>
    </w:p>
    <w:p w14:paraId="09938D5C" w14:textId="77777777" w:rsidR="00600422" w:rsidRPr="0068340B" w:rsidRDefault="00600422" w:rsidP="00445D99">
      <w:pPr>
        <w:pStyle w:val="ParaNum"/>
        <w:widowControl/>
        <w:numPr>
          <w:ilvl w:val="0"/>
          <w:numId w:val="0"/>
        </w:numPr>
        <w:rPr>
          <w:b/>
          <w:szCs w:val="22"/>
        </w:rPr>
      </w:pPr>
      <w:r>
        <w:rPr>
          <w:b/>
          <w:szCs w:val="22"/>
        </w:rPr>
        <w:t xml:space="preserve">II. </w:t>
      </w:r>
      <w:r>
        <w:rPr>
          <w:b/>
          <w:szCs w:val="22"/>
        </w:rPr>
        <w:tab/>
        <w:t>Background</w:t>
      </w:r>
    </w:p>
    <w:p w14:paraId="21F4712E" w14:textId="77777777" w:rsidR="00600422" w:rsidRPr="000D0C76" w:rsidRDefault="00600422" w:rsidP="00445D99">
      <w:pPr>
        <w:pStyle w:val="ParaNum"/>
        <w:widowControl/>
        <w:numPr>
          <w:ilvl w:val="0"/>
          <w:numId w:val="0"/>
        </w:numPr>
        <w:ind w:left="720"/>
        <w:rPr>
          <w:szCs w:val="22"/>
        </w:rPr>
      </w:pPr>
    </w:p>
    <w:p w14:paraId="39A6B2E6" w14:textId="1EB2C472" w:rsidR="00600422" w:rsidRPr="00B3345C" w:rsidRDefault="001D37F7" w:rsidP="00445D99">
      <w:pPr>
        <w:pStyle w:val="ParaNum"/>
        <w:widowControl/>
        <w:tabs>
          <w:tab w:val="clear" w:pos="900"/>
          <w:tab w:val="num" w:pos="720"/>
        </w:tabs>
        <w:ind w:left="0" w:firstLine="720"/>
        <w:rPr>
          <w:bCs/>
          <w:color w:val="262626"/>
          <w:szCs w:val="22"/>
        </w:rPr>
      </w:pPr>
      <w:r>
        <w:t xml:space="preserve">In its </w:t>
      </w:r>
      <w:r w:rsidR="00600422" w:rsidRPr="006C3568">
        <w:rPr>
          <w:i/>
        </w:rPr>
        <w:t>EAS</w:t>
      </w:r>
      <w:r w:rsidR="00600422">
        <w:t xml:space="preserve"> </w:t>
      </w:r>
      <w:r w:rsidR="00600422" w:rsidRPr="006C3568">
        <w:rPr>
          <w:i/>
        </w:rPr>
        <w:t>Fifth Report and Order</w:t>
      </w:r>
      <w:r w:rsidR="00600422">
        <w:t xml:space="preserve">, </w:t>
      </w:r>
      <w:r>
        <w:t>t</w:t>
      </w:r>
      <w:r w:rsidR="00600422">
        <w:t xml:space="preserve">he Commission </w:t>
      </w:r>
      <w:r w:rsidR="00600422" w:rsidRPr="00094A3B">
        <w:t>observe</w:t>
      </w:r>
      <w:r w:rsidR="00600422">
        <w:t xml:space="preserve">d </w:t>
      </w:r>
      <w:r w:rsidR="00600422" w:rsidRPr="00094A3B">
        <w:t xml:space="preserve">that </w:t>
      </w:r>
      <w:r w:rsidR="00600422">
        <w:t xml:space="preserve">because </w:t>
      </w:r>
      <w:r w:rsidR="00600422" w:rsidRPr="00094A3B">
        <w:t>the primary method of distributing CAP messages will be via</w:t>
      </w:r>
      <w:r w:rsidR="00600422">
        <w:t xml:space="preserve"> broadband </w:t>
      </w:r>
      <w:r w:rsidR="00600422" w:rsidRPr="00094A3B">
        <w:t>Internet</w:t>
      </w:r>
      <w:r w:rsidR="00600422">
        <w:t xml:space="preserve"> connections, </w:t>
      </w:r>
      <w:r w:rsidR="00600422" w:rsidRPr="00094A3B">
        <w:t xml:space="preserve">the physical availability of </w:t>
      </w:r>
      <w:r w:rsidR="00600422">
        <w:t>b</w:t>
      </w:r>
      <w:r w:rsidR="00600422" w:rsidRPr="00094A3B">
        <w:t xml:space="preserve">roadband Internet access would </w:t>
      </w:r>
      <w:r w:rsidR="00600422">
        <w:t xml:space="preserve">be a predicate for compliance with </w:t>
      </w:r>
      <w:r w:rsidR="00600422" w:rsidRPr="00094A3B">
        <w:t xml:space="preserve">the </w:t>
      </w:r>
      <w:r w:rsidR="00600422">
        <w:t xml:space="preserve">requirement that EAS Participants be able to receive </w:t>
      </w:r>
      <w:r w:rsidR="00600422" w:rsidRPr="00094A3B">
        <w:t>CAP-</w:t>
      </w:r>
      <w:r w:rsidR="00600422">
        <w:t>based alerts</w:t>
      </w:r>
      <w:r w:rsidR="00600422" w:rsidRPr="00094A3B">
        <w:t>.</w:t>
      </w:r>
      <w:r w:rsidR="00600422">
        <w:rPr>
          <w:rStyle w:val="FootnoteReference"/>
        </w:rPr>
        <w:footnoteReference w:id="17"/>
      </w:r>
      <w:r w:rsidR="00600422" w:rsidRPr="00094A3B">
        <w:t xml:space="preserve"> </w:t>
      </w:r>
      <w:r w:rsidR="00600422" w:rsidRPr="00094A3B">
        <w:rPr>
          <w:szCs w:val="22"/>
        </w:rPr>
        <w:t xml:space="preserve"> </w:t>
      </w:r>
      <w:r w:rsidR="00600422">
        <w:rPr>
          <w:szCs w:val="22"/>
        </w:rPr>
        <w:t>Accordingly, the Commission concluded that the physical unavailability of broadband Internet service offered a presumption in favor of a waiver.</w:t>
      </w:r>
      <w:r w:rsidR="00600422">
        <w:rPr>
          <w:rStyle w:val="FootnoteReference"/>
          <w:szCs w:val="22"/>
        </w:rPr>
        <w:footnoteReference w:id="18"/>
      </w:r>
      <w:r w:rsidR="00600422">
        <w:rPr>
          <w:szCs w:val="22"/>
        </w:rPr>
        <w:t xml:space="preserve">  The Commission also </w:t>
      </w:r>
      <w:r w:rsidR="00600422" w:rsidRPr="00094A3B">
        <w:rPr>
          <w:szCs w:val="22"/>
        </w:rPr>
        <w:t>observe</w:t>
      </w:r>
      <w:r w:rsidR="00600422">
        <w:rPr>
          <w:szCs w:val="22"/>
        </w:rPr>
        <w:t>d, however,</w:t>
      </w:r>
      <w:r w:rsidR="00600422" w:rsidRPr="00094A3B">
        <w:rPr>
          <w:szCs w:val="22"/>
        </w:rPr>
        <w:t xml:space="preserve"> that </w:t>
      </w:r>
      <w:r w:rsidR="00600422">
        <w:rPr>
          <w:szCs w:val="22"/>
        </w:rPr>
        <w:t xml:space="preserve">broadband Internet access might become available at some point after a waiver has been granted, and that </w:t>
      </w:r>
      <w:r w:rsidR="00600422" w:rsidRPr="00094A3B">
        <w:rPr>
          <w:szCs w:val="22"/>
        </w:rPr>
        <w:t xml:space="preserve">alternate means of distributing CAP alert messages, such as satellite delivery, </w:t>
      </w:r>
      <w:r w:rsidR="00600422">
        <w:rPr>
          <w:szCs w:val="22"/>
        </w:rPr>
        <w:t>might also</w:t>
      </w:r>
      <w:r w:rsidR="00600422" w:rsidRPr="00094A3B">
        <w:rPr>
          <w:szCs w:val="22"/>
        </w:rPr>
        <w:t xml:space="preserve"> </w:t>
      </w:r>
      <w:r w:rsidR="00600422">
        <w:rPr>
          <w:szCs w:val="22"/>
        </w:rPr>
        <w:t xml:space="preserve">become available, thus </w:t>
      </w:r>
      <w:r w:rsidR="00600422" w:rsidRPr="00094A3B">
        <w:rPr>
          <w:szCs w:val="22"/>
        </w:rPr>
        <w:t>obviat</w:t>
      </w:r>
      <w:r w:rsidR="00600422">
        <w:rPr>
          <w:szCs w:val="22"/>
        </w:rPr>
        <w:t xml:space="preserve">ing </w:t>
      </w:r>
      <w:r w:rsidR="00600422" w:rsidRPr="00094A3B">
        <w:rPr>
          <w:szCs w:val="22"/>
        </w:rPr>
        <w:t xml:space="preserve">the basis for granting </w:t>
      </w:r>
      <w:r w:rsidR="00600422">
        <w:rPr>
          <w:szCs w:val="22"/>
        </w:rPr>
        <w:t>the</w:t>
      </w:r>
      <w:r w:rsidR="00600422" w:rsidRPr="00094A3B">
        <w:rPr>
          <w:szCs w:val="22"/>
        </w:rPr>
        <w:t xml:space="preserve"> waiver.</w:t>
      </w:r>
      <w:r w:rsidR="00600422">
        <w:rPr>
          <w:rStyle w:val="FootnoteReference"/>
          <w:szCs w:val="22"/>
        </w:rPr>
        <w:footnoteReference w:id="19"/>
      </w:r>
      <w:r w:rsidR="00600422" w:rsidRPr="00094A3B">
        <w:rPr>
          <w:szCs w:val="22"/>
        </w:rPr>
        <w:t xml:space="preserve">  For this reason, </w:t>
      </w:r>
      <w:r w:rsidR="00600422">
        <w:rPr>
          <w:szCs w:val="22"/>
        </w:rPr>
        <w:t xml:space="preserve">the Commission indicated that </w:t>
      </w:r>
      <w:r w:rsidR="00600422" w:rsidRPr="00094A3B">
        <w:rPr>
          <w:szCs w:val="22"/>
        </w:rPr>
        <w:t xml:space="preserve">any waiver based on the physical unavailability of </w:t>
      </w:r>
      <w:r w:rsidR="00600422">
        <w:rPr>
          <w:szCs w:val="22"/>
        </w:rPr>
        <w:t>b</w:t>
      </w:r>
      <w:r w:rsidR="00600422" w:rsidRPr="00094A3B">
        <w:rPr>
          <w:szCs w:val="22"/>
        </w:rPr>
        <w:t>roadband Internet access likely would not exceed six months</w:t>
      </w:r>
      <w:r w:rsidR="00600422">
        <w:rPr>
          <w:szCs w:val="22"/>
        </w:rPr>
        <w:t xml:space="preserve">, with the option of </w:t>
      </w:r>
      <w:r w:rsidR="00600422" w:rsidRPr="00094A3B">
        <w:rPr>
          <w:szCs w:val="22"/>
        </w:rPr>
        <w:t>renew</w:t>
      </w:r>
      <w:r w:rsidR="00600422">
        <w:rPr>
          <w:szCs w:val="22"/>
        </w:rPr>
        <w:t>al</w:t>
      </w:r>
      <w:r w:rsidR="00600422" w:rsidRPr="00094A3B">
        <w:rPr>
          <w:szCs w:val="22"/>
        </w:rPr>
        <w:t xml:space="preserve"> if circumstances </w:t>
      </w:r>
      <w:r w:rsidR="00600422">
        <w:rPr>
          <w:szCs w:val="22"/>
        </w:rPr>
        <w:t>have not changed.</w:t>
      </w:r>
      <w:r w:rsidR="00600422">
        <w:rPr>
          <w:rStyle w:val="FootnoteReference"/>
          <w:szCs w:val="22"/>
        </w:rPr>
        <w:footnoteReference w:id="20"/>
      </w:r>
      <w:r w:rsidR="00600422" w:rsidRPr="00094A3B">
        <w:rPr>
          <w:szCs w:val="22"/>
        </w:rPr>
        <w:t xml:space="preserve">  </w:t>
      </w:r>
      <w:r w:rsidR="00600422">
        <w:rPr>
          <w:szCs w:val="22"/>
        </w:rPr>
        <w:t>Finally, the Commission concluded that, i</w:t>
      </w:r>
      <w:r w:rsidR="00600422" w:rsidRPr="00094A3B">
        <w:rPr>
          <w:szCs w:val="22"/>
        </w:rPr>
        <w:t xml:space="preserve">n all events, to the extent a waiver applies, the affected party </w:t>
      </w:r>
      <w:r w:rsidR="00600422">
        <w:rPr>
          <w:szCs w:val="22"/>
        </w:rPr>
        <w:t>w</w:t>
      </w:r>
      <w:r w:rsidR="00600422" w:rsidRPr="00094A3B">
        <w:rPr>
          <w:szCs w:val="22"/>
        </w:rPr>
        <w:t xml:space="preserve">ould </w:t>
      </w:r>
      <w:r w:rsidR="00600422">
        <w:rPr>
          <w:szCs w:val="22"/>
        </w:rPr>
        <w:t xml:space="preserve">be required to </w:t>
      </w:r>
      <w:r w:rsidR="00600422" w:rsidRPr="00094A3B">
        <w:rPr>
          <w:szCs w:val="22"/>
        </w:rPr>
        <w:t>continue to operate its legacy EAS equipment.</w:t>
      </w:r>
      <w:r w:rsidR="00600422">
        <w:rPr>
          <w:rStyle w:val="FootnoteReference"/>
          <w:szCs w:val="22"/>
        </w:rPr>
        <w:footnoteReference w:id="21"/>
      </w:r>
      <w:r w:rsidR="00600422">
        <w:rPr>
          <w:bCs/>
          <w:color w:val="262626"/>
          <w:szCs w:val="22"/>
        </w:rPr>
        <w:t xml:space="preserve">  </w:t>
      </w:r>
    </w:p>
    <w:p w14:paraId="4B29FC71" w14:textId="77777777" w:rsidR="00600422" w:rsidRDefault="00600422" w:rsidP="00445D99">
      <w:pPr>
        <w:pStyle w:val="ParaNum"/>
        <w:widowControl/>
        <w:numPr>
          <w:ilvl w:val="0"/>
          <w:numId w:val="0"/>
        </w:numPr>
        <w:ind w:left="720"/>
        <w:rPr>
          <w:bCs/>
          <w:color w:val="262626"/>
          <w:szCs w:val="22"/>
        </w:rPr>
      </w:pPr>
    </w:p>
    <w:p w14:paraId="24C6618E" w14:textId="352E2E54" w:rsidR="00600422" w:rsidRPr="00DF7FB8" w:rsidRDefault="00600422" w:rsidP="00445D99">
      <w:pPr>
        <w:pStyle w:val="ParaNum"/>
        <w:widowControl/>
        <w:tabs>
          <w:tab w:val="clear" w:pos="900"/>
          <w:tab w:val="num" w:pos="720"/>
        </w:tabs>
        <w:ind w:left="0" w:firstLine="720"/>
      </w:pPr>
      <w:r>
        <w:t xml:space="preserve">The Petitioners </w:t>
      </w:r>
      <w:r w:rsidRPr="00064ACA">
        <w:t xml:space="preserve">filed </w:t>
      </w:r>
      <w:r>
        <w:t xml:space="preserve">requests for </w:t>
      </w:r>
      <w:r w:rsidRPr="00064ACA">
        <w:t xml:space="preserve">temporary waiver of </w:t>
      </w:r>
      <w:r>
        <w:t xml:space="preserve">the obligation to receive and process CAP-formatted alerts specified in </w:t>
      </w:r>
      <w:r w:rsidR="00876B5F">
        <w:t>S</w:t>
      </w:r>
      <w:r w:rsidRPr="00064ACA">
        <w:t xml:space="preserve">ection 11.56 </w:t>
      </w:r>
      <w:r>
        <w:t xml:space="preserve">of the Commission’s rules on various grounds.  CMA Communications, JB Cable, KLLV, Maddock, New Wave and Suddenlink requested temporary waivers of the obligation to receive and process CAP EAS messages </w:t>
      </w:r>
      <w:r w:rsidRPr="00064ACA">
        <w:t xml:space="preserve">due to </w:t>
      </w:r>
      <w:r>
        <w:rPr>
          <w:szCs w:val="22"/>
        </w:rPr>
        <w:t>the physical unavailability of broadband Internet service</w:t>
      </w:r>
      <w:r w:rsidRPr="00064ACA">
        <w:t>.</w:t>
      </w:r>
      <w:r>
        <w:rPr>
          <w:rStyle w:val="FootnoteReference"/>
          <w:szCs w:val="22"/>
        </w:rPr>
        <w:footnoteReference w:id="22"/>
      </w:r>
      <w:r w:rsidRPr="00064ACA">
        <w:t xml:space="preserve"> </w:t>
      </w:r>
      <w:r>
        <w:t xml:space="preserve"> Suddenlink also sought a </w:t>
      </w:r>
      <w:r w:rsidR="001D37F7">
        <w:t>90-day</w:t>
      </w:r>
      <w:r>
        <w:t xml:space="preserve"> waiver of CAP obligations for some of its systems to allow for completion of </w:t>
      </w:r>
      <w:r w:rsidRPr="0070552A">
        <w:t>installation and testing of CAP equipment</w:t>
      </w:r>
      <w:r>
        <w:t>.</w:t>
      </w:r>
      <w:r>
        <w:rPr>
          <w:rStyle w:val="FootnoteReference"/>
        </w:rPr>
        <w:footnoteReference w:id="23"/>
      </w:r>
      <w:r>
        <w:t xml:space="preserve">  CTC, NATCO, Vyve and Yelcot based their waiver requests on grounds that they are all in the process of either shutting down or constructing new digital systems that will replace the systems covered by their waiver</w:t>
      </w:r>
      <w:r w:rsidR="00513B83">
        <w:t xml:space="preserve"> request</w:t>
      </w:r>
      <w:r>
        <w:t>s, and that purchasing and installing CAP equipment to make the old systems compliant for the brief interim until construction of the new digital systems is complete would be economically wasteful and unjustified.</w:t>
      </w:r>
      <w:r>
        <w:rPr>
          <w:rStyle w:val="FootnoteReference"/>
        </w:rPr>
        <w:footnoteReference w:id="24"/>
      </w:r>
      <w:r>
        <w:t xml:space="preserve">  New Wave similarly sought a temporary waiver for one of its systems on economic waste grounds</w:t>
      </w:r>
      <w:r w:rsidR="00513B83">
        <w:t xml:space="preserve"> due to </w:t>
      </w:r>
      <w:r w:rsidR="00781065">
        <w:t xml:space="preserve">that system’s </w:t>
      </w:r>
      <w:r w:rsidR="00513B83">
        <w:t xml:space="preserve">imminent </w:t>
      </w:r>
      <w:r w:rsidR="00781065">
        <w:t xml:space="preserve">integration with </w:t>
      </w:r>
      <w:r w:rsidR="00513B83">
        <w:t>a CAP compliant system</w:t>
      </w:r>
      <w:r>
        <w:t>.</w:t>
      </w:r>
      <w:r>
        <w:rPr>
          <w:rStyle w:val="FootnoteReference"/>
        </w:rPr>
        <w:footnoteReference w:id="25"/>
      </w:r>
      <w:r>
        <w:t xml:space="preserve">  Allegiance grounded its waiver request on claims of financial hardship.</w:t>
      </w:r>
      <w:r>
        <w:rPr>
          <w:rStyle w:val="FootnoteReference"/>
        </w:rPr>
        <w:footnoteReference w:id="26"/>
      </w:r>
      <w:r>
        <w:t xml:space="preserve">  James Cable grounded its waiver request </w:t>
      </w:r>
      <w:r w:rsidR="001D37F7">
        <w:t>o</w:t>
      </w:r>
      <w:r>
        <w:t xml:space="preserve">n claims of both financial hardship and </w:t>
      </w:r>
      <w:r>
        <w:rPr>
          <w:szCs w:val="22"/>
        </w:rPr>
        <w:t>physical unavailability of broadband Internet service.</w:t>
      </w:r>
      <w:r>
        <w:rPr>
          <w:rStyle w:val="FootnoteReference"/>
          <w:szCs w:val="22"/>
        </w:rPr>
        <w:footnoteReference w:id="27"/>
      </w:r>
      <w:r>
        <w:rPr>
          <w:szCs w:val="22"/>
        </w:rPr>
        <w:t xml:space="preserve">  </w:t>
      </w:r>
    </w:p>
    <w:p w14:paraId="69994AA4" w14:textId="77777777" w:rsidR="00600422" w:rsidRPr="00921416" w:rsidRDefault="00600422" w:rsidP="00445D99">
      <w:pPr>
        <w:pStyle w:val="ParaNum"/>
        <w:widowControl/>
        <w:numPr>
          <w:ilvl w:val="0"/>
          <w:numId w:val="0"/>
        </w:numPr>
        <w:ind w:left="720"/>
        <w:rPr>
          <w:szCs w:val="22"/>
        </w:rPr>
      </w:pPr>
    </w:p>
    <w:p w14:paraId="38D16F6A" w14:textId="77777777" w:rsidR="00600422" w:rsidRPr="00322D58" w:rsidRDefault="00600422" w:rsidP="00445D99">
      <w:pPr>
        <w:pStyle w:val="ParaNum"/>
        <w:widowControl/>
        <w:numPr>
          <w:ilvl w:val="0"/>
          <w:numId w:val="0"/>
        </w:numPr>
        <w:rPr>
          <w:szCs w:val="22"/>
        </w:rPr>
      </w:pPr>
      <w:r>
        <w:rPr>
          <w:b/>
          <w:szCs w:val="22"/>
        </w:rPr>
        <w:t>III.</w:t>
      </w:r>
      <w:r>
        <w:rPr>
          <w:b/>
          <w:szCs w:val="22"/>
        </w:rPr>
        <w:tab/>
        <w:t>Discussion</w:t>
      </w:r>
    </w:p>
    <w:p w14:paraId="55ABF652" w14:textId="77777777" w:rsidR="00600422" w:rsidRPr="00921416" w:rsidRDefault="00600422" w:rsidP="00445D99">
      <w:pPr>
        <w:pStyle w:val="ParaNum"/>
        <w:widowControl/>
        <w:numPr>
          <w:ilvl w:val="0"/>
          <w:numId w:val="0"/>
        </w:numPr>
        <w:ind w:firstLine="360"/>
        <w:rPr>
          <w:szCs w:val="22"/>
        </w:rPr>
      </w:pPr>
    </w:p>
    <w:p w14:paraId="41158633" w14:textId="47B42A8D" w:rsidR="00600422" w:rsidRPr="00B3345C" w:rsidRDefault="00600422" w:rsidP="00445D99">
      <w:pPr>
        <w:pStyle w:val="ParaNum"/>
        <w:widowControl/>
        <w:tabs>
          <w:tab w:val="clear" w:pos="900"/>
          <w:tab w:val="num" w:pos="720"/>
        </w:tabs>
        <w:ind w:left="0" w:firstLine="720"/>
        <w:rPr>
          <w:szCs w:val="22"/>
        </w:rPr>
      </w:pPr>
      <w:r w:rsidRPr="00921416">
        <w:rPr>
          <w:szCs w:val="22"/>
        </w:rPr>
        <w:t>T</w:t>
      </w:r>
      <w:r w:rsidRPr="00921416">
        <w:rPr>
          <w:color w:val="000000"/>
          <w:szCs w:val="22"/>
        </w:rPr>
        <w:t>he</w:t>
      </w:r>
      <w:r w:rsidRPr="00064ACA">
        <w:rPr>
          <w:color w:val="000000"/>
          <w:szCs w:val="22"/>
        </w:rPr>
        <w:t xml:space="preserve"> Commission has authority to waive it</w:t>
      </w:r>
      <w:r>
        <w:rPr>
          <w:color w:val="000000"/>
          <w:szCs w:val="22"/>
        </w:rPr>
        <w:t>s</w:t>
      </w:r>
      <w:r w:rsidRPr="00064ACA">
        <w:rPr>
          <w:color w:val="000000"/>
          <w:szCs w:val="22"/>
        </w:rPr>
        <w:t xml:space="preserve"> rules if there is “good cause” to do so</w:t>
      </w:r>
      <w:bookmarkStart w:id="2" w:name="FN[FN20]"/>
      <w:bookmarkEnd w:id="2"/>
      <w:r w:rsidRPr="00064ACA">
        <w:rPr>
          <w:color w:val="000000"/>
          <w:szCs w:val="22"/>
        </w:rPr>
        <w:t>.</w:t>
      </w:r>
      <w:r w:rsidRPr="00064ACA">
        <w:rPr>
          <w:rStyle w:val="FootnoteReference"/>
          <w:color w:val="000000"/>
          <w:szCs w:val="22"/>
        </w:rPr>
        <w:footnoteReference w:id="28"/>
      </w:r>
      <w:r w:rsidRPr="00064ACA">
        <w:rPr>
          <w:color w:val="000000"/>
          <w:szCs w:val="22"/>
        </w:rPr>
        <w:t xml:space="preserve">  The Commission </w:t>
      </w:r>
      <w:r>
        <w:rPr>
          <w:color w:val="000000"/>
          <w:szCs w:val="22"/>
        </w:rPr>
        <w:t xml:space="preserve">may find such good cause </w:t>
      </w:r>
      <w:r w:rsidRPr="00064ACA">
        <w:rPr>
          <w:color w:val="000000"/>
          <w:szCs w:val="22"/>
        </w:rPr>
        <w:t xml:space="preserve">where </w:t>
      </w:r>
      <w:r>
        <w:rPr>
          <w:color w:val="000000"/>
          <w:szCs w:val="22"/>
        </w:rPr>
        <w:t xml:space="preserve">special circumstances warrant a deviation from the general rule, and such deviation will serve </w:t>
      </w:r>
      <w:r w:rsidRPr="00064ACA">
        <w:rPr>
          <w:color w:val="000000"/>
          <w:szCs w:val="22"/>
        </w:rPr>
        <w:t>the public interest</w:t>
      </w:r>
      <w:bookmarkStart w:id="3" w:name="FN[FN21]"/>
      <w:bookmarkEnd w:id="3"/>
      <w:r w:rsidRPr="00064ACA">
        <w:rPr>
          <w:color w:val="000000"/>
          <w:szCs w:val="22"/>
        </w:rPr>
        <w:t>.</w:t>
      </w:r>
      <w:r w:rsidRPr="00064ACA">
        <w:rPr>
          <w:rStyle w:val="FootnoteReference"/>
          <w:color w:val="000000"/>
          <w:szCs w:val="22"/>
        </w:rPr>
        <w:footnoteReference w:id="29"/>
      </w:r>
      <w:r>
        <w:rPr>
          <w:color w:val="000000"/>
          <w:szCs w:val="22"/>
        </w:rPr>
        <w:t xml:space="preserve">  The</w:t>
      </w:r>
      <w:r w:rsidRPr="00064ACA">
        <w:rPr>
          <w:szCs w:val="22"/>
        </w:rPr>
        <w:t xml:space="preserve"> waiver applicant </w:t>
      </w:r>
      <w:r>
        <w:rPr>
          <w:szCs w:val="22"/>
        </w:rPr>
        <w:t xml:space="preserve">generally </w:t>
      </w:r>
      <w:r w:rsidRPr="00064ACA">
        <w:rPr>
          <w:szCs w:val="22"/>
        </w:rPr>
        <w:t>faces a high hurdle and must plead with particularity the facts and circumstances that warrant a waiver.</w:t>
      </w:r>
      <w:r w:rsidRPr="00064ACA">
        <w:rPr>
          <w:rStyle w:val="FootnoteReference"/>
          <w:szCs w:val="22"/>
        </w:rPr>
        <w:footnoteReference w:id="30"/>
      </w:r>
      <w:r>
        <w:rPr>
          <w:szCs w:val="22"/>
        </w:rPr>
        <w:t xml:space="preserve">  However, as indicated above, with respect to applicants for waivers of the CAP-related obligations set forth in </w:t>
      </w:r>
      <w:r w:rsidR="00876B5F">
        <w:rPr>
          <w:szCs w:val="22"/>
        </w:rPr>
        <w:t>S</w:t>
      </w:r>
      <w:r>
        <w:rPr>
          <w:szCs w:val="22"/>
        </w:rPr>
        <w:t>ection 11.56 of the Commission’s rules, the Commission has established a presumption in favor of granting temporary waivers based upon the physical unavailability of broadband Internet service.</w:t>
      </w:r>
      <w:r>
        <w:rPr>
          <w:rStyle w:val="FootnoteReference"/>
          <w:szCs w:val="22"/>
        </w:rPr>
        <w:footnoteReference w:id="31"/>
      </w:r>
    </w:p>
    <w:p w14:paraId="71CA2745" w14:textId="77777777" w:rsidR="00600422" w:rsidRPr="00B3345C" w:rsidRDefault="00600422" w:rsidP="00445D99">
      <w:pPr>
        <w:pStyle w:val="ParaNum"/>
        <w:widowControl/>
        <w:numPr>
          <w:ilvl w:val="0"/>
          <w:numId w:val="0"/>
        </w:numPr>
        <w:ind w:left="720"/>
        <w:rPr>
          <w:szCs w:val="22"/>
        </w:rPr>
      </w:pPr>
    </w:p>
    <w:p w14:paraId="73516C9D" w14:textId="26E40334" w:rsidR="00600422" w:rsidRPr="00B3345C" w:rsidRDefault="00600422" w:rsidP="00445D99">
      <w:pPr>
        <w:pStyle w:val="ParaNum"/>
        <w:widowControl/>
        <w:tabs>
          <w:tab w:val="clear" w:pos="900"/>
          <w:tab w:val="num" w:pos="720"/>
        </w:tabs>
        <w:ind w:left="0" w:firstLine="720"/>
        <w:rPr>
          <w:szCs w:val="22"/>
        </w:rPr>
      </w:pPr>
      <w:r>
        <w:t xml:space="preserve">We find that </w:t>
      </w:r>
      <w:r w:rsidRPr="00B3345C">
        <w:t>JB Cable, KLLV, Maddock, New Wave</w:t>
      </w:r>
      <w:r w:rsidR="00B1646E">
        <w:t xml:space="preserve">, </w:t>
      </w:r>
      <w:r w:rsidRPr="00B3345C">
        <w:t>Suddenlink</w:t>
      </w:r>
      <w:r w:rsidR="00B1646E">
        <w:t xml:space="preserve"> and </w:t>
      </w:r>
      <w:r w:rsidR="00CB2D52">
        <w:t>CMA</w:t>
      </w:r>
      <w:r w:rsidR="00B1646E">
        <w:t xml:space="preserve"> </w:t>
      </w:r>
      <w:r w:rsidRPr="00B3345C">
        <w:t xml:space="preserve">all meet the presumption for temporary waiver of the CAP-related obligations set forth in </w:t>
      </w:r>
      <w:r w:rsidR="00876B5F">
        <w:rPr>
          <w:szCs w:val="22"/>
        </w:rPr>
        <w:t>S</w:t>
      </w:r>
      <w:r w:rsidRPr="00B3345C">
        <w:rPr>
          <w:szCs w:val="22"/>
        </w:rPr>
        <w:t xml:space="preserve">ection 11.56 of the Commission’s rules, as established by the Commission in the </w:t>
      </w:r>
      <w:r w:rsidRPr="00B3345C">
        <w:rPr>
          <w:i/>
          <w:szCs w:val="22"/>
        </w:rPr>
        <w:t xml:space="preserve">EAS Fifth </w:t>
      </w:r>
      <w:r w:rsidR="00691BD8">
        <w:rPr>
          <w:i/>
          <w:szCs w:val="22"/>
        </w:rPr>
        <w:t>R</w:t>
      </w:r>
      <w:r w:rsidRPr="00B3345C">
        <w:rPr>
          <w:i/>
          <w:szCs w:val="22"/>
        </w:rPr>
        <w:t>eport and Order</w:t>
      </w:r>
      <w:r w:rsidR="009C6EBB" w:rsidRPr="00CB6FC4">
        <w:rPr>
          <w:szCs w:val="22"/>
        </w:rPr>
        <w:t>.</w:t>
      </w:r>
      <w:r w:rsidRPr="00CB6FC4">
        <w:rPr>
          <w:rStyle w:val="FootnoteReference"/>
          <w:szCs w:val="22"/>
        </w:rPr>
        <w:footnoteReference w:id="32"/>
      </w:r>
      <w:r w:rsidR="009F5BD9">
        <w:rPr>
          <w:szCs w:val="22"/>
        </w:rPr>
        <w:t xml:space="preserve"> </w:t>
      </w:r>
      <w:r w:rsidR="009C6EBB">
        <w:rPr>
          <w:szCs w:val="22"/>
        </w:rPr>
        <w:t xml:space="preserve"> </w:t>
      </w:r>
      <w:r w:rsidRPr="00B3345C">
        <w:t xml:space="preserve">We further observe that these </w:t>
      </w:r>
      <w:r w:rsidR="00AF3FDB">
        <w:t>P</w:t>
      </w:r>
      <w:r w:rsidRPr="00B3345C">
        <w:t xml:space="preserve">etitioners </w:t>
      </w:r>
      <w:r w:rsidRPr="00B3345C">
        <w:rPr>
          <w:szCs w:val="22"/>
        </w:rPr>
        <w:t>continue</w:t>
      </w:r>
      <w:r>
        <w:rPr>
          <w:szCs w:val="22"/>
        </w:rPr>
        <w:t>d</w:t>
      </w:r>
      <w:r w:rsidRPr="00B3345C">
        <w:rPr>
          <w:szCs w:val="22"/>
        </w:rPr>
        <w:t xml:space="preserve"> to operate legacy EAS equipment at </w:t>
      </w:r>
      <w:r w:rsidR="00AF3FDB">
        <w:rPr>
          <w:szCs w:val="22"/>
        </w:rPr>
        <w:t>least until the time of their most recent filings.</w:t>
      </w:r>
      <w:r w:rsidR="000B0169">
        <w:rPr>
          <w:rStyle w:val="FootnoteReference"/>
          <w:szCs w:val="22"/>
        </w:rPr>
        <w:footnoteReference w:id="33"/>
      </w:r>
      <w:r w:rsidR="000B0169" w:rsidRPr="007D34BF">
        <w:rPr>
          <w:color w:val="262626"/>
        </w:rPr>
        <w:t xml:space="preserve"> </w:t>
      </w:r>
      <w:r w:rsidR="00AF3FDB">
        <w:rPr>
          <w:szCs w:val="22"/>
        </w:rPr>
        <w:t xml:space="preserve"> </w:t>
      </w:r>
      <w:r>
        <w:rPr>
          <w:szCs w:val="22"/>
        </w:rPr>
        <w:t>T</w:t>
      </w:r>
      <w:r w:rsidRPr="00B3345C">
        <w:rPr>
          <w:szCs w:val="22"/>
        </w:rPr>
        <w:t xml:space="preserve">hus, the public </w:t>
      </w:r>
      <w:r>
        <w:rPr>
          <w:szCs w:val="22"/>
        </w:rPr>
        <w:t>has</w:t>
      </w:r>
      <w:r w:rsidRPr="00B3345C">
        <w:rPr>
          <w:szCs w:val="22"/>
        </w:rPr>
        <w:t xml:space="preserve"> not </w:t>
      </w:r>
      <w:r>
        <w:rPr>
          <w:szCs w:val="22"/>
        </w:rPr>
        <w:t xml:space="preserve">been </w:t>
      </w:r>
      <w:r w:rsidRPr="00B3345C">
        <w:rPr>
          <w:szCs w:val="22"/>
        </w:rPr>
        <w:t>deprived of EAS alerts.</w:t>
      </w:r>
      <w:r w:rsidRPr="00B3345C">
        <w:rPr>
          <w:bCs/>
          <w:color w:val="262626"/>
          <w:szCs w:val="22"/>
        </w:rPr>
        <w:t xml:space="preserve"> </w:t>
      </w:r>
      <w:r w:rsidR="000B0169">
        <w:rPr>
          <w:bCs/>
          <w:color w:val="262626"/>
          <w:szCs w:val="22"/>
        </w:rPr>
        <w:t xml:space="preserve"> </w:t>
      </w:r>
      <w:r>
        <w:rPr>
          <w:bCs/>
          <w:color w:val="262626"/>
          <w:szCs w:val="22"/>
        </w:rPr>
        <w:t xml:space="preserve">The foregoing findings and observations </w:t>
      </w:r>
      <w:r>
        <w:rPr>
          <w:szCs w:val="22"/>
        </w:rPr>
        <w:t xml:space="preserve">also apply to the systems covered by the CMA Petition, during the period they were owned and operated by </w:t>
      </w:r>
      <w:r w:rsidR="000B0169">
        <w:rPr>
          <w:szCs w:val="22"/>
        </w:rPr>
        <w:t xml:space="preserve">CMA </w:t>
      </w:r>
      <w:r>
        <w:rPr>
          <w:szCs w:val="22"/>
        </w:rPr>
        <w:t>prior to their sale to New Wave.</w:t>
      </w:r>
      <w:r w:rsidR="000B0169">
        <w:rPr>
          <w:rStyle w:val="FootnoteReference"/>
          <w:szCs w:val="22"/>
        </w:rPr>
        <w:footnoteReference w:id="34"/>
      </w:r>
    </w:p>
    <w:p w14:paraId="15C0A844" w14:textId="77777777" w:rsidR="00600422" w:rsidRPr="00B3345C" w:rsidRDefault="00600422" w:rsidP="00445D99">
      <w:pPr>
        <w:pStyle w:val="ParaNum"/>
        <w:widowControl/>
        <w:numPr>
          <w:ilvl w:val="0"/>
          <w:numId w:val="0"/>
        </w:numPr>
        <w:tabs>
          <w:tab w:val="num" w:pos="720"/>
        </w:tabs>
        <w:ind w:firstLine="360"/>
        <w:rPr>
          <w:szCs w:val="22"/>
        </w:rPr>
      </w:pPr>
    </w:p>
    <w:p w14:paraId="1B03FB78" w14:textId="2D18D1CF" w:rsidR="00600422" w:rsidRPr="00CB3A98" w:rsidRDefault="00600422" w:rsidP="00445D99">
      <w:pPr>
        <w:pStyle w:val="ParaNum"/>
        <w:widowControl/>
        <w:tabs>
          <w:tab w:val="clear" w:pos="900"/>
          <w:tab w:val="num" w:pos="720"/>
        </w:tabs>
        <w:ind w:left="0" w:firstLine="720"/>
      </w:pPr>
      <w:r>
        <w:t xml:space="preserve">Accordingly, we grant, </w:t>
      </w:r>
      <w:r w:rsidRPr="00386293">
        <w:rPr>
          <w:i/>
        </w:rPr>
        <w:t>nunc pro tunc</w:t>
      </w:r>
      <w:r>
        <w:t xml:space="preserve">, the temporary waiver of the CAP obligations set forth in </w:t>
      </w:r>
      <w:r w:rsidR="00876B5F">
        <w:t>S</w:t>
      </w:r>
      <w:r>
        <w:t xml:space="preserve">ection 11.56 </w:t>
      </w:r>
      <w:r w:rsidRPr="00A9716F">
        <w:t>of the Commission’s rules</w:t>
      </w:r>
      <w:r>
        <w:t xml:space="preserve"> requested by </w:t>
      </w:r>
      <w:r w:rsidRPr="004333A7">
        <w:t xml:space="preserve">JB Cable, KLLV, Maddock, New Wave and Suddenlink </w:t>
      </w:r>
      <w:r>
        <w:t xml:space="preserve">for the period of June 30, 2012, until </w:t>
      </w:r>
      <w:r w:rsidR="00344F86">
        <w:t>May 21</w:t>
      </w:r>
      <w:r w:rsidR="00C6474E">
        <w:t xml:space="preserve">, 2015, </w:t>
      </w:r>
      <w:r>
        <w:t>six months from the date this order is adopted.</w:t>
      </w:r>
      <w:r>
        <w:rPr>
          <w:rStyle w:val="FootnoteReference"/>
          <w:szCs w:val="22"/>
        </w:rPr>
        <w:footnoteReference w:id="35"/>
      </w:r>
      <w:r>
        <w:t xml:space="preserve">  We also grant, </w:t>
      </w:r>
      <w:r w:rsidRPr="00386293">
        <w:rPr>
          <w:i/>
        </w:rPr>
        <w:t>nunc pro tunc</w:t>
      </w:r>
      <w:r>
        <w:t xml:space="preserve">, the temporary waiver of the CAP obligations set forth in </w:t>
      </w:r>
      <w:r w:rsidR="00876B5F">
        <w:t>S</w:t>
      </w:r>
      <w:r>
        <w:t xml:space="preserve">ection 11.56 </w:t>
      </w:r>
      <w:r w:rsidRPr="00A9716F">
        <w:t>of the Commission’s rules</w:t>
      </w:r>
      <w:r>
        <w:t xml:space="preserve"> requested by CMA Communications for the period of June 30, 2012, until </w:t>
      </w:r>
      <w:r w:rsidR="00AC6180">
        <w:t xml:space="preserve">June 1, 2013, at which point </w:t>
      </w:r>
      <w:r>
        <w:t>ownership of the systems covered by the CMA Petition transferred to New Wave</w:t>
      </w:r>
      <w:r w:rsidR="00AC6180">
        <w:t xml:space="preserve"> and became subject to New Wave’s waiver petition</w:t>
      </w:r>
      <w:r>
        <w:t>.</w:t>
      </w:r>
      <w:r>
        <w:rPr>
          <w:rStyle w:val="FootnoteReference"/>
          <w:szCs w:val="22"/>
        </w:rPr>
        <w:footnoteReference w:id="36"/>
      </w:r>
      <w:r>
        <w:t xml:space="preserve">  As indicated in </w:t>
      </w:r>
      <w:r w:rsidRPr="004333A7">
        <w:t xml:space="preserve">the </w:t>
      </w:r>
      <w:r w:rsidRPr="004333A7">
        <w:rPr>
          <w:i/>
        </w:rPr>
        <w:t xml:space="preserve">EAS Fifth </w:t>
      </w:r>
      <w:r w:rsidR="001D37F7">
        <w:rPr>
          <w:i/>
        </w:rPr>
        <w:t>R</w:t>
      </w:r>
      <w:r w:rsidRPr="004333A7">
        <w:rPr>
          <w:i/>
        </w:rPr>
        <w:t>eport and Order</w:t>
      </w:r>
      <w:r>
        <w:t xml:space="preserve">, these parties have the option of </w:t>
      </w:r>
      <w:r w:rsidRPr="00094A3B">
        <w:t>renew</w:t>
      </w:r>
      <w:r>
        <w:t xml:space="preserve">ing their waiver requests </w:t>
      </w:r>
      <w:r w:rsidRPr="00094A3B">
        <w:t xml:space="preserve">if circumstances </w:t>
      </w:r>
      <w:r>
        <w:t>have not changed by the time their waiver authorization expires.</w:t>
      </w:r>
      <w:r>
        <w:rPr>
          <w:rStyle w:val="FootnoteReference"/>
          <w:szCs w:val="22"/>
        </w:rPr>
        <w:footnoteReference w:id="37"/>
      </w:r>
      <w:r>
        <w:t xml:space="preserve">  </w:t>
      </w:r>
      <w:r w:rsidR="00EE6AA4">
        <w:t xml:space="preserve">The Bureau, in its review of any request for a </w:t>
      </w:r>
      <w:r w:rsidR="00262CD9">
        <w:t>waiver extension</w:t>
      </w:r>
      <w:r w:rsidR="00691BD8">
        <w:t>,</w:t>
      </w:r>
      <w:r w:rsidR="00262CD9">
        <w:t xml:space="preserve"> </w:t>
      </w:r>
      <w:r w:rsidR="0017419B">
        <w:t xml:space="preserve">expects that the </w:t>
      </w:r>
      <w:r w:rsidR="003E52E0">
        <w:t xml:space="preserve">petitioner </w:t>
      </w:r>
      <w:r w:rsidR="0017419B">
        <w:t xml:space="preserve">will </w:t>
      </w:r>
      <w:r w:rsidR="003E52E0">
        <w:t>show good cause by having</w:t>
      </w:r>
      <w:r w:rsidR="0017419B">
        <w:t xml:space="preserve"> conducted </w:t>
      </w:r>
      <w:r w:rsidR="003E52E0">
        <w:t xml:space="preserve">a diligent search for available broadband at the broadcast facilities, cable headends, or equivalent facilities serving the systems for which the petitioner would be seeking the waiver extension.  </w:t>
      </w:r>
      <w:r w:rsidR="00447EDD">
        <w:t>Petitioners may conduct s</w:t>
      </w:r>
      <w:r w:rsidR="003E52E0">
        <w:t xml:space="preserve">uch </w:t>
      </w:r>
      <w:r w:rsidR="00447EDD">
        <w:t xml:space="preserve">a </w:t>
      </w:r>
      <w:r w:rsidR="003E52E0">
        <w:t xml:space="preserve">search </w:t>
      </w:r>
      <w:r w:rsidR="00447EDD">
        <w:t xml:space="preserve">by </w:t>
      </w:r>
      <w:r w:rsidR="003E52E0">
        <w:t>ent</w:t>
      </w:r>
      <w:r w:rsidR="00447EDD">
        <w:t xml:space="preserve">ering the street address for the above referenced facilities </w:t>
      </w:r>
      <w:r w:rsidR="003E52E0">
        <w:t xml:space="preserve">into the </w:t>
      </w:r>
      <w:r w:rsidR="003E52E0">
        <w:rPr>
          <w:szCs w:val="22"/>
        </w:rPr>
        <w:t xml:space="preserve">web site for the National Broadband map </w:t>
      </w:r>
      <w:r w:rsidR="003E52E0">
        <w:t>(</w:t>
      </w:r>
      <w:r w:rsidR="003E52E0" w:rsidRPr="000134F9">
        <w:t>http://www.broadbandmap.gov</w:t>
      </w:r>
      <w:r w:rsidR="003E52E0">
        <w:t xml:space="preserve">).  </w:t>
      </w:r>
      <w:r w:rsidR="00036D87">
        <w:t xml:space="preserve">Should </w:t>
      </w:r>
      <w:r w:rsidR="00447EDD">
        <w:t xml:space="preserve">the Bureau determine </w:t>
      </w:r>
      <w:r w:rsidR="00A81B11">
        <w:t xml:space="preserve">that </w:t>
      </w:r>
      <w:r w:rsidR="00036D87">
        <w:t>broadband</w:t>
      </w:r>
      <w:r w:rsidR="00A81B11">
        <w:t xml:space="preserve"> service is available at </w:t>
      </w:r>
      <w:r w:rsidR="00447EDD">
        <w:t xml:space="preserve">any </w:t>
      </w:r>
      <w:r w:rsidR="00A81B11">
        <w:t>location</w:t>
      </w:r>
      <w:r w:rsidR="00447EDD">
        <w:t xml:space="preserve"> for which a waiver has been requested</w:t>
      </w:r>
      <w:r w:rsidR="00036D87">
        <w:t xml:space="preserve">, </w:t>
      </w:r>
      <w:r w:rsidR="00EE6AA4">
        <w:t xml:space="preserve">the Bureau would not be inclined to grant the request.  </w:t>
      </w:r>
    </w:p>
    <w:p w14:paraId="02D2D801" w14:textId="77777777" w:rsidR="00600422" w:rsidRPr="00CB3A98" w:rsidRDefault="00600422" w:rsidP="00445D99">
      <w:pPr>
        <w:pStyle w:val="ParaNum"/>
        <w:widowControl/>
        <w:numPr>
          <w:ilvl w:val="0"/>
          <w:numId w:val="0"/>
        </w:numPr>
        <w:ind w:left="900"/>
        <w:rPr>
          <w:szCs w:val="22"/>
        </w:rPr>
      </w:pPr>
    </w:p>
    <w:p w14:paraId="6DB554AF" w14:textId="2C35BF60" w:rsidR="00600422" w:rsidRPr="00F74043" w:rsidRDefault="00600422" w:rsidP="00445D99">
      <w:pPr>
        <w:pStyle w:val="ParaNum"/>
        <w:widowControl/>
        <w:tabs>
          <w:tab w:val="clear" w:pos="900"/>
          <w:tab w:val="num" w:pos="720"/>
        </w:tabs>
        <w:ind w:left="0" w:firstLine="720"/>
      </w:pPr>
      <w:r w:rsidRPr="008F0EBD">
        <w:t xml:space="preserve">We further find that granting the waiver requests filed by CTC, NATCO, Vyve and Yelcot, as well as the portion of the New Wave Original Petition related to its </w:t>
      </w:r>
      <w:r>
        <w:t>Steele, MO system</w:t>
      </w:r>
      <w:r w:rsidRPr="008F0EBD">
        <w:t xml:space="preserve">, is justified in light of their underlying circumstances.  We observe that the </w:t>
      </w:r>
      <w:r>
        <w:t xml:space="preserve">individual </w:t>
      </w:r>
      <w:r w:rsidRPr="008F0EBD">
        <w:t>systems covered by these waiver requests serve very few subscribers, and that these petitioners have been diligently working towards constructing new CAP-compliant digital headend facilities, laying fiber connections to which the existing subscribers of the systems subject to these waivers will be interconnected,</w:t>
      </w:r>
      <w:r>
        <w:t xml:space="preserve"> or</w:t>
      </w:r>
      <w:r w:rsidRPr="008F0EBD">
        <w:t xml:space="preserve"> deactivating systems that cannot otherwise be made compliant in an economical manner.</w:t>
      </w:r>
      <w:r>
        <w:rPr>
          <w:rStyle w:val="FootnoteReference"/>
        </w:rPr>
        <w:footnoteReference w:id="38"/>
      </w:r>
      <w:r w:rsidRPr="008F0EBD">
        <w:t xml:space="preserve">  We also observe that completion of these activities, and th</w:t>
      </w:r>
      <w:r>
        <w:t xml:space="preserve">e ensuing </w:t>
      </w:r>
      <w:r w:rsidRPr="008F0EBD">
        <w:t>compliance with CAP obligations (or system deactivation) are expected to be completed by the end of 2014.</w:t>
      </w:r>
      <w:r>
        <w:rPr>
          <w:rStyle w:val="FootnoteReference"/>
        </w:rPr>
        <w:footnoteReference w:id="39"/>
      </w:r>
      <w:r w:rsidRPr="008F0EBD">
        <w:t xml:space="preserve">  We agree with </w:t>
      </w:r>
      <w:r>
        <w:t xml:space="preserve">Yelcot </w:t>
      </w:r>
      <w:r w:rsidRPr="008F0EBD">
        <w:t xml:space="preserve">that </w:t>
      </w:r>
      <w:r>
        <w:t>granting temporary waivers in these circumstances “</w:t>
      </w:r>
      <w:r w:rsidRPr="00496894">
        <w:t>is consistent with the</w:t>
      </w:r>
      <w:r>
        <w:t xml:space="preserve"> </w:t>
      </w:r>
      <w:r w:rsidRPr="00496894">
        <w:t>Commission’s efforts to avoid unnecessary and unjustified costs associated with CAP</w:t>
      </w:r>
      <w:r>
        <w:t xml:space="preserve"> </w:t>
      </w:r>
      <w:r w:rsidRPr="00496894">
        <w:t>compliance</w:t>
      </w:r>
      <w:r>
        <w:t>,” and with prior Commission actions involving similar facts.</w:t>
      </w:r>
      <w:r>
        <w:rPr>
          <w:rStyle w:val="FootnoteReference"/>
        </w:rPr>
        <w:footnoteReference w:id="40"/>
      </w:r>
      <w:r>
        <w:t xml:space="preserve">  </w:t>
      </w:r>
      <w:r w:rsidRPr="008F0EBD">
        <w:rPr>
          <w:szCs w:val="22"/>
        </w:rPr>
        <w:t xml:space="preserve">We </w:t>
      </w:r>
      <w:r>
        <w:rPr>
          <w:szCs w:val="22"/>
        </w:rPr>
        <w:t xml:space="preserve">also </w:t>
      </w:r>
      <w:r w:rsidRPr="008F0EBD">
        <w:rPr>
          <w:szCs w:val="22"/>
        </w:rPr>
        <w:t xml:space="preserve">find this economic waste rationale </w:t>
      </w:r>
      <w:r>
        <w:rPr>
          <w:szCs w:val="22"/>
        </w:rPr>
        <w:t xml:space="preserve">to be </w:t>
      </w:r>
      <w:r w:rsidRPr="008F0EBD">
        <w:rPr>
          <w:szCs w:val="22"/>
        </w:rPr>
        <w:t xml:space="preserve">equally applicable to cases </w:t>
      </w:r>
      <w:r w:rsidR="009D53A7">
        <w:rPr>
          <w:szCs w:val="22"/>
        </w:rPr>
        <w:t xml:space="preserve">such as Vyve’s, </w:t>
      </w:r>
      <w:r w:rsidRPr="008F0EBD">
        <w:rPr>
          <w:szCs w:val="22"/>
        </w:rPr>
        <w:t xml:space="preserve">in which a system is </w:t>
      </w:r>
      <w:r>
        <w:rPr>
          <w:szCs w:val="22"/>
        </w:rPr>
        <w:t>scheduled</w:t>
      </w:r>
      <w:r w:rsidRPr="008F0EBD">
        <w:rPr>
          <w:szCs w:val="22"/>
        </w:rPr>
        <w:t xml:space="preserve"> for near-term deactivation.</w:t>
      </w:r>
      <w:r>
        <w:rPr>
          <w:rStyle w:val="FootnoteReference"/>
          <w:szCs w:val="22"/>
        </w:rPr>
        <w:footnoteReference w:id="41"/>
      </w:r>
      <w:r w:rsidRPr="008F0EBD">
        <w:rPr>
          <w:szCs w:val="22"/>
        </w:rPr>
        <w:t xml:space="preserve">  Our finding</w:t>
      </w:r>
      <w:r>
        <w:rPr>
          <w:szCs w:val="22"/>
        </w:rPr>
        <w:t>s are</w:t>
      </w:r>
      <w:r w:rsidRPr="008F0EBD">
        <w:rPr>
          <w:szCs w:val="22"/>
        </w:rPr>
        <w:t xml:space="preserve"> buttressed by the fact that t</w:t>
      </w:r>
      <w:r w:rsidRPr="008F0EBD">
        <w:t>he</w:t>
      </w:r>
      <w:r>
        <w:t xml:space="preserve"> systems covered by these waivers have functional legacy EAS equipment, </w:t>
      </w:r>
      <w:r w:rsidR="009D53A7">
        <w:rPr>
          <w:szCs w:val="22"/>
        </w:rPr>
        <w:t>thus</w:t>
      </w:r>
      <w:r w:rsidRPr="008F0EBD">
        <w:rPr>
          <w:szCs w:val="22"/>
        </w:rPr>
        <w:t xml:space="preserve"> the public </w:t>
      </w:r>
      <w:r>
        <w:rPr>
          <w:szCs w:val="22"/>
        </w:rPr>
        <w:t xml:space="preserve">will </w:t>
      </w:r>
      <w:r w:rsidRPr="008F0EBD">
        <w:rPr>
          <w:szCs w:val="22"/>
        </w:rPr>
        <w:t>not be deprived of EAS alerts</w:t>
      </w:r>
      <w:r>
        <w:rPr>
          <w:szCs w:val="22"/>
        </w:rPr>
        <w:t xml:space="preserve"> while these systems are in operation</w:t>
      </w:r>
      <w:r w:rsidRPr="008F0EBD">
        <w:rPr>
          <w:szCs w:val="22"/>
        </w:rPr>
        <w:t>.</w:t>
      </w:r>
      <w:r>
        <w:rPr>
          <w:rStyle w:val="FootnoteReference"/>
          <w:szCs w:val="22"/>
        </w:rPr>
        <w:footnoteReference w:id="42"/>
      </w:r>
      <w:r w:rsidRPr="008F0EBD">
        <w:rPr>
          <w:szCs w:val="22"/>
        </w:rPr>
        <w:t xml:space="preserve">  </w:t>
      </w:r>
      <w:r w:rsidRPr="008F0EBD">
        <w:t>We also observe that NATCO and Vyve acquired the systems covered by their waiver requests</w:t>
      </w:r>
      <w:r>
        <w:t xml:space="preserve"> in non-compliant condition well after the June 30, 2012, CAP deadline had already passed, and therefore were not in a position to make them compliant by that deadline</w:t>
      </w:r>
      <w:r w:rsidRPr="008F0EBD">
        <w:t>.</w:t>
      </w:r>
      <w:r>
        <w:rPr>
          <w:rStyle w:val="FootnoteReference"/>
        </w:rPr>
        <w:footnoteReference w:id="43"/>
      </w:r>
      <w:r w:rsidRPr="008F0EBD">
        <w:t xml:space="preserve">   </w:t>
      </w:r>
      <w:r w:rsidRPr="008F0EBD">
        <w:rPr>
          <w:szCs w:val="22"/>
        </w:rPr>
        <w:t xml:space="preserve">  </w:t>
      </w:r>
    </w:p>
    <w:p w14:paraId="607EB1DD" w14:textId="77777777" w:rsidR="00600422" w:rsidRDefault="00600422" w:rsidP="00445D99">
      <w:pPr>
        <w:pStyle w:val="ListParagraph"/>
        <w:widowControl/>
        <w:tabs>
          <w:tab w:val="left" w:pos="3720"/>
        </w:tabs>
      </w:pPr>
      <w:r>
        <w:tab/>
      </w:r>
    </w:p>
    <w:p w14:paraId="777A589A" w14:textId="18B9934D" w:rsidR="00D70E31" w:rsidRDefault="00600422" w:rsidP="00445D99">
      <w:pPr>
        <w:pStyle w:val="ParaNum"/>
        <w:widowControl/>
        <w:tabs>
          <w:tab w:val="clear" w:pos="900"/>
          <w:tab w:val="num" w:pos="720"/>
        </w:tabs>
        <w:ind w:left="0" w:firstLine="720"/>
      </w:pPr>
      <w:r w:rsidRPr="0070552A">
        <w:t xml:space="preserve">We </w:t>
      </w:r>
      <w:r w:rsidR="009D6B90">
        <w:t xml:space="preserve">also conclude that </w:t>
      </w:r>
      <w:r w:rsidRPr="0070552A">
        <w:t xml:space="preserve">Suddenlink’s request </w:t>
      </w:r>
      <w:r w:rsidR="009D6B90">
        <w:t xml:space="preserve">for </w:t>
      </w:r>
      <w:r w:rsidR="007D73C9">
        <w:t xml:space="preserve">an extra 90 days to </w:t>
      </w:r>
      <w:r w:rsidR="00895FCE">
        <w:t xml:space="preserve">complete testing of equipment </w:t>
      </w:r>
      <w:r w:rsidR="007D73C9">
        <w:t xml:space="preserve">installed in </w:t>
      </w:r>
      <w:r w:rsidR="009D6B90">
        <w:t xml:space="preserve">58 </w:t>
      </w:r>
      <w:r w:rsidR="009B72F8">
        <w:t xml:space="preserve">of its smaller </w:t>
      </w:r>
      <w:r w:rsidRPr="0070552A">
        <w:t xml:space="preserve">systems </w:t>
      </w:r>
      <w:r>
        <w:t xml:space="preserve">is </w:t>
      </w:r>
      <w:r w:rsidRPr="0070552A">
        <w:t>justified under the circumstances.</w:t>
      </w:r>
      <w:r w:rsidR="009B72F8">
        <w:rPr>
          <w:rStyle w:val="FootnoteReference"/>
        </w:rPr>
        <w:footnoteReference w:id="44"/>
      </w:r>
      <w:r w:rsidRPr="0070552A">
        <w:t xml:space="preserve">  </w:t>
      </w:r>
      <w:r w:rsidR="009D6B90">
        <w:t xml:space="preserve">Suddenlink </w:t>
      </w:r>
      <w:r w:rsidRPr="0070552A">
        <w:t>beg</w:t>
      </w:r>
      <w:r w:rsidR="009D6B90">
        <w:t>a</w:t>
      </w:r>
      <w:r w:rsidRPr="0070552A">
        <w:t>n the process of rendering all of its systems CAP-compliant in 2011</w:t>
      </w:r>
      <w:r w:rsidR="005631BE">
        <w:t>,</w:t>
      </w:r>
      <w:r w:rsidR="009D6B90">
        <w:t xml:space="preserve"> </w:t>
      </w:r>
      <w:r w:rsidR="009F7136">
        <w:t xml:space="preserve">starting with its largest systems, </w:t>
      </w:r>
      <w:r w:rsidR="006B59F4">
        <w:t xml:space="preserve">and by the deadline had completed the CAP transition in </w:t>
      </w:r>
      <w:r w:rsidR="0053637A">
        <w:t xml:space="preserve">systems serving </w:t>
      </w:r>
      <w:r w:rsidR="006B59F4">
        <w:t>98 percent of its s</w:t>
      </w:r>
      <w:r w:rsidR="0053637A">
        <w:t>ubscribers.</w:t>
      </w:r>
      <w:r w:rsidR="006B59F4">
        <w:rPr>
          <w:rStyle w:val="FootnoteReference"/>
        </w:rPr>
        <w:footnoteReference w:id="45"/>
      </w:r>
      <w:r w:rsidR="006B59F4">
        <w:t xml:space="preserve">  </w:t>
      </w:r>
      <w:r w:rsidR="005050E8">
        <w:t>Suddenlink</w:t>
      </w:r>
      <w:r w:rsidR="009F7136">
        <w:t xml:space="preserve"> stated, with respect to the </w:t>
      </w:r>
      <w:r w:rsidR="006B59F4">
        <w:t>58 systems</w:t>
      </w:r>
      <w:r w:rsidR="005050E8">
        <w:t xml:space="preserve"> </w:t>
      </w:r>
      <w:r w:rsidR="009F7136">
        <w:t xml:space="preserve">requiring the 90-day waiver, that the CAP equipment for each of these systems had been received prior to the deadline, </w:t>
      </w:r>
      <w:r w:rsidR="002049B8">
        <w:t xml:space="preserve">but that it required a short-term waiver to ensure that the new </w:t>
      </w:r>
      <w:r w:rsidR="005631BE">
        <w:t xml:space="preserve">CAP </w:t>
      </w:r>
      <w:r w:rsidR="005050E8">
        <w:t xml:space="preserve">equipment </w:t>
      </w:r>
      <w:r w:rsidR="002049B8">
        <w:t>was properly installed and tested.</w:t>
      </w:r>
      <w:r w:rsidR="00D70E31">
        <w:rPr>
          <w:rStyle w:val="FootnoteReference"/>
        </w:rPr>
        <w:footnoteReference w:id="46"/>
      </w:r>
      <w:r w:rsidR="002049B8">
        <w:t xml:space="preserve">  </w:t>
      </w:r>
      <w:r w:rsidR="00D70E31">
        <w:t xml:space="preserve">In particular, </w:t>
      </w:r>
      <w:r w:rsidR="005050E8">
        <w:t xml:space="preserve">based on its prior experience installing CAP equipment, </w:t>
      </w:r>
      <w:r w:rsidR="00C01881">
        <w:t xml:space="preserve">Suddenlink </w:t>
      </w:r>
      <w:r w:rsidR="005050E8">
        <w:t xml:space="preserve">concluded that it needed to perform </w:t>
      </w:r>
      <w:r w:rsidR="005631BE">
        <w:t xml:space="preserve">system </w:t>
      </w:r>
      <w:r w:rsidR="005050E8">
        <w:t xml:space="preserve">testing of the equipment installed in </w:t>
      </w:r>
      <w:r w:rsidR="005631BE">
        <w:t>each of these sites</w:t>
      </w:r>
      <w:r w:rsidR="005050E8">
        <w:t xml:space="preserve"> </w:t>
      </w:r>
      <w:r w:rsidR="00E35C72">
        <w:t xml:space="preserve">to ensure that </w:t>
      </w:r>
      <w:r w:rsidR="005631BE">
        <w:t xml:space="preserve">the equipment </w:t>
      </w:r>
      <w:r w:rsidR="00E35C72">
        <w:t>would function correctly within the Suddenlink network.</w:t>
      </w:r>
      <w:r w:rsidR="005050E8">
        <w:rPr>
          <w:rStyle w:val="FootnoteReference"/>
        </w:rPr>
        <w:footnoteReference w:id="47"/>
      </w:r>
      <w:r w:rsidR="005050E8">
        <w:t xml:space="preserve">  </w:t>
      </w:r>
      <w:r w:rsidR="00D70E31">
        <w:t xml:space="preserve">Suddenlink further explained, </w:t>
      </w:r>
      <w:r w:rsidR="0053637A">
        <w:t>“</w:t>
      </w:r>
      <w:r w:rsidR="00D70E31" w:rsidRPr="0053637A">
        <w:t>Given the importance of an effective emergency warning system, it would be inconsistent with the public interest to deploy new CAP equipment before Suddenlink’s engineers have been able to verify that the equipment at these remaining sites is</w:t>
      </w:r>
      <w:r w:rsidR="00B916F6" w:rsidRPr="0053637A">
        <w:t xml:space="preserve"> </w:t>
      </w:r>
      <w:r w:rsidR="00D70E31" w:rsidRPr="0053637A">
        <w:t>correctly installed, or before they have had an opportunity to thoroughly test its operational readiness.”</w:t>
      </w:r>
      <w:r w:rsidR="00D70E31" w:rsidRPr="000134F9">
        <w:rPr>
          <w:rStyle w:val="FootnoteReference"/>
          <w:kern w:val="0"/>
          <w:szCs w:val="22"/>
        </w:rPr>
        <w:footnoteReference w:id="48"/>
      </w:r>
      <w:r w:rsidR="00D70E31" w:rsidRPr="000134F9">
        <w:rPr>
          <w:kern w:val="0"/>
          <w:szCs w:val="22"/>
        </w:rPr>
        <w:t xml:space="preserve"> </w:t>
      </w:r>
      <w:r w:rsidR="00D70E31" w:rsidRPr="00D70E31">
        <w:rPr>
          <w:color w:val="373737"/>
          <w:kern w:val="0"/>
          <w:sz w:val="21"/>
          <w:szCs w:val="21"/>
        </w:rPr>
        <w:t xml:space="preserve"> </w:t>
      </w:r>
      <w:r w:rsidR="00D70E31">
        <w:t xml:space="preserve">  </w:t>
      </w:r>
    </w:p>
    <w:p w14:paraId="2BA60CAC" w14:textId="77777777" w:rsidR="00B916F6" w:rsidRDefault="00B916F6" w:rsidP="00445D99">
      <w:pPr>
        <w:pStyle w:val="ParaNum"/>
        <w:widowControl/>
        <w:numPr>
          <w:ilvl w:val="0"/>
          <w:numId w:val="0"/>
        </w:numPr>
        <w:ind w:left="720"/>
      </w:pPr>
    </w:p>
    <w:p w14:paraId="1C40FEB9" w14:textId="24FBA32A" w:rsidR="00600422" w:rsidRPr="00A14E73" w:rsidRDefault="00913A5A" w:rsidP="00445D99">
      <w:pPr>
        <w:pStyle w:val="ParaNum"/>
        <w:widowControl/>
        <w:tabs>
          <w:tab w:val="clear" w:pos="900"/>
          <w:tab w:val="num" w:pos="720"/>
        </w:tabs>
        <w:ind w:left="0" w:firstLine="720"/>
      </w:pPr>
      <w:r>
        <w:t xml:space="preserve">We believe that Suddenlink’s request </w:t>
      </w:r>
      <w:r w:rsidR="005050E8">
        <w:t>is justified under the circumstances</w:t>
      </w:r>
      <w:r w:rsidR="00700EDC">
        <w:t>, and is a justified exception to the general rule that v</w:t>
      </w:r>
      <w:r w:rsidR="00700EDC" w:rsidRPr="00700EDC">
        <w:t>endor delay alone does not ordinarily constitute the “special circumstances” that would justify a waiver</w:t>
      </w:r>
      <w:r w:rsidR="00700EDC">
        <w:t>, based on the specific facts of Suddenlink’s petition.</w:t>
      </w:r>
      <w:r w:rsidR="00700EDC" w:rsidRPr="00700EDC">
        <w:rPr>
          <w:vertAlign w:val="superscript"/>
        </w:rPr>
        <w:footnoteReference w:id="49"/>
      </w:r>
      <w:r w:rsidR="00700EDC">
        <w:t xml:space="preserve">  </w:t>
      </w:r>
      <w:r w:rsidR="00E35C72">
        <w:t>First, Suddenlink’s performance throughout the CAP installation process, particularly</w:t>
      </w:r>
      <w:r w:rsidR="00927B43">
        <w:t xml:space="preserve"> its effecting compliance </w:t>
      </w:r>
      <w:r w:rsidR="00A14E73">
        <w:t xml:space="preserve">for systems serving the </w:t>
      </w:r>
      <w:r w:rsidR="00E35C72">
        <w:t xml:space="preserve">vast majority of its </w:t>
      </w:r>
      <w:r w:rsidR="00A14E73">
        <w:t xml:space="preserve">customers </w:t>
      </w:r>
      <w:r w:rsidR="00E35C72">
        <w:t xml:space="preserve">prior to the deadline, evidences Suddenlink’s commitment to </w:t>
      </w:r>
      <w:r w:rsidR="00A913DB">
        <w:t xml:space="preserve">our rules </w:t>
      </w:r>
      <w:r w:rsidR="00E35C72">
        <w:t xml:space="preserve">and gives credibility to its request.  Further, </w:t>
      </w:r>
      <w:r w:rsidR="00A4283C">
        <w:t xml:space="preserve">we believe that </w:t>
      </w:r>
      <w:r w:rsidR="00E35C72">
        <w:t xml:space="preserve">the requested 90 days </w:t>
      </w:r>
      <w:r w:rsidR="00A4283C">
        <w:t>is an appropriate</w:t>
      </w:r>
      <w:r w:rsidR="00600422" w:rsidRPr="0070552A">
        <w:t xml:space="preserve"> </w:t>
      </w:r>
      <w:r>
        <w:t xml:space="preserve">period </w:t>
      </w:r>
      <w:r w:rsidR="00600422" w:rsidRPr="0070552A">
        <w:t>of time</w:t>
      </w:r>
      <w:r>
        <w:t>, particularly</w:t>
      </w:r>
      <w:r w:rsidR="00600422" w:rsidRPr="0070552A">
        <w:t xml:space="preserve"> in light of the number and scale of system retrofits involved</w:t>
      </w:r>
      <w:r>
        <w:t>.  F</w:t>
      </w:r>
      <w:r w:rsidR="00927B43">
        <w:t xml:space="preserve">inally, we note that </w:t>
      </w:r>
      <w:r w:rsidR="00A913DB">
        <w:t xml:space="preserve">had Suddenlink merely installed the equipment to meet the deadline, </w:t>
      </w:r>
      <w:r w:rsidR="00B916F6">
        <w:t xml:space="preserve">without taking the additional time to perform system testing, </w:t>
      </w:r>
      <w:r w:rsidR="00A913DB">
        <w:t xml:space="preserve">and then suffered equipment malfunction, Suddenlink would have been </w:t>
      </w:r>
      <w:r w:rsidR="00E56BB9">
        <w:t>entitled</w:t>
      </w:r>
      <w:r w:rsidR="00A913DB">
        <w:t xml:space="preserve"> under </w:t>
      </w:r>
      <w:r w:rsidR="00876B5F">
        <w:t>S</w:t>
      </w:r>
      <w:r w:rsidR="00A913DB">
        <w:t>ection 11.</w:t>
      </w:r>
      <w:r w:rsidR="00E56BB9">
        <w:t>35 of the Commission’s EAS rules to a 60</w:t>
      </w:r>
      <w:r w:rsidR="001115FB">
        <w:t>-</w:t>
      </w:r>
      <w:r w:rsidR="00E56BB9">
        <w:t xml:space="preserve">day repair period without notice to the Commission, </w:t>
      </w:r>
      <w:r w:rsidR="00E30218">
        <w:t xml:space="preserve">followed by a written </w:t>
      </w:r>
      <w:r w:rsidR="00E56BB9">
        <w:t>request process to the Commission local fi</w:t>
      </w:r>
      <w:r w:rsidR="00E30218">
        <w:t>e</w:t>
      </w:r>
      <w:r w:rsidR="00E56BB9">
        <w:t>ld office.</w:t>
      </w:r>
      <w:r w:rsidR="00E56BB9">
        <w:rPr>
          <w:rStyle w:val="FootnoteReference"/>
        </w:rPr>
        <w:footnoteReference w:id="50"/>
      </w:r>
      <w:r w:rsidR="00E56BB9">
        <w:t xml:space="preserve">  We believe that </w:t>
      </w:r>
      <w:r w:rsidR="00927B43">
        <w:t xml:space="preserve">Suddenlink’s </w:t>
      </w:r>
      <w:r w:rsidR="00A913DB">
        <w:t xml:space="preserve">waiver </w:t>
      </w:r>
      <w:r w:rsidR="00E30218">
        <w:t xml:space="preserve">request was a more forthcoming approach, consistent with Suddenlink’s overall approach to CAP compliance, and that </w:t>
      </w:r>
      <w:r w:rsidR="00B916F6">
        <w:t>granting its request is in the public interest</w:t>
      </w:r>
      <w:r w:rsidR="00600422" w:rsidRPr="0070552A">
        <w:t xml:space="preserve">.  We also observe that Suddenlink </w:t>
      </w:r>
      <w:r w:rsidR="00600422" w:rsidRPr="00D70E31">
        <w:rPr>
          <w:szCs w:val="22"/>
        </w:rPr>
        <w:t>continued to operate legacy EAS equipment at all times, thus ensuring that the public was never deprived of EAS alerts.</w:t>
      </w:r>
      <w:r w:rsidR="00600422">
        <w:rPr>
          <w:rStyle w:val="FootnoteReference"/>
          <w:szCs w:val="22"/>
        </w:rPr>
        <w:footnoteReference w:id="51"/>
      </w:r>
      <w:r w:rsidR="00600422" w:rsidRPr="00D70E31">
        <w:rPr>
          <w:szCs w:val="22"/>
        </w:rPr>
        <w:t xml:space="preserve">  </w:t>
      </w:r>
    </w:p>
    <w:p w14:paraId="195C0BE3" w14:textId="77777777" w:rsidR="00A14E73" w:rsidRPr="00F74043" w:rsidRDefault="00A14E73" w:rsidP="00445D99">
      <w:pPr>
        <w:pStyle w:val="ParaNum"/>
        <w:widowControl/>
        <w:numPr>
          <w:ilvl w:val="0"/>
          <w:numId w:val="0"/>
        </w:numPr>
        <w:ind w:left="720"/>
      </w:pPr>
    </w:p>
    <w:p w14:paraId="28DE2D8B" w14:textId="64AF3B34" w:rsidR="00600422" w:rsidRPr="004C51DE" w:rsidRDefault="00600422" w:rsidP="00445D99">
      <w:pPr>
        <w:pStyle w:val="ParaNum"/>
        <w:widowControl/>
        <w:tabs>
          <w:tab w:val="clear" w:pos="900"/>
          <w:tab w:val="num" w:pos="720"/>
        </w:tabs>
        <w:ind w:left="0" w:firstLine="720"/>
      </w:pPr>
      <w:r>
        <w:rPr>
          <w:szCs w:val="22"/>
        </w:rPr>
        <w:t xml:space="preserve">Accordingly, we grant, </w:t>
      </w:r>
      <w:r w:rsidRPr="00386293">
        <w:rPr>
          <w:i/>
          <w:szCs w:val="22"/>
        </w:rPr>
        <w:t>nunc pro tunc</w:t>
      </w:r>
      <w:r>
        <w:rPr>
          <w:szCs w:val="22"/>
        </w:rPr>
        <w:t xml:space="preserve">, the temporary waiver of the CAP obligations set forth in </w:t>
      </w:r>
      <w:r w:rsidR="00876B5F">
        <w:rPr>
          <w:szCs w:val="22"/>
        </w:rPr>
        <w:t>S</w:t>
      </w:r>
      <w:r>
        <w:rPr>
          <w:szCs w:val="22"/>
        </w:rPr>
        <w:t xml:space="preserve">ection 11.56 </w:t>
      </w:r>
      <w:r w:rsidRPr="00A9716F">
        <w:rPr>
          <w:szCs w:val="22"/>
        </w:rPr>
        <w:t>of the Commission’s rules</w:t>
      </w:r>
      <w:r>
        <w:rPr>
          <w:szCs w:val="22"/>
        </w:rPr>
        <w:t xml:space="preserve"> requested by </w:t>
      </w:r>
      <w:r>
        <w:t xml:space="preserve">CTC, NATCO, New Wave, Suddenlink, Vyve and Yelcot </w:t>
      </w:r>
      <w:r>
        <w:rPr>
          <w:szCs w:val="22"/>
        </w:rPr>
        <w:t>for the period of June 30, 2012, until the sooner of December 31, 2014, or the date upon which CAP-compliance is achieved or the system is deactivated.</w:t>
      </w:r>
      <w:r>
        <w:rPr>
          <w:rStyle w:val="FootnoteReference"/>
          <w:szCs w:val="22"/>
        </w:rPr>
        <w:footnoteReference w:id="52"/>
      </w:r>
      <w:r>
        <w:rPr>
          <w:szCs w:val="22"/>
        </w:rPr>
        <w:t xml:space="preserve">  We observe that each of the waiver petitions filed by </w:t>
      </w:r>
      <w:r>
        <w:t>CTC, NATCO, New Wave, Suddenlink, Vyve and Yelcot indicate that the systems were or should be deactivated or rendered CAP-compliant within this time period.</w:t>
      </w:r>
      <w:r>
        <w:rPr>
          <w:rStyle w:val="FootnoteReference"/>
        </w:rPr>
        <w:footnoteReference w:id="53"/>
      </w:r>
      <w:r>
        <w:t xml:space="preserve"> </w:t>
      </w:r>
    </w:p>
    <w:p w14:paraId="6E8607B5" w14:textId="77777777" w:rsidR="00600422" w:rsidRDefault="00600422" w:rsidP="00445D99">
      <w:pPr>
        <w:pStyle w:val="ParaNum"/>
        <w:widowControl/>
        <w:numPr>
          <w:ilvl w:val="0"/>
          <w:numId w:val="0"/>
        </w:numPr>
        <w:ind w:left="720"/>
      </w:pPr>
    </w:p>
    <w:p w14:paraId="26E29F45" w14:textId="77777777" w:rsidR="00600422" w:rsidRDefault="00600422" w:rsidP="00445D99">
      <w:pPr>
        <w:pStyle w:val="ParaNum"/>
        <w:widowControl/>
        <w:tabs>
          <w:tab w:val="clear" w:pos="900"/>
          <w:tab w:val="num" w:pos="720"/>
        </w:tabs>
        <w:ind w:left="0" w:firstLine="720"/>
      </w:pPr>
      <w:r w:rsidRPr="008C0DBE">
        <w:t xml:space="preserve">Finally, we dismiss as moot the waiver </w:t>
      </w:r>
      <w:r>
        <w:t xml:space="preserve">requests </w:t>
      </w:r>
      <w:r w:rsidRPr="008C0DBE">
        <w:t xml:space="preserve">filed by </w:t>
      </w:r>
      <w:r w:rsidRPr="008C0DBE">
        <w:rPr>
          <w:szCs w:val="22"/>
        </w:rPr>
        <w:t>Allegiance</w:t>
      </w:r>
      <w:r>
        <w:t xml:space="preserve"> and James Cable</w:t>
      </w:r>
      <w:r w:rsidRPr="008C0DBE">
        <w:t>.  As noted herein, the small cable systems covered by the</w:t>
      </w:r>
      <w:r>
        <w:t xml:space="preserve"> Allegiance Petition and James Cable Petition were acquired by Vyve, which has filed its own waiver requests covering these systems</w:t>
      </w:r>
      <w:r w:rsidRPr="008C0DBE">
        <w:t>.</w:t>
      </w:r>
      <w:r>
        <w:rPr>
          <w:rStyle w:val="FootnoteReference"/>
        </w:rPr>
        <w:footnoteReference w:id="54"/>
      </w:r>
      <w:r w:rsidRPr="008C0DBE">
        <w:t xml:space="preserve">  </w:t>
      </w:r>
    </w:p>
    <w:p w14:paraId="5F04DEED" w14:textId="77777777" w:rsidR="00600422" w:rsidRDefault="00600422" w:rsidP="00445D99">
      <w:pPr>
        <w:pStyle w:val="ListParagraph"/>
        <w:widowControl/>
        <w:rPr>
          <w:szCs w:val="22"/>
        </w:rPr>
      </w:pPr>
    </w:p>
    <w:p w14:paraId="58E9012A" w14:textId="77777777" w:rsidR="00600422" w:rsidRPr="00322D58" w:rsidRDefault="00600422" w:rsidP="00445D99">
      <w:pPr>
        <w:pStyle w:val="ParaNum"/>
        <w:widowControl/>
        <w:numPr>
          <w:ilvl w:val="0"/>
          <w:numId w:val="0"/>
        </w:numPr>
        <w:rPr>
          <w:b/>
          <w:szCs w:val="22"/>
        </w:rPr>
      </w:pPr>
      <w:r w:rsidRPr="00322D58">
        <w:rPr>
          <w:b/>
          <w:szCs w:val="22"/>
        </w:rPr>
        <w:t>IV.</w:t>
      </w:r>
      <w:r w:rsidRPr="00322D58">
        <w:rPr>
          <w:b/>
          <w:szCs w:val="22"/>
        </w:rPr>
        <w:tab/>
        <w:t>Ordering Clauses</w:t>
      </w:r>
    </w:p>
    <w:p w14:paraId="7DDE84A4" w14:textId="77777777" w:rsidR="00600422" w:rsidRPr="00064ACA" w:rsidRDefault="00600422" w:rsidP="00445D99">
      <w:pPr>
        <w:pStyle w:val="ParaNum"/>
        <w:widowControl/>
        <w:numPr>
          <w:ilvl w:val="0"/>
          <w:numId w:val="0"/>
        </w:numPr>
        <w:rPr>
          <w:szCs w:val="22"/>
        </w:rPr>
      </w:pPr>
    </w:p>
    <w:p w14:paraId="5C93865B" w14:textId="772CC856" w:rsidR="00600422" w:rsidRPr="00B971AC" w:rsidRDefault="00600422" w:rsidP="00445D99">
      <w:pPr>
        <w:pStyle w:val="ParaNum"/>
        <w:widowControl/>
        <w:tabs>
          <w:tab w:val="clear" w:pos="900"/>
          <w:tab w:val="num" w:pos="720"/>
        </w:tabs>
        <w:ind w:left="0" w:firstLine="720"/>
        <w:rPr>
          <w:szCs w:val="22"/>
        </w:rPr>
      </w:pPr>
      <w:r w:rsidRPr="00E00EC7">
        <w:rPr>
          <w:kern w:val="0"/>
          <w:szCs w:val="22"/>
        </w:rPr>
        <w:t>Accordingly, IT IS ORDERED that</w:t>
      </w:r>
      <w:r>
        <w:rPr>
          <w:kern w:val="0"/>
          <w:szCs w:val="22"/>
        </w:rPr>
        <w:t>,</w:t>
      </w:r>
      <w:r w:rsidRPr="00E00EC7">
        <w:rPr>
          <w:kern w:val="0"/>
          <w:szCs w:val="22"/>
        </w:rPr>
        <w:t xml:space="preserve"> pursuant to Section 1.3 of the Commission's Rules, 47 C.F.R. § 1.3,</w:t>
      </w:r>
      <w:r w:rsidRPr="00B971AC">
        <w:rPr>
          <w:kern w:val="0"/>
          <w:szCs w:val="22"/>
        </w:rPr>
        <w:t xml:space="preserve"> and Section 4(i) of the Communications Act of 1934, as amended, </w:t>
      </w:r>
      <w:hyperlink r:id="rId8" w:history="1">
        <w:r w:rsidRPr="00B971AC">
          <w:rPr>
            <w:kern w:val="0"/>
            <w:szCs w:val="22"/>
          </w:rPr>
          <w:t>47 U.S.C. § 154(i)</w:t>
        </w:r>
      </w:hyperlink>
      <w:r w:rsidRPr="00B971AC">
        <w:rPr>
          <w:kern w:val="0"/>
          <w:szCs w:val="22"/>
        </w:rPr>
        <w:t>, t</w:t>
      </w:r>
      <w:r w:rsidRPr="00B971AC">
        <w:rPr>
          <w:szCs w:val="22"/>
        </w:rPr>
        <w:t>he</w:t>
      </w:r>
      <w:r>
        <w:rPr>
          <w:szCs w:val="22"/>
        </w:rPr>
        <w:t xml:space="preserve"> “</w:t>
      </w:r>
      <w:r w:rsidRPr="00B971AC">
        <w:rPr>
          <w:szCs w:val="22"/>
        </w:rPr>
        <w:t xml:space="preserve">Requests for Waiver” filed formally and informally, and variously renewed, by </w:t>
      </w:r>
      <w:r>
        <w:t>Broadband Cablevision, Inc., Clark Cablevision, Inc., and Etan Industries, Inc. (filing jointly as CMA Communications); Cequel Communications, LLC</w:t>
      </w:r>
      <w:r w:rsidRPr="00925E8C">
        <w:t>,</w:t>
      </w:r>
      <w:r>
        <w:t xml:space="preserve"> d/b/a Suddenlink Communications; </w:t>
      </w:r>
      <w:r w:rsidRPr="00925E8C">
        <w:t>Citizens Telephone Company</w:t>
      </w:r>
      <w:r>
        <w:t xml:space="preserve">; </w:t>
      </w:r>
      <w:r w:rsidRPr="00925E8C">
        <w:t>Daystar Radio, Ltd.</w:t>
      </w:r>
      <w:r>
        <w:t xml:space="preserve">; </w:t>
      </w:r>
      <w:r w:rsidRPr="00925E8C">
        <w:t>JB Cable TV Company</w:t>
      </w:r>
      <w:r>
        <w:t xml:space="preserve">; </w:t>
      </w:r>
      <w:r w:rsidRPr="00925E8C">
        <w:t>Maddock Cable TV</w:t>
      </w:r>
      <w:r>
        <w:t xml:space="preserve">; </w:t>
      </w:r>
      <w:r w:rsidRPr="00925E8C">
        <w:t>NATCO Video, LLC</w:t>
      </w:r>
      <w:r>
        <w:t xml:space="preserve">; </w:t>
      </w:r>
      <w:r w:rsidRPr="00925E8C">
        <w:t>Telecommunications Management, LLC d/b/a New Wave Communications</w:t>
      </w:r>
      <w:r>
        <w:t xml:space="preserve">; </w:t>
      </w:r>
      <w:r w:rsidRPr="00925E8C">
        <w:t>Vyve Broadband A, LLC</w:t>
      </w:r>
      <w:r>
        <w:t xml:space="preserve">; and </w:t>
      </w:r>
      <w:r w:rsidRPr="00925E8C">
        <w:t xml:space="preserve">Yelcot </w:t>
      </w:r>
      <w:r>
        <w:t>Video Group, Inc.;</w:t>
      </w:r>
      <w:r w:rsidRPr="00B971AC">
        <w:t xml:space="preserve"> </w:t>
      </w:r>
      <w:r w:rsidRPr="00B971AC">
        <w:rPr>
          <w:szCs w:val="22"/>
        </w:rPr>
        <w:t>ARE GRANTED, as specified herein.</w:t>
      </w:r>
    </w:p>
    <w:p w14:paraId="229637CA" w14:textId="77777777" w:rsidR="00600422" w:rsidRPr="00B971AC" w:rsidRDefault="00600422" w:rsidP="00445D99">
      <w:pPr>
        <w:pStyle w:val="ParaNum"/>
        <w:widowControl/>
        <w:numPr>
          <w:ilvl w:val="0"/>
          <w:numId w:val="0"/>
        </w:numPr>
        <w:ind w:left="720"/>
        <w:rPr>
          <w:szCs w:val="22"/>
        </w:rPr>
      </w:pPr>
    </w:p>
    <w:p w14:paraId="77E6F4FB" w14:textId="5F0D800B" w:rsidR="00600422" w:rsidRPr="00B971AC" w:rsidRDefault="00600422" w:rsidP="00445D99">
      <w:pPr>
        <w:pStyle w:val="ParaNum"/>
        <w:widowControl/>
        <w:tabs>
          <w:tab w:val="clear" w:pos="900"/>
          <w:tab w:val="num" w:pos="720"/>
        </w:tabs>
        <w:ind w:left="0" w:firstLine="720"/>
        <w:rPr>
          <w:szCs w:val="22"/>
        </w:rPr>
      </w:pPr>
      <w:r w:rsidRPr="00B971AC">
        <w:rPr>
          <w:szCs w:val="22"/>
        </w:rPr>
        <w:t xml:space="preserve">IT IS </w:t>
      </w:r>
      <w:r>
        <w:rPr>
          <w:szCs w:val="22"/>
        </w:rPr>
        <w:t xml:space="preserve">FURTHER </w:t>
      </w:r>
      <w:r w:rsidRPr="00B971AC">
        <w:rPr>
          <w:szCs w:val="22"/>
        </w:rPr>
        <w:t xml:space="preserve">ORDERED </w:t>
      </w:r>
      <w:r w:rsidRPr="00B971AC">
        <w:rPr>
          <w:kern w:val="0"/>
          <w:szCs w:val="22"/>
        </w:rPr>
        <w:t xml:space="preserve">that pursuant to Section 1.3 of the Commission's Rules, 47 C.F.R. § 1.3, and Section 4(i) of the Communications Act of 1934, as amended, </w:t>
      </w:r>
      <w:hyperlink r:id="rId9" w:history="1">
        <w:r w:rsidRPr="00B971AC">
          <w:rPr>
            <w:kern w:val="0"/>
            <w:szCs w:val="22"/>
          </w:rPr>
          <w:t>47 U.S.C. § 154(i)</w:t>
        </w:r>
      </w:hyperlink>
      <w:r w:rsidRPr="00B971AC">
        <w:rPr>
          <w:kern w:val="0"/>
          <w:szCs w:val="22"/>
        </w:rPr>
        <w:t>, t</w:t>
      </w:r>
      <w:r w:rsidRPr="00B971AC">
        <w:rPr>
          <w:szCs w:val="22"/>
        </w:rPr>
        <w:t xml:space="preserve">he “Requests for Waiver,” filed formally and informally, and variously renewed by </w:t>
      </w:r>
      <w:r w:rsidRPr="00925E8C">
        <w:rPr>
          <w:szCs w:val="22"/>
        </w:rPr>
        <w:t>Allegiance Communications, LLC</w:t>
      </w:r>
      <w:r>
        <w:rPr>
          <w:szCs w:val="22"/>
        </w:rPr>
        <w:t xml:space="preserve">, and </w:t>
      </w:r>
      <w:r w:rsidRPr="00925E8C">
        <w:t>James Cable, LLC</w:t>
      </w:r>
      <w:r>
        <w:t>, ARE DISMISSED.</w:t>
      </w:r>
    </w:p>
    <w:p w14:paraId="72512EA7" w14:textId="77777777" w:rsidR="00600422" w:rsidRDefault="00600422" w:rsidP="00445D99">
      <w:pPr>
        <w:pStyle w:val="ListParagraph"/>
        <w:widowControl/>
        <w:rPr>
          <w:szCs w:val="22"/>
        </w:rPr>
      </w:pPr>
    </w:p>
    <w:p w14:paraId="762900D3" w14:textId="77777777" w:rsidR="006B5B6E" w:rsidRDefault="006B5B6E">
      <w:pPr>
        <w:widowControl/>
        <w:rPr>
          <w:szCs w:val="22"/>
        </w:rPr>
      </w:pPr>
      <w:r>
        <w:rPr>
          <w:szCs w:val="22"/>
        </w:rPr>
        <w:br w:type="page"/>
      </w:r>
    </w:p>
    <w:p w14:paraId="2F77A50B" w14:textId="348BE6FB" w:rsidR="00600422" w:rsidRPr="00064ACA" w:rsidRDefault="00600422" w:rsidP="00445D99">
      <w:pPr>
        <w:pStyle w:val="ParaNum"/>
        <w:widowControl/>
        <w:tabs>
          <w:tab w:val="clear" w:pos="900"/>
          <w:tab w:val="num" w:pos="720"/>
        </w:tabs>
        <w:ind w:left="0" w:firstLine="720"/>
        <w:rPr>
          <w:kern w:val="0"/>
          <w:szCs w:val="22"/>
        </w:rPr>
      </w:pPr>
      <w:r w:rsidRPr="00064ACA">
        <w:rPr>
          <w:szCs w:val="22"/>
        </w:rPr>
        <w:t>This action is taken under delegated authority pursuant to Sections 0.191 and 0.392 of the Commission’s rules, 47 C.F.R. §§ 0.191, 0.392.</w:t>
      </w:r>
    </w:p>
    <w:p w14:paraId="1C0371E3" w14:textId="77777777" w:rsidR="00600422" w:rsidRPr="00064ACA" w:rsidRDefault="00600422" w:rsidP="00445D99">
      <w:pPr>
        <w:pStyle w:val="ParaNum"/>
        <w:widowControl/>
        <w:numPr>
          <w:ilvl w:val="0"/>
          <w:numId w:val="0"/>
        </w:numPr>
        <w:ind w:left="-540"/>
        <w:rPr>
          <w:szCs w:val="22"/>
        </w:rPr>
      </w:pPr>
    </w:p>
    <w:p w14:paraId="4B34D19A" w14:textId="77777777" w:rsidR="00600422" w:rsidRPr="00064ACA" w:rsidRDefault="00600422" w:rsidP="00445D99">
      <w:pPr>
        <w:widowControl/>
        <w:ind w:left="3600"/>
        <w:rPr>
          <w:szCs w:val="22"/>
        </w:rPr>
      </w:pPr>
      <w:r w:rsidRPr="00064ACA">
        <w:rPr>
          <w:szCs w:val="22"/>
        </w:rPr>
        <w:t>FEDERAL COMMUNICATIONS COMMISSION</w:t>
      </w:r>
    </w:p>
    <w:p w14:paraId="4459ED5E" w14:textId="77777777" w:rsidR="00600422" w:rsidRPr="00064ACA" w:rsidRDefault="00600422" w:rsidP="00445D99">
      <w:pPr>
        <w:widowControl/>
        <w:ind w:left="4320"/>
        <w:rPr>
          <w:szCs w:val="22"/>
        </w:rPr>
      </w:pPr>
    </w:p>
    <w:p w14:paraId="48F4029E" w14:textId="77777777" w:rsidR="00600422" w:rsidRPr="00064ACA" w:rsidRDefault="00600422" w:rsidP="00445D99">
      <w:pPr>
        <w:widowControl/>
        <w:ind w:left="4320"/>
        <w:rPr>
          <w:szCs w:val="22"/>
        </w:rPr>
      </w:pPr>
    </w:p>
    <w:p w14:paraId="54154E93" w14:textId="77777777" w:rsidR="00600422" w:rsidRPr="00064ACA" w:rsidRDefault="00600422" w:rsidP="00445D99">
      <w:pPr>
        <w:widowControl/>
        <w:ind w:left="4320"/>
        <w:rPr>
          <w:szCs w:val="22"/>
        </w:rPr>
      </w:pPr>
    </w:p>
    <w:p w14:paraId="647F59CE" w14:textId="77777777" w:rsidR="00552B6A" w:rsidRDefault="00600422" w:rsidP="00445D99">
      <w:pPr>
        <w:widowControl/>
        <w:tabs>
          <w:tab w:val="left" w:pos="3600"/>
        </w:tabs>
        <w:rPr>
          <w:szCs w:val="22"/>
        </w:rPr>
      </w:pPr>
      <w:r w:rsidRPr="00064ACA">
        <w:rPr>
          <w:szCs w:val="22"/>
        </w:rPr>
        <w:tab/>
      </w:r>
      <w:r>
        <w:rPr>
          <w:szCs w:val="22"/>
        </w:rPr>
        <w:t>David G. Simpson</w:t>
      </w:r>
    </w:p>
    <w:p w14:paraId="50743BD0" w14:textId="4C6EE77C" w:rsidR="00600422" w:rsidRPr="00064ACA" w:rsidRDefault="00552B6A" w:rsidP="00445D99">
      <w:pPr>
        <w:widowControl/>
        <w:tabs>
          <w:tab w:val="left" w:pos="3600"/>
        </w:tabs>
        <w:rPr>
          <w:szCs w:val="22"/>
        </w:rPr>
      </w:pPr>
      <w:r>
        <w:rPr>
          <w:szCs w:val="22"/>
        </w:rPr>
        <w:tab/>
      </w:r>
      <w:r w:rsidRPr="00552B6A">
        <w:rPr>
          <w:szCs w:val="22"/>
        </w:rPr>
        <w:t>Rear Admiral (Ret.), USN</w:t>
      </w:r>
    </w:p>
    <w:p w14:paraId="6CE3DC2D" w14:textId="4D9D65B1" w:rsidR="00600422" w:rsidRPr="00C838CF" w:rsidRDefault="00600422" w:rsidP="00445D99">
      <w:pPr>
        <w:widowControl/>
        <w:tabs>
          <w:tab w:val="left" w:pos="3600"/>
        </w:tabs>
      </w:pPr>
      <w:r w:rsidRPr="00064ACA">
        <w:rPr>
          <w:szCs w:val="22"/>
        </w:rPr>
        <w:tab/>
        <w:t>Chief</w:t>
      </w:r>
      <w:r w:rsidR="00552B6A">
        <w:rPr>
          <w:szCs w:val="22"/>
        </w:rPr>
        <w:t xml:space="preserve">, </w:t>
      </w:r>
      <w:r w:rsidRPr="00064ACA">
        <w:rPr>
          <w:szCs w:val="22"/>
        </w:rPr>
        <w:t>Public Safety and Homeland Security Bureau</w:t>
      </w:r>
    </w:p>
    <w:p w14:paraId="7C82ABD3" w14:textId="77777777" w:rsidR="00600422" w:rsidRPr="00064ACA" w:rsidRDefault="00600422" w:rsidP="00B971AC">
      <w:pPr>
        <w:pStyle w:val="ParaNum"/>
        <w:widowControl/>
        <w:numPr>
          <w:ilvl w:val="0"/>
          <w:numId w:val="0"/>
        </w:numPr>
        <w:ind w:left="720"/>
        <w:rPr>
          <w:szCs w:val="22"/>
        </w:rPr>
      </w:pPr>
    </w:p>
    <w:sectPr w:rsidR="00600422" w:rsidRPr="00064ACA" w:rsidSect="007046A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29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EEDF" w14:textId="77777777" w:rsidR="00202A55" w:rsidRDefault="00202A55">
      <w:r>
        <w:separator/>
      </w:r>
    </w:p>
  </w:endnote>
  <w:endnote w:type="continuationSeparator" w:id="0">
    <w:p w14:paraId="1DEABEFB" w14:textId="77777777" w:rsidR="00202A55" w:rsidRDefault="00202A55">
      <w:r>
        <w:continuationSeparator/>
      </w:r>
    </w:p>
  </w:endnote>
  <w:endnote w:type="continuationNotice" w:id="1">
    <w:p w14:paraId="0197A66F" w14:textId="77777777" w:rsidR="00202A55" w:rsidRDefault="0020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D3B9" w14:textId="77777777" w:rsidR="00542DCF" w:rsidRDefault="00542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FBE3C" w14:textId="628853E7" w:rsidR="00C01881" w:rsidRDefault="00C01881" w:rsidP="00801EFB">
    <w:pPr>
      <w:jc w:val="center"/>
      <w:rPr>
        <w:snapToGrid w:val="0"/>
      </w:rPr>
    </w:pPr>
    <w:r>
      <w:fldChar w:fldCharType="begin"/>
    </w:r>
    <w:r>
      <w:instrText xml:space="preserve"> PAGE   \* MERGEFORMAT </w:instrText>
    </w:r>
    <w:r>
      <w:fldChar w:fldCharType="separate"/>
    </w:r>
    <w:r w:rsidR="008355F6">
      <w:rPr>
        <w:noProof/>
      </w:rPr>
      <w:t>2</w:t>
    </w:r>
    <w:r>
      <w:rPr>
        <w:noProof/>
      </w:rPr>
      <w:fldChar w:fldCharType="end"/>
    </w:r>
  </w:p>
  <w:p w14:paraId="624C8972" w14:textId="1C7F8119" w:rsidR="00C01881" w:rsidRDefault="00C01881" w:rsidP="00DA4431">
    <w:pPr>
      <w:spacing w:after="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4A87" w14:textId="77777777" w:rsidR="00542DCF" w:rsidRDefault="00542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820F4" w14:textId="77777777" w:rsidR="00202A55" w:rsidRDefault="00202A55">
      <w:r>
        <w:separator/>
      </w:r>
    </w:p>
  </w:footnote>
  <w:footnote w:type="continuationSeparator" w:id="0">
    <w:p w14:paraId="3E685C9C" w14:textId="77777777" w:rsidR="00202A55" w:rsidRDefault="00202A55">
      <w:r>
        <w:continuationSeparator/>
      </w:r>
    </w:p>
  </w:footnote>
  <w:footnote w:type="continuationNotice" w:id="1">
    <w:p w14:paraId="0693EED8" w14:textId="77777777" w:rsidR="00202A55" w:rsidRDefault="00202A55"/>
  </w:footnote>
  <w:footnote w:id="2">
    <w:p w14:paraId="3C06A9C6" w14:textId="77777777" w:rsidR="00C01881" w:rsidRDefault="00C01881" w:rsidP="00A62667">
      <w:pPr>
        <w:pStyle w:val="FootnoteText"/>
        <w:spacing w:after="120"/>
      </w:pPr>
      <w:r>
        <w:rPr>
          <w:rStyle w:val="FootnoteReference"/>
        </w:rPr>
        <w:footnoteRef/>
      </w:r>
      <w:r w:rsidRPr="00285EF4">
        <w:t xml:space="preserve"> 47 C.F.R. § 11.56.  </w:t>
      </w:r>
    </w:p>
  </w:footnote>
  <w:footnote w:id="3">
    <w:p w14:paraId="66ABEEF6" w14:textId="5B7FB4AF" w:rsidR="00C01881" w:rsidRDefault="00C01881" w:rsidP="000C4672">
      <w:pPr>
        <w:pStyle w:val="FootnoteText"/>
        <w:spacing w:after="120"/>
      </w:pPr>
      <w:r>
        <w:rPr>
          <w:rStyle w:val="FootnoteReference"/>
        </w:rPr>
        <w:footnoteRef/>
      </w:r>
      <w:r>
        <w:t xml:space="preserve"> </w:t>
      </w:r>
      <w:r w:rsidRPr="005F3015">
        <w:rPr>
          <w:i/>
        </w:rPr>
        <w:t>See</w:t>
      </w:r>
      <w:r w:rsidRPr="00736BDC">
        <w:t xml:space="preserve"> Allegiance Communications, LLC, Request for Waiver, EB Docket No. 04-296 (filed June 28, 2012) (Allegiance Petition).  </w:t>
      </w:r>
      <w:r>
        <w:t xml:space="preserve">Subsequent to its filing, the small cable systems covered by the Allegiance Petition were sold to </w:t>
      </w:r>
      <w:r w:rsidRPr="00736BDC">
        <w:t>Vyve Broadband A, LLC,</w:t>
      </w:r>
      <w:r>
        <w:t xml:space="preserve"> and are now the subject of a waiver petition filed by </w:t>
      </w:r>
      <w:r w:rsidRPr="00736BDC">
        <w:t>Vyve Broadband A, LLC</w:t>
      </w:r>
      <w:r>
        <w:t xml:space="preserve">.  </w:t>
      </w:r>
      <w:r w:rsidRPr="00925E8C">
        <w:rPr>
          <w:i/>
        </w:rPr>
        <w:t>See infra</w:t>
      </w:r>
      <w:r>
        <w:t xml:space="preserve"> n</w:t>
      </w:r>
      <w:r w:rsidR="001C3893">
        <w:t>.</w:t>
      </w:r>
      <w:r>
        <w:t xml:space="preserve">12. </w:t>
      </w:r>
    </w:p>
  </w:footnote>
  <w:footnote w:id="4">
    <w:p w14:paraId="6CFB51FE" w14:textId="5C9C086A" w:rsidR="00C01881" w:rsidRDefault="00C01881" w:rsidP="000C4672">
      <w:pPr>
        <w:pStyle w:val="FootnoteText"/>
        <w:spacing w:after="120"/>
      </w:pPr>
      <w:r>
        <w:rPr>
          <w:rStyle w:val="FootnoteReference"/>
        </w:rPr>
        <w:footnoteRef/>
      </w:r>
      <w:r>
        <w:t xml:space="preserve"> </w:t>
      </w:r>
      <w:r w:rsidRPr="00201FA6">
        <w:rPr>
          <w:i/>
        </w:rPr>
        <w:t>See</w:t>
      </w:r>
      <w:r>
        <w:t xml:space="preserve">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June 27</w:t>
      </w:r>
      <w:r w:rsidRPr="00045683">
        <w:t>, 201</w:t>
      </w:r>
      <w:r>
        <w:t>2</w:t>
      </w:r>
      <w:r w:rsidRPr="00045683">
        <w:t>)</w:t>
      </w:r>
      <w:r>
        <w:t xml:space="preserve"> (CMA Petition); </w:t>
      </w:r>
      <w:r w:rsidR="00F7340E">
        <w:rPr>
          <w:i/>
        </w:rPr>
        <w:t xml:space="preserve">see also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Dec. 31</w:t>
      </w:r>
      <w:r w:rsidRPr="00045683">
        <w:t>, 201</w:t>
      </w:r>
      <w:r>
        <w:t>2</w:t>
      </w:r>
      <w:r w:rsidRPr="00045683">
        <w:t>)</w:t>
      </w:r>
      <w:r>
        <w:t>.</w:t>
      </w:r>
      <w:r w:rsidR="00D465B9">
        <w:t xml:space="preserve">  CMA sold the systems covered by the CMA Petition to New Wave on June 1, 2013, which New Wave incorporated into its own wavier petition.  </w:t>
      </w:r>
      <w:r w:rsidR="00D465B9" w:rsidRPr="00AE7599">
        <w:rPr>
          <w:i/>
        </w:rPr>
        <w:t>See infra</w:t>
      </w:r>
      <w:r w:rsidR="00D465B9">
        <w:t xml:space="preserve"> n</w:t>
      </w:r>
      <w:r w:rsidR="002510EC">
        <w:t>.</w:t>
      </w:r>
      <w:r w:rsidR="00D465B9">
        <w:t xml:space="preserve">11. </w:t>
      </w:r>
    </w:p>
  </w:footnote>
  <w:footnote w:id="5">
    <w:p w14:paraId="00857C6E" w14:textId="4D43776A" w:rsidR="00C01881" w:rsidRDefault="00C01881" w:rsidP="00A62667">
      <w:pPr>
        <w:pStyle w:val="FootnoteText"/>
        <w:spacing w:after="120"/>
      </w:pPr>
      <w:r>
        <w:rPr>
          <w:rStyle w:val="FootnoteReference"/>
        </w:rPr>
        <w:footnoteRef/>
      </w:r>
      <w:r>
        <w:t xml:space="preserve"> </w:t>
      </w:r>
      <w:r w:rsidRPr="007356D9">
        <w:rPr>
          <w:i/>
        </w:rPr>
        <w:t>See</w:t>
      </w:r>
      <w:r>
        <w:t xml:space="preserve"> Cequel Communications, LLC d/b/a Suddenlink Communications, Petition for Temporary Waiver, </w:t>
      </w:r>
      <w:r w:rsidRPr="00285EF4">
        <w:t xml:space="preserve">EB Docket No. 04-296 (filed </w:t>
      </w:r>
      <w:r>
        <w:t xml:space="preserve">June 19, </w:t>
      </w:r>
      <w:r w:rsidRPr="00285EF4">
        <w:t>2012)</w:t>
      </w:r>
      <w:r>
        <w:t xml:space="preserve">, </w:t>
      </w:r>
      <w:r w:rsidRPr="006F46C6">
        <w:rPr>
          <w:i/>
        </w:rPr>
        <w:t>amended by</w:t>
      </w:r>
      <w:r>
        <w:t xml:space="preserve"> Cequel Communications, LLC d/b/a Suddenlink Communications, Minor Amendment to Petition of Cequel Communications, LLC for Temporary Waiver, </w:t>
      </w:r>
      <w:r w:rsidRPr="00285EF4">
        <w:t xml:space="preserve">EB Docket No. 04-296 (filed </w:t>
      </w:r>
      <w:r>
        <w:t xml:space="preserve">June 28, </w:t>
      </w:r>
      <w:r w:rsidRPr="00285EF4">
        <w:t>2012)</w:t>
      </w:r>
      <w:r>
        <w:t xml:space="preserve"> (as amended, “Suddenlink Petition”); </w:t>
      </w:r>
      <w:r w:rsidR="00F7340E">
        <w:rPr>
          <w:i/>
        </w:rPr>
        <w:t xml:space="preserve">see also </w:t>
      </w:r>
      <w:r>
        <w:t xml:space="preserve">Cequel Communications, LLC d/b/a Suddenlink Communications, Petition for Temporary Waiver, </w:t>
      </w:r>
      <w:r w:rsidRPr="00285EF4">
        <w:t xml:space="preserve">EB Docket No. 04-296 (filed </w:t>
      </w:r>
      <w:r>
        <w:t xml:space="preserve">Dec. 27, </w:t>
      </w:r>
      <w:r w:rsidRPr="00285EF4">
        <w:t>2012)</w:t>
      </w:r>
      <w:r>
        <w:t xml:space="preserve"> (renewing waiver request with respect to systems lacking access to broadband Internet service and noting that systems covered by the Suddenlink Petition requiring a 90-day waiver to complete installation and testing were fully compliant) (Suddenlink Dec. 27, 2012, Waiver Petition Renewal); Cequel Communications, LLC d/b/a Suddenlink Communications, Petition for Temporary Waiver, </w:t>
      </w:r>
      <w:r w:rsidRPr="00285EF4">
        <w:t xml:space="preserve">EB Docket No. 04-296 (filed </w:t>
      </w:r>
      <w:r>
        <w:t xml:space="preserve">June 28, </w:t>
      </w:r>
      <w:r w:rsidRPr="00285EF4">
        <w:t>201</w:t>
      </w:r>
      <w:r>
        <w:t>3</w:t>
      </w:r>
      <w:r w:rsidRPr="00285EF4">
        <w:t>)</w:t>
      </w:r>
      <w:r>
        <w:t xml:space="preserve">; Cequel Communications, LLC d/b/a Suddenlink Communications, Petition for Temporary Waiver, </w:t>
      </w:r>
      <w:r w:rsidRPr="00285EF4">
        <w:t xml:space="preserve">EB Docket No. 04-296 (filed </w:t>
      </w:r>
      <w:r>
        <w:t xml:space="preserve">Dec. 30, </w:t>
      </w:r>
      <w:r w:rsidRPr="00285EF4">
        <w:t>201</w:t>
      </w:r>
      <w:r>
        <w:t>3</w:t>
      </w:r>
      <w:r w:rsidRPr="00285EF4">
        <w:t>)</w:t>
      </w:r>
      <w:r>
        <w:t xml:space="preserve">; </w:t>
      </w:r>
      <w:r w:rsidRPr="00045683">
        <w:t xml:space="preserve">Letter </w:t>
      </w:r>
      <w:r>
        <w:t xml:space="preserve">from Jennifer Towland Frewer, Davis Wright Tremaine LLP, to Gregory Cooke, </w:t>
      </w:r>
      <w:r w:rsidRPr="00204B61">
        <w:t>Associate Chief, Policy and Licensing Division</w:t>
      </w:r>
      <w:r>
        <w:t xml:space="preserve">, </w:t>
      </w:r>
      <w:r w:rsidRPr="00204B61">
        <w:t>Public Safety and Homeland Security Bureau</w:t>
      </w:r>
      <w:r>
        <w:t xml:space="preserve">, </w:t>
      </w:r>
      <w:r w:rsidRPr="00045683">
        <w:t xml:space="preserve">FCC, EB Docket </w:t>
      </w:r>
      <w:r w:rsidR="00F7340E">
        <w:t xml:space="preserve">No. </w:t>
      </w:r>
      <w:r w:rsidRPr="00045683">
        <w:t xml:space="preserve">04-296 (filed </w:t>
      </w:r>
      <w:r>
        <w:t>Apr</w:t>
      </w:r>
      <w:r w:rsidR="00F7340E">
        <w:t>.</w:t>
      </w:r>
      <w:r>
        <w:t xml:space="preserve"> 1, 2014) (Suddenlink April 1, 2014, Letter).</w:t>
      </w:r>
    </w:p>
  </w:footnote>
  <w:footnote w:id="6">
    <w:p w14:paraId="1C0344E1" w14:textId="0A25E1E8" w:rsidR="00C01881" w:rsidRDefault="00C01881" w:rsidP="00A62667">
      <w:pPr>
        <w:pStyle w:val="FootnoteText"/>
        <w:spacing w:after="120"/>
      </w:pPr>
      <w:r>
        <w:rPr>
          <w:rStyle w:val="FootnoteReference"/>
        </w:rPr>
        <w:footnoteRef/>
      </w:r>
      <w:r>
        <w:t xml:space="preserve"> </w:t>
      </w:r>
      <w:r w:rsidRPr="007356D9">
        <w:rPr>
          <w:i/>
        </w:rPr>
        <w:t>See</w:t>
      </w:r>
      <w:r>
        <w:t xml:space="preserve"> Citizens Telephone Company, Request for Waiver, </w:t>
      </w:r>
      <w:r w:rsidRPr="00285EF4">
        <w:t xml:space="preserve">EB Docket No. 04-296 (filed </w:t>
      </w:r>
      <w:r>
        <w:t xml:space="preserve">June 28, </w:t>
      </w:r>
      <w:r w:rsidRPr="00285EF4">
        <w:t>2012)</w:t>
      </w:r>
      <w:r>
        <w:t xml:space="preserve"> (CTC Original Petition); </w:t>
      </w:r>
      <w:r w:rsidR="00F7340E">
        <w:rPr>
          <w:i/>
        </w:rPr>
        <w:t xml:space="preserve">see also </w:t>
      </w:r>
      <w:r w:rsidRPr="00045683">
        <w:t xml:space="preserve">Letter </w:t>
      </w:r>
      <w:r>
        <w:t xml:space="preserve">from Clint Ledger </w:t>
      </w:r>
      <w:r w:rsidRPr="00045683">
        <w:t xml:space="preserve">to Marlene H. Dortch, Secretary, FCC, EB Docket </w:t>
      </w:r>
      <w:r w:rsidR="00F7340E">
        <w:t xml:space="preserve">No. </w:t>
      </w:r>
      <w:r w:rsidRPr="00045683">
        <w:t xml:space="preserve">04-296 (filed </w:t>
      </w:r>
      <w:r>
        <w:t>Feb. 7</w:t>
      </w:r>
      <w:r w:rsidRPr="00045683">
        <w:t>, 201</w:t>
      </w:r>
      <w:r>
        <w:t>4</w:t>
      </w:r>
      <w:r w:rsidRPr="00045683">
        <w:t>)</w:t>
      </w:r>
      <w:r>
        <w:t xml:space="preserve"> (CTC Petition Renewal Request). </w:t>
      </w:r>
    </w:p>
  </w:footnote>
  <w:footnote w:id="7">
    <w:p w14:paraId="44763911" w14:textId="722760AB" w:rsidR="00C01881" w:rsidRDefault="00C01881" w:rsidP="005C3FF9">
      <w:pPr>
        <w:pStyle w:val="FootnoteText"/>
        <w:spacing w:after="120"/>
      </w:pPr>
      <w:r>
        <w:rPr>
          <w:rStyle w:val="FootnoteReference"/>
        </w:rPr>
        <w:footnoteRef/>
      </w:r>
      <w:r>
        <w:t xml:space="preserve"> </w:t>
      </w:r>
      <w:r w:rsidRPr="007356D9">
        <w:rPr>
          <w:i/>
        </w:rPr>
        <w:t>See</w:t>
      </w:r>
      <w:r>
        <w:t xml:space="preserve"> </w:t>
      </w:r>
      <w:r w:rsidRPr="00045683">
        <w:t xml:space="preserve">Letter </w:t>
      </w:r>
      <w:r>
        <w:t>from Dave Williams to</w:t>
      </w:r>
      <w:r w:rsidRPr="00045683">
        <w:t xml:space="preserve"> Marlene H. Dortch, Secretary, FCC, EB Docket </w:t>
      </w:r>
      <w:r w:rsidR="00F7340E">
        <w:t xml:space="preserve">No. </w:t>
      </w:r>
      <w:r w:rsidRPr="00045683">
        <w:t>04-296 (</w:t>
      </w:r>
      <w:r>
        <w:t xml:space="preserve">originally </w:t>
      </w:r>
      <w:r w:rsidRPr="00045683">
        <w:t xml:space="preserve">filed </w:t>
      </w:r>
      <w:r>
        <w:t>Aug. 23</w:t>
      </w:r>
      <w:r w:rsidRPr="00045683">
        <w:t>, 201</w:t>
      </w:r>
      <w:r>
        <w:t>2; subsequently filed in EB Docke</w:t>
      </w:r>
      <w:r w:rsidRPr="00045683">
        <w:t xml:space="preserve">t </w:t>
      </w:r>
      <w:r w:rsidR="00F7340E">
        <w:t xml:space="preserve">No. </w:t>
      </w:r>
      <w:r w:rsidRPr="00045683">
        <w:t>04-296</w:t>
      </w:r>
      <w:r>
        <w:t xml:space="preserve"> on Apr</w:t>
      </w:r>
      <w:r w:rsidR="00581E30">
        <w:t>.</w:t>
      </w:r>
      <w:r>
        <w:t xml:space="preserve"> 14, 2014</w:t>
      </w:r>
      <w:r w:rsidRPr="00045683">
        <w:t>)</w:t>
      </w:r>
      <w:r>
        <w:t xml:space="preserve"> (seeking a waiver of the CAP-related requirements in </w:t>
      </w:r>
      <w:r w:rsidRPr="00285EF4">
        <w:t>47 C.F.R. § 11.56</w:t>
      </w:r>
      <w:r>
        <w:t xml:space="preserve"> on the basis of no available broadband service) (KLLV Petition); </w:t>
      </w:r>
      <w:r w:rsidR="00F7340E">
        <w:rPr>
          <w:i/>
        </w:rPr>
        <w:t xml:space="preserve">see also </w:t>
      </w:r>
      <w:r w:rsidRPr="00045683">
        <w:t xml:space="preserve">Letter </w:t>
      </w:r>
      <w:r>
        <w:t>from Dave Williams to</w:t>
      </w:r>
      <w:r w:rsidRPr="00045683">
        <w:t xml:space="preserve"> </w:t>
      </w:r>
      <w:r>
        <w:t xml:space="preserve">Thomas Beers, Chief, Policy and Licensing Division, Public Safety and Homeland Security Bureau, FCC, </w:t>
      </w:r>
      <w:r w:rsidRPr="00045683">
        <w:t xml:space="preserve">EB Docket </w:t>
      </w:r>
      <w:r w:rsidR="00DC46A4">
        <w:t xml:space="preserve">No. </w:t>
      </w:r>
      <w:r w:rsidRPr="00045683">
        <w:t>04-296 (</w:t>
      </w:r>
      <w:r>
        <w:t>originally filed via email to Mr. Beers on Mar</w:t>
      </w:r>
      <w:r w:rsidR="00581E30">
        <w:t>.</w:t>
      </w:r>
      <w:r>
        <w:t xml:space="preserve"> 24, 2012; subsequently filed in EB Docke</w:t>
      </w:r>
      <w:r w:rsidRPr="00045683">
        <w:t xml:space="preserve">t </w:t>
      </w:r>
      <w:r w:rsidR="00F7340E">
        <w:t xml:space="preserve">No. </w:t>
      </w:r>
      <w:r w:rsidRPr="00045683">
        <w:t>04-296</w:t>
      </w:r>
      <w:r>
        <w:t xml:space="preserve"> on Apr</w:t>
      </w:r>
      <w:r w:rsidR="00F7340E">
        <w:t>.</w:t>
      </w:r>
      <w:r>
        <w:t xml:space="preserve"> 14, 2014) (renewing waiver request on the basis of no available broadband service).</w:t>
      </w:r>
    </w:p>
  </w:footnote>
  <w:footnote w:id="8">
    <w:p w14:paraId="0678118A" w14:textId="6BB4723C" w:rsidR="00C01881" w:rsidRDefault="00C01881" w:rsidP="00925E8C">
      <w:pPr>
        <w:pStyle w:val="FootnoteText"/>
        <w:spacing w:after="120"/>
      </w:pPr>
      <w:r>
        <w:rPr>
          <w:rStyle w:val="FootnoteReference"/>
        </w:rPr>
        <w:footnoteRef/>
      </w:r>
      <w:r>
        <w:t xml:space="preserve"> </w:t>
      </w:r>
      <w:r w:rsidRPr="005F3015">
        <w:rPr>
          <w:i/>
        </w:rPr>
        <w:t>See</w:t>
      </w:r>
      <w:r w:rsidRPr="00736BDC">
        <w:t xml:space="preserve"> </w:t>
      </w:r>
      <w:r w:rsidRPr="005F3015">
        <w:t xml:space="preserve">Letter from Scott C. Friedman, Cinnamon Mueller, to David S. Turetsky, Chief, Public Safety and Homeland Security Bureau, FCC, EB Docket </w:t>
      </w:r>
      <w:r w:rsidR="00F7340E">
        <w:t xml:space="preserve">No. </w:t>
      </w:r>
      <w:r w:rsidRPr="005F3015">
        <w:t>04-296 (filed June 28, 2012)</w:t>
      </w:r>
      <w:r>
        <w:t xml:space="preserve"> (James Cable Original Petition)</w:t>
      </w:r>
      <w:r w:rsidRPr="005F3015">
        <w:t xml:space="preserve">; </w:t>
      </w:r>
      <w:r w:rsidR="00F7340E">
        <w:rPr>
          <w:i/>
        </w:rPr>
        <w:t xml:space="preserve">see also </w:t>
      </w:r>
      <w:r w:rsidRPr="005F3015">
        <w:t xml:space="preserve">Letter from Scott C. Friedman, Cinnamon Mueller, to David S. Turetsky, Chief, Public Safety and Homeland Security Bureau, FCC, EB Docket </w:t>
      </w:r>
      <w:r w:rsidR="00F7340E">
        <w:t xml:space="preserve">No. </w:t>
      </w:r>
      <w:r w:rsidRPr="005F3015">
        <w:t>04-296 (filed Dec. 28, 2012)</w:t>
      </w:r>
      <w:r>
        <w:t xml:space="preserve"> (renewing original waiver request and stating that two of the five systems encompassed by the original waiver request were sold to Altitude Communications)</w:t>
      </w:r>
      <w:r w:rsidRPr="005F3015">
        <w:t xml:space="preserve">; Letter from Scott C. Friedman, Cinnamon Mueller, to David S. Turetsky, Chief, Public Safety and Homeland Security Bureau, FCC, EB Docket </w:t>
      </w:r>
      <w:r w:rsidR="00F7340E">
        <w:t xml:space="preserve">No. </w:t>
      </w:r>
      <w:r w:rsidRPr="005F3015">
        <w:t xml:space="preserve">04-296 (filed June 30, 2013) </w:t>
      </w:r>
      <w:r>
        <w:t>(collectively, “James Cable Petition”).</w:t>
      </w:r>
      <w:r w:rsidRPr="005F3015">
        <w:t xml:space="preserve"> </w:t>
      </w:r>
      <w:r>
        <w:t xml:space="preserve"> Subsequent to its filing, the three small cable systems covered by the James Cable Petition were sold to </w:t>
      </w:r>
      <w:r w:rsidRPr="00736BDC">
        <w:t>Vyve Broadband A, LLC,</w:t>
      </w:r>
      <w:r>
        <w:t xml:space="preserve"> and are now the subject of a waiver petition filed by </w:t>
      </w:r>
      <w:r w:rsidRPr="00736BDC">
        <w:t>Vyve Broadband A, LLC</w:t>
      </w:r>
      <w:r>
        <w:t xml:space="preserve">.  </w:t>
      </w:r>
      <w:r w:rsidRPr="00925E8C">
        <w:rPr>
          <w:i/>
        </w:rPr>
        <w:t>See infra</w:t>
      </w:r>
      <w:r>
        <w:t xml:space="preserve"> n</w:t>
      </w:r>
      <w:r w:rsidR="001C3893">
        <w:t>.</w:t>
      </w:r>
      <w:r>
        <w:t xml:space="preserve">12. </w:t>
      </w:r>
    </w:p>
  </w:footnote>
  <w:footnote w:id="9">
    <w:p w14:paraId="47459A86" w14:textId="048F5A37" w:rsidR="00C01881" w:rsidRDefault="00C01881" w:rsidP="005C3FF9">
      <w:pPr>
        <w:pStyle w:val="FootnoteText"/>
        <w:spacing w:after="120"/>
      </w:pPr>
      <w:r>
        <w:rPr>
          <w:rStyle w:val="FootnoteReference"/>
        </w:rPr>
        <w:footnoteRef/>
      </w:r>
      <w:r>
        <w:t xml:space="preserve"> </w:t>
      </w:r>
      <w:r w:rsidRPr="007356D9">
        <w:rPr>
          <w:i/>
        </w:rPr>
        <w:t>See</w:t>
      </w:r>
      <w:r>
        <w:t xml:space="preserve"> JB Cable TV Company, Petition for Waiver, </w:t>
      </w:r>
      <w:r w:rsidRPr="00285EF4">
        <w:t xml:space="preserve">EB Docket No. 04-296 (filed </w:t>
      </w:r>
      <w:r>
        <w:t xml:space="preserve">Feb. 22, </w:t>
      </w:r>
      <w:r w:rsidRPr="00285EF4">
        <w:t>201</w:t>
      </w:r>
      <w:r>
        <w:t>3</w:t>
      </w:r>
      <w:r w:rsidRPr="00285EF4">
        <w:t>)</w:t>
      </w:r>
      <w:r>
        <w:t xml:space="preserve"> (JB Cable Petition); </w:t>
      </w:r>
      <w:r w:rsidR="00F7340E">
        <w:rPr>
          <w:i/>
        </w:rPr>
        <w:t xml:space="preserve">see also </w:t>
      </w:r>
      <w:r>
        <w:t xml:space="preserve">JB Cable TV Company, Petition for Waiver, </w:t>
      </w:r>
      <w:r w:rsidRPr="00285EF4">
        <w:t>EB Docket No. 04-296 (</w:t>
      </w:r>
      <w:r w:rsidR="008B5A58" w:rsidRPr="008B5A58">
        <w:t>renew</w:t>
      </w:r>
      <w:r w:rsidR="008B5A58">
        <w:t xml:space="preserve">al of </w:t>
      </w:r>
      <w:r w:rsidR="008B5A58" w:rsidRPr="008B5A58">
        <w:t xml:space="preserve">waiver request </w:t>
      </w:r>
      <w:r w:rsidRPr="00285EF4">
        <w:t xml:space="preserve">filed </w:t>
      </w:r>
      <w:r>
        <w:t xml:space="preserve">Sept. 18, </w:t>
      </w:r>
      <w:r w:rsidRPr="00285EF4">
        <w:t>201</w:t>
      </w:r>
      <w:r>
        <w:t>3</w:t>
      </w:r>
      <w:r w:rsidRPr="00285EF4">
        <w:t>)</w:t>
      </w:r>
      <w:r>
        <w:t xml:space="preserve">; JB Cable TV Company, Petition for Waiver, </w:t>
      </w:r>
      <w:r w:rsidRPr="00285EF4">
        <w:t>EB Docket No. 04-296 (</w:t>
      </w:r>
      <w:r w:rsidR="008B5A58" w:rsidRPr="008B5A58">
        <w:t>renew</w:t>
      </w:r>
      <w:r w:rsidR="008B5A58">
        <w:t xml:space="preserve">al of </w:t>
      </w:r>
      <w:r w:rsidR="008B5A58" w:rsidRPr="008B5A58">
        <w:t xml:space="preserve">waiver request </w:t>
      </w:r>
      <w:r w:rsidRPr="00285EF4">
        <w:t xml:space="preserve">filed </w:t>
      </w:r>
      <w:r>
        <w:t>Mar</w:t>
      </w:r>
      <w:r w:rsidR="00F7340E">
        <w:t>.</w:t>
      </w:r>
      <w:r>
        <w:t xml:space="preserve"> 18, </w:t>
      </w:r>
      <w:r w:rsidRPr="00285EF4">
        <w:t>201</w:t>
      </w:r>
      <w:r>
        <w:t>4</w:t>
      </w:r>
      <w:r w:rsidRPr="00285EF4">
        <w:t>)</w:t>
      </w:r>
      <w:r>
        <w:t xml:space="preserve">.  </w:t>
      </w:r>
    </w:p>
  </w:footnote>
  <w:footnote w:id="10">
    <w:p w14:paraId="5445D3C8" w14:textId="1F9BF8DD" w:rsidR="00C01881" w:rsidRDefault="00C01881" w:rsidP="00A62667">
      <w:pPr>
        <w:pStyle w:val="FootnoteText"/>
        <w:spacing w:after="120"/>
      </w:pPr>
      <w:r>
        <w:rPr>
          <w:rStyle w:val="FootnoteReference"/>
        </w:rPr>
        <w:footnoteRef/>
      </w:r>
      <w:r>
        <w:t xml:space="preserve"> </w:t>
      </w:r>
      <w:r w:rsidRPr="00201FA6">
        <w:rPr>
          <w:i/>
        </w:rPr>
        <w:t>See</w:t>
      </w:r>
      <w:r>
        <w:t xml:space="preserve">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June 28</w:t>
      </w:r>
      <w:r w:rsidRPr="00045683">
        <w:t>, 201</w:t>
      </w:r>
      <w:r>
        <w:t>2</w:t>
      </w:r>
      <w:r w:rsidRPr="00045683">
        <w:t>)</w:t>
      </w:r>
      <w:r>
        <w:t xml:space="preserve"> (Maddock Petition)</w:t>
      </w:r>
      <w:r w:rsidR="008B5A58">
        <w:t xml:space="preserve">; </w:t>
      </w:r>
      <w:r w:rsidR="008B5A58" w:rsidRPr="000134F9">
        <w:rPr>
          <w:i/>
        </w:rPr>
        <w:t>see also</w:t>
      </w:r>
      <w:r w:rsidR="008B5A58">
        <w:t xml:space="preserve"> </w:t>
      </w:r>
      <w:r w:rsidR="008B5A58" w:rsidRPr="00045683">
        <w:t xml:space="preserve">Letter </w:t>
      </w:r>
      <w:r w:rsidR="008B5A58">
        <w:t xml:space="preserve">from Scott C. Friedman, Cinnamon Mueller, </w:t>
      </w:r>
      <w:r w:rsidR="008B5A58" w:rsidRPr="00045683">
        <w:t xml:space="preserve">to </w:t>
      </w:r>
      <w:r w:rsidR="008B5A58">
        <w:t xml:space="preserve">Thomas Beers, Chief, Policy </w:t>
      </w:r>
      <w:r w:rsidR="00F7340E">
        <w:t>a</w:t>
      </w:r>
      <w:r w:rsidR="008B5A58">
        <w:t xml:space="preserve">nd Licensing Division, Public Safety and Homeland Security Bureau, </w:t>
      </w:r>
      <w:r w:rsidR="008B5A58" w:rsidRPr="00045683">
        <w:t xml:space="preserve">FCC, EB Docket </w:t>
      </w:r>
      <w:r w:rsidR="00F7340E">
        <w:t xml:space="preserve">No. </w:t>
      </w:r>
      <w:r w:rsidR="008B5A58" w:rsidRPr="00045683">
        <w:t xml:space="preserve">04-296 (filed </w:t>
      </w:r>
      <w:r w:rsidR="008B5A58">
        <w:t>Mar</w:t>
      </w:r>
      <w:r w:rsidR="00F7340E">
        <w:t>.</w:t>
      </w:r>
      <w:r w:rsidR="008B5A58">
        <w:t xml:space="preserve"> 7 , 2014</w:t>
      </w:r>
      <w:r w:rsidR="008B5A58" w:rsidRPr="00045683">
        <w:t>)</w:t>
      </w:r>
      <w:r w:rsidR="008B5A58">
        <w:t xml:space="preserve"> (Maddock Petition Amendment, in which counsel notes Maddock</w:t>
      </w:r>
      <w:r w:rsidR="00F7340E">
        <w:t>’</w:t>
      </w:r>
      <w:r w:rsidR="008B5A58">
        <w:t>s intent to migrate as of June 1, 2014 its 100 customers to a provider capable of complying with the CAP rules, and to cease operations on that date)</w:t>
      </w:r>
      <w:r>
        <w:t>.</w:t>
      </w:r>
      <w:r w:rsidR="008B5A58">
        <w:t xml:space="preserve">  </w:t>
      </w:r>
      <w:r>
        <w:t xml:space="preserve"> </w:t>
      </w:r>
    </w:p>
  </w:footnote>
  <w:footnote w:id="11">
    <w:p w14:paraId="15DA75FA" w14:textId="3DA7082F" w:rsidR="00C01881" w:rsidRDefault="00C01881" w:rsidP="00B0472C">
      <w:pPr>
        <w:pStyle w:val="FootnoteText"/>
        <w:spacing w:after="120"/>
      </w:pPr>
      <w:r>
        <w:rPr>
          <w:rStyle w:val="FootnoteReference"/>
        </w:rPr>
        <w:footnoteRef/>
      </w:r>
      <w:r>
        <w:t xml:space="preserve"> </w:t>
      </w:r>
      <w:r w:rsidRPr="00A723F9">
        <w:rPr>
          <w:i/>
        </w:rPr>
        <w:t>See</w:t>
      </w:r>
      <w:r>
        <w:t xml:space="preserve"> NATCO Video, LLC, Petition for Extension of Waiver of Common Alerting Protocol Compliance Obligations, </w:t>
      </w:r>
      <w:r w:rsidRPr="00285EF4">
        <w:t xml:space="preserve">EB Docket No. 04-296 (filed </w:t>
      </w:r>
      <w:r>
        <w:t xml:space="preserve">June 11, </w:t>
      </w:r>
      <w:r w:rsidRPr="00285EF4">
        <w:t>201</w:t>
      </w:r>
      <w:r>
        <w:t>3</w:t>
      </w:r>
      <w:r w:rsidRPr="00285EF4">
        <w:t>)</w:t>
      </w:r>
      <w:r>
        <w:t xml:space="preserve"> (NATCO Petition); </w:t>
      </w:r>
      <w:r w:rsidR="00F7340E">
        <w:rPr>
          <w:i/>
        </w:rPr>
        <w:t xml:space="preserve">see also </w:t>
      </w:r>
      <w:r>
        <w:t xml:space="preserve">Letter from Gerard J. Duffy, </w:t>
      </w:r>
      <w:r w:rsidRPr="007D34BF">
        <w:t>Blooston, Mordkofsky, Dickens, Duffy and Prendergast, LLP,</w:t>
      </w:r>
      <w:r>
        <w:t xml:space="preserve"> to Thomas Beers, Chief, Policy and Licensing Division, Public Safety and Homeland Security Bureau, FCC, EB Docket </w:t>
      </w:r>
      <w:r w:rsidR="00F7340E">
        <w:t xml:space="preserve">No. </w:t>
      </w:r>
      <w:r>
        <w:t>04-296 (filed on Apr</w:t>
      </w:r>
      <w:r w:rsidR="00F7340E">
        <w:t>.</w:t>
      </w:r>
      <w:r>
        <w:t xml:space="preserve"> 4, 2014) (NATCO Waiver Renewal).  The small cable system for which NATCO seeks a waiver was acquired from Yelcot Video Group, Inc., by NATCO in 2013, and was one of the systems covered under a similar CAP waiver petition filed by Yelcot Video Group, Inc.  </w:t>
      </w:r>
      <w:r w:rsidRPr="00A723F9">
        <w:rPr>
          <w:i/>
        </w:rPr>
        <w:t>See infra</w:t>
      </w:r>
      <w:r>
        <w:t xml:space="preserve"> n</w:t>
      </w:r>
      <w:r w:rsidR="002510EC">
        <w:t>.</w:t>
      </w:r>
      <w:r>
        <w:t xml:space="preserve">13. </w:t>
      </w:r>
    </w:p>
  </w:footnote>
  <w:footnote w:id="12">
    <w:p w14:paraId="78ECB4E2" w14:textId="5848EADF" w:rsidR="00C01881" w:rsidRDefault="00C01881" w:rsidP="00A723F9">
      <w:pPr>
        <w:pStyle w:val="FootnoteText"/>
        <w:spacing w:after="120"/>
      </w:pPr>
      <w:r>
        <w:rPr>
          <w:rStyle w:val="FootnoteReference"/>
        </w:rPr>
        <w:footnoteRef/>
      </w:r>
      <w:r>
        <w:t xml:space="preserve"> </w:t>
      </w:r>
      <w:r w:rsidRPr="005C3FF9">
        <w:rPr>
          <w:i/>
        </w:rPr>
        <w:t>See</w:t>
      </w:r>
      <w:r>
        <w:t xml:space="preserve"> </w:t>
      </w:r>
      <w:r w:rsidRPr="00045683">
        <w:t xml:space="preserve">Letter </w:t>
      </w:r>
      <w:r>
        <w:t xml:space="preserve">from James N. Moskowitz,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June 29</w:t>
      </w:r>
      <w:r w:rsidRPr="00045683">
        <w:t>, 201</w:t>
      </w:r>
      <w:r>
        <w:t>2</w:t>
      </w:r>
      <w:r w:rsidRPr="00045683">
        <w:t>)</w:t>
      </w:r>
      <w:r>
        <w:t xml:space="preserve"> (seeking a waiver of the CAP-related requirements in </w:t>
      </w:r>
      <w:r w:rsidRPr="00285EF4">
        <w:t>47 C.F.R. § 11.56</w:t>
      </w:r>
      <w:r>
        <w:t xml:space="preserve"> for certain small cable systems operated by New Wave) (New Wave Original Petition); </w:t>
      </w:r>
      <w:r w:rsidR="00F7340E">
        <w:rPr>
          <w:i/>
        </w:rPr>
        <w:t xml:space="preserve">see also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Dec. 30</w:t>
      </w:r>
      <w:r w:rsidRPr="00045683">
        <w:t>, 201</w:t>
      </w:r>
      <w:r>
        <w:t>2</w:t>
      </w:r>
      <w:r w:rsidRPr="00045683">
        <w:t>)</w:t>
      </w:r>
      <w:r>
        <w:t xml:space="preserve"> (renewing the New Wave Original Petition with respect to systems therein lacking access to broadband Internet service);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June 28, 2013</w:t>
      </w:r>
      <w:r w:rsidRPr="00045683">
        <w:t>)</w:t>
      </w:r>
      <w:r>
        <w:t xml:space="preserve"> (renewing the New Wave Original Petition with respect to systems therein lacking access to broadband Internet service</w:t>
      </w:r>
      <w:r w:rsidR="007456DD">
        <w:t xml:space="preserve">, except for three systems it subsequently sold and one system it upgraded, </w:t>
      </w:r>
      <w:r>
        <w:t xml:space="preserve">incorporating systems acquired </w:t>
      </w:r>
      <w:r w:rsidR="00D465B9">
        <w:t xml:space="preserve">on June 1, 2013, </w:t>
      </w:r>
      <w:r>
        <w:t>from Broadband Cablevision, Inc., Clark Cablevision, Inc., and Etan Industries, Inc.</w:t>
      </w:r>
      <w:r w:rsidR="007456DD">
        <w:t>, and confirming that its Steele, MO system was compliant</w:t>
      </w:r>
      <w:r>
        <w:t xml:space="preserve">) (New Wave Consolidated Petition);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F7340E">
        <w:t xml:space="preserve">No. </w:t>
      </w:r>
      <w:r w:rsidRPr="00045683">
        <w:t xml:space="preserve">04-296 (filed </w:t>
      </w:r>
      <w:r>
        <w:t>Dec. 31, 2013</w:t>
      </w:r>
      <w:r w:rsidRPr="00045683">
        <w:t>)</w:t>
      </w:r>
      <w:r>
        <w:t xml:space="preserve"> (renewing</w:t>
      </w:r>
      <w:r w:rsidR="00A723F9">
        <w:t xml:space="preserve"> </w:t>
      </w:r>
      <w:r>
        <w:t xml:space="preserve"> the New Wave Consolidated Petition</w:t>
      </w:r>
      <w:r w:rsidR="00CB2D52">
        <w:t>,</w:t>
      </w:r>
      <w:r w:rsidR="007456DD">
        <w:t xml:space="preserve"> </w:t>
      </w:r>
      <w:r w:rsidR="00CB2D52">
        <w:t xml:space="preserve">except for </w:t>
      </w:r>
      <w:r w:rsidR="007456DD">
        <w:t xml:space="preserve">five systems therein </w:t>
      </w:r>
      <w:r w:rsidR="00CB2D52">
        <w:t xml:space="preserve">that </w:t>
      </w:r>
      <w:r w:rsidR="007456DD">
        <w:t xml:space="preserve">were subsequently shut down, and two </w:t>
      </w:r>
      <w:r w:rsidR="00CB2D52">
        <w:t xml:space="preserve">systems that </w:t>
      </w:r>
      <w:r w:rsidR="007456DD">
        <w:t xml:space="preserve">were </w:t>
      </w:r>
      <w:r w:rsidR="00CB2D52">
        <w:t xml:space="preserve">subsequently </w:t>
      </w:r>
      <w:r w:rsidR="007456DD">
        <w:t>interconnected with a compliant headend</w:t>
      </w:r>
      <w:r>
        <w:t>) (New Wave Dec. 31, 2013 Letter)</w:t>
      </w:r>
      <w:r w:rsidR="00D820EA">
        <w:t xml:space="preserve">; </w:t>
      </w:r>
      <w:r w:rsidR="00D820EA" w:rsidRPr="00045683">
        <w:t xml:space="preserve">Letter </w:t>
      </w:r>
      <w:r w:rsidR="00D820EA">
        <w:t xml:space="preserve">from Scott C. Friedman, Cinnamon Mueller, </w:t>
      </w:r>
      <w:r w:rsidR="00D820EA" w:rsidRPr="00045683">
        <w:t xml:space="preserve">to </w:t>
      </w:r>
      <w:r w:rsidR="00D820EA">
        <w:t xml:space="preserve">David G. Simpson, Chief, Public Safety and Homeland Security Bureau, </w:t>
      </w:r>
      <w:r w:rsidR="00D820EA" w:rsidRPr="00045683">
        <w:t xml:space="preserve">FCC, EB Docket </w:t>
      </w:r>
      <w:r w:rsidR="00F7340E">
        <w:t xml:space="preserve">No. </w:t>
      </w:r>
      <w:r w:rsidR="00D820EA" w:rsidRPr="00045683">
        <w:t xml:space="preserve">04-296 (filed </w:t>
      </w:r>
      <w:r w:rsidR="00D820EA">
        <w:t>June 30, 2014</w:t>
      </w:r>
      <w:r w:rsidR="00D820EA" w:rsidRPr="00045683">
        <w:t>)</w:t>
      </w:r>
      <w:r w:rsidR="00D820EA">
        <w:t xml:space="preserve"> (renewing the New Wave Consolidated Petition and r</w:t>
      </w:r>
      <w:r w:rsidR="00D820EA" w:rsidRPr="00AE7599">
        <w:t>equesting a six-month waiver, based on broadband unavailability, for its Winnsboro, LA system, which it purchased on February 1, 2014</w:t>
      </w:r>
      <w:r w:rsidR="00CB6FC4">
        <w:t>,</w:t>
      </w:r>
      <w:r w:rsidR="00D820EA" w:rsidRPr="00AE7599">
        <w:t xml:space="preserve"> from CableSouth Media III, LLC)</w:t>
      </w:r>
      <w:r w:rsidR="00D820EA" w:rsidRPr="00D820EA">
        <w:t xml:space="preserve"> </w:t>
      </w:r>
      <w:r w:rsidR="00D820EA">
        <w:t xml:space="preserve">(New Wave </w:t>
      </w:r>
      <w:r w:rsidR="00CB6FC4">
        <w:t>June 30, 2014</w:t>
      </w:r>
      <w:r w:rsidR="00D820EA">
        <w:t xml:space="preserve"> Letter)</w:t>
      </w:r>
      <w:r>
        <w:t xml:space="preserve">.  We observe that the Public Safety and Homeland Security Bureau partially denied the New Wave Original Petition with respect to certain systems for which the waiver request was based upon vendor delays, but did not address any of the other systems covered by the New Wave Original Petition.  </w:t>
      </w:r>
      <w:r w:rsidRPr="00245A0F">
        <w:rPr>
          <w:i/>
        </w:rPr>
        <w:t>See</w:t>
      </w:r>
      <w:r>
        <w:t xml:space="preserve"> </w:t>
      </w:r>
      <w:r w:rsidRPr="00201FA6">
        <w:t>Review of the Emergency Alert System; Independent Spanish Broadcasters Association, the Office of Communication of the United Church of Christ, Inc., and the Minority Media and Telecommunications Council, Petition for Immediate Relief; Randy Gehman Petition for Rulemaking, EB Docket</w:t>
      </w:r>
      <w:r w:rsidR="00F7340E">
        <w:t xml:space="preserve"> No.</w:t>
      </w:r>
      <w:r w:rsidRPr="00201FA6">
        <w:t xml:space="preserve"> 04-296, </w:t>
      </w:r>
      <w:r w:rsidRPr="00201FA6">
        <w:rPr>
          <w:i/>
        </w:rPr>
        <w:t>Order</w:t>
      </w:r>
      <w:r w:rsidRPr="00201FA6">
        <w:t xml:space="preserve">, 28 FCC Rcd 10181 (PSHSB 2013).  </w:t>
      </w:r>
      <w:r>
        <w:t xml:space="preserve">We also observe that the systems identified in the New Wave Consolidated Petition acquired from CMA Communications </w:t>
      </w:r>
      <w:r w:rsidR="00D465B9">
        <w:t xml:space="preserve">on June 1, 2013 </w:t>
      </w:r>
      <w:r>
        <w:t xml:space="preserve">were the subject of a CAP waiver petition filed by CMA Communications.  </w:t>
      </w:r>
      <w:r w:rsidRPr="00201FA6">
        <w:rPr>
          <w:i/>
        </w:rPr>
        <w:t>See</w:t>
      </w:r>
      <w:r>
        <w:t xml:space="preserve"> CMA Petition; </w:t>
      </w:r>
      <w:r w:rsidRPr="00E02B88">
        <w:rPr>
          <w:i/>
        </w:rPr>
        <w:t>supra</w:t>
      </w:r>
      <w:r>
        <w:t xml:space="preserve"> n</w:t>
      </w:r>
      <w:r w:rsidR="002510EC">
        <w:t>.</w:t>
      </w:r>
      <w:r>
        <w:t xml:space="preserve">3.  </w:t>
      </w:r>
    </w:p>
  </w:footnote>
  <w:footnote w:id="13">
    <w:p w14:paraId="2BE443BB" w14:textId="4FB35DB6" w:rsidR="00C01881" w:rsidRDefault="00C01881" w:rsidP="005C3FF9">
      <w:pPr>
        <w:spacing w:after="120"/>
      </w:pPr>
      <w:r>
        <w:rPr>
          <w:rStyle w:val="FootnoteReference"/>
        </w:rPr>
        <w:footnoteRef/>
      </w:r>
      <w:r>
        <w:t xml:space="preserve"> </w:t>
      </w:r>
      <w:r w:rsidRPr="00736BDC">
        <w:rPr>
          <w:i/>
          <w:sz w:val="20"/>
        </w:rPr>
        <w:t>See</w:t>
      </w:r>
      <w:r w:rsidRPr="00736BDC">
        <w:rPr>
          <w:sz w:val="20"/>
        </w:rPr>
        <w:t xml:space="preserve"> Letter from Stephen Ross, on behalf of Vyve Broadband A, LLC, to Gregory M. Cooke, Associate Chief, Policy </w:t>
      </w:r>
      <w:r w:rsidR="00F7340E">
        <w:rPr>
          <w:sz w:val="20"/>
        </w:rPr>
        <w:t xml:space="preserve">and Licensing </w:t>
      </w:r>
      <w:r w:rsidRPr="00736BDC">
        <w:rPr>
          <w:sz w:val="20"/>
        </w:rPr>
        <w:t xml:space="preserve">Division, Public Safety and Homeland Security Bureau, FCC, EB Docket </w:t>
      </w:r>
      <w:r w:rsidR="00F7340E">
        <w:rPr>
          <w:sz w:val="20"/>
        </w:rPr>
        <w:t xml:space="preserve">No. </w:t>
      </w:r>
      <w:r w:rsidRPr="00736BDC">
        <w:rPr>
          <w:sz w:val="20"/>
        </w:rPr>
        <w:t>04-296 (</w:t>
      </w:r>
      <w:r>
        <w:rPr>
          <w:sz w:val="20"/>
        </w:rPr>
        <w:t xml:space="preserve">publicly </w:t>
      </w:r>
      <w:r w:rsidRPr="00736BDC">
        <w:rPr>
          <w:sz w:val="20"/>
        </w:rPr>
        <w:t xml:space="preserve">filed </w:t>
      </w:r>
      <w:r>
        <w:rPr>
          <w:sz w:val="20"/>
        </w:rPr>
        <w:t>Apr</w:t>
      </w:r>
      <w:r w:rsidR="00F7340E">
        <w:rPr>
          <w:sz w:val="20"/>
        </w:rPr>
        <w:t>.</w:t>
      </w:r>
      <w:r>
        <w:rPr>
          <w:sz w:val="20"/>
        </w:rPr>
        <w:t xml:space="preserve"> 3, 2014</w:t>
      </w:r>
      <w:r w:rsidRPr="00736BDC">
        <w:rPr>
          <w:sz w:val="20"/>
        </w:rPr>
        <w:t>) (seeking a waiver of the CAP-related requirements in 47 C.F.R. § 11.56 for certain small cable systems formerly owned and operated by Allegiance Communications, LLC) (Vyve Petition 1)</w:t>
      </w:r>
      <w:r>
        <w:rPr>
          <w:sz w:val="20"/>
        </w:rPr>
        <w:t xml:space="preserve">; </w:t>
      </w:r>
      <w:r w:rsidR="00691BD8">
        <w:rPr>
          <w:i/>
          <w:sz w:val="20"/>
        </w:rPr>
        <w:t xml:space="preserve">see also </w:t>
      </w:r>
      <w:r w:rsidRPr="00736BDC">
        <w:rPr>
          <w:sz w:val="20"/>
        </w:rPr>
        <w:t xml:space="preserve">Letter from Stephen Ross, on behalf of Vyve Broadband A, LLC, to Gregory M. Cooke, Associate Chief, Policy </w:t>
      </w:r>
      <w:r w:rsidR="00691BD8">
        <w:rPr>
          <w:sz w:val="20"/>
        </w:rPr>
        <w:t xml:space="preserve">and Licensing </w:t>
      </w:r>
      <w:r w:rsidRPr="00736BDC">
        <w:rPr>
          <w:sz w:val="20"/>
        </w:rPr>
        <w:t xml:space="preserve">Division, Public Safety and Homeland Security Bureau, FCC, EB Docket </w:t>
      </w:r>
      <w:r w:rsidR="00691BD8">
        <w:rPr>
          <w:sz w:val="20"/>
        </w:rPr>
        <w:t xml:space="preserve">No. </w:t>
      </w:r>
      <w:r w:rsidRPr="00736BDC">
        <w:rPr>
          <w:sz w:val="20"/>
        </w:rPr>
        <w:t>04-296 (</w:t>
      </w:r>
      <w:r>
        <w:rPr>
          <w:sz w:val="20"/>
        </w:rPr>
        <w:t xml:space="preserve">publicly </w:t>
      </w:r>
      <w:r w:rsidRPr="00736BDC">
        <w:rPr>
          <w:sz w:val="20"/>
        </w:rPr>
        <w:t xml:space="preserve">filed </w:t>
      </w:r>
      <w:r>
        <w:rPr>
          <w:sz w:val="20"/>
        </w:rPr>
        <w:t>Apr</w:t>
      </w:r>
      <w:r w:rsidR="00691BD8">
        <w:rPr>
          <w:sz w:val="20"/>
        </w:rPr>
        <w:t>.</w:t>
      </w:r>
      <w:r>
        <w:rPr>
          <w:sz w:val="20"/>
        </w:rPr>
        <w:t xml:space="preserve"> 3, 2014</w:t>
      </w:r>
      <w:r w:rsidRPr="00736BDC">
        <w:rPr>
          <w:sz w:val="20"/>
        </w:rPr>
        <w:t xml:space="preserve">) (seeking a waiver of the CAP-related requirements in 47 C.F.R. § 11.56 for certain small cable systems formerly owned and operated by </w:t>
      </w:r>
      <w:r>
        <w:rPr>
          <w:sz w:val="20"/>
        </w:rPr>
        <w:t>James Cable, LLC</w:t>
      </w:r>
      <w:r w:rsidRPr="00736BDC">
        <w:rPr>
          <w:sz w:val="20"/>
        </w:rPr>
        <w:t xml:space="preserve">) (Vyve Petition </w:t>
      </w:r>
      <w:r>
        <w:rPr>
          <w:sz w:val="20"/>
        </w:rPr>
        <w:t>2</w:t>
      </w:r>
      <w:r w:rsidRPr="00736BDC">
        <w:rPr>
          <w:sz w:val="20"/>
        </w:rPr>
        <w:t xml:space="preserve">). </w:t>
      </w:r>
      <w:r>
        <w:rPr>
          <w:sz w:val="20"/>
        </w:rPr>
        <w:t xml:space="preserve"> </w:t>
      </w:r>
      <w:r w:rsidRPr="00736BDC">
        <w:rPr>
          <w:sz w:val="20"/>
        </w:rPr>
        <w:t xml:space="preserve">We observe that the small cable systems covered by the Vyve Petition 1 were covered by </w:t>
      </w:r>
      <w:r>
        <w:rPr>
          <w:sz w:val="20"/>
        </w:rPr>
        <w:t xml:space="preserve">the Allegiance Petition, and the </w:t>
      </w:r>
      <w:r w:rsidRPr="00736BDC">
        <w:rPr>
          <w:sz w:val="20"/>
        </w:rPr>
        <w:t xml:space="preserve">small cable systems covered by the Vyve Petition </w:t>
      </w:r>
      <w:r>
        <w:rPr>
          <w:sz w:val="20"/>
        </w:rPr>
        <w:t>2</w:t>
      </w:r>
      <w:r w:rsidRPr="00736BDC">
        <w:rPr>
          <w:sz w:val="20"/>
        </w:rPr>
        <w:t xml:space="preserve"> were covered by </w:t>
      </w:r>
      <w:r>
        <w:rPr>
          <w:sz w:val="20"/>
        </w:rPr>
        <w:t xml:space="preserve">the James Cable Petition.  </w:t>
      </w:r>
      <w:r w:rsidRPr="005F3015">
        <w:rPr>
          <w:i/>
          <w:sz w:val="20"/>
        </w:rPr>
        <w:t>See</w:t>
      </w:r>
      <w:r w:rsidRPr="00736BDC">
        <w:rPr>
          <w:sz w:val="20"/>
        </w:rPr>
        <w:t xml:space="preserve"> </w:t>
      </w:r>
      <w:r w:rsidRPr="00925E8C">
        <w:rPr>
          <w:i/>
          <w:sz w:val="20"/>
        </w:rPr>
        <w:t>infra</w:t>
      </w:r>
      <w:r>
        <w:rPr>
          <w:sz w:val="20"/>
        </w:rPr>
        <w:t xml:space="preserve"> n</w:t>
      </w:r>
      <w:r w:rsidR="002510EC">
        <w:rPr>
          <w:sz w:val="20"/>
        </w:rPr>
        <w:t>n.</w:t>
      </w:r>
      <w:r>
        <w:rPr>
          <w:sz w:val="20"/>
        </w:rPr>
        <w:t>2</w:t>
      </w:r>
      <w:r w:rsidR="001C3893">
        <w:rPr>
          <w:sz w:val="20"/>
        </w:rPr>
        <w:t>,</w:t>
      </w:r>
      <w:r>
        <w:rPr>
          <w:sz w:val="20"/>
        </w:rPr>
        <w:t xml:space="preserve"> 7.</w:t>
      </w:r>
      <w:r w:rsidRPr="00736BDC">
        <w:rPr>
          <w:sz w:val="20"/>
        </w:rPr>
        <w:t xml:space="preserve"> </w:t>
      </w:r>
    </w:p>
  </w:footnote>
  <w:footnote w:id="14">
    <w:p w14:paraId="6F0719B3" w14:textId="2F1EECD6" w:rsidR="00C01881" w:rsidRDefault="00C01881" w:rsidP="005C3FF9">
      <w:pPr>
        <w:pStyle w:val="FootnoteText"/>
        <w:spacing w:after="120"/>
      </w:pPr>
      <w:r>
        <w:rPr>
          <w:rStyle w:val="FootnoteReference"/>
        </w:rPr>
        <w:footnoteRef/>
      </w:r>
      <w:r>
        <w:t xml:space="preserve"> </w:t>
      </w:r>
      <w:r w:rsidR="00691BD8">
        <w:rPr>
          <w:i/>
        </w:rPr>
        <w:t xml:space="preserve">See </w:t>
      </w:r>
      <w:r>
        <w:t xml:space="preserve">Yelcot Video Group, Inc., Petition for a Limited Waiver of the CAP Compliance Obligations, </w:t>
      </w:r>
      <w:r w:rsidRPr="00285EF4">
        <w:t xml:space="preserve">EB Docket No. 04-296 (filed </w:t>
      </w:r>
      <w:r>
        <w:t xml:space="preserve">June 29, </w:t>
      </w:r>
      <w:r w:rsidRPr="00285EF4">
        <w:t>2012)</w:t>
      </w:r>
      <w:r>
        <w:t xml:space="preserve"> (Yelcot Original Petition); </w:t>
      </w:r>
      <w:r w:rsidR="00691BD8">
        <w:rPr>
          <w:i/>
        </w:rPr>
        <w:t xml:space="preserve">see also </w:t>
      </w:r>
      <w:r>
        <w:t xml:space="preserve">Yelcot Video Group, Inc., Petition for Extension of a Limited Waiver of the CAP Compliance Obligations, </w:t>
      </w:r>
      <w:r w:rsidRPr="00285EF4">
        <w:t xml:space="preserve">EB Docket No. 04-296 (filed </w:t>
      </w:r>
      <w:r>
        <w:t xml:space="preserve">Dec. 31, </w:t>
      </w:r>
      <w:r w:rsidRPr="00285EF4">
        <w:t>2012)</w:t>
      </w:r>
      <w:r>
        <w:t xml:space="preserve">; Yelcot Video Group, Inc., Petition for Extension of a Limited Waiver of the CAP Compliance Obligations, </w:t>
      </w:r>
      <w:r w:rsidRPr="00285EF4">
        <w:t xml:space="preserve">EB Docket No. 04-296 (filed </w:t>
      </w:r>
      <w:r>
        <w:t xml:space="preserve">June 28, </w:t>
      </w:r>
      <w:r w:rsidRPr="00285EF4">
        <w:t>201</w:t>
      </w:r>
      <w:r>
        <w:t>3</w:t>
      </w:r>
      <w:r w:rsidRPr="00285EF4">
        <w:t>)</w:t>
      </w:r>
      <w:r>
        <w:t xml:space="preserve">; Yelcot Video Group, Inc., Petition for Extension of a Limited Waiver of the CAP Compliance Obligations, </w:t>
      </w:r>
      <w:r w:rsidRPr="00285EF4">
        <w:t xml:space="preserve">EB Docket No. 04-296 (filed </w:t>
      </w:r>
      <w:r>
        <w:t xml:space="preserve">Dec. 31, </w:t>
      </w:r>
      <w:r w:rsidRPr="00285EF4">
        <w:t>201</w:t>
      </w:r>
      <w:r>
        <w:t>3</w:t>
      </w:r>
      <w:r w:rsidRPr="00285EF4">
        <w:t>)</w:t>
      </w:r>
      <w:r>
        <w:t xml:space="preserve"> (Yelcot Petition Renewal Request).  As noted above, one of the systems identified in Yelcot’s original petition was sold to NATCO, which filed its own waiver covering that system.  </w:t>
      </w:r>
      <w:r w:rsidRPr="00A62667">
        <w:rPr>
          <w:i/>
        </w:rPr>
        <w:t>See supra</w:t>
      </w:r>
      <w:r>
        <w:t xml:space="preserve"> n</w:t>
      </w:r>
      <w:r w:rsidR="002510EC">
        <w:t>.</w:t>
      </w:r>
      <w:r>
        <w:t xml:space="preserve">10. </w:t>
      </w:r>
    </w:p>
  </w:footnote>
  <w:footnote w:id="15">
    <w:p w14:paraId="7E71CDC7" w14:textId="50709200" w:rsidR="00C01881" w:rsidRDefault="00C01881" w:rsidP="00824549">
      <w:pPr>
        <w:pStyle w:val="FootnoteText"/>
        <w:spacing w:after="120"/>
      </w:pPr>
      <w:r>
        <w:rPr>
          <w:rStyle w:val="FootnoteReference"/>
        </w:rPr>
        <w:footnoteRef/>
      </w:r>
      <w:r>
        <w:t xml:space="preserve"> EAS Participants are the FCC-</w:t>
      </w:r>
      <w:r>
        <w:rPr>
          <w:szCs w:val="22"/>
        </w:rPr>
        <w:t xml:space="preserve">regulated entities required to receive and broadcast </w:t>
      </w:r>
      <w:r w:rsidR="00691BD8">
        <w:rPr>
          <w:szCs w:val="22"/>
        </w:rPr>
        <w:t xml:space="preserve">EAS </w:t>
      </w:r>
      <w:r>
        <w:rPr>
          <w:szCs w:val="22"/>
        </w:rPr>
        <w:t xml:space="preserve">alerts.  </w:t>
      </w:r>
      <w:r>
        <w:t xml:space="preserve">These entities are defined in </w:t>
      </w:r>
      <w:r w:rsidR="00876B5F">
        <w:t>S</w:t>
      </w:r>
      <w:r>
        <w:t xml:space="preserve">ection 11.11(a) of the Commission’s rules and include radio and </w:t>
      </w:r>
      <w:r w:rsidRPr="00BF639A">
        <w:t>television broadcast stations</w:t>
      </w:r>
      <w:r>
        <w:t xml:space="preserve">, </w:t>
      </w:r>
      <w:r w:rsidRPr="00D023EB">
        <w:t>cable systems</w:t>
      </w:r>
      <w:r>
        <w:t xml:space="preserve">, </w:t>
      </w:r>
      <w:r w:rsidRPr="00D023EB">
        <w:t>wireline video systems</w:t>
      </w:r>
      <w:r>
        <w:t>, w</w:t>
      </w:r>
      <w:r w:rsidRPr="00D023EB">
        <w:t>ireless cable systems</w:t>
      </w:r>
      <w:r>
        <w:t xml:space="preserve">, </w:t>
      </w:r>
      <w:r w:rsidRPr="00D023EB">
        <w:t>direct broadcast satellite (DBS) service providers</w:t>
      </w:r>
      <w:r>
        <w:t>,</w:t>
      </w:r>
      <w:r w:rsidRPr="00D023EB">
        <w:t xml:space="preserve"> and digital audio radio service (SDARS) providers. </w:t>
      </w:r>
      <w:r>
        <w:t xml:space="preserve"> </w:t>
      </w:r>
      <w:r w:rsidRPr="00D023EB">
        <w:rPr>
          <w:i/>
        </w:rPr>
        <w:t>See</w:t>
      </w:r>
      <w:r w:rsidRPr="00D023EB">
        <w:t xml:space="preserve"> 47 C.F.R. § 11.11(a).</w:t>
      </w:r>
      <w:r w:rsidRPr="00AD0FC3">
        <w:t xml:space="preserve">  </w:t>
      </w:r>
      <w:r w:rsidRPr="00285EF4">
        <w:t xml:space="preserve">The EAS </w:t>
      </w:r>
      <w:r>
        <w:t xml:space="preserve">is a hierarchical alert message distribution system that delivers alerts initiated by federal, state and local alerting authorities utilizing </w:t>
      </w:r>
      <w:r w:rsidRPr="00285EF4">
        <w:t>the transmission facilities of radio and television broadcast stations, cable operators</w:t>
      </w:r>
      <w:r>
        <w:t xml:space="preserve"> and other EAS Participants.</w:t>
      </w:r>
      <w:r w:rsidRPr="00285EF4">
        <w:t xml:space="preserve">  </w:t>
      </w:r>
      <w:r>
        <w:t>An ov</w:t>
      </w:r>
      <w:r w:rsidRPr="005819FA">
        <w:t xml:space="preserve">erview of the EAS is contained in the </w:t>
      </w:r>
      <w:r w:rsidRPr="005819FA">
        <w:rPr>
          <w:i/>
        </w:rPr>
        <w:t>Fifth Report and Order</w:t>
      </w:r>
      <w:r w:rsidRPr="005819FA">
        <w:t xml:space="preserve"> in this docket. </w:t>
      </w:r>
      <w:r>
        <w:t xml:space="preserve"> </w:t>
      </w:r>
      <w:r w:rsidRPr="00285EF4">
        <w:rPr>
          <w:i/>
        </w:rPr>
        <w:t xml:space="preserve">See </w:t>
      </w:r>
      <w:r w:rsidRPr="00285EF4">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w:t>
      </w:r>
      <w:r w:rsidR="00691BD8">
        <w:t xml:space="preserve">No. </w:t>
      </w:r>
      <w:r w:rsidRPr="00285EF4">
        <w:t xml:space="preserve">04-296, </w:t>
      </w:r>
      <w:r w:rsidRPr="00285EF4">
        <w:rPr>
          <w:i/>
        </w:rPr>
        <w:t>Fifth Report and Order</w:t>
      </w:r>
      <w:r w:rsidRPr="00285EF4">
        <w:t>, 27 FCC Rcd 642, 64</w:t>
      </w:r>
      <w:r>
        <w:t>6-47,</w:t>
      </w:r>
      <w:r w:rsidRPr="00285EF4">
        <w:t xml:space="preserve"> </w:t>
      </w:r>
      <w:r w:rsidR="00381F43">
        <w:t>¶¶</w:t>
      </w:r>
      <w:r>
        <w:t xml:space="preserve"> 6-7</w:t>
      </w:r>
      <w:r w:rsidRPr="00285EF4">
        <w:t xml:space="preserve"> (2012)</w:t>
      </w:r>
      <w:r>
        <w:t xml:space="preserve"> </w:t>
      </w:r>
      <w:r w:rsidRPr="00285EF4">
        <w:t>(</w:t>
      </w:r>
      <w:r w:rsidRPr="006C3568">
        <w:rPr>
          <w:i/>
        </w:rPr>
        <w:t>EAS</w:t>
      </w:r>
      <w:r>
        <w:t xml:space="preserve"> </w:t>
      </w:r>
      <w:r w:rsidRPr="00285EF4">
        <w:rPr>
          <w:i/>
        </w:rPr>
        <w:t>Fifth Report and Order</w:t>
      </w:r>
      <w:r w:rsidRPr="00285EF4">
        <w:t>).</w:t>
      </w:r>
      <w:r w:rsidRPr="00285EF4">
        <w:rPr>
          <w:bCs/>
        </w:rPr>
        <w:t xml:space="preserve"> </w:t>
      </w:r>
    </w:p>
  </w:footnote>
  <w:footnote w:id="16">
    <w:p w14:paraId="6EF03EE8" w14:textId="2742CE64" w:rsidR="00C01881" w:rsidRDefault="00C01881" w:rsidP="00824549">
      <w:pPr>
        <w:pStyle w:val="FootnoteText"/>
        <w:spacing w:after="120"/>
      </w:pPr>
      <w:r w:rsidRPr="00285EF4">
        <w:rPr>
          <w:rStyle w:val="FootnoteReference"/>
        </w:rPr>
        <w:footnoteRef/>
      </w:r>
      <w:r w:rsidRPr="00285EF4">
        <w:t xml:space="preserve"> </w:t>
      </w:r>
      <w:r w:rsidRPr="00285EF4">
        <w:rPr>
          <w:i/>
        </w:rPr>
        <w:t xml:space="preserve">See </w:t>
      </w:r>
      <w:r w:rsidRPr="00285EF4">
        <w:t>47 C.F.R. §11.</w:t>
      </w:r>
      <w:r>
        <w:t>56</w:t>
      </w:r>
      <w:r w:rsidRPr="00285EF4">
        <w:t>(</w:t>
      </w:r>
      <w:r>
        <w:t>a</w:t>
      </w:r>
      <w:r w:rsidRPr="00285EF4">
        <w:t xml:space="preserve">). </w:t>
      </w:r>
      <w:r>
        <w:t xml:space="preserve"> </w:t>
      </w:r>
      <w:r w:rsidRPr="00285EF4">
        <w:t xml:space="preserve">CAP is an open, interoperable XML-based standard that allows an alert initiator to deliver information-rich alerts to multiple devices.  </w:t>
      </w:r>
      <w:r w:rsidRPr="00285EF4">
        <w:rPr>
          <w:i/>
        </w:rPr>
        <w:t xml:space="preserve">See </w:t>
      </w:r>
      <w:r w:rsidR="00781065">
        <w:rPr>
          <w:i/>
        </w:rPr>
        <w:t xml:space="preserve">EAS </w:t>
      </w:r>
      <w:r w:rsidRPr="00285EF4">
        <w:rPr>
          <w:i/>
        </w:rPr>
        <w:t>Fifth Report and Order</w:t>
      </w:r>
      <w:r w:rsidRPr="00285EF4">
        <w:t xml:space="preserve">, 27 FCC Rcd 642, 648 </w:t>
      </w:r>
      <w:r w:rsidR="009F2723">
        <w:t>¶</w:t>
      </w:r>
      <w:r w:rsidRPr="00285EF4">
        <w:t xml:space="preserve"> 10</w:t>
      </w:r>
      <w:r>
        <w:t>.</w:t>
      </w:r>
      <w:r w:rsidRPr="00285EF4">
        <w:rPr>
          <w:bCs/>
        </w:rPr>
        <w:t xml:space="preserve"> </w:t>
      </w:r>
    </w:p>
  </w:footnote>
  <w:footnote w:id="17">
    <w:p w14:paraId="350597FA" w14:textId="0BF5015B" w:rsidR="00C01881" w:rsidRDefault="00C01881" w:rsidP="00824549">
      <w:pPr>
        <w:pStyle w:val="FootnoteText"/>
        <w:spacing w:after="120"/>
      </w:pPr>
      <w:r>
        <w:rPr>
          <w:rStyle w:val="FootnoteReference"/>
        </w:rPr>
        <w:footnoteRef/>
      </w:r>
      <w:r>
        <w:t xml:space="preserve"> </w:t>
      </w:r>
      <w:r w:rsidRPr="00F95C2B">
        <w:rPr>
          <w:i/>
        </w:rPr>
        <w:t xml:space="preserve">See </w:t>
      </w:r>
      <w:r w:rsidR="00691BD8">
        <w:rPr>
          <w:i/>
        </w:rPr>
        <w:t xml:space="preserve">EAS </w:t>
      </w:r>
      <w:r w:rsidR="00691BD8" w:rsidRPr="00285EF4">
        <w:rPr>
          <w:i/>
        </w:rPr>
        <w:t>Fifth Report and Order</w:t>
      </w:r>
      <w:r w:rsidR="00691BD8">
        <w:t>,</w:t>
      </w:r>
      <w:r w:rsidR="00691BD8" w:rsidRPr="00F95C2B" w:rsidDel="00691BD8">
        <w:rPr>
          <w:i/>
        </w:rPr>
        <w:t xml:space="preserve"> </w:t>
      </w:r>
      <w:r w:rsidRPr="00285EF4">
        <w:t>27 FCC Rcd 6</w:t>
      </w:r>
      <w:r>
        <w:t xml:space="preserve">95-96, </w:t>
      </w:r>
      <w:r w:rsidR="009F2723">
        <w:t>¶</w:t>
      </w:r>
      <w:r>
        <w:t xml:space="preserve"> 152.  </w:t>
      </w:r>
      <w:r>
        <w:rPr>
          <w:szCs w:val="22"/>
        </w:rPr>
        <w:t xml:space="preserve"> </w:t>
      </w:r>
    </w:p>
  </w:footnote>
  <w:footnote w:id="18">
    <w:p w14:paraId="32A417CE" w14:textId="77777777" w:rsidR="00C01881" w:rsidRDefault="00C01881" w:rsidP="00824549">
      <w:pPr>
        <w:pStyle w:val="FootnoteText"/>
        <w:spacing w:after="120"/>
      </w:pPr>
      <w:r>
        <w:rPr>
          <w:rStyle w:val="FootnoteReference"/>
        </w:rPr>
        <w:footnoteRef/>
      </w:r>
      <w:r>
        <w:t xml:space="preserve"> </w:t>
      </w:r>
      <w:r w:rsidRPr="00F95C2B">
        <w:rPr>
          <w:i/>
        </w:rPr>
        <w:t>See id</w:t>
      </w:r>
      <w:r>
        <w:t>.</w:t>
      </w:r>
    </w:p>
  </w:footnote>
  <w:footnote w:id="19">
    <w:p w14:paraId="5C320656" w14:textId="77777777" w:rsidR="00C01881" w:rsidRDefault="00C01881" w:rsidP="00824549">
      <w:pPr>
        <w:pStyle w:val="FootnoteText"/>
        <w:spacing w:after="120"/>
      </w:pPr>
      <w:r>
        <w:rPr>
          <w:rStyle w:val="FootnoteReference"/>
        </w:rPr>
        <w:footnoteRef/>
      </w:r>
      <w:r>
        <w:t xml:space="preserve"> </w:t>
      </w:r>
      <w:r w:rsidRPr="00F95C2B">
        <w:rPr>
          <w:i/>
        </w:rPr>
        <w:t>See id</w:t>
      </w:r>
      <w:r>
        <w:t>.</w:t>
      </w:r>
    </w:p>
  </w:footnote>
  <w:footnote w:id="20">
    <w:p w14:paraId="0629FC8B" w14:textId="77777777" w:rsidR="00C01881" w:rsidRDefault="00C01881" w:rsidP="00824549">
      <w:pPr>
        <w:pStyle w:val="FootnoteText"/>
        <w:spacing w:after="120"/>
      </w:pPr>
      <w:r>
        <w:rPr>
          <w:rStyle w:val="FootnoteReference"/>
        </w:rPr>
        <w:footnoteRef/>
      </w:r>
      <w:r>
        <w:t xml:space="preserve"> </w:t>
      </w:r>
      <w:r w:rsidRPr="00F95C2B">
        <w:rPr>
          <w:i/>
        </w:rPr>
        <w:t>See id</w:t>
      </w:r>
      <w:r>
        <w:t>.</w:t>
      </w:r>
    </w:p>
  </w:footnote>
  <w:footnote w:id="21">
    <w:p w14:paraId="13CA182C" w14:textId="77777777" w:rsidR="00C01881" w:rsidRDefault="00C01881" w:rsidP="00824549">
      <w:pPr>
        <w:pStyle w:val="FootnoteText"/>
        <w:spacing w:after="120"/>
      </w:pPr>
      <w:r>
        <w:rPr>
          <w:rStyle w:val="FootnoteReference"/>
        </w:rPr>
        <w:footnoteRef/>
      </w:r>
      <w:r>
        <w:t xml:space="preserve"> </w:t>
      </w:r>
      <w:r w:rsidRPr="00F95C2B">
        <w:rPr>
          <w:i/>
        </w:rPr>
        <w:t>See id</w:t>
      </w:r>
      <w:r>
        <w:t>.</w:t>
      </w:r>
    </w:p>
  </w:footnote>
  <w:footnote w:id="22">
    <w:p w14:paraId="4B0E01E3" w14:textId="5FE7C812" w:rsidR="00C01881" w:rsidRDefault="00C01881" w:rsidP="00824549">
      <w:pPr>
        <w:pStyle w:val="FootnoteText"/>
        <w:spacing w:after="120"/>
      </w:pPr>
      <w:r>
        <w:rPr>
          <w:rStyle w:val="FootnoteReference"/>
        </w:rPr>
        <w:footnoteRef/>
      </w:r>
      <w:r>
        <w:t xml:space="preserve"> </w:t>
      </w:r>
      <w:r>
        <w:rPr>
          <w:i/>
        </w:rPr>
        <w:t>See</w:t>
      </w:r>
      <w:r>
        <w:t xml:space="preserve"> CMA Petition at 2; </w:t>
      </w:r>
      <w:r w:rsidR="00691BD8">
        <w:rPr>
          <w:i/>
        </w:rPr>
        <w:t xml:space="preserve">see also </w:t>
      </w:r>
      <w:r>
        <w:t xml:space="preserve">JB Cable Petition at 1; KLLV Petition at 1; Maddock Petition at 1; New Wave Original Petition at 2; New Wave Consolidated Petition at 2-3; Suddenlink Petition at 4-5.  Suddenlink Dec. 27, 2012, Waiver Petition Renewal at 2 (indicating that all the systems requiring additional time to complete installation and testing of CAP equipment were compliant).  New Wave also requested a six-month waiver from CAP obligations with respect to </w:t>
      </w:r>
      <w:r w:rsidR="00781065">
        <w:t xml:space="preserve">its Steele, MO </w:t>
      </w:r>
      <w:r>
        <w:t xml:space="preserve">system for purposes of </w:t>
      </w:r>
      <w:r w:rsidR="00CB2D52">
        <w:t>inte</w:t>
      </w:r>
      <w:r w:rsidR="00781065">
        <w:t>grating</w:t>
      </w:r>
      <w:r w:rsidR="00CB2D52">
        <w:t xml:space="preserve"> </w:t>
      </w:r>
      <w:r w:rsidR="00781065">
        <w:t xml:space="preserve">that </w:t>
      </w:r>
      <w:r>
        <w:t xml:space="preserve">system with one of its CAP-compliant systems.  </w:t>
      </w:r>
      <w:r w:rsidRPr="00360896">
        <w:rPr>
          <w:i/>
        </w:rPr>
        <w:t>See</w:t>
      </w:r>
      <w:r>
        <w:t xml:space="preserve"> New Wave Original Petition at 3.  </w:t>
      </w:r>
      <w:r w:rsidR="00D820EA">
        <w:t xml:space="preserve">New Wave </w:t>
      </w:r>
      <w:r w:rsidR="00CB2D52">
        <w:t xml:space="preserve">subsequently confirmed in its waiver renewal letter dated June 28, 2013 that such integration had been completed, although it did not provide the actual date of completion.  </w:t>
      </w:r>
      <w:r w:rsidR="00CB2D52" w:rsidRPr="00AE7599">
        <w:rPr>
          <w:i/>
        </w:rPr>
        <w:t>See</w:t>
      </w:r>
      <w:r w:rsidR="00CB2D52">
        <w:t xml:space="preserve"> New Wave Consolidated Petition at n.2. </w:t>
      </w:r>
      <w:r>
        <w:t xml:space="preserve">  </w:t>
      </w:r>
    </w:p>
  </w:footnote>
  <w:footnote w:id="23">
    <w:p w14:paraId="736B3A41" w14:textId="77777777" w:rsidR="00C01881" w:rsidRDefault="00C01881" w:rsidP="00A32E86">
      <w:pPr>
        <w:pStyle w:val="FootnoteText"/>
        <w:spacing w:after="120"/>
      </w:pPr>
      <w:r>
        <w:rPr>
          <w:rStyle w:val="FootnoteReference"/>
        </w:rPr>
        <w:footnoteRef/>
      </w:r>
      <w:r>
        <w:t xml:space="preserve"> </w:t>
      </w:r>
      <w:r w:rsidRPr="00A32E86">
        <w:rPr>
          <w:i/>
        </w:rPr>
        <w:t>See</w:t>
      </w:r>
      <w:r>
        <w:t xml:space="preserve"> Suddenlink Petition at 3-4.</w:t>
      </w:r>
    </w:p>
  </w:footnote>
  <w:footnote w:id="24">
    <w:p w14:paraId="73A6B2D1" w14:textId="4CE3206C" w:rsidR="00C01881" w:rsidRDefault="00C01881" w:rsidP="00FF4A1D">
      <w:pPr>
        <w:pStyle w:val="FootnoteText"/>
        <w:spacing w:after="120"/>
      </w:pPr>
      <w:r w:rsidRPr="00FF4A1D">
        <w:rPr>
          <w:rStyle w:val="FootnoteReference"/>
        </w:rPr>
        <w:footnoteRef/>
      </w:r>
      <w:r w:rsidRPr="00FF4A1D">
        <w:t xml:space="preserve"> </w:t>
      </w:r>
      <w:r w:rsidRPr="00FF4A1D">
        <w:rPr>
          <w:i/>
        </w:rPr>
        <w:t>See</w:t>
      </w:r>
      <w:r w:rsidRPr="00FF4A1D">
        <w:t xml:space="preserve"> CTC Original Petition at 2-3; </w:t>
      </w:r>
      <w:r w:rsidR="00691BD8">
        <w:rPr>
          <w:i/>
        </w:rPr>
        <w:t xml:space="preserve">see also </w:t>
      </w:r>
      <w:r w:rsidRPr="00FF4A1D">
        <w:t xml:space="preserve">NATCO Petition at 4-5; Vyve Petition 1 at 2-4; Vyve Petition 2 at 2; Yelcot </w:t>
      </w:r>
      <w:r>
        <w:t>O</w:t>
      </w:r>
      <w:r w:rsidRPr="00FF4A1D">
        <w:t>riginal Petition at 4.</w:t>
      </w:r>
    </w:p>
  </w:footnote>
  <w:footnote w:id="25">
    <w:p w14:paraId="5D26E8A5" w14:textId="59F340E4" w:rsidR="00C01881" w:rsidRDefault="00C01881" w:rsidP="00A32E86">
      <w:pPr>
        <w:pStyle w:val="FootnoteText"/>
        <w:spacing w:after="120"/>
      </w:pPr>
      <w:r>
        <w:rPr>
          <w:rStyle w:val="FootnoteReference"/>
        </w:rPr>
        <w:footnoteRef/>
      </w:r>
      <w:r>
        <w:t xml:space="preserve"> </w:t>
      </w:r>
      <w:r w:rsidRPr="00A32E86">
        <w:rPr>
          <w:i/>
        </w:rPr>
        <w:t>See</w:t>
      </w:r>
      <w:r>
        <w:t xml:space="preserve"> New Wave Original Petition at 5 (seeking a temporary waiver of the CAP-related requirements in </w:t>
      </w:r>
      <w:r w:rsidRPr="00285EF4">
        <w:t>47 C.F.R. § 11.56</w:t>
      </w:r>
      <w:r>
        <w:t xml:space="preserve"> for its Steele, MO system on grounds that it was in the process of </w:t>
      </w:r>
      <w:r w:rsidR="000B0169">
        <w:t xml:space="preserve">integrating </w:t>
      </w:r>
      <w:r>
        <w:t xml:space="preserve">that system with its CAP-compliant system in Dexter, MO, and that acquiring CAP equipment for the brief interim until the </w:t>
      </w:r>
      <w:r w:rsidR="000B0169">
        <w:t>integration</w:t>
      </w:r>
      <w:r>
        <w:t xml:space="preserve"> was completed would amount to economic waste).   </w:t>
      </w:r>
    </w:p>
  </w:footnote>
  <w:footnote w:id="26">
    <w:p w14:paraId="38B7F15C" w14:textId="77777777" w:rsidR="00C01881" w:rsidRDefault="00C01881" w:rsidP="00F401A5">
      <w:pPr>
        <w:pStyle w:val="FootnoteText"/>
        <w:spacing w:after="120"/>
      </w:pPr>
      <w:r>
        <w:rPr>
          <w:rStyle w:val="FootnoteReference"/>
        </w:rPr>
        <w:footnoteRef/>
      </w:r>
      <w:r>
        <w:t xml:space="preserve"> </w:t>
      </w:r>
      <w:r w:rsidRPr="00F401A5">
        <w:rPr>
          <w:i/>
        </w:rPr>
        <w:t>See</w:t>
      </w:r>
      <w:r>
        <w:t xml:space="preserve"> Allegiance Petition at 2-4.</w:t>
      </w:r>
    </w:p>
  </w:footnote>
  <w:footnote w:id="27">
    <w:p w14:paraId="03B33416" w14:textId="77777777" w:rsidR="00C01881" w:rsidRDefault="00C01881" w:rsidP="00F401A5">
      <w:pPr>
        <w:pStyle w:val="FootnoteText"/>
        <w:spacing w:after="120"/>
      </w:pPr>
      <w:r>
        <w:rPr>
          <w:rStyle w:val="FootnoteReference"/>
        </w:rPr>
        <w:footnoteRef/>
      </w:r>
      <w:r>
        <w:t xml:space="preserve"> </w:t>
      </w:r>
      <w:r w:rsidRPr="00F401A5">
        <w:rPr>
          <w:i/>
        </w:rPr>
        <w:t>See</w:t>
      </w:r>
      <w:r>
        <w:t xml:space="preserve"> James Cable Original Petition at 1.</w:t>
      </w:r>
    </w:p>
  </w:footnote>
  <w:footnote w:id="28">
    <w:p w14:paraId="0CE1E56B" w14:textId="11696409" w:rsidR="00C01881" w:rsidRDefault="00C01881" w:rsidP="00300679">
      <w:pPr>
        <w:pStyle w:val="FootnoteText"/>
        <w:spacing w:after="120"/>
      </w:pPr>
      <w:r w:rsidRPr="00285EF4">
        <w:rPr>
          <w:rStyle w:val="FootnoteReference"/>
        </w:rPr>
        <w:footnoteRef/>
      </w:r>
      <w:r w:rsidR="00CB6FC4">
        <w:t xml:space="preserve"> </w:t>
      </w:r>
      <w:r w:rsidR="00CB6FC4" w:rsidRPr="00CB6FC4">
        <w:rPr>
          <w:i/>
        </w:rPr>
        <w:t>See</w:t>
      </w:r>
      <w:r w:rsidRPr="00285EF4">
        <w:t xml:space="preserve"> </w:t>
      </w:r>
      <w:r w:rsidRPr="008277F8">
        <w:rPr>
          <w:iCs/>
        </w:rPr>
        <w:t xml:space="preserve">47 C.F.R. </w:t>
      </w:r>
      <w:r w:rsidRPr="00300679">
        <w:t>§ 1.3</w:t>
      </w:r>
      <w:r w:rsidRPr="00285EF4">
        <w:t xml:space="preserve">.  </w:t>
      </w:r>
    </w:p>
  </w:footnote>
  <w:footnote w:id="29">
    <w:p w14:paraId="512B00E7" w14:textId="1D993A4D" w:rsidR="00C01881" w:rsidRDefault="00C01881" w:rsidP="00300679">
      <w:pPr>
        <w:pStyle w:val="FootnoteText"/>
        <w:spacing w:after="120"/>
      </w:pPr>
      <w:r w:rsidRPr="00B971AC">
        <w:rPr>
          <w:rStyle w:val="FootnoteReference"/>
        </w:rPr>
        <w:footnoteRef/>
      </w:r>
      <w:r w:rsidRPr="00B971AC">
        <w:rPr>
          <w:rStyle w:val="FootnoteReference"/>
        </w:rPr>
        <w:t xml:space="preserve"> </w:t>
      </w:r>
      <w:r w:rsidR="00CB6FC4" w:rsidRPr="00CB6FC4">
        <w:rPr>
          <w:i/>
        </w:rPr>
        <w:t>See</w:t>
      </w:r>
      <w:r w:rsidR="00CB6FC4">
        <w:t xml:space="preserve"> </w:t>
      </w:r>
      <w:r w:rsidR="00CB6FC4" w:rsidRPr="00CB6FC4">
        <w:t>Northeast Cellular Telephone Co. v. FCC</w:t>
      </w:r>
      <w:r w:rsidRPr="00285EF4">
        <w:t xml:space="preserve">, </w:t>
      </w:r>
      <w:r w:rsidR="00CB6FC4" w:rsidRPr="00CB6FC4">
        <w:t xml:space="preserve">897 F.2d 1164, 1166 (D.C. Cir. 1990) </w:t>
      </w:r>
      <w:r w:rsidRPr="00285EF4">
        <w:t>(</w:t>
      </w:r>
      <w:r w:rsidRPr="00300679">
        <w:t>citing WAIT Radio v. FCC</w:t>
      </w:r>
      <w:r w:rsidRPr="00285EF4">
        <w:t>, 418 F.2d 1153, 1159 (D.C.</w:t>
      </w:r>
      <w:r>
        <w:t xml:space="preserve"> </w:t>
      </w:r>
      <w:r w:rsidRPr="00285EF4">
        <w:t xml:space="preserve">Cir.1969), </w:t>
      </w:r>
      <w:r w:rsidRPr="000134F9">
        <w:rPr>
          <w:i/>
        </w:rPr>
        <w:t>aff’d</w:t>
      </w:r>
      <w:r w:rsidRPr="00300679">
        <w:t xml:space="preserve">, </w:t>
      </w:r>
      <w:r w:rsidRPr="00285EF4">
        <w:t xml:space="preserve">459 F.2d 1203 (1973), </w:t>
      </w:r>
      <w:r w:rsidRPr="000134F9">
        <w:rPr>
          <w:i/>
        </w:rPr>
        <w:t>cert. denied</w:t>
      </w:r>
      <w:r w:rsidRPr="00300679">
        <w:t xml:space="preserve">, </w:t>
      </w:r>
      <w:r w:rsidRPr="00285EF4">
        <w:t>409 U.S. 1027 (1972)</w:t>
      </w:r>
      <w:r>
        <w:t>)</w:t>
      </w:r>
      <w:r w:rsidRPr="00285EF4">
        <w:t>.</w:t>
      </w:r>
    </w:p>
  </w:footnote>
  <w:footnote w:id="30">
    <w:p w14:paraId="79CE7F3F" w14:textId="6CC25DC6" w:rsidR="00C01881" w:rsidRDefault="00C01881" w:rsidP="00300679">
      <w:pPr>
        <w:pStyle w:val="FootnoteText"/>
        <w:spacing w:after="120"/>
      </w:pPr>
      <w:r w:rsidRPr="00B971AC">
        <w:rPr>
          <w:rStyle w:val="FootnoteReference"/>
        </w:rPr>
        <w:footnoteRef/>
      </w:r>
      <w:r w:rsidRPr="00B971AC">
        <w:rPr>
          <w:rStyle w:val="FootnoteReference"/>
        </w:rPr>
        <w:t xml:space="preserve"> </w:t>
      </w:r>
      <w:r w:rsidRPr="00300679">
        <w:t>WAIT Radio</w:t>
      </w:r>
      <w:r w:rsidR="00691BD8">
        <w:t xml:space="preserve"> v. FCC, </w:t>
      </w:r>
      <w:r w:rsidRPr="00285EF4">
        <w:t xml:space="preserve">418 F.2d at 1157. </w:t>
      </w:r>
    </w:p>
  </w:footnote>
  <w:footnote w:id="31">
    <w:p w14:paraId="01F49238" w14:textId="1A5E5299" w:rsidR="00C01881" w:rsidRDefault="00C01881" w:rsidP="00300679">
      <w:pPr>
        <w:pStyle w:val="FootnoteText"/>
        <w:spacing w:after="120"/>
      </w:pPr>
      <w:r w:rsidRPr="00B971AC">
        <w:rPr>
          <w:rStyle w:val="FootnoteReference"/>
        </w:rPr>
        <w:footnoteRef/>
      </w:r>
      <w:r w:rsidRPr="00B971AC">
        <w:rPr>
          <w:rStyle w:val="FootnoteReference"/>
        </w:rPr>
        <w:t xml:space="preserve"> </w:t>
      </w:r>
      <w:r w:rsidRPr="00B971AC">
        <w:rPr>
          <w:i/>
        </w:rPr>
        <w:t>See EAS Fifth Report and Order</w:t>
      </w:r>
      <w:r w:rsidRPr="00300679">
        <w:t xml:space="preserve">, </w:t>
      </w:r>
      <w:r w:rsidRPr="00285EF4">
        <w:t>27 FCC Rcd 642</w:t>
      </w:r>
      <w:r>
        <w:t xml:space="preserve">, </w:t>
      </w:r>
      <w:r w:rsidRPr="00285EF4">
        <w:t>6</w:t>
      </w:r>
      <w:r>
        <w:t xml:space="preserve">95-96, </w:t>
      </w:r>
      <w:r w:rsidR="0006054D">
        <w:t>¶</w:t>
      </w:r>
      <w:r>
        <w:t xml:space="preserve"> 152.  </w:t>
      </w:r>
      <w:r w:rsidRPr="00300679">
        <w:t xml:space="preserve"> </w:t>
      </w:r>
    </w:p>
  </w:footnote>
  <w:footnote w:id="32">
    <w:p w14:paraId="1E9A2B6A" w14:textId="77945B5B" w:rsidR="00C01881" w:rsidRDefault="00C01881" w:rsidP="00D263F2">
      <w:pPr>
        <w:pStyle w:val="FootnoteText"/>
        <w:spacing w:after="120"/>
      </w:pPr>
      <w:r>
        <w:rPr>
          <w:rStyle w:val="FootnoteReference"/>
        </w:rPr>
        <w:footnoteRef/>
      </w:r>
      <w:r>
        <w:t xml:space="preserve"> </w:t>
      </w:r>
      <w:r w:rsidR="009C6EBB" w:rsidRPr="00236B9D">
        <w:rPr>
          <w:i/>
        </w:rPr>
        <w:t>See</w:t>
      </w:r>
      <w:r w:rsidR="009C6EBB" w:rsidRPr="00300679">
        <w:t xml:space="preserve"> </w:t>
      </w:r>
      <w:r w:rsidR="009C6EBB">
        <w:t xml:space="preserve">JB Cable Petition at 1; </w:t>
      </w:r>
      <w:r w:rsidR="00691BD8">
        <w:rPr>
          <w:i/>
        </w:rPr>
        <w:t xml:space="preserve">see also </w:t>
      </w:r>
      <w:r w:rsidR="009C6EBB">
        <w:t xml:space="preserve">KLLV Petition at 1; Maddock Petition, Exhibit A (Declaration of Byron Elingson); New Wave Original Petition, Exhibit A (Declaration of Jim Gleason); New Wave Consolidated Petition, Exhibit A (Declaration of Phil Spencer); Suddenlink Petition at 4-5.  </w:t>
      </w:r>
      <w:r w:rsidR="00D465B9">
        <w:t xml:space="preserve">With respect to CMA, this finding applies to the systems covered by the CMA Petition during the period CMA owned and operated such systems.  As indicated above, CMA sold these systems to New Wave on June 1, 2013, and New Wave incorporated them into its own waiver petition.  </w:t>
      </w:r>
      <w:r w:rsidR="00D465B9" w:rsidRPr="00AE7599">
        <w:rPr>
          <w:i/>
        </w:rPr>
        <w:t>See supra</w:t>
      </w:r>
      <w:r w:rsidR="00D465B9">
        <w:t xml:space="preserve"> n</w:t>
      </w:r>
      <w:r w:rsidR="0006054D">
        <w:t>n.</w:t>
      </w:r>
      <w:r w:rsidR="00CB6FC4">
        <w:t>3</w:t>
      </w:r>
      <w:r w:rsidR="001C3893">
        <w:t xml:space="preserve">, </w:t>
      </w:r>
      <w:r w:rsidR="00CB6FC4">
        <w:t>11.</w:t>
      </w:r>
      <w:r w:rsidR="00D465B9">
        <w:t xml:space="preserve"> </w:t>
      </w:r>
    </w:p>
  </w:footnote>
  <w:footnote w:id="33">
    <w:p w14:paraId="69B61820" w14:textId="333B43C4" w:rsidR="000B0169" w:rsidRDefault="000B0169" w:rsidP="000B0169">
      <w:pPr>
        <w:pStyle w:val="FootnoteText"/>
        <w:spacing w:after="120"/>
      </w:pPr>
      <w:r w:rsidRPr="00B971AC">
        <w:rPr>
          <w:rStyle w:val="FootnoteReference"/>
        </w:rPr>
        <w:footnoteRef/>
      </w:r>
      <w:r>
        <w:t xml:space="preserve"> </w:t>
      </w:r>
      <w:r w:rsidRPr="00236B9D">
        <w:rPr>
          <w:i/>
        </w:rPr>
        <w:t>See</w:t>
      </w:r>
      <w:r w:rsidRPr="00300679">
        <w:t xml:space="preserve"> </w:t>
      </w:r>
      <w:r>
        <w:t>JB Cable Petition at 2</w:t>
      </w:r>
      <w:r w:rsidR="0006054D">
        <w:t>;</w:t>
      </w:r>
      <w:r>
        <w:t xml:space="preserve"> </w:t>
      </w:r>
      <w:r w:rsidR="00691BD8">
        <w:rPr>
          <w:i/>
        </w:rPr>
        <w:t xml:space="preserve">see also </w:t>
      </w:r>
      <w:r>
        <w:t>KLLV Petition at 1; Maddock Petition at 3; New Wave Consolidated Petition at 4; Suddenlink Petition at 5.</w:t>
      </w:r>
    </w:p>
  </w:footnote>
  <w:footnote w:id="34">
    <w:p w14:paraId="4D1AB12A" w14:textId="11819797" w:rsidR="000B0169" w:rsidRDefault="000B0169" w:rsidP="000B0169">
      <w:pPr>
        <w:pStyle w:val="FootnoteText"/>
        <w:spacing w:after="120"/>
      </w:pPr>
      <w:r>
        <w:rPr>
          <w:rStyle w:val="FootnoteReference"/>
        </w:rPr>
        <w:footnoteRef/>
      </w:r>
      <w:r>
        <w:t xml:space="preserve"> </w:t>
      </w:r>
      <w:r w:rsidRPr="000B0169">
        <w:rPr>
          <w:i/>
        </w:rPr>
        <w:t>See</w:t>
      </w:r>
      <w:r w:rsidRPr="007D34BF">
        <w:rPr>
          <w:i/>
        </w:rPr>
        <w:t xml:space="preserve"> </w:t>
      </w:r>
      <w:r w:rsidRPr="000B0169">
        <w:rPr>
          <w:i/>
        </w:rPr>
        <w:t>supra</w:t>
      </w:r>
      <w:r w:rsidRPr="000B0169">
        <w:t xml:space="preserve"> n</w:t>
      </w:r>
      <w:r w:rsidR="0006054D">
        <w:t>n.</w:t>
      </w:r>
      <w:r w:rsidRPr="000B0169">
        <w:t>3</w:t>
      </w:r>
      <w:r w:rsidR="001C3893">
        <w:t>,</w:t>
      </w:r>
      <w:r w:rsidRPr="000B0169">
        <w:t xml:space="preserve"> 11.</w:t>
      </w:r>
    </w:p>
  </w:footnote>
  <w:footnote w:id="35">
    <w:p w14:paraId="3B4C86F4" w14:textId="03A388EE" w:rsidR="00C01881" w:rsidRDefault="00C01881" w:rsidP="00F052AE">
      <w:pPr>
        <w:pStyle w:val="FootnoteText"/>
        <w:spacing w:after="120"/>
      </w:pPr>
      <w:r>
        <w:rPr>
          <w:rStyle w:val="FootnoteReference"/>
        </w:rPr>
        <w:footnoteRef/>
      </w:r>
      <w:r>
        <w:t xml:space="preserve"> With respect to New Wave and Suddenlink, this grant applies to the systems they identified as lacking access to broadband Internet service.  </w:t>
      </w:r>
      <w:r w:rsidRPr="00F401A5">
        <w:rPr>
          <w:i/>
        </w:rPr>
        <w:t>See</w:t>
      </w:r>
      <w:r>
        <w:t xml:space="preserve"> New Wave Original Petition, Exhibit A (Declaration of Jim Gleason); </w:t>
      </w:r>
      <w:r w:rsidR="00691BD8">
        <w:rPr>
          <w:i/>
        </w:rPr>
        <w:t xml:space="preserve">see also </w:t>
      </w:r>
      <w:r>
        <w:t xml:space="preserve">New Wave Consolidated Petition, Exhibit A (Declaration of Phil Spencer); </w:t>
      </w:r>
      <w:r w:rsidR="00CB6FC4">
        <w:t xml:space="preserve">New Wave June 30, 2014, Letter, Exhibit A (Declaration of Phil Spencer); </w:t>
      </w:r>
      <w:r>
        <w:t>Suddenlink Petition, Exhibit B.</w:t>
      </w:r>
    </w:p>
  </w:footnote>
  <w:footnote w:id="36">
    <w:p w14:paraId="01E214D0" w14:textId="33A13421" w:rsidR="00C01881" w:rsidRDefault="00C01881" w:rsidP="00042DCA">
      <w:pPr>
        <w:pStyle w:val="FootnoteText"/>
        <w:spacing w:after="120"/>
      </w:pPr>
      <w:r>
        <w:rPr>
          <w:rStyle w:val="FootnoteReference"/>
        </w:rPr>
        <w:footnoteRef/>
      </w:r>
      <w:r>
        <w:t xml:space="preserve"> </w:t>
      </w:r>
      <w:r w:rsidRPr="00E02B88">
        <w:rPr>
          <w:i/>
        </w:rPr>
        <w:t>See supra</w:t>
      </w:r>
      <w:r>
        <w:t xml:space="preserve"> n</w:t>
      </w:r>
      <w:r w:rsidR="0006054D">
        <w:t>n.</w:t>
      </w:r>
      <w:r w:rsidR="00CB6FC4">
        <w:t>3</w:t>
      </w:r>
      <w:r w:rsidR="001C3893">
        <w:t>,</w:t>
      </w:r>
      <w:r>
        <w:t xml:space="preserve"> 11.</w:t>
      </w:r>
    </w:p>
  </w:footnote>
  <w:footnote w:id="37">
    <w:p w14:paraId="59451EB1" w14:textId="644FC296" w:rsidR="00C01881" w:rsidRDefault="00C01881" w:rsidP="004333A7">
      <w:pPr>
        <w:pStyle w:val="FootnoteText"/>
        <w:spacing w:after="120"/>
      </w:pPr>
      <w:r>
        <w:rPr>
          <w:rStyle w:val="FootnoteReference"/>
        </w:rPr>
        <w:footnoteRef/>
      </w:r>
      <w:r>
        <w:t xml:space="preserve"> </w:t>
      </w:r>
      <w:r w:rsidRPr="00F95C2B">
        <w:rPr>
          <w:i/>
        </w:rPr>
        <w:t xml:space="preserve">See </w:t>
      </w:r>
      <w:r w:rsidRPr="00B971AC">
        <w:rPr>
          <w:i/>
        </w:rPr>
        <w:t>EAS Fifth Report and Order</w:t>
      </w:r>
      <w:r w:rsidRPr="00300679">
        <w:t xml:space="preserve">, </w:t>
      </w:r>
      <w:r w:rsidRPr="00285EF4">
        <w:t>27 FCC Rcd 642</w:t>
      </w:r>
      <w:r>
        <w:t xml:space="preserve">, </w:t>
      </w:r>
      <w:r w:rsidRPr="00285EF4">
        <w:t>6</w:t>
      </w:r>
      <w:r>
        <w:t xml:space="preserve">95-96, </w:t>
      </w:r>
      <w:r w:rsidR="00F8322D">
        <w:t>¶</w:t>
      </w:r>
      <w:r>
        <w:t xml:space="preserve"> 152.</w:t>
      </w:r>
    </w:p>
  </w:footnote>
  <w:footnote w:id="38">
    <w:p w14:paraId="527D8B12" w14:textId="4A599946" w:rsidR="00C01881" w:rsidRDefault="00C01881" w:rsidP="00080212">
      <w:pPr>
        <w:pStyle w:val="FootnoteText"/>
        <w:spacing w:after="120"/>
      </w:pPr>
      <w:r>
        <w:rPr>
          <w:rStyle w:val="FootnoteReference"/>
        </w:rPr>
        <w:footnoteRef/>
      </w:r>
      <w:r>
        <w:t xml:space="preserve"> </w:t>
      </w:r>
      <w:r w:rsidRPr="005E4EB4">
        <w:rPr>
          <w:i/>
        </w:rPr>
        <w:t>See</w:t>
      </w:r>
      <w:r>
        <w:t xml:space="preserve"> CTC Petition Renewal Request; </w:t>
      </w:r>
      <w:r w:rsidR="00691BD8">
        <w:rPr>
          <w:i/>
        </w:rPr>
        <w:t xml:space="preserve">see also </w:t>
      </w:r>
      <w:r>
        <w:t>NATCO Petition at 2-3; New Wave Original Petition</w:t>
      </w:r>
      <w:r w:rsidRPr="00FF4A1D">
        <w:t xml:space="preserve"> </w:t>
      </w:r>
      <w:r>
        <w:t xml:space="preserve">at 3 (describing the merger of its Steele, MO system with its CAP-compliant system in Dexter, MO); </w:t>
      </w:r>
      <w:r w:rsidRPr="00FF4A1D">
        <w:t xml:space="preserve">Vyve Petition 1 at 2-4; Vyve Petition 2 at 2; </w:t>
      </w:r>
      <w:r>
        <w:t>Yelcot Petition Renewal Request</w:t>
      </w:r>
      <w:r w:rsidRPr="00FF4A1D">
        <w:t xml:space="preserve"> at </w:t>
      </w:r>
      <w:r>
        <w:t>2-4.</w:t>
      </w:r>
    </w:p>
  </w:footnote>
  <w:footnote w:id="39">
    <w:p w14:paraId="354D0755" w14:textId="35AC78E6" w:rsidR="00C01881" w:rsidRDefault="00C01881" w:rsidP="00236B9D">
      <w:pPr>
        <w:pStyle w:val="FootnoteText"/>
        <w:spacing w:after="120"/>
      </w:pPr>
      <w:r w:rsidRPr="003B0CF0">
        <w:rPr>
          <w:rStyle w:val="FootnoteReference"/>
        </w:rPr>
        <w:footnoteRef/>
      </w:r>
      <w:r w:rsidRPr="003B0CF0">
        <w:t xml:space="preserve"> </w:t>
      </w:r>
      <w:r w:rsidRPr="003B0CF0">
        <w:rPr>
          <w:i/>
        </w:rPr>
        <w:t xml:space="preserve">See </w:t>
      </w:r>
      <w:r w:rsidRPr="003B0CF0">
        <w:t xml:space="preserve">CTC Petition Renewal Request at 2; </w:t>
      </w:r>
      <w:r w:rsidR="00691BD8">
        <w:rPr>
          <w:i/>
        </w:rPr>
        <w:t xml:space="preserve">see also </w:t>
      </w:r>
      <w:r w:rsidRPr="003B0CF0">
        <w:t>NATCO Waiver Renewal at 2; New Wave Original Petition at 5; Vyve Petition 1 at 3; Vyve Petition 2 at 2; Yelcot Petition Renewal Request at 2-3.</w:t>
      </w:r>
    </w:p>
  </w:footnote>
  <w:footnote w:id="40">
    <w:p w14:paraId="671F20E4" w14:textId="6A59F09D" w:rsidR="00C01881" w:rsidRDefault="00C01881" w:rsidP="00C2204D">
      <w:pPr>
        <w:pStyle w:val="FootnoteText"/>
        <w:spacing w:after="120"/>
      </w:pPr>
      <w:r>
        <w:rPr>
          <w:rStyle w:val="FootnoteReference"/>
        </w:rPr>
        <w:footnoteRef/>
      </w:r>
      <w:r>
        <w:t xml:space="preserve"> </w:t>
      </w:r>
      <w:r w:rsidRPr="00C2204D">
        <w:rPr>
          <w:i/>
        </w:rPr>
        <w:t>See</w:t>
      </w:r>
      <w:r w:rsidRPr="00C2204D">
        <w:t xml:space="preserve"> Yelcot Petition Renewal Request at 4-5</w:t>
      </w:r>
      <w:r>
        <w:t xml:space="preserve"> </w:t>
      </w:r>
      <w:r w:rsidRPr="00C2204D">
        <w:t>(</w:t>
      </w:r>
      <w:r w:rsidRPr="000134F9">
        <w:t>citing</w:t>
      </w:r>
      <w:r w:rsidRPr="00C2204D">
        <w:t xml:space="preserve"> Mediacom Communications Corporation; Operator of Cable Systems in the States of: Alabama, Florida, Georgia, Illinois, Iowa, Kansas, Kentucky, Minnesota, Mississippi, Missouri and Wisconsin; Request for Waiver of Section 11.11(a) of the Commission's Rules, </w:t>
      </w:r>
      <w:r w:rsidRPr="00C2204D">
        <w:rPr>
          <w:i/>
        </w:rPr>
        <w:t>Order</w:t>
      </w:r>
      <w:r>
        <w:t xml:space="preserve">, </w:t>
      </w:r>
      <w:r w:rsidRPr="00C2204D">
        <w:t xml:space="preserve">File No. EB-02-TS-617, 18 FCC Rcd 7656, </w:t>
      </w:r>
      <w:r w:rsidR="00F8322D">
        <w:t>¶</w:t>
      </w:r>
      <w:r w:rsidRPr="00C2204D">
        <w:t xml:space="preserve"> 3 (2003) (granting a 12-month waiver of the October 1, 2002 EAS implementation deadline for 107 small cable systems on grounds that requiring purchase of EAS equipment before the in-progress interconnection and consolidation of these systems had been completed would result in economic waste) (</w:t>
      </w:r>
      <w:r w:rsidRPr="00C2204D">
        <w:rPr>
          <w:i/>
        </w:rPr>
        <w:t>Mediacom</w:t>
      </w:r>
      <w:r w:rsidRPr="00C2204D">
        <w:t xml:space="preserve">).  </w:t>
      </w:r>
    </w:p>
  </w:footnote>
  <w:footnote w:id="41">
    <w:p w14:paraId="303DC2F1" w14:textId="77777777" w:rsidR="00C01881" w:rsidRDefault="00C01881" w:rsidP="0061137F">
      <w:pPr>
        <w:pStyle w:val="FootnoteText"/>
        <w:spacing w:after="120"/>
      </w:pPr>
      <w:r>
        <w:rPr>
          <w:rStyle w:val="FootnoteReference"/>
        </w:rPr>
        <w:footnoteRef/>
      </w:r>
      <w:r>
        <w:t xml:space="preserve"> </w:t>
      </w:r>
      <w:r w:rsidRPr="00F30168">
        <w:rPr>
          <w:i/>
        </w:rPr>
        <w:t>See</w:t>
      </w:r>
      <w:r>
        <w:t xml:space="preserve"> Vyve </w:t>
      </w:r>
      <w:r w:rsidRPr="00FF4A1D">
        <w:t>Petition 2 at 2</w:t>
      </w:r>
      <w:r>
        <w:t xml:space="preserve">. </w:t>
      </w:r>
    </w:p>
  </w:footnote>
  <w:footnote w:id="42">
    <w:p w14:paraId="4C6C518B" w14:textId="6F3D6719" w:rsidR="00C01881" w:rsidRDefault="00C01881" w:rsidP="00A31A6A">
      <w:pPr>
        <w:pStyle w:val="FootnoteText"/>
        <w:spacing w:after="120"/>
      </w:pPr>
      <w:r>
        <w:rPr>
          <w:rStyle w:val="FootnoteReference"/>
        </w:rPr>
        <w:footnoteRef/>
      </w:r>
      <w:r>
        <w:t xml:space="preserve"> </w:t>
      </w:r>
      <w:r w:rsidRPr="005E4EB4">
        <w:rPr>
          <w:i/>
        </w:rPr>
        <w:t>See</w:t>
      </w:r>
      <w:r>
        <w:t xml:space="preserve"> Allegiance Petition at 2; </w:t>
      </w:r>
      <w:r w:rsidR="00691BD8">
        <w:rPr>
          <w:i/>
        </w:rPr>
        <w:t xml:space="preserve">see also </w:t>
      </w:r>
      <w:r>
        <w:t>CTC Original Petition at 3; James Cable Original Petition at 4; NATCO Petition at 5; New Wave Original Petition</w:t>
      </w:r>
      <w:r w:rsidRPr="00FF4A1D">
        <w:t xml:space="preserve"> </w:t>
      </w:r>
      <w:r>
        <w:t>at 6; Yelcot Original Petition at 3-4.</w:t>
      </w:r>
    </w:p>
  </w:footnote>
  <w:footnote w:id="43">
    <w:p w14:paraId="728131F6" w14:textId="21A91A67" w:rsidR="00C01881" w:rsidRDefault="00C01881" w:rsidP="0070552A">
      <w:pPr>
        <w:pStyle w:val="FootnoteText"/>
        <w:spacing w:after="120"/>
      </w:pPr>
      <w:r>
        <w:rPr>
          <w:rStyle w:val="FootnoteReference"/>
        </w:rPr>
        <w:footnoteRef/>
      </w:r>
      <w:r>
        <w:t xml:space="preserve"> </w:t>
      </w:r>
      <w:r w:rsidRPr="00DA5865">
        <w:rPr>
          <w:i/>
        </w:rPr>
        <w:t>See</w:t>
      </w:r>
      <w:r>
        <w:t xml:space="preserve"> NATCO Petition at 2; </w:t>
      </w:r>
      <w:r w:rsidR="00691BD8">
        <w:rPr>
          <w:i/>
        </w:rPr>
        <w:t xml:space="preserve">see also </w:t>
      </w:r>
      <w:r w:rsidRPr="00FF4A1D">
        <w:t>Vyve Petition 1 at 2; Vyve Petition 2 at 2</w:t>
      </w:r>
      <w:r>
        <w:t>.</w:t>
      </w:r>
    </w:p>
  </w:footnote>
  <w:footnote w:id="44">
    <w:p w14:paraId="125B3236" w14:textId="17CBEA39" w:rsidR="009B72F8" w:rsidRDefault="009B72F8" w:rsidP="009B72F8">
      <w:pPr>
        <w:pStyle w:val="FootnoteText"/>
        <w:spacing w:after="120"/>
      </w:pPr>
      <w:r>
        <w:rPr>
          <w:rStyle w:val="FootnoteReference"/>
        </w:rPr>
        <w:footnoteRef/>
      </w:r>
      <w:r>
        <w:t xml:space="preserve"> </w:t>
      </w:r>
      <w:r w:rsidRPr="0070552A">
        <w:rPr>
          <w:i/>
        </w:rPr>
        <w:t>See</w:t>
      </w:r>
      <w:r w:rsidRPr="0070552A">
        <w:t xml:space="preserve"> Suddenlink Petition at 2</w:t>
      </w:r>
      <w:r>
        <w:t>-4.</w:t>
      </w:r>
    </w:p>
  </w:footnote>
  <w:footnote w:id="45">
    <w:p w14:paraId="61669CDB" w14:textId="7E08950E" w:rsidR="006B59F4" w:rsidRDefault="006B59F4" w:rsidP="00CE3E80">
      <w:pPr>
        <w:pStyle w:val="FootnoteText"/>
        <w:spacing w:after="120"/>
      </w:pPr>
      <w:r>
        <w:rPr>
          <w:rStyle w:val="FootnoteReference"/>
        </w:rPr>
        <w:footnoteRef/>
      </w:r>
      <w:r>
        <w:t xml:space="preserve"> </w:t>
      </w:r>
      <w:r w:rsidR="005631BE" w:rsidRPr="0070552A">
        <w:rPr>
          <w:i/>
        </w:rPr>
        <w:t>See</w:t>
      </w:r>
      <w:r w:rsidR="005631BE" w:rsidRPr="0070552A">
        <w:t xml:space="preserve"> </w:t>
      </w:r>
      <w:r w:rsidR="009B72F8" w:rsidRPr="000134F9">
        <w:rPr>
          <w:i/>
        </w:rPr>
        <w:t>id.</w:t>
      </w:r>
      <w:r w:rsidR="009B72F8">
        <w:t xml:space="preserve"> at </w:t>
      </w:r>
      <w:r w:rsidR="005631BE" w:rsidRPr="0070552A">
        <w:t>2</w:t>
      </w:r>
      <w:r w:rsidR="009B72F8">
        <w:t>.</w:t>
      </w:r>
    </w:p>
  </w:footnote>
  <w:footnote w:id="46">
    <w:p w14:paraId="389C6C61" w14:textId="4429F043" w:rsidR="00D70E31" w:rsidRPr="000134F9" w:rsidRDefault="00D70E31" w:rsidP="00AE7599">
      <w:pPr>
        <w:pStyle w:val="FootnoteText"/>
        <w:spacing w:after="120"/>
      </w:pPr>
      <w:r>
        <w:rPr>
          <w:rStyle w:val="FootnoteReference"/>
        </w:rPr>
        <w:footnoteRef/>
      </w:r>
      <w:r>
        <w:t xml:space="preserve"> </w:t>
      </w:r>
      <w:r w:rsidRPr="00AE7599">
        <w:rPr>
          <w:i/>
        </w:rPr>
        <w:t>See id</w:t>
      </w:r>
      <w:r>
        <w:t xml:space="preserve">. at 3-4. </w:t>
      </w:r>
      <w:r w:rsidR="00691BD8">
        <w:t xml:space="preserve"> </w:t>
      </w:r>
      <w:r w:rsidR="00B31C1B" w:rsidRPr="00B31C1B">
        <w:t xml:space="preserve">Section 11.56 of the Commission’s rules requires EAS Participants to have installed operational equipment that can </w:t>
      </w:r>
      <w:r w:rsidR="00B31C1B">
        <w:t xml:space="preserve">both </w:t>
      </w:r>
      <w:r w:rsidR="00B31C1B" w:rsidRPr="00B31C1B">
        <w:t>receive and process EAS alerts formatted in the CAP</w:t>
      </w:r>
      <w:r w:rsidR="00B31C1B">
        <w:t>.</w:t>
      </w:r>
      <w:r w:rsidR="00691BD8">
        <w:t xml:space="preserve">  </w:t>
      </w:r>
      <w:r w:rsidR="00691BD8">
        <w:rPr>
          <w:i/>
        </w:rPr>
        <w:t>See</w:t>
      </w:r>
      <w:r w:rsidR="00691BD8">
        <w:t xml:space="preserve"> 47 C.F.R. </w:t>
      </w:r>
      <w:r w:rsidR="00691BD8" w:rsidRPr="00285EF4">
        <w:t>§</w:t>
      </w:r>
      <w:r w:rsidR="00691BD8">
        <w:t xml:space="preserve"> 11.56.</w:t>
      </w:r>
    </w:p>
  </w:footnote>
  <w:footnote w:id="47">
    <w:p w14:paraId="63F69183" w14:textId="2D6A7025" w:rsidR="005050E8" w:rsidRDefault="005050E8" w:rsidP="005050E8">
      <w:pPr>
        <w:pStyle w:val="FootnoteText"/>
        <w:spacing w:after="120"/>
      </w:pPr>
      <w:r>
        <w:rPr>
          <w:rStyle w:val="FootnoteReference"/>
        </w:rPr>
        <w:footnoteRef/>
      </w:r>
      <w:r>
        <w:t xml:space="preserve"> </w:t>
      </w:r>
      <w:r w:rsidR="00D70E31" w:rsidRPr="00AE7599">
        <w:rPr>
          <w:i/>
        </w:rPr>
        <w:t>See id</w:t>
      </w:r>
      <w:r w:rsidR="00D70E31">
        <w:t xml:space="preserve">. </w:t>
      </w:r>
      <w:r w:rsidRPr="00172139">
        <w:t xml:space="preserve">Suddenlink indicated in its initial waiver renewal request filed in December 2012 that it had completed the testing process and that all of the 58 systems were CAP-compliant.  </w:t>
      </w:r>
      <w:r w:rsidRPr="00BF4269">
        <w:rPr>
          <w:i/>
        </w:rPr>
        <w:t>See</w:t>
      </w:r>
      <w:r>
        <w:t xml:space="preserve"> Suddenlink Dec. 27, 2012, Waiver Petition Renewal at 2.</w:t>
      </w:r>
    </w:p>
  </w:footnote>
  <w:footnote w:id="48">
    <w:p w14:paraId="05394B59" w14:textId="564CFDB5" w:rsidR="00D70E31" w:rsidRDefault="00D70E31" w:rsidP="00D70E31">
      <w:pPr>
        <w:pStyle w:val="FootnoteText"/>
        <w:spacing w:after="120"/>
      </w:pPr>
      <w:r>
        <w:rPr>
          <w:rStyle w:val="FootnoteReference"/>
        </w:rPr>
        <w:footnoteRef/>
      </w:r>
      <w:r>
        <w:t xml:space="preserve"> </w:t>
      </w:r>
      <w:r w:rsidR="00DC46A4">
        <w:t xml:space="preserve">Suddenlink Dec. 27, 2012, Waiver Petition Renewal </w:t>
      </w:r>
      <w:r>
        <w:t xml:space="preserve">at 3. </w:t>
      </w:r>
    </w:p>
  </w:footnote>
  <w:footnote w:id="49">
    <w:p w14:paraId="3B8840A8" w14:textId="33FBA418" w:rsidR="00700EDC" w:rsidRDefault="00700EDC" w:rsidP="000134F9">
      <w:pPr>
        <w:pStyle w:val="FootnoteText"/>
        <w:spacing w:after="120"/>
      </w:pPr>
      <w:r>
        <w:rPr>
          <w:rStyle w:val="FootnoteReference"/>
        </w:rPr>
        <w:footnoteRef/>
      </w:r>
      <w:r>
        <w:t xml:space="preserve"> </w:t>
      </w:r>
      <w:r w:rsidRPr="00285EF4">
        <w:rPr>
          <w:i/>
        </w:rPr>
        <w:t>See</w:t>
      </w:r>
      <w:r w:rsidRPr="000134F9">
        <w:t>,</w:t>
      </w:r>
      <w:r>
        <w:rPr>
          <w:i/>
        </w:rPr>
        <w:t xml:space="preserve"> e.g.</w:t>
      </w:r>
      <w:r>
        <w:t>,</w:t>
      </w:r>
      <w:r w:rsidRPr="00285EF4">
        <w:rPr>
          <w:i/>
        </w:rPr>
        <w:t xml:space="preserve"> </w:t>
      </w:r>
      <w:r w:rsidRPr="00285EF4">
        <w:t xml:space="preserve">Wendell &amp; Associates Request to Waive the Period to Construct Unbuilt Station WKNJ (AM) Harriman, New York, File No. BMAP-200001023ACF, </w:t>
      </w:r>
      <w:r w:rsidRPr="00285EF4">
        <w:rPr>
          <w:i/>
        </w:rPr>
        <w:t>Memorandum Opinion and Order</w:t>
      </w:r>
      <w:r w:rsidRPr="00285EF4">
        <w:t>, 17 FCC Rcd 18576, 18578</w:t>
      </w:r>
      <w:r w:rsidR="00DC46A4">
        <w:t>,</w:t>
      </w:r>
      <w:r w:rsidRPr="00285EF4">
        <w:t xml:space="preserve"> ¶ 7 (2002</w:t>
      </w:r>
      <w:r w:rsidRPr="008F1E7B">
        <w:t>)</w:t>
      </w:r>
      <w:r>
        <w:t xml:space="preserve"> </w:t>
      </w:r>
      <w:r w:rsidRPr="008F1E7B">
        <w:t>(“</w:t>
      </w:r>
      <w:r w:rsidRPr="008F1E7B">
        <w:rPr>
          <w:color w:val="000000"/>
        </w:rPr>
        <w:t>vendor problems, whatever their cause, are ordinary risks for which businesses should prudently plan, and would not generally form the basis for a waiver</w:t>
      </w:r>
      <w:r w:rsidRPr="008F1E7B">
        <w:t>”).</w:t>
      </w:r>
      <w:r w:rsidRPr="00285EF4">
        <w:t xml:space="preserve">  </w:t>
      </w:r>
      <w:r>
        <w:rPr>
          <w:i/>
        </w:rPr>
        <w:t xml:space="preserve">See also </w:t>
      </w:r>
      <w:r w:rsidRPr="00285EF4">
        <w:t xml:space="preserve">Application for Review of Specialized Mobile Radio Station WZZ–545, licensed to Motek Engineering San Jose, California, </w:t>
      </w:r>
      <w:r w:rsidRPr="00285EF4">
        <w:rPr>
          <w:i/>
        </w:rPr>
        <w:t>Memorandum Opinion and Order</w:t>
      </w:r>
      <w:r w:rsidRPr="00285EF4">
        <w:t>, 98 F.C.C.2d 323</w:t>
      </w:r>
      <w:r w:rsidR="00DC46A4">
        <w:t>,</w:t>
      </w:r>
      <w:r w:rsidRPr="00285EF4">
        <w:t xml:space="preserve"> </w:t>
      </w:r>
      <w:r w:rsidR="00DC46A4">
        <w:t xml:space="preserve">324, 326, </w:t>
      </w:r>
      <w:r w:rsidRPr="00285EF4">
        <w:t>¶¶ 4, 10 (1984) (“delays in the manufacture or shipment of equipment provide no basis for an extension</w:t>
      </w:r>
      <w:r w:rsidR="00DC46A4">
        <w:t xml:space="preserve"> . . . </w:t>
      </w:r>
      <w:r w:rsidRPr="00285EF4">
        <w:t>The nature of [the licensee’s] relationship with its supplier is the result of [its] independent business judgment and may not be used to absolve [it] or any other licensee from the</w:t>
      </w:r>
      <w:r w:rsidR="00DC46A4">
        <w:t xml:space="preserve"> . . .</w:t>
      </w:r>
      <w:r w:rsidRPr="00285EF4">
        <w:t xml:space="preserve"> requirements [of] </w:t>
      </w:r>
      <w:r>
        <w:t>our rules.”);</w:t>
      </w:r>
      <w:r w:rsidRPr="00285EF4">
        <w:t xml:space="preserve"> Revision of the Commission’s Rules to Ensure Compatibility with Enhanced 911 Emergency Calling Systems, CC Docket No. 94-102, </w:t>
      </w:r>
      <w:r w:rsidRPr="00285EF4">
        <w:rPr>
          <w:i/>
        </w:rPr>
        <w:t>Order</w:t>
      </w:r>
      <w:r w:rsidRPr="00285EF4">
        <w:t>, 16 FCC Rcd 18330, 18354 Statement of Commissioner Michael Copps (2001) (“waivers will not be granted merely</w:t>
      </w:r>
      <w:r w:rsidR="00DC46A4">
        <w:t xml:space="preserve"> . . . </w:t>
      </w:r>
      <w:r w:rsidRPr="00285EF4">
        <w:t>because of delays by a vendor”).</w:t>
      </w:r>
    </w:p>
  </w:footnote>
  <w:footnote w:id="50">
    <w:p w14:paraId="38D5E986" w14:textId="0ACEA6AA" w:rsidR="009C6EBB" w:rsidRDefault="00E56BB9" w:rsidP="001115FB">
      <w:pPr>
        <w:pStyle w:val="FootnoteText"/>
        <w:spacing w:after="120"/>
      </w:pPr>
      <w:r>
        <w:rPr>
          <w:rStyle w:val="FootnoteReference"/>
        </w:rPr>
        <w:footnoteRef/>
      </w:r>
      <w:r>
        <w:t xml:space="preserve"> </w:t>
      </w:r>
      <w:r w:rsidRPr="001115FB">
        <w:rPr>
          <w:i/>
        </w:rPr>
        <w:t>See</w:t>
      </w:r>
      <w:r>
        <w:t xml:space="preserve"> 47 C.F.R. §11.35.</w:t>
      </w:r>
    </w:p>
  </w:footnote>
  <w:footnote w:id="51">
    <w:p w14:paraId="2ECD424B" w14:textId="77777777" w:rsidR="00C01881" w:rsidRDefault="00C01881" w:rsidP="007B0B85">
      <w:pPr>
        <w:pStyle w:val="FootnoteText"/>
        <w:spacing w:after="120"/>
      </w:pPr>
      <w:r>
        <w:rPr>
          <w:rStyle w:val="FootnoteReference"/>
        </w:rPr>
        <w:footnoteRef/>
      </w:r>
      <w:r>
        <w:t xml:space="preserve"> </w:t>
      </w:r>
      <w:r w:rsidRPr="0070552A">
        <w:rPr>
          <w:i/>
        </w:rPr>
        <w:t>See</w:t>
      </w:r>
      <w:r w:rsidRPr="0070552A">
        <w:t xml:space="preserve"> Suddenlink Petition at </w:t>
      </w:r>
      <w:r>
        <w:t>6.</w:t>
      </w:r>
    </w:p>
  </w:footnote>
  <w:footnote w:id="52">
    <w:p w14:paraId="1374F43E" w14:textId="57D2FDF1" w:rsidR="00C01881" w:rsidRDefault="00C01881" w:rsidP="007B0B85">
      <w:pPr>
        <w:pStyle w:val="FootnoteText"/>
        <w:spacing w:after="120"/>
      </w:pPr>
      <w:r>
        <w:rPr>
          <w:rStyle w:val="FootnoteReference"/>
        </w:rPr>
        <w:footnoteRef/>
      </w:r>
      <w:r>
        <w:t xml:space="preserve"> With respect to New Wave, this grant applies to its Steele, MO system (MO0047).  </w:t>
      </w:r>
      <w:r w:rsidRPr="0031254C">
        <w:rPr>
          <w:i/>
        </w:rPr>
        <w:t>See</w:t>
      </w:r>
      <w:r>
        <w:t xml:space="preserve"> New Wave Original Petition at 3.  With respect to Suddenlink, this grant applies to the systems identified in the Suddenlink Petition, Exhibit A.  </w:t>
      </w:r>
    </w:p>
  </w:footnote>
  <w:footnote w:id="53">
    <w:p w14:paraId="08CAB376" w14:textId="49149C76" w:rsidR="00C01881" w:rsidRDefault="00C01881" w:rsidP="004C51DE">
      <w:pPr>
        <w:pStyle w:val="FootnoteText"/>
        <w:spacing w:after="120"/>
      </w:pPr>
      <w:r>
        <w:rPr>
          <w:rStyle w:val="FootnoteReference"/>
        </w:rPr>
        <w:footnoteRef/>
      </w:r>
      <w:r>
        <w:t xml:space="preserve"> </w:t>
      </w:r>
      <w:r w:rsidRPr="005E4EB4">
        <w:rPr>
          <w:i/>
        </w:rPr>
        <w:t>See</w:t>
      </w:r>
      <w:r>
        <w:t xml:space="preserve"> CTC Petition Renewal Request at 2; </w:t>
      </w:r>
      <w:r w:rsidR="00DC46A4">
        <w:rPr>
          <w:i/>
        </w:rPr>
        <w:t xml:space="preserve">see also </w:t>
      </w:r>
      <w:r>
        <w:t xml:space="preserve">NATCO Waiver Renewal at 2; New Wave </w:t>
      </w:r>
      <w:r w:rsidRPr="003B0CF0">
        <w:t>Original Petition at 5</w:t>
      </w:r>
      <w:r>
        <w:t xml:space="preserve">; Suddenlink Dec. 27, 2012, Waiver Petition Renewal at 2. </w:t>
      </w:r>
      <w:r w:rsidRPr="00FF4A1D">
        <w:t xml:space="preserve">Vyve Petition 1 at </w:t>
      </w:r>
      <w:r>
        <w:t>3</w:t>
      </w:r>
      <w:r w:rsidRPr="00FF4A1D">
        <w:t xml:space="preserve">; Vyve Petition 2 at 2; </w:t>
      </w:r>
      <w:r>
        <w:t>Yelcot Petition Renewal Request at 2-3.</w:t>
      </w:r>
    </w:p>
  </w:footnote>
  <w:footnote w:id="54">
    <w:p w14:paraId="63536D89" w14:textId="3C6BB4BA" w:rsidR="00C01881" w:rsidRDefault="00C01881" w:rsidP="00E25B3F">
      <w:pPr>
        <w:pStyle w:val="FootnoteText"/>
        <w:spacing w:after="120"/>
      </w:pPr>
      <w:r>
        <w:rPr>
          <w:rStyle w:val="FootnoteReference"/>
        </w:rPr>
        <w:footnoteRef/>
      </w:r>
      <w:r>
        <w:t xml:space="preserve"> </w:t>
      </w:r>
      <w:r w:rsidRPr="00E25B3F">
        <w:rPr>
          <w:i/>
        </w:rPr>
        <w:t>See supra</w:t>
      </w:r>
      <w:r>
        <w:t xml:space="preserve"> n</w:t>
      </w:r>
      <w:r w:rsidR="001C3893">
        <w:t>n.</w:t>
      </w:r>
      <w:r w:rsidR="009C6EBB">
        <w:t>2, 7</w:t>
      </w:r>
      <w:r w:rsidR="00DC46A4">
        <w:t>,</w:t>
      </w:r>
      <w:r w:rsidR="009C6EBB">
        <w:t xml:space="preserve"> </w:t>
      </w:r>
      <w:r>
        <w:t xml:space="preserve">12. </w:t>
      </w:r>
    </w:p>
    <w:p w14:paraId="129E1F67" w14:textId="77777777" w:rsidR="00C01881" w:rsidRDefault="00C01881" w:rsidP="00E25B3F">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6F18" w14:textId="77777777" w:rsidR="00542DCF" w:rsidRDefault="00542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64D8" w14:textId="2CF43014" w:rsidR="00C01881" w:rsidRDefault="00C01881">
    <w:pPr>
      <w:pStyle w:val="Header"/>
      <w:tabs>
        <w:tab w:val="clear" w:pos="4320"/>
        <w:tab w:val="left" w:pos="7200"/>
        <w:tab w:val="right" w:pos="9270"/>
      </w:tabs>
      <w:rPr>
        <w:b/>
      </w:rPr>
    </w:pPr>
    <w:r>
      <w:t xml:space="preserve">                                               </w:t>
    </w:r>
    <w:r>
      <w:rPr>
        <w:b/>
      </w:rPr>
      <w:t>Federal Communications Commission                                     D</w:t>
    </w:r>
    <w:r w:rsidR="00344F86">
      <w:rPr>
        <w:b/>
      </w:rPr>
      <w:t>A 14-1691</w:t>
    </w:r>
  </w:p>
  <w:p w14:paraId="1D5495AD" w14:textId="18EABE8F" w:rsidR="00C01881" w:rsidRDefault="00C01881" w:rsidP="000134F9">
    <w:pPr>
      <w:pStyle w:val="Header"/>
      <w:tabs>
        <w:tab w:val="clear" w:pos="4320"/>
        <w:tab w:val="clear" w:pos="8640"/>
        <w:tab w:val="left" w:pos="6785"/>
      </w:tabs>
    </w:pPr>
    <w:r>
      <w:rPr>
        <w:noProof/>
      </w:rPr>
      <mc:AlternateContent>
        <mc:Choice Requires="wps">
          <w:drawing>
            <wp:anchor distT="4294967292" distB="4294967292" distL="114300" distR="114300" simplePos="0" relativeHeight="251660288" behindDoc="0" locked="0" layoutInCell="0" allowOverlap="1" wp14:anchorId="1B337B9F" wp14:editId="211A4D3E">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r w:rsidR="00344F8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6025" w14:textId="2D8B7E79" w:rsidR="00C01881" w:rsidRDefault="00C01881">
    <w:pPr>
      <w:pStyle w:val="Header"/>
      <w:tabs>
        <w:tab w:val="clear" w:pos="4320"/>
        <w:tab w:val="clear" w:pos="8640"/>
        <w:tab w:val="left" w:pos="7200"/>
        <w:tab w:val="left" w:pos="8010"/>
        <w:tab w:val="right" w:pos="9270"/>
        <w:tab w:val="right" w:pos="9360"/>
      </w:tabs>
      <w:rPr>
        <w:b/>
      </w:rPr>
    </w:pPr>
    <w:r>
      <w:t xml:space="preserve">                                                  </w:t>
    </w:r>
    <w:r>
      <w:rPr>
        <w:b/>
      </w:rPr>
      <w:t xml:space="preserve">Federal Communications Commission                           </w:t>
    </w:r>
    <w:r>
      <w:rPr>
        <w:b/>
      </w:rPr>
      <w:tab/>
    </w:r>
    <w:r>
      <w:rPr>
        <w:b/>
      </w:rPr>
      <w:tab/>
      <w:t xml:space="preserve">DA </w:t>
    </w:r>
    <w:r w:rsidR="00344F86">
      <w:rPr>
        <w:b/>
      </w:rPr>
      <w:t>14-1691</w:t>
    </w:r>
  </w:p>
  <w:p w14:paraId="62B348BA" w14:textId="77777777" w:rsidR="00C01881" w:rsidRDefault="00C01881">
    <w:pPr>
      <w:pStyle w:val="Header"/>
    </w:pPr>
    <w:r>
      <w:rPr>
        <w:noProof/>
      </w:rPr>
      <mc:AlternateContent>
        <mc:Choice Requires="wps">
          <w:drawing>
            <wp:anchor distT="4294967292" distB="4294967292" distL="114300" distR="114300" simplePos="0" relativeHeight="251662336" behindDoc="0" locked="0" layoutInCell="0" allowOverlap="1" wp14:anchorId="58FEA865" wp14:editId="3C8F19E3">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14:paraId="12F9E6E2" w14:textId="77777777" w:rsidR="00C01881" w:rsidRDefault="00C01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3240"/>
        </w:tabs>
        <w:ind w:left="3240" w:hanging="720"/>
      </w:pPr>
      <w:rPr>
        <w:rFonts w:cs="Times New Roman"/>
      </w:rPr>
    </w:lvl>
  </w:abstractNum>
  <w:abstractNum w:abstractNumId="1">
    <w:nsid w:val="025A783C"/>
    <w:multiLevelType w:val="singleLevel"/>
    <w:tmpl w:val="A52053E0"/>
    <w:lvl w:ilvl="0">
      <w:start w:val="1"/>
      <w:numFmt w:val="decimal"/>
      <w:pStyle w:val="DocumentMap"/>
      <w:lvlText w:val="%1."/>
      <w:lvlJc w:val="left"/>
      <w:pPr>
        <w:tabs>
          <w:tab w:val="num" w:pos="1080"/>
        </w:tabs>
        <w:ind w:firstLine="720"/>
      </w:pPr>
      <w:rPr>
        <w:rFonts w:cs="Times New Roman"/>
        <w:b w:val="0"/>
        <w:i w:val="0"/>
      </w:rPr>
    </w:lvl>
  </w:abstractNum>
  <w:abstractNum w:abstractNumId="2">
    <w:nsid w:val="037673A6"/>
    <w:multiLevelType w:val="multilevel"/>
    <w:tmpl w:val="12F6ECC0"/>
    <w:name w:val="WW8Num4"/>
    <w:lvl w:ilvl="0">
      <w:start w:val="1"/>
      <w:numFmt w:val="upperRoman"/>
      <w:lvlText w:val="%1."/>
      <w:lvlJc w:val="left"/>
      <w:pPr>
        <w:tabs>
          <w:tab w:val="num" w:pos="720"/>
        </w:tabs>
        <w:ind w:left="720" w:hanging="720"/>
      </w:pPr>
      <w:rPr>
        <w:rFonts w:ascii="Times New Roman" w:hAnsi="Times New Roman" w:cs="Times New Roman" w:hint="default"/>
        <w:sz w:val="22"/>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i w:val="0"/>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6CE4944"/>
    <w:multiLevelType w:val="multilevel"/>
    <w:tmpl w:val="C236499C"/>
    <w:lvl w:ilvl="0">
      <w:start w:val="1"/>
      <w:numFmt w:val="decimal"/>
      <w:lvlText w:val="%1."/>
      <w:lvlJc w:val="left"/>
      <w:pPr>
        <w:tabs>
          <w:tab w:val="num" w:pos="900"/>
        </w:tabs>
        <w:ind w:left="-540" w:firstLine="900"/>
      </w:pPr>
      <w:rPr>
        <w:rFonts w:ascii="Times New Roman" w:hAnsi="Times New Roman" w:cs="Times New Roman" w:hint="default"/>
        <w:b w:val="0"/>
        <w:i w:val="0"/>
        <w:caps w:val="0"/>
        <w:strike w:val="0"/>
        <w:dstrike w:val="0"/>
        <w:vanish w:val="0"/>
        <w:sz w:val="22"/>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B44166"/>
    <w:multiLevelType w:val="hybridMultilevel"/>
    <w:tmpl w:val="F2880164"/>
    <w:lvl w:ilvl="0" w:tplc="AFEEC53C">
      <w:start w:val="1"/>
      <w:numFmt w:val="decimal"/>
      <w:lvlText w:val="%1."/>
      <w:lvlJc w:val="left"/>
      <w:pPr>
        <w:tabs>
          <w:tab w:val="num" w:pos="720"/>
        </w:tabs>
        <w:ind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BF32B3C"/>
    <w:multiLevelType w:val="hybridMultilevel"/>
    <w:tmpl w:val="FD902954"/>
    <w:lvl w:ilvl="0" w:tplc="AFEEC53C">
      <w:start w:val="1"/>
      <w:numFmt w:val="decimal"/>
      <w:pStyle w:val="ParaNum"/>
      <w:lvlText w:val="%1."/>
      <w:lvlJc w:val="left"/>
      <w:pPr>
        <w:tabs>
          <w:tab w:val="num" w:pos="900"/>
        </w:tabs>
        <w:ind w:left="-540" w:firstLine="900"/>
      </w:pPr>
      <w:rPr>
        <w:rFonts w:ascii="Times New Roman" w:hAnsi="Times New Roman" w:cs="Times New Roman" w:hint="default"/>
        <w:b w:val="0"/>
        <w:i w:val="0"/>
        <w:caps w:val="0"/>
        <w:strike w:val="0"/>
        <w:dstrike w:val="0"/>
        <w:vanish w:val="0"/>
        <w:sz w:val="22"/>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5C82E3D"/>
    <w:multiLevelType w:val="hybridMultilevel"/>
    <w:tmpl w:val="0AB40F10"/>
    <w:lvl w:ilvl="0" w:tplc="AFEEC53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5E715533"/>
    <w:multiLevelType w:val="multilevel"/>
    <w:tmpl w:val="05AE21FC"/>
    <w:lvl w:ilvl="0">
      <w:start w:val="1"/>
      <w:numFmt w:val="upperRoman"/>
      <w:pStyle w:val="Heading1"/>
      <w:lvlText w:val="%1."/>
      <w:lvlJc w:val="left"/>
      <w:pPr>
        <w:tabs>
          <w:tab w:val="num" w:pos="720"/>
        </w:tabs>
        <w:ind w:left="720" w:hanging="720"/>
      </w:pPr>
      <w:rPr>
        <w:rFonts w:ascii="Times New Roman" w:hAnsi="Times New Roman" w:cs="Times New Roman" w:hint="default"/>
        <w:b/>
        <w:i w:val="0"/>
        <w:sz w:val="22"/>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b/>
        <w:i w:val="0"/>
      </w:rPr>
    </w:lvl>
    <w:lvl w:ilvl="3">
      <w:start w:val="1"/>
      <w:numFmt w:val="lowerLetter"/>
      <w:pStyle w:val="Heading4"/>
      <w:lvlText w:val="%4."/>
      <w:lvlJc w:val="left"/>
      <w:pPr>
        <w:tabs>
          <w:tab w:val="num" w:pos="2880"/>
        </w:tabs>
        <w:ind w:left="2880" w:hanging="720"/>
      </w:pPr>
      <w:rPr>
        <w:rFonts w:cs="Times New Roman" w:hint="default"/>
      </w:rPr>
    </w:lvl>
    <w:lvl w:ilvl="4">
      <w:start w:val="1"/>
      <w:numFmt w:val="lowerRoman"/>
      <w:pStyle w:val="Heading5"/>
      <w:lvlText w:val="(%5)"/>
      <w:lvlJc w:val="left"/>
      <w:pPr>
        <w:tabs>
          <w:tab w:val="num" w:pos="3600"/>
        </w:tabs>
        <w:ind w:left="360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lowerRoman"/>
      <w:pStyle w:val="Heading7"/>
      <w:lvlText w:val="(%7)"/>
      <w:lvlJc w:val="left"/>
      <w:pPr>
        <w:tabs>
          <w:tab w:val="num" w:pos="504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nsid w:val="61182925"/>
    <w:multiLevelType w:val="singleLevel"/>
    <w:tmpl w:val="974CC14E"/>
    <w:lvl w:ilvl="0">
      <w:start w:val="1"/>
      <w:numFmt w:val="decimal"/>
      <w:lvlText w:val="%1."/>
      <w:lvlJc w:val="left"/>
      <w:pPr>
        <w:tabs>
          <w:tab w:val="num" w:pos="1080"/>
        </w:tabs>
        <w:ind w:firstLine="720"/>
      </w:pPr>
      <w:rPr>
        <w:rFonts w:ascii="Times New Roman" w:hAnsi="Times New Roman" w:cs="Times New Roman"/>
        <w:sz w:val="22"/>
      </w:rPr>
    </w:lvl>
  </w:abstractNum>
  <w:abstractNum w:abstractNumId="9">
    <w:nsid w:val="68FF4F99"/>
    <w:multiLevelType w:val="hybridMultilevel"/>
    <w:tmpl w:val="003C3D20"/>
    <w:lvl w:ilvl="0" w:tplc="82DEDC42">
      <w:start w:val="1"/>
      <w:numFmt w:val="decimal"/>
      <w:lvlText w:val="%1."/>
      <w:lvlJc w:val="left"/>
      <w:pPr>
        <w:tabs>
          <w:tab w:val="num" w:pos="1440"/>
        </w:tabs>
        <w:ind w:left="144" w:firstLine="576"/>
      </w:pPr>
      <w:rPr>
        <w:rFonts w:cs="Times New Roman" w:hint="default"/>
        <w:sz w:val="24"/>
        <w:szCs w:val="24"/>
      </w:rPr>
    </w:lvl>
    <w:lvl w:ilvl="1" w:tplc="798A153C">
      <w:start w:val="1"/>
      <w:numFmt w:val="lowerLetter"/>
      <w:lvlText w:val="%2."/>
      <w:lvlJc w:val="left"/>
      <w:pPr>
        <w:tabs>
          <w:tab w:val="num" w:pos="1440"/>
        </w:tabs>
        <w:ind w:left="1440" w:hanging="360"/>
      </w:pPr>
      <w:rPr>
        <w:rFonts w:cs="Times New Roman"/>
      </w:rPr>
    </w:lvl>
    <w:lvl w:ilvl="2" w:tplc="23CE1456">
      <w:start w:val="1"/>
      <w:numFmt w:val="lowerRoman"/>
      <w:lvlText w:val="%3."/>
      <w:lvlJc w:val="right"/>
      <w:pPr>
        <w:tabs>
          <w:tab w:val="num" w:pos="2160"/>
        </w:tabs>
        <w:ind w:left="2160" w:hanging="180"/>
      </w:pPr>
      <w:rPr>
        <w:rFonts w:cs="Times New Roman"/>
      </w:rPr>
    </w:lvl>
    <w:lvl w:ilvl="3" w:tplc="9B36E37C">
      <w:start w:val="1"/>
      <w:numFmt w:val="decimal"/>
      <w:lvlText w:val="%4."/>
      <w:lvlJc w:val="left"/>
      <w:pPr>
        <w:tabs>
          <w:tab w:val="num" w:pos="2880"/>
        </w:tabs>
        <w:ind w:left="2880" w:hanging="360"/>
      </w:pPr>
      <w:rPr>
        <w:rFonts w:cs="Times New Roman"/>
      </w:rPr>
    </w:lvl>
    <w:lvl w:ilvl="4" w:tplc="8E04B936">
      <w:start w:val="1"/>
      <w:numFmt w:val="lowerLetter"/>
      <w:lvlText w:val="%5."/>
      <w:lvlJc w:val="left"/>
      <w:pPr>
        <w:tabs>
          <w:tab w:val="num" w:pos="3600"/>
        </w:tabs>
        <w:ind w:left="3600" w:hanging="360"/>
      </w:pPr>
      <w:rPr>
        <w:rFonts w:cs="Times New Roman"/>
      </w:rPr>
    </w:lvl>
    <w:lvl w:ilvl="5" w:tplc="F322EBD8">
      <w:start w:val="1"/>
      <w:numFmt w:val="lowerRoman"/>
      <w:lvlText w:val="%6."/>
      <w:lvlJc w:val="right"/>
      <w:pPr>
        <w:tabs>
          <w:tab w:val="num" w:pos="4320"/>
        </w:tabs>
        <w:ind w:left="4320" w:hanging="180"/>
      </w:pPr>
      <w:rPr>
        <w:rFonts w:cs="Times New Roman"/>
      </w:rPr>
    </w:lvl>
    <w:lvl w:ilvl="6" w:tplc="3C48FFBE">
      <w:start w:val="1"/>
      <w:numFmt w:val="decimal"/>
      <w:lvlText w:val="%7."/>
      <w:lvlJc w:val="left"/>
      <w:pPr>
        <w:tabs>
          <w:tab w:val="num" w:pos="5040"/>
        </w:tabs>
        <w:ind w:left="5040" w:hanging="360"/>
      </w:pPr>
      <w:rPr>
        <w:rFonts w:cs="Times New Roman"/>
      </w:rPr>
    </w:lvl>
    <w:lvl w:ilvl="7" w:tplc="E14E300A">
      <w:start w:val="1"/>
      <w:numFmt w:val="lowerLetter"/>
      <w:lvlText w:val="%8."/>
      <w:lvlJc w:val="left"/>
      <w:pPr>
        <w:tabs>
          <w:tab w:val="num" w:pos="5760"/>
        </w:tabs>
        <w:ind w:left="5760" w:hanging="360"/>
      </w:pPr>
      <w:rPr>
        <w:rFonts w:cs="Times New Roman"/>
      </w:rPr>
    </w:lvl>
    <w:lvl w:ilvl="8" w:tplc="4CC45776">
      <w:start w:val="1"/>
      <w:numFmt w:val="lowerRoman"/>
      <w:lvlText w:val="%9."/>
      <w:lvlJc w:val="right"/>
      <w:pPr>
        <w:tabs>
          <w:tab w:val="num" w:pos="6480"/>
        </w:tabs>
        <w:ind w:left="6480" w:hanging="180"/>
      </w:pPr>
      <w:rPr>
        <w:rFonts w:cs="Times New Roman"/>
      </w:rPr>
    </w:lvl>
  </w:abstractNum>
  <w:abstractNum w:abstractNumId="10">
    <w:nsid w:val="6A4A6C7A"/>
    <w:multiLevelType w:val="hybridMultilevel"/>
    <w:tmpl w:val="B0CE47DA"/>
    <w:lvl w:ilvl="0" w:tplc="FFFFFFFF">
      <w:start w:val="1"/>
      <w:numFmt w:val="decimal"/>
      <w:lvlText w:val="%1."/>
      <w:lvlJc w:val="left"/>
      <w:pPr>
        <w:tabs>
          <w:tab w:val="num" w:pos="756"/>
        </w:tabs>
        <w:ind w:left="-180" w:firstLine="900"/>
      </w:pPr>
      <w:rPr>
        <w:rFonts w:ascii="Times New Roman" w:hAnsi="Times New Roman" w:cs="Times New Roman" w:hint="default"/>
        <w:b w:val="0"/>
        <w:i w:val="0"/>
        <w:caps w:val="0"/>
        <w:strike w:val="0"/>
        <w:dstrike w:val="0"/>
        <w:vanish w:val="0"/>
        <w:sz w:val="22"/>
        <w:u w:val="none"/>
        <w:vertAlign w:val="baseline"/>
      </w:rPr>
    </w:lvl>
    <w:lvl w:ilvl="1" w:tplc="FFFFFFFF">
      <w:start w:val="4"/>
      <w:numFmt w:val="upperLetter"/>
      <w:lvlText w:val="%2."/>
      <w:lvlJc w:val="left"/>
      <w:pPr>
        <w:tabs>
          <w:tab w:val="num" w:pos="1440"/>
        </w:tabs>
        <w:ind w:left="1440" w:hanging="360"/>
      </w:pPr>
      <w:rPr>
        <w:rFonts w:cs="Times New Roman" w:hint="default"/>
      </w:rPr>
    </w:lvl>
    <w:lvl w:ilvl="2" w:tplc="FFFFFFFF">
      <w:start w:val="3"/>
      <w:numFmt w:val="lowerLetter"/>
      <w:lvlText w:val="%3."/>
      <w:lvlJc w:val="left"/>
      <w:pPr>
        <w:tabs>
          <w:tab w:val="num" w:pos="2340"/>
        </w:tabs>
        <w:ind w:left="2340" w:hanging="360"/>
      </w:pPr>
      <w:rPr>
        <w:rFonts w:cs="Times New Roman" w:hint="default"/>
      </w:rPr>
    </w:lvl>
    <w:lvl w:ilvl="3" w:tplc="FFFFFFFF">
      <w:start w:val="5"/>
      <w:numFmt w:val="lowerRoman"/>
      <w:lvlText w:val="(%4)"/>
      <w:lvlJc w:val="left"/>
      <w:pPr>
        <w:tabs>
          <w:tab w:val="num" w:pos="3240"/>
        </w:tabs>
        <w:ind w:left="3240" w:hanging="720"/>
      </w:pPr>
      <w:rPr>
        <w:rFonts w:cs="Times New Roman" w:hint="default"/>
        <w:i/>
      </w:rPr>
    </w:lvl>
    <w:lvl w:ilvl="4" w:tplc="FFFFFFFF">
      <w:start w:val="1"/>
      <w:numFmt w:val="decimal"/>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F6F3684"/>
    <w:multiLevelType w:val="hybridMultilevel"/>
    <w:tmpl w:val="2C3EA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5"/>
  </w:num>
  <w:num w:numId="5">
    <w:abstractNumId w:val="5"/>
  </w:num>
  <w:num w:numId="6">
    <w:abstractNumId w:val="6"/>
  </w:num>
  <w:num w:numId="7">
    <w:abstractNumId w:val="5"/>
  </w:num>
  <w:num w:numId="8">
    <w:abstractNumId w:val="9"/>
  </w:num>
  <w:num w:numId="9">
    <w:abstractNumId w:val="1"/>
  </w:num>
  <w:num w:numId="10">
    <w:abstractNumId w:val="5"/>
  </w:num>
  <w:num w:numId="11">
    <w:abstractNumId w:val="5"/>
  </w:num>
  <w:num w:numId="12">
    <w:abstractNumId w:val="5"/>
  </w:num>
  <w:num w:numId="13">
    <w:abstractNumId w:val="3"/>
  </w:num>
  <w:num w:numId="14">
    <w:abstractNumId w:val="5"/>
  </w:num>
  <w:num w:numId="15">
    <w:abstractNumId w:val="5"/>
  </w:num>
  <w:num w:numId="16">
    <w:abstractNumId w:val="4"/>
  </w:num>
  <w:num w:numId="17">
    <w:abstractNumId w:val="5"/>
  </w:num>
  <w:num w:numId="18">
    <w:abstractNumId w:val="10"/>
  </w:num>
  <w:num w:numId="19">
    <w:abstractNumId w:val="5"/>
  </w:num>
  <w:num w:numId="20">
    <w:abstractNumId w:val="5"/>
    <w:lvlOverride w:ilvl="0">
      <w:startOverride w:val="1"/>
    </w:lvlOverride>
  </w:num>
  <w:num w:numId="21">
    <w:abstractNumId w:val="5"/>
  </w:num>
  <w:num w:numId="22">
    <w:abstractNumId w:val="5"/>
  </w:num>
  <w:num w:numId="23">
    <w:abstractNumId w:val="5"/>
  </w:num>
  <w:num w:numId="24">
    <w:abstractNumId w:val="11"/>
  </w:num>
  <w:num w:numId="25">
    <w:abstractNumId w:val="5"/>
  </w:num>
  <w:num w:numId="26">
    <w:abstractNumId w:val="5"/>
  </w:num>
  <w:num w:numId="27">
    <w:abstractNumId w:val="5"/>
  </w:num>
  <w:num w:numId="28">
    <w:abstractNumId w:val="5"/>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5"/>
  </w:num>
  <w:num w:numId="33">
    <w:abstractNumId w:val="5"/>
  </w:num>
  <w:num w:numId="34">
    <w:abstractNumId w:val="5"/>
  </w:num>
  <w:num w:numId="35">
    <w:abstractNumId w:val="5"/>
  </w:num>
  <w:num w:numId="36">
    <w:abstractNumId w:val="5"/>
  </w:num>
  <w:num w:numId="37">
    <w:abstractNumId w:val="5"/>
    <w:lvlOverride w:ilvl="0">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lvlOverride w:ilvl="0">
      <w:startOverride w:val="1"/>
    </w:lvlOverride>
  </w:num>
  <w:num w:numId="5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70"/>
    <w:rsid w:val="0000041E"/>
    <w:rsid w:val="00001380"/>
    <w:rsid w:val="000119E0"/>
    <w:rsid w:val="000133E5"/>
    <w:rsid w:val="000134F9"/>
    <w:rsid w:val="0002240D"/>
    <w:rsid w:val="000235E2"/>
    <w:rsid w:val="00031AC0"/>
    <w:rsid w:val="00032ADD"/>
    <w:rsid w:val="0003409F"/>
    <w:rsid w:val="00036D87"/>
    <w:rsid w:val="000429D3"/>
    <w:rsid w:val="00042DCA"/>
    <w:rsid w:val="00045683"/>
    <w:rsid w:val="00052B7D"/>
    <w:rsid w:val="00053627"/>
    <w:rsid w:val="0006023B"/>
    <w:rsid w:val="0006054D"/>
    <w:rsid w:val="00064ACA"/>
    <w:rsid w:val="00065B5F"/>
    <w:rsid w:val="00067BDE"/>
    <w:rsid w:val="00076478"/>
    <w:rsid w:val="00076EB7"/>
    <w:rsid w:val="00080212"/>
    <w:rsid w:val="0008124A"/>
    <w:rsid w:val="00081E71"/>
    <w:rsid w:val="00086519"/>
    <w:rsid w:val="00094A3B"/>
    <w:rsid w:val="000A0D86"/>
    <w:rsid w:val="000A4BA7"/>
    <w:rsid w:val="000A56AC"/>
    <w:rsid w:val="000B0169"/>
    <w:rsid w:val="000B1DF8"/>
    <w:rsid w:val="000B2A26"/>
    <w:rsid w:val="000B7AEC"/>
    <w:rsid w:val="000C028E"/>
    <w:rsid w:val="000C3CAC"/>
    <w:rsid w:val="000C4672"/>
    <w:rsid w:val="000C47CD"/>
    <w:rsid w:val="000C70E5"/>
    <w:rsid w:val="000D0786"/>
    <w:rsid w:val="000D0C76"/>
    <w:rsid w:val="000E25AC"/>
    <w:rsid w:val="000E3BD3"/>
    <w:rsid w:val="000E71E1"/>
    <w:rsid w:val="000F269A"/>
    <w:rsid w:val="000F45A7"/>
    <w:rsid w:val="000F5117"/>
    <w:rsid w:val="000F5A99"/>
    <w:rsid w:val="000F6D27"/>
    <w:rsid w:val="000F7097"/>
    <w:rsid w:val="00101A9F"/>
    <w:rsid w:val="00103818"/>
    <w:rsid w:val="0010733A"/>
    <w:rsid w:val="0011007B"/>
    <w:rsid w:val="00110227"/>
    <w:rsid w:val="001115FB"/>
    <w:rsid w:val="00117BD4"/>
    <w:rsid w:val="001331F4"/>
    <w:rsid w:val="001366B7"/>
    <w:rsid w:val="00136E77"/>
    <w:rsid w:val="00142810"/>
    <w:rsid w:val="00144095"/>
    <w:rsid w:val="00146646"/>
    <w:rsid w:val="001466BA"/>
    <w:rsid w:val="001519D7"/>
    <w:rsid w:val="00153FC4"/>
    <w:rsid w:val="00164575"/>
    <w:rsid w:val="00165D4E"/>
    <w:rsid w:val="00172139"/>
    <w:rsid w:val="0017419B"/>
    <w:rsid w:val="00182EBD"/>
    <w:rsid w:val="001A440A"/>
    <w:rsid w:val="001A5B78"/>
    <w:rsid w:val="001A6068"/>
    <w:rsid w:val="001A74B5"/>
    <w:rsid w:val="001B131B"/>
    <w:rsid w:val="001B4E40"/>
    <w:rsid w:val="001C3893"/>
    <w:rsid w:val="001C3B10"/>
    <w:rsid w:val="001C5188"/>
    <w:rsid w:val="001C628D"/>
    <w:rsid w:val="001D2951"/>
    <w:rsid w:val="001D37F7"/>
    <w:rsid w:val="001D6BF8"/>
    <w:rsid w:val="001E1CF2"/>
    <w:rsid w:val="001E2832"/>
    <w:rsid w:val="001E3F30"/>
    <w:rsid w:val="001E5BDE"/>
    <w:rsid w:val="001F2ACD"/>
    <w:rsid w:val="00200B70"/>
    <w:rsid w:val="002010D6"/>
    <w:rsid w:val="00201FA6"/>
    <w:rsid w:val="00202A55"/>
    <w:rsid w:val="002049B8"/>
    <w:rsid w:val="00204B61"/>
    <w:rsid w:val="00216A69"/>
    <w:rsid w:val="0022442B"/>
    <w:rsid w:val="00236B9D"/>
    <w:rsid w:val="002437B6"/>
    <w:rsid w:val="00245A0F"/>
    <w:rsid w:val="002510EC"/>
    <w:rsid w:val="00262CD9"/>
    <w:rsid w:val="00264688"/>
    <w:rsid w:val="00270C19"/>
    <w:rsid w:val="00273AE6"/>
    <w:rsid w:val="00276B9F"/>
    <w:rsid w:val="002812A4"/>
    <w:rsid w:val="00282243"/>
    <w:rsid w:val="0028401F"/>
    <w:rsid w:val="0028411C"/>
    <w:rsid w:val="00284668"/>
    <w:rsid w:val="00285EF4"/>
    <w:rsid w:val="00286FBA"/>
    <w:rsid w:val="00293B44"/>
    <w:rsid w:val="00293D50"/>
    <w:rsid w:val="0029552C"/>
    <w:rsid w:val="002A0E8B"/>
    <w:rsid w:val="002A40ED"/>
    <w:rsid w:val="002A7897"/>
    <w:rsid w:val="002B0497"/>
    <w:rsid w:val="002B0931"/>
    <w:rsid w:val="002B456E"/>
    <w:rsid w:val="002B5C63"/>
    <w:rsid w:val="002C2A2F"/>
    <w:rsid w:val="002C2F19"/>
    <w:rsid w:val="002C620B"/>
    <w:rsid w:val="002D1600"/>
    <w:rsid w:val="002D5039"/>
    <w:rsid w:val="002D5F33"/>
    <w:rsid w:val="002D68C3"/>
    <w:rsid w:val="002D6A41"/>
    <w:rsid w:val="002E0B50"/>
    <w:rsid w:val="002E1B3C"/>
    <w:rsid w:val="002E52C0"/>
    <w:rsid w:val="002E6822"/>
    <w:rsid w:val="002E7899"/>
    <w:rsid w:val="002F197A"/>
    <w:rsid w:val="002F64F9"/>
    <w:rsid w:val="00300679"/>
    <w:rsid w:val="0030177B"/>
    <w:rsid w:val="0030715E"/>
    <w:rsid w:val="0031254C"/>
    <w:rsid w:val="00313391"/>
    <w:rsid w:val="003169FB"/>
    <w:rsid w:val="00322D58"/>
    <w:rsid w:val="0032431E"/>
    <w:rsid w:val="003265DC"/>
    <w:rsid w:val="00327869"/>
    <w:rsid w:val="003304D5"/>
    <w:rsid w:val="00335E9B"/>
    <w:rsid w:val="003373BC"/>
    <w:rsid w:val="00344F86"/>
    <w:rsid w:val="00347B1F"/>
    <w:rsid w:val="0035335A"/>
    <w:rsid w:val="00360896"/>
    <w:rsid w:val="00363A59"/>
    <w:rsid w:val="00370233"/>
    <w:rsid w:val="00371240"/>
    <w:rsid w:val="00372487"/>
    <w:rsid w:val="00381F43"/>
    <w:rsid w:val="003854EB"/>
    <w:rsid w:val="00385C02"/>
    <w:rsid w:val="00386293"/>
    <w:rsid w:val="003877BC"/>
    <w:rsid w:val="00392D40"/>
    <w:rsid w:val="003B0CF0"/>
    <w:rsid w:val="003B34F1"/>
    <w:rsid w:val="003B3B54"/>
    <w:rsid w:val="003C4563"/>
    <w:rsid w:val="003E0048"/>
    <w:rsid w:val="003E1AC4"/>
    <w:rsid w:val="003E52E0"/>
    <w:rsid w:val="003F2274"/>
    <w:rsid w:val="00400529"/>
    <w:rsid w:val="0040149F"/>
    <w:rsid w:val="00402E3B"/>
    <w:rsid w:val="00406765"/>
    <w:rsid w:val="0041092C"/>
    <w:rsid w:val="00413388"/>
    <w:rsid w:val="0041523C"/>
    <w:rsid w:val="00416170"/>
    <w:rsid w:val="00422284"/>
    <w:rsid w:val="004333A7"/>
    <w:rsid w:val="00434D57"/>
    <w:rsid w:val="00437A51"/>
    <w:rsid w:val="00441E06"/>
    <w:rsid w:val="00445D99"/>
    <w:rsid w:val="00445F0C"/>
    <w:rsid w:val="00446227"/>
    <w:rsid w:val="0044654F"/>
    <w:rsid w:val="00447EDD"/>
    <w:rsid w:val="0045081D"/>
    <w:rsid w:val="004536D8"/>
    <w:rsid w:val="0046074E"/>
    <w:rsid w:val="00461877"/>
    <w:rsid w:val="00461C45"/>
    <w:rsid w:val="00463BB4"/>
    <w:rsid w:val="00473A95"/>
    <w:rsid w:val="00474B17"/>
    <w:rsid w:val="00475DE9"/>
    <w:rsid w:val="004771E7"/>
    <w:rsid w:val="0047733D"/>
    <w:rsid w:val="00485209"/>
    <w:rsid w:val="0049149C"/>
    <w:rsid w:val="00492048"/>
    <w:rsid w:val="00496894"/>
    <w:rsid w:val="00497BF5"/>
    <w:rsid w:val="004A1BF4"/>
    <w:rsid w:val="004A23DF"/>
    <w:rsid w:val="004A48E0"/>
    <w:rsid w:val="004A7145"/>
    <w:rsid w:val="004B319D"/>
    <w:rsid w:val="004B5E87"/>
    <w:rsid w:val="004B70BE"/>
    <w:rsid w:val="004B7270"/>
    <w:rsid w:val="004C0214"/>
    <w:rsid w:val="004C2CE2"/>
    <w:rsid w:val="004C51DE"/>
    <w:rsid w:val="004C67A3"/>
    <w:rsid w:val="004C6E87"/>
    <w:rsid w:val="004D6766"/>
    <w:rsid w:val="004D6DAF"/>
    <w:rsid w:val="004E0E47"/>
    <w:rsid w:val="004E2FB9"/>
    <w:rsid w:val="004E3234"/>
    <w:rsid w:val="004E66BF"/>
    <w:rsid w:val="004E68B7"/>
    <w:rsid w:val="004F1259"/>
    <w:rsid w:val="004F2F9D"/>
    <w:rsid w:val="004F40AF"/>
    <w:rsid w:val="004F4CAE"/>
    <w:rsid w:val="005004B7"/>
    <w:rsid w:val="005050E8"/>
    <w:rsid w:val="005063E1"/>
    <w:rsid w:val="00506B41"/>
    <w:rsid w:val="00513B83"/>
    <w:rsid w:val="0051604A"/>
    <w:rsid w:val="005204A8"/>
    <w:rsid w:val="00534F52"/>
    <w:rsid w:val="0053637A"/>
    <w:rsid w:val="00542DCF"/>
    <w:rsid w:val="005451A8"/>
    <w:rsid w:val="0055192D"/>
    <w:rsid w:val="0055201D"/>
    <w:rsid w:val="00552B6A"/>
    <w:rsid w:val="00553C66"/>
    <w:rsid w:val="00553FC7"/>
    <w:rsid w:val="0055584E"/>
    <w:rsid w:val="00557749"/>
    <w:rsid w:val="005631BE"/>
    <w:rsid w:val="00566569"/>
    <w:rsid w:val="00573977"/>
    <w:rsid w:val="00573CB0"/>
    <w:rsid w:val="00576AB8"/>
    <w:rsid w:val="00581461"/>
    <w:rsid w:val="005819FA"/>
    <w:rsid w:val="00581E30"/>
    <w:rsid w:val="005839E4"/>
    <w:rsid w:val="005856B9"/>
    <w:rsid w:val="005902CA"/>
    <w:rsid w:val="00591864"/>
    <w:rsid w:val="00596860"/>
    <w:rsid w:val="00597FF4"/>
    <w:rsid w:val="005B1AF0"/>
    <w:rsid w:val="005C3FF9"/>
    <w:rsid w:val="005C572E"/>
    <w:rsid w:val="005C624A"/>
    <w:rsid w:val="005C7562"/>
    <w:rsid w:val="005D23FE"/>
    <w:rsid w:val="005D2898"/>
    <w:rsid w:val="005D32EC"/>
    <w:rsid w:val="005D3429"/>
    <w:rsid w:val="005D5CBC"/>
    <w:rsid w:val="005E0D85"/>
    <w:rsid w:val="005E1621"/>
    <w:rsid w:val="005E3126"/>
    <w:rsid w:val="005E3D25"/>
    <w:rsid w:val="005E4EB4"/>
    <w:rsid w:val="005F0C23"/>
    <w:rsid w:val="005F1201"/>
    <w:rsid w:val="005F2BA5"/>
    <w:rsid w:val="005F3015"/>
    <w:rsid w:val="005F3A1A"/>
    <w:rsid w:val="005F5613"/>
    <w:rsid w:val="00600422"/>
    <w:rsid w:val="00600BCA"/>
    <w:rsid w:val="006031A9"/>
    <w:rsid w:val="006032D9"/>
    <w:rsid w:val="0061137F"/>
    <w:rsid w:val="00615554"/>
    <w:rsid w:val="006158FC"/>
    <w:rsid w:val="00617C4A"/>
    <w:rsid w:val="006205BE"/>
    <w:rsid w:val="0062436F"/>
    <w:rsid w:val="006264AF"/>
    <w:rsid w:val="0063058D"/>
    <w:rsid w:val="00630BB1"/>
    <w:rsid w:val="006323E5"/>
    <w:rsid w:val="00632B26"/>
    <w:rsid w:val="00642592"/>
    <w:rsid w:val="00647B09"/>
    <w:rsid w:val="006535CB"/>
    <w:rsid w:val="00653F66"/>
    <w:rsid w:val="00655E5E"/>
    <w:rsid w:val="006609A5"/>
    <w:rsid w:val="006635F0"/>
    <w:rsid w:val="006656EA"/>
    <w:rsid w:val="00667F59"/>
    <w:rsid w:val="0067117A"/>
    <w:rsid w:val="00677C0A"/>
    <w:rsid w:val="0068340B"/>
    <w:rsid w:val="006857BA"/>
    <w:rsid w:val="0068660C"/>
    <w:rsid w:val="0068747C"/>
    <w:rsid w:val="00691BD8"/>
    <w:rsid w:val="006959FF"/>
    <w:rsid w:val="006A28DC"/>
    <w:rsid w:val="006A5E09"/>
    <w:rsid w:val="006A5E9C"/>
    <w:rsid w:val="006B5614"/>
    <w:rsid w:val="006B59F4"/>
    <w:rsid w:val="006B5B6E"/>
    <w:rsid w:val="006C00ED"/>
    <w:rsid w:val="006C3568"/>
    <w:rsid w:val="006E0705"/>
    <w:rsid w:val="006E1DFD"/>
    <w:rsid w:val="006E3E03"/>
    <w:rsid w:val="006E4A23"/>
    <w:rsid w:val="006E4AFE"/>
    <w:rsid w:val="006F411E"/>
    <w:rsid w:val="006F41F8"/>
    <w:rsid w:val="006F46C6"/>
    <w:rsid w:val="006F4A8A"/>
    <w:rsid w:val="006F5403"/>
    <w:rsid w:val="006F6921"/>
    <w:rsid w:val="00700EDC"/>
    <w:rsid w:val="007015AE"/>
    <w:rsid w:val="007046A0"/>
    <w:rsid w:val="0070552A"/>
    <w:rsid w:val="00706A1E"/>
    <w:rsid w:val="007148BD"/>
    <w:rsid w:val="00714C25"/>
    <w:rsid w:val="00714CA3"/>
    <w:rsid w:val="0071516D"/>
    <w:rsid w:val="00715E00"/>
    <w:rsid w:val="007164FA"/>
    <w:rsid w:val="00716DFE"/>
    <w:rsid w:val="00717C1F"/>
    <w:rsid w:val="007255E1"/>
    <w:rsid w:val="00725C5F"/>
    <w:rsid w:val="00726C80"/>
    <w:rsid w:val="007312BE"/>
    <w:rsid w:val="007356D9"/>
    <w:rsid w:val="00736BDC"/>
    <w:rsid w:val="00737B2B"/>
    <w:rsid w:val="00742D80"/>
    <w:rsid w:val="007456DD"/>
    <w:rsid w:val="007506F7"/>
    <w:rsid w:val="007535E9"/>
    <w:rsid w:val="00756FE8"/>
    <w:rsid w:val="0075735C"/>
    <w:rsid w:val="007629E7"/>
    <w:rsid w:val="0077656F"/>
    <w:rsid w:val="00780323"/>
    <w:rsid w:val="00781065"/>
    <w:rsid w:val="00781DC3"/>
    <w:rsid w:val="00786524"/>
    <w:rsid w:val="0078678D"/>
    <w:rsid w:val="00791E28"/>
    <w:rsid w:val="00792325"/>
    <w:rsid w:val="007940B1"/>
    <w:rsid w:val="007966DF"/>
    <w:rsid w:val="007A2A94"/>
    <w:rsid w:val="007B0B85"/>
    <w:rsid w:val="007B2F88"/>
    <w:rsid w:val="007B68B5"/>
    <w:rsid w:val="007B6B47"/>
    <w:rsid w:val="007C5318"/>
    <w:rsid w:val="007D01D8"/>
    <w:rsid w:val="007D02AA"/>
    <w:rsid w:val="007D2BBF"/>
    <w:rsid w:val="007D34BF"/>
    <w:rsid w:val="007D73C9"/>
    <w:rsid w:val="007E6602"/>
    <w:rsid w:val="007E76C1"/>
    <w:rsid w:val="007F0115"/>
    <w:rsid w:val="007F7C9B"/>
    <w:rsid w:val="00800406"/>
    <w:rsid w:val="008018D1"/>
    <w:rsid w:val="00801EFB"/>
    <w:rsid w:val="0080354F"/>
    <w:rsid w:val="008050CD"/>
    <w:rsid w:val="00813093"/>
    <w:rsid w:val="008173DD"/>
    <w:rsid w:val="00817D37"/>
    <w:rsid w:val="00821237"/>
    <w:rsid w:val="00824549"/>
    <w:rsid w:val="008277F8"/>
    <w:rsid w:val="008355F6"/>
    <w:rsid w:val="008375C7"/>
    <w:rsid w:val="00846F61"/>
    <w:rsid w:val="0084721E"/>
    <w:rsid w:val="008506A8"/>
    <w:rsid w:val="00860A2D"/>
    <w:rsid w:val="00863777"/>
    <w:rsid w:val="008643A8"/>
    <w:rsid w:val="00872083"/>
    <w:rsid w:val="00873C39"/>
    <w:rsid w:val="00874476"/>
    <w:rsid w:val="00876B5F"/>
    <w:rsid w:val="008811EB"/>
    <w:rsid w:val="00881782"/>
    <w:rsid w:val="0088403F"/>
    <w:rsid w:val="00891D6E"/>
    <w:rsid w:val="00893C42"/>
    <w:rsid w:val="00894AC9"/>
    <w:rsid w:val="00895FCE"/>
    <w:rsid w:val="008A05C0"/>
    <w:rsid w:val="008A1D08"/>
    <w:rsid w:val="008A526C"/>
    <w:rsid w:val="008B2BDC"/>
    <w:rsid w:val="008B4542"/>
    <w:rsid w:val="008B5A58"/>
    <w:rsid w:val="008B7E8A"/>
    <w:rsid w:val="008C045C"/>
    <w:rsid w:val="008C0DBE"/>
    <w:rsid w:val="008C11DB"/>
    <w:rsid w:val="008C142D"/>
    <w:rsid w:val="008C65EA"/>
    <w:rsid w:val="008D2D54"/>
    <w:rsid w:val="008E24EB"/>
    <w:rsid w:val="008F0EBD"/>
    <w:rsid w:val="008F0F9D"/>
    <w:rsid w:val="008F1401"/>
    <w:rsid w:val="008F1E7B"/>
    <w:rsid w:val="0090004B"/>
    <w:rsid w:val="00902A3F"/>
    <w:rsid w:val="00913A5A"/>
    <w:rsid w:val="009145BC"/>
    <w:rsid w:val="00921416"/>
    <w:rsid w:val="0092186C"/>
    <w:rsid w:val="0092331E"/>
    <w:rsid w:val="00925E8C"/>
    <w:rsid w:val="009273E2"/>
    <w:rsid w:val="00927B43"/>
    <w:rsid w:val="00934147"/>
    <w:rsid w:val="00940CB9"/>
    <w:rsid w:val="00941E81"/>
    <w:rsid w:val="00954393"/>
    <w:rsid w:val="00960159"/>
    <w:rsid w:val="009604B9"/>
    <w:rsid w:val="0098101F"/>
    <w:rsid w:val="00984BB8"/>
    <w:rsid w:val="009940DD"/>
    <w:rsid w:val="0099514C"/>
    <w:rsid w:val="009A00B0"/>
    <w:rsid w:val="009A29BC"/>
    <w:rsid w:val="009A4758"/>
    <w:rsid w:val="009A54C2"/>
    <w:rsid w:val="009A5839"/>
    <w:rsid w:val="009A6052"/>
    <w:rsid w:val="009B2266"/>
    <w:rsid w:val="009B2CB9"/>
    <w:rsid w:val="009B72F8"/>
    <w:rsid w:val="009C4423"/>
    <w:rsid w:val="009C6EBB"/>
    <w:rsid w:val="009D0BCD"/>
    <w:rsid w:val="009D2AC6"/>
    <w:rsid w:val="009D53A7"/>
    <w:rsid w:val="009D60B3"/>
    <w:rsid w:val="009D6B90"/>
    <w:rsid w:val="009E5080"/>
    <w:rsid w:val="009E6B15"/>
    <w:rsid w:val="009F074B"/>
    <w:rsid w:val="009F2723"/>
    <w:rsid w:val="009F5BD9"/>
    <w:rsid w:val="009F7136"/>
    <w:rsid w:val="00A0110C"/>
    <w:rsid w:val="00A01612"/>
    <w:rsid w:val="00A02D30"/>
    <w:rsid w:val="00A037B1"/>
    <w:rsid w:val="00A11729"/>
    <w:rsid w:val="00A1390C"/>
    <w:rsid w:val="00A14E73"/>
    <w:rsid w:val="00A1531D"/>
    <w:rsid w:val="00A15C11"/>
    <w:rsid w:val="00A16C9F"/>
    <w:rsid w:val="00A21235"/>
    <w:rsid w:val="00A24C4F"/>
    <w:rsid w:val="00A274AA"/>
    <w:rsid w:val="00A31A6A"/>
    <w:rsid w:val="00A32E86"/>
    <w:rsid w:val="00A3388C"/>
    <w:rsid w:val="00A3611F"/>
    <w:rsid w:val="00A36E6E"/>
    <w:rsid w:val="00A4057F"/>
    <w:rsid w:val="00A4283C"/>
    <w:rsid w:val="00A44C08"/>
    <w:rsid w:val="00A46470"/>
    <w:rsid w:val="00A519CE"/>
    <w:rsid w:val="00A53F6C"/>
    <w:rsid w:val="00A55A73"/>
    <w:rsid w:val="00A6050B"/>
    <w:rsid w:val="00A62667"/>
    <w:rsid w:val="00A63810"/>
    <w:rsid w:val="00A64CA9"/>
    <w:rsid w:val="00A67F3C"/>
    <w:rsid w:val="00A723F9"/>
    <w:rsid w:val="00A75FE5"/>
    <w:rsid w:val="00A776CE"/>
    <w:rsid w:val="00A8034A"/>
    <w:rsid w:val="00A81B11"/>
    <w:rsid w:val="00A84678"/>
    <w:rsid w:val="00A913DB"/>
    <w:rsid w:val="00A946A1"/>
    <w:rsid w:val="00A96122"/>
    <w:rsid w:val="00A9716F"/>
    <w:rsid w:val="00A971EF"/>
    <w:rsid w:val="00AA10E0"/>
    <w:rsid w:val="00AB18FE"/>
    <w:rsid w:val="00AB708D"/>
    <w:rsid w:val="00AB7337"/>
    <w:rsid w:val="00AC2AFA"/>
    <w:rsid w:val="00AC3B7D"/>
    <w:rsid w:val="00AC6180"/>
    <w:rsid w:val="00AC71A4"/>
    <w:rsid w:val="00AD00AB"/>
    <w:rsid w:val="00AD083B"/>
    <w:rsid w:val="00AD0FC3"/>
    <w:rsid w:val="00AE095B"/>
    <w:rsid w:val="00AE0F6D"/>
    <w:rsid w:val="00AE5DE2"/>
    <w:rsid w:val="00AE7599"/>
    <w:rsid w:val="00AF1954"/>
    <w:rsid w:val="00AF3FDB"/>
    <w:rsid w:val="00AF5FEA"/>
    <w:rsid w:val="00B0033C"/>
    <w:rsid w:val="00B00F7E"/>
    <w:rsid w:val="00B0472C"/>
    <w:rsid w:val="00B06571"/>
    <w:rsid w:val="00B11C53"/>
    <w:rsid w:val="00B1646E"/>
    <w:rsid w:val="00B2629C"/>
    <w:rsid w:val="00B27AE7"/>
    <w:rsid w:val="00B31C1B"/>
    <w:rsid w:val="00B3345C"/>
    <w:rsid w:val="00B3619B"/>
    <w:rsid w:val="00B37184"/>
    <w:rsid w:val="00B40C40"/>
    <w:rsid w:val="00B50F51"/>
    <w:rsid w:val="00B523F2"/>
    <w:rsid w:val="00B53145"/>
    <w:rsid w:val="00B55D93"/>
    <w:rsid w:val="00B57D34"/>
    <w:rsid w:val="00B61C23"/>
    <w:rsid w:val="00B643B0"/>
    <w:rsid w:val="00B67736"/>
    <w:rsid w:val="00B763EA"/>
    <w:rsid w:val="00B83879"/>
    <w:rsid w:val="00B84130"/>
    <w:rsid w:val="00B85AB1"/>
    <w:rsid w:val="00B87C63"/>
    <w:rsid w:val="00B916F6"/>
    <w:rsid w:val="00B97136"/>
    <w:rsid w:val="00B971AC"/>
    <w:rsid w:val="00B97911"/>
    <w:rsid w:val="00BA1A20"/>
    <w:rsid w:val="00BA5BC8"/>
    <w:rsid w:val="00BA78D4"/>
    <w:rsid w:val="00BB1517"/>
    <w:rsid w:val="00BB2C44"/>
    <w:rsid w:val="00BB75DC"/>
    <w:rsid w:val="00BC02FE"/>
    <w:rsid w:val="00BC0B59"/>
    <w:rsid w:val="00BD46EF"/>
    <w:rsid w:val="00BD563F"/>
    <w:rsid w:val="00BE183A"/>
    <w:rsid w:val="00BE2F4E"/>
    <w:rsid w:val="00BF4069"/>
    <w:rsid w:val="00BF4269"/>
    <w:rsid w:val="00BF639A"/>
    <w:rsid w:val="00C0044C"/>
    <w:rsid w:val="00C00C37"/>
    <w:rsid w:val="00C01881"/>
    <w:rsid w:val="00C15D59"/>
    <w:rsid w:val="00C2204D"/>
    <w:rsid w:val="00C25AAD"/>
    <w:rsid w:val="00C303A9"/>
    <w:rsid w:val="00C32D1C"/>
    <w:rsid w:val="00C435B4"/>
    <w:rsid w:val="00C44FDD"/>
    <w:rsid w:val="00C52FDA"/>
    <w:rsid w:val="00C547F7"/>
    <w:rsid w:val="00C55ABC"/>
    <w:rsid w:val="00C56BD4"/>
    <w:rsid w:val="00C60FE8"/>
    <w:rsid w:val="00C6474E"/>
    <w:rsid w:val="00C6566C"/>
    <w:rsid w:val="00C66435"/>
    <w:rsid w:val="00C70C14"/>
    <w:rsid w:val="00C71ABD"/>
    <w:rsid w:val="00C832CF"/>
    <w:rsid w:val="00C838CF"/>
    <w:rsid w:val="00C8721C"/>
    <w:rsid w:val="00C95E3A"/>
    <w:rsid w:val="00CA07E8"/>
    <w:rsid w:val="00CA1871"/>
    <w:rsid w:val="00CA51C1"/>
    <w:rsid w:val="00CB164C"/>
    <w:rsid w:val="00CB1B0A"/>
    <w:rsid w:val="00CB2D52"/>
    <w:rsid w:val="00CB3A98"/>
    <w:rsid w:val="00CB472B"/>
    <w:rsid w:val="00CB5392"/>
    <w:rsid w:val="00CB6FC4"/>
    <w:rsid w:val="00CD591A"/>
    <w:rsid w:val="00CD70D4"/>
    <w:rsid w:val="00CE078F"/>
    <w:rsid w:val="00CE3E80"/>
    <w:rsid w:val="00CF1249"/>
    <w:rsid w:val="00D023EB"/>
    <w:rsid w:val="00D02697"/>
    <w:rsid w:val="00D112EA"/>
    <w:rsid w:val="00D1180F"/>
    <w:rsid w:val="00D13275"/>
    <w:rsid w:val="00D225FE"/>
    <w:rsid w:val="00D263F2"/>
    <w:rsid w:val="00D40447"/>
    <w:rsid w:val="00D439B1"/>
    <w:rsid w:val="00D44B20"/>
    <w:rsid w:val="00D465B9"/>
    <w:rsid w:val="00D50868"/>
    <w:rsid w:val="00D51AB0"/>
    <w:rsid w:val="00D5225A"/>
    <w:rsid w:val="00D523B3"/>
    <w:rsid w:val="00D57F14"/>
    <w:rsid w:val="00D60DCF"/>
    <w:rsid w:val="00D61A0F"/>
    <w:rsid w:val="00D62207"/>
    <w:rsid w:val="00D7054E"/>
    <w:rsid w:val="00D70E31"/>
    <w:rsid w:val="00D71664"/>
    <w:rsid w:val="00D76C44"/>
    <w:rsid w:val="00D77C6E"/>
    <w:rsid w:val="00D81133"/>
    <w:rsid w:val="00D820EA"/>
    <w:rsid w:val="00D86113"/>
    <w:rsid w:val="00D86AE5"/>
    <w:rsid w:val="00D911AA"/>
    <w:rsid w:val="00DA1B48"/>
    <w:rsid w:val="00DA357D"/>
    <w:rsid w:val="00DA4431"/>
    <w:rsid w:val="00DA5865"/>
    <w:rsid w:val="00DB164F"/>
    <w:rsid w:val="00DB5533"/>
    <w:rsid w:val="00DB78B9"/>
    <w:rsid w:val="00DC0516"/>
    <w:rsid w:val="00DC312C"/>
    <w:rsid w:val="00DC46A4"/>
    <w:rsid w:val="00DC67FF"/>
    <w:rsid w:val="00DC6CF9"/>
    <w:rsid w:val="00DD2B1C"/>
    <w:rsid w:val="00DE10C7"/>
    <w:rsid w:val="00DE11C3"/>
    <w:rsid w:val="00DE1C98"/>
    <w:rsid w:val="00DE4837"/>
    <w:rsid w:val="00DE7B05"/>
    <w:rsid w:val="00DF1917"/>
    <w:rsid w:val="00DF27D9"/>
    <w:rsid w:val="00DF2887"/>
    <w:rsid w:val="00DF3E5A"/>
    <w:rsid w:val="00DF7FB8"/>
    <w:rsid w:val="00E00EC7"/>
    <w:rsid w:val="00E01DD1"/>
    <w:rsid w:val="00E02B88"/>
    <w:rsid w:val="00E05CAB"/>
    <w:rsid w:val="00E11898"/>
    <w:rsid w:val="00E140C5"/>
    <w:rsid w:val="00E15D55"/>
    <w:rsid w:val="00E2003E"/>
    <w:rsid w:val="00E229ED"/>
    <w:rsid w:val="00E25B3F"/>
    <w:rsid w:val="00E272A2"/>
    <w:rsid w:val="00E30218"/>
    <w:rsid w:val="00E35C72"/>
    <w:rsid w:val="00E36310"/>
    <w:rsid w:val="00E4101E"/>
    <w:rsid w:val="00E43158"/>
    <w:rsid w:val="00E4494C"/>
    <w:rsid w:val="00E562BD"/>
    <w:rsid w:val="00E56BB9"/>
    <w:rsid w:val="00E624B8"/>
    <w:rsid w:val="00E6456E"/>
    <w:rsid w:val="00E66B04"/>
    <w:rsid w:val="00E67EAB"/>
    <w:rsid w:val="00E70570"/>
    <w:rsid w:val="00E70ECE"/>
    <w:rsid w:val="00E7522E"/>
    <w:rsid w:val="00E8197F"/>
    <w:rsid w:val="00E9146B"/>
    <w:rsid w:val="00E91E45"/>
    <w:rsid w:val="00E9618E"/>
    <w:rsid w:val="00E967FE"/>
    <w:rsid w:val="00E96A5C"/>
    <w:rsid w:val="00EA14A4"/>
    <w:rsid w:val="00EA2FF7"/>
    <w:rsid w:val="00EA316A"/>
    <w:rsid w:val="00EA4575"/>
    <w:rsid w:val="00EA63B5"/>
    <w:rsid w:val="00EA6D49"/>
    <w:rsid w:val="00EB01FC"/>
    <w:rsid w:val="00EB46D2"/>
    <w:rsid w:val="00EB5493"/>
    <w:rsid w:val="00EC2178"/>
    <w:rsid w:val="00EE5F4D"/>
    <w:rsid w:val="00EE6AA4"/>
    <w:rsid w:val="00EE79AC"/>
    <w:rsid w:val="00EE7BE4"/>
    <w:rsid w:val="00EF0B65"/>
    <w:rsid w:val="00EF1CD9"/>
    <w:rsid w:val="00EF72F8"/>
    <w:rsid w:val="00EF7F72"/>
    <w:rsid w:val="00F00D8E"/>
    <w:rsid w:val="00F01584"/>
    <w:rsid w:val="00F052AE"/>
    <w:rsid w:val="00F052AF"/>
    <w:rsid w:val="00F07FB2"/>
    <w:rsid w:val="00F118A4"/>
    <w:rsid w:val="00F24C8D"/>
    <w:rsid w:val="00F27060"/>
    <w:rsid w:val="00F30168"/>
    <w:rsid w:val="00F305EA"/>
    <w:rsid w:val="00F33667"/>
    <w:rsid w:val="00F35010"/>
    <w:rsid w:val="00F401A5"/>
    <w:rsid w:val="00F401E1"/>
    <w:rsid w:val="00F40538"/>
    <w:rsid w:val="00F433B1"/>
    <w:rsid w:val="00F6493D"/>
    <w:rsid w:val="00F70F7F"/>
    <w:rsid w:val="00F72254"/>
    <w:rsid w:val="00F7340E"/>
    <w:rsid w:val="00F74043"/>
    <w:rsid w:val="00F77145"/>
    <w:rsid w:val="00F81F07"/>
    <w:rsid w:val="00F8322D"/>
    <w:rsid w:val="00F85E57"/>
    <w:rsid w:val="00F91BBA"/>
    <w:rsid w:val="00F923BF"/>
    <w:rsid w:val="00F933BC"/>
    <w:rsid w:val="00F94634"/>
    <w:rsid w:val="00F94A8A"/>
    <w:rsid w:val="00F95C2B"/>
    <w:rsid w:val="00FA3951"/>
    <w:rsid w:val="00FA6DC0"/>
    <w:rsid w:val="00FB535C"/>
    <w:rsid w:val="00FB5982"/>
    <w:rsid w:val="00FB6C25"/>
    <w:rsid w:val="00FC402B"/>
    <w:rsid w:val="00FC547F"/>
    <w:rsid w:val="00FC65E7"/>
    <w:rsid w:val="00FD0B5F"/>
    <w:rsid w:val="00FD52F7"/>
    <w:rsid w:val="00FE0B4E"/>
    <w:rsid w:val="00FE3589"/>
    <w:rsid w:val="00FE7F5E"/>
    <w:rsid w:val="00FF4A1D"/>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571"/>
    <w:pPr>
      <w:widowControl w:val="0"/>
    </w:pPr>
    <w:rPr>
      <w:kern w:val="28"/>
      <w:szCs w:val="20"/>
    </w:rPr>
  </w:style>
  <w:style w:type="paragraph" w:styleId="Heading1">
    <w:name w:val="heading 1"/>
    <w:basedOn w:val="Normal"/>
    <w:next w:val="Normal"/>
    <w:link w:val="Heading1Char"/>
    <w:uiPriority w:val="99"/>
    <w:qFormat/>
    <w:rsid w:val="00B06571"/>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06571"/>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0657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06571"/>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uiPriority w:val="99"/>
    <w:qFormat/>
    <w:rsid w:val="00B06571"/>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B06571"/>
    <w:pPr>
      <w:numPr>
        <w:ilvl w:val="5"/>
        <w:numId w:val="2"/>
      </w:numPr>
      <w:spacing w:before="240" w:after="60"/>
      <w:outlineLvl w:val="5"/>
    </w:pPr>
    <w:rPr>
      <w:b/>
      <w:bCs/>
      <w:szCs w:val="22"/>
    </w:rPr>
  </w:style>
  <w:style w:type="paragraph" w:styleId="Heading7">
    <w:name w:val="heading 7"/>
    <w:basedOn w:val="Normal"/>
    <w:next w:val="Normal"/>
    <w:link w:val="Heading7Char"/>
    <w:uiPriority w:val="99"/>
    <w:qFormat/>
    <w:rsid w:val="00B06571"/>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B06571"/>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B06571"/>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1">
    <w:name w:val="Heading 5 Char1"/>
    <w:aliases w:val="Heading 5 Char Char"/>
    <w:basedOn w:val="DefaultParagraphFont"/>
    <w:link w:val="Heading5"/>
    <w:uiPriority w:val="99"/>
    <w:locked/>
    <w:rsid w:val="00B06571"/>
    <w:rPr>
      <w:rFonts w:cs="Times New Roman"/>
      <w:b/>
      <w:i/>
      <w:snapToGrid w:val="0"/>
      <w:kern w:val="28"/>
      <w:sz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TOAHeading">
    <w:name w:val="toa heading"/>
    <w:basedOn w:val="Normal"/>
    <w:next w:val="Normal"/>
    <w:uiPriority w:val="99"/>
    <w:semiHidden/>
    <w:rsid w:val="00B06571"/>
    <w:pPr>
      <w:tabs>
        <w:tab w:val="right" w:pos="9360"/>
      </w:tabs>
      <w:suppressAutoHyphens/>
    </w:pPr>
  </w:style>
  <w:style w:type="paragraph" w:customStyle="1" w:styleId="TOCTitle">
    <w:name w:val="TOC Title"/>
    <w:basedOn w:val="Normal"/>
    <w:uiPriority w:val="99"/>
    <w:rsid w:val="00B06571"/>
    <w:pPr>
      <w:spacing w:before="240" w:after="240"/>
      <w:jc w:val="center"/>
    </w:pPr>
    <w:rPr>
      <w:rFonts w:ascii="Times New Roman Bold" w:hAnsi="Times New Roman Bold"/>
      <w:b/>
      <w:caps/>
      <w:spacing w:val="-2"/>
    </w:rPr>
  </w:style>
  <w:style w:type="paragraph" w:styleId="Header">
    <w:name w:val="header"/>
    <w:basedOn w:val="Normal"/>
    <w:link w:val="HeaderChar"/>
    <w:uiPriority w:val="99"/>
    <w:rsid w:val="00B06571"/>
    <w:pPr>
      <w:tabs>
        <w:tab w:val="center" w:pos="4320"/>
        <w:tab w:val="right" w:pos="8640"/>
      </w:tabs>
    </w:pPr>
  </w:style>
  <w:style w:type="character" w:customStyle="1" w:styleId="HeaderChar">
    <w:name w:val="Header Char"/>
    <w:basedOn w:val="DefaultParagraphFont"/>
    <w:link w:val="Header"/>
    <w:uiPriority w:val="99"/>
    <w:semiHidden/>
    <w:locked/>
    <w:rsid w:val="00B06571"/>
    <w:rPr>
      <w:rFonts w:cs="Times New Roman"/>
      <w:snapToGrid w:val="0"/>
      <w:kern w:val="28"/>
      <w:sz w:val="22"/>
      <w:lang w:val="en-US" w:eastAsia="en-US"/>
    </w:rPr>
  </w:style>
  <w:style w:type="paragraph" w:styleId="Footer">
    <w:name w:val="footer"/>
    <w:basedOn w:val="Normal"/>
    <w:link w:val="FooterChar"/>
    <w:uiPriority w:val="99"/>
    <w:rsid w:val="00B06571"/>
    <w:pPr>
      <w:tabs>
        <w:tab w:val="center" w:pos="4320"/>
        <w:tab w:val="right" w:pos="8640"/>
      </w:tabs>
    </w:pPr>
  </w:style>
  <w:style w:type="character" w:customStyle="1" w:styleId="FooterChar">
    <w:name w:val="Footer Char"/>
    <w:basedOn w:val="DefaultParagraphFont"/>
    <w:link w:val="Footer"/>
    <w:uiPriority w:val="99"/>
    <w:locked/>
    <w:rsid w:val="00064ACA"/>
    <w:rPr>
      <w:rFonts w:cs="Times New Roman"/>
      <w:snapToGrid w:val="0"/>
      <w:kern w:val="28"/>
      <w:sz w:val="22"/>
    </w:rPr>
  </w:style>
  <w:style w:type="paragraph" w:customStyle="1" w:styleId="ParaNum">
    <w:name w:val="ParaNum"/>
    <w:basedOn w:val="Normal"/>
    <w:link w:val="ParaNumChar"/>
    <w:uiPriority w:val="99"/>
    <w:rsid w:val="00B06571"/>
    <w:pPr>
      <w:numPr>
        <w:numId w:val="1"/>
      </w:numPr>
    </w:p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4"/>
    <w:uiPriority w:val="99"/>
    <w:rsid w:val="00B06571"/>
    <w:rPr>
      <w:sz w:val="20"/>
    </w:rPr>
  </w:style>
  <w:style w:type="character" w:customStyle="1" w:styleId="FootnoteTextChar1">
    <w:name w:val="Footnote Text Char1"/>
    <w:aliases w:val="Footnote Text Char Char,Footnote Text Char3 Char Char,Footnote Text Char4 Char1 Char Char,Footnote Text Char Char2 Char Char Char,Footnote Text Char3 Char Char Char2 Char Char,Footnote Text Char Char2 Char Char Char2 Char Char"/>
    <w:basedOn w:val="DefaultParagraphFont"/>
    <w:uiPriority w:val="99"/>
    <w:semiHidden/>
    <w:rPr>
      <w:rFonts w:cs="Times New Roman"/>
      <w:kern w:val="28"/>
      <w:sz w:val="20"/>
      <w:szCs w:val="20"/>
    </w:rPr>
  </w:style>
  <w:style w:type="character" w:styleId="FootnoteReference">
    <w:name w:val="footnote reference"/>
    <w:aliases w:val="Style 12,(NECG) Footnote Reference,o,fr,Style 3,Appel note de bas de p,Style 124,Style 17,FR,Style 13,Footnote Reference/,Style 6"/>
    <w:basedOn w:val="DefaultParagraphFont"/>
    <w:rsid w:val="00B06571"/>
    <w:rPr>
      <w:rFonts w:cs="Times New Roman"/>
      <w:vertAlign w:val="superscript"/>
    </w:rPr>
  </w:style>
  <w:style w:type="character" w:customStyle="1" w:styleId="FootnoteTextChar4">
    <w:name w:val="Footnote Text Char4"/>
    <w:aliases w:val="Footnote Text Char Char1,Footnote Text Char3 Char Char2,Footnote Text Char4 Char1 Char Char2,Footnote Text Char Char2 Char Char Char1,Footnote Text Char3 Char Char Char2 Char Char2,Footnote Text Char Char2 Char Char Char2 Char Char2"/>
    <w:link w:val="FootnoteText"/>
    <w:uiPriority w:val="99"/>
    <w:locked/>
    <w:rsid w:val="00B06571"/>
    <w:rPr>
      <w:snapToGrid w:val="0"/>
      <w:kern w:val="28"/>
      <w:lang w:val="en-US" w:eastAsia="en-US"/>
    </w:rPr>
  </w:style>
  <w:style w:type="character" w:customStyle="1" w:styleId="ParaNumChar">
    <w:name w:val="ParaNum Char"/>
    <w:link w:val="ParaNum"/>
    <w:uiPriority w:val="99"/>
    <w:locked/>
    <w:rsid w:val="00B06571"/>
    <w:rPr>
      <w:kern w:val="28"/>
      <w:szCs w:val="20"/>
    </w:rPr>
  </w:style>
  <w:style w:type="character" w:styleId="Hyperlink">
    <w:name w:val="Hyperlink"/>
    <w:basedOn w:val="DefaultParagraphFont"/>
    <w:uiPriority w:val="99"/>
    <w:rsid w:val="00B06571"/>
    <w:rPr>
      <w:rFonts w:cs="Times New Roman"/>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3,f Char"/>
    <w:uiPriority w:val="99"/>
    <w:semiHidden/>
    <w:locked/>
    <w:rsid w:val="00B06571"/>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locked/>
    <w:rsid w:val="00B06571"/>
    <w:rPr>
      <w:lang w:val="en-US" w:eastAsia="en-US"/>
    </w:rPr>
  </w:style>
  <w:style w:type="character" w:styleId="CommentReference">
    <w:name w:val="annotation reference"/>
    <w:basedOn w:val="DefaultParagraphFont"/>
    <w:uiPriority w:val="99"/>
    <w:semiHidden/>
    <w:rsid w:val="00B06571"/>
    <w:rPr>
      <w:rFonts w:cs="Times New Roman"/>
      <w:sz w:val="16"/>
    </w:rPr>
  </w:style>
  <w:style w:type="paragraph" w:styleId="CommentText">
    <w:name w:val="annotation text"/>
    <w:basedOn w:val="Normal"/>
    <w:link w:val="CommentTextChar"/>
    <w:uiPriority w:val="99"/>
    <w:semiHidden/>
    <w:rsid w:val="00B06571"/>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B06571"/>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paragraph" w:styleId="BalloonText">
    <w:name w:val="Balloon Text"/>
    <w:basedOn w:val="Normal"/>
    <w:link w:val="BalloonTextChar"/>
    <w:uiPriority w:val="99"/>
    <w:semiHidden/>
    <w:rsid w:val="00B065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PageNumber">
    <w:name w:val="page number"/>
    <w:basedOn w:val="DefaultParagraphFont"/>
    <w:uiPriority w:val="99"/>
    <w:rsid w:val="00B06571"/>
    <w:rPr>
      <w:rFonts w:cs="Times New Roman"/>
    </w:rPr>
  </w:style>
  <w:style w:type="paragraph" w:styleId="DocumentMap">
    <w:name w:val="Document Map"/>
    <w:basedOn w:val="Normal"/>
    <w:link w:val="DocumentMapChar"/>
    <w:uiPriority w:val="99"/>
    <w:semiHidden/>
    <w:rsid w:val="009604B9"/>
    <w:pPr>
      <w:numPr>
        <w:numId w:val="9"/>
      </w:numPr>
      <w:shd w:val="clear" w:color="auto" w:fill="000080"/>
      <w:tabs>
        <w:tab w:val="clear" w:pos="1080"/>
      </w:tabs>
      <w:ind w:firstLine="0"/>
      <w:jc w:val="both"/>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kern w:val="28"/>
      <w:sz w:val="2"/>
    </w:rPr>
  </w:style>
  <w:style w:type="paragraph" w:styleId="ListParagraph">
    <w:name w:val="List Paragraph"/>
    <w:basedOn w:val="Normal"/>
    <w:uiPriority w:val="99"/>
    <w:qFormat/>
    <w:rsid w:val="009940DD"/>
    <w:pPr>
      <w:ind w:left="720"/>
    </w:pPr>
  </w:style>
  <w:style w:type="character" w:customStyle="1" w:styleId="starpage">
    <w:name w:val="starpage"/>
    <w:basedOn w:val="DefaultParagraphFont"/>
    <w:uiPriority w:val="99"/>
    <w:rsid w:val="00031AC0"/>
    <w:rPr>
      <w:rFonts w:cs="Times New Roman"/>
    </w:rPr>
  </w:style>
  <w:style w:type="character" w:styleId="FollowedHyperlink">
    <w:name w:val="FollowedHyperlink"/>
    <w:basedOn w:val="DefaultParagraphFont"/>
    <w:uiPriority w:val="99"/>
    <w:rsid w:val="0000041E"/>
    <w:rPr>
      <w:rFonts w:cs="Times New Roman"/>
      <w:color w:val="800080"/>
      <w:u w:val="single"/>
    </w:rPr>
  </w:style>
  <w:style w:type="paragraph" w:styleId="EndnoteText">
    <w:name w:val="endnote text"/>
    <w:basedOn w:val="Normal"/>
    <w:link w:val="EndnoteTextChar"/>
    <w:uiPriority w:val="99"/>
    <w:rsid w:val="006C3568"/>
    <w:rPr>
      <w:sz w:val="20"/>
    </w:rPr>
  </w:style>
  <w:style w:type="character" w:customStyle="1" w:styleId="EndnoteTextChar">
    <w:name w:val="Endnote Text Char"/>
    <w:basedOn w:val="DefaultParagraphFont"/>
    <w:link w:val="EndnoteText"/>
    <w:uiPriority w:val="99"/>
    <w:locked/>
    <w:rsid w:val="006C3568"/>
    <w:rPr>
      <w:rFonts w:cs="Times New Roman"/>
      <w:snapToGrid w:val="0"/>
      <w:kern w:val="28"/>
    </w:rPr>
  </w:style>
  <w:style w:type="character" w:styleId="EndnoteReference">
    <w:name w:val="endnote reference"/>
    <w:basedOn w:val="DefaultParagraphFont"/>
    <w:uiPriority w:val="99"/>
    <w:rsid w:val="006C356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571"/>
    <w:pPr>
      <w:widowControl w:val="0"/>
    </w:pPr>
    <w:rPr>
      <w:kern w:val="28"/>
      <w:szCs w:val="20"/>
    </w:rPr>
  </w:style>
  <w:style w:type="paragraph" w:styleId="Heading1">
    <w:name w:val="heading 1"/>
    <w:basedOn w:val="Normal"/>
    <w:next w:val="Normal"/>
    <w:link w:val="Heading1Char"/>
    <w:uiPriority w:val="99"/>
    <w:qFormat/>
    <w:rsid w:val="00B06571"/>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06571"/>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0657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06571"/>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uiPriority w:val="99"/>
    <w:qFormat/>
    <w:rsid w:val="00B06571"/>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B06571"/>
    <w:pPr>
      <w:numPr>
        <w:ilvl w:val="5"/>
        <w:numId w:val="2"/>
      </w:numPr>
      <w:spacing w:before="240" w:after="60"/>
      <w:outlineLvl w:val="5"/>
    </w:pPr>
    <w:rPr>
      <w:b/>
      <w:bCs/>
      <w:szCs w:val="22"/>
    </w:rPr>
  </w:style>
  <w:style w:type="paragraph" w:styleId="Heading7">
    <w:name w:val="heading 7"/>
    <w:basedOn w:val="Normal"/>
    <w:next w:val="Normal"/>
    <w:link w:val="Heading7Char"/>
    <w:uiPriority w:val="99"/>
    <w:qFormat/>
    <w:rsid w:val="00B06571"/>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B06571"/>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B06571"/>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1">
    <w:name w:val="Heading 5 Char1"/>
    <w:aliases w:val="Heading 5 Char Char"/>
    <w:basedOn w:val="DefaultParagraphFont"/>
    <w:link w:val="Heading5"/>
    <w:uiPriority w:val="99"/>
    <w:locked/>
    <w:rsid w:val="00B06571"/>
    <w:rPr>
      <w:rFonts w:cs="Times New Roman"/>
      <w:b/>
      <w:i/>
      <w:snapToGrid w:val="0"/>
      <w:kern w:val="28"/>
      <w:sz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TOAHeading">
    <w:name w:val="toa heading"/>
    <w:basedOn w:val="Normal"/>
    <w:next w:val="Normal"/>
    <w:uiPriority w:val="99"/>
    <w:semiHidden/>
    <w:rsid w:val="00B06571"/>
    <w:pPr>
      <w:tabs>
        <w:tab w:val="right" w:pos="9360"/>
      </w:tabs>
      <w:suppressAutoHyphens/>
    </w:pPr>
  </w:style>
  <w:style w:type="paragraph" w:customStyle="1" w:styleId="TOCTitle">
    <w:name w:val="TOC Title"/>
    <w:basedOn w:val="Normal"/>
    <w:uiPriority w:val="99"/>
    <w:rsid w:val="00B06571"/>
    <w:pPr>
      <w:spacing w:before="240" w:after="240"/>
      <w:jc w:val="center"/>
    </w:pPr>
    <w:rPr>
      <w:rFonts w:ascii="Times New Roman Bold" w:hAnsi="Times New Roman Bold"/>
      <w:b/>
      <w:caps/>
      <w:spacing w:val="-2"/>
    </w:rPr>
  </w:style>
  <w:style w:type="paragraph" w:styleId="Header">
    <w:name w:val="header"/>
    <w:basedOn w:val="Normal"/>
    <w:link w:val="HeaderChar"/>
    <w:uiPriority w:val="99"/>
    <w:rsid w:val="00B06571"/>
    <w:pPr>
      <w:tabs>
        <w:tab w:val="center" w:pos="4320"/>
        <w:tab w:val="right" w:pos="8640"/>
      </w:tabs>
    </w:pPr>
  </w:style>
  <w:style w:type="character" w:customStyle="1" w:styleId="HeaderChar">
    <w:name w:val="Header Char"/>
    <w:basedOn w:val="DefaultParagraphFont"/>
    <w:link w:val="Header"/>
    <w:uiPriority w:val="99"/>
    <w:semiHidden/>
    <w:locked/>
    <w:rsid w:val="00B06571"/>
    <w:rPr>
      <w:rFonts w:cs="Times New Roman"/>
      <w:snapToGrid w:val="0"/>
      <w:kern w:val="28"/>
      <w:sz w:val="22"/>
      <w:lang w:val="en-US" w:eastAsia="en-US"/>
    </w:rPr>
  </w:style>
  <w:style w:type="paragraph" w:styleId="Footer">
    <w:name w:val="footer"/>
    <w:basedOn w:val="Normal"/>
    <w:link w:val="FooterChar"/>
    <w:uiPriority w:val="99"/>
    <w:rsid w:val="00B06571"/>
    <w:pPr>
      <w:tabs>
        <w:tab w:val="center" w:pos="4320"/>
        <w:tab w:val="right" w:pos="8640"/>
      </w:tabs>
    </w:pPr>
  </w:style>
  <w:style w:type="character" w:customStyle="1" w:styleId="FooterChar">
    <w:name w:val="Footer Char"/>
    <w:basedOn w:val="DefaultParagraphFont"/>
    <w:link w:val="Footer"/>
    <w:uiPriority w:val="99"/>
    <w:locked/>
    <w:rsid w:val="00064ACA"/>
    <w:rPr>
      <w:rFonts w:cs="Times New Roman"/>
      <w:snapToGrid w:val="0"/>
      <w:kern w:val="28"/>
      <w:sz w:val="22"/>
    </w:rPr>
  </w:style>
  <w:style w:type="paragraph" w:customStyle="1" w:styleId="ParaNum">
    <w:name w:val="ParaNum"/>
    <w:basedOn w:val="Normal"/>
    <w:link w:val="ParaNumChar"/>
    <w:uiPriority w:val="99"/>
    <w:rsid w:val="00B06571"/>
    <w:pPr>
      <w:numPr>
        <w:numId w:val="1"/>
      </w:numPr>
    </w:p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4"/>
    <w:uiPriority w:val="99"/>
    <w:rsid w:val="00B06571"/>
    <w:rPr>
      <w:sz w:val="20"/>
    </w:rPr>
  </w:style>
  <w:style w:type="character" w:customStyle="1" w:styleId="FootnoteTextChar1">
    <w:name w:val="Footnote Text Char1"/>
    <w:aliases w:val="Footnote Text Char Char,Footnote Text Char3 Char Char,Footnote Text Char4 Char1 Char Char,Footnote Text Char Char2 Char Char Char,Footnote Text Char3 Char Char Char2 Char Char,Footnote Text Char Char2 Char Char Char2 Char Char"/>
    <w:basedOn w:val="DefaultParagraphFont"/>
    <w:uiPriority w:val="99"/>
    <w:semiHidden/>
    <w:rPr>
      <w:rFonts w:cs="Times New Roman"/>
      <w:kern w:val="28"/>
      <w:sz w:val="20"/>
      <w:szCs w:val="20"/>
    </w:rPr>
  </w:style>
  <w:style w:type="character" w:styleId="FootnoteReference">
    <w:name w:val="footnote reference"/>
    <w:aliases w:val="Style 12,(NECG) Footnote Reference,o,fr,Style 3,Appel note de bas de p,Style 124,Style 17,FR,Style 13,Footnote Reference/,Style 6"/>
    <w:basedOn w:val="DefaultParagraphFont"/>
    <w:rsid w:val="00B06571"/>
    <w:rPr>
      <w:rFonts w:cs="Times New Roman"/>
      <w:vertAlign w:val="superscript"/>
    </w:rPr>
  </w:style>
  <w:style w:type="character" w:customStyle="1" w:styleId="FootnoteTextChar4">
    <w:name w:val="Footnote Text Char4"/>
    <w:aliases w:val="Footnote Text Char Char1,Footnote Text Char3 Char Char2,Footnote Text Char4 Char1 Char Char2,Footnote Text Char Char2 Char Char Char1,Footnote Text Char3 Char Char Char2 Char Char2,Footnote Text Char Char2 Char Char Char2 Char Char2"/>
    <w:link w:val="FootnoteText"/>
    <w:uiPriority w:val="99"/>
    <w:locked/>
    <w:rsid w:val="00B06571"/>
    <w:rPr>
      <w:snapToGrid w:val="0"/>
      <w:kern w:val="28"/>
      <w:lang w:val="en-US" w:eastAsia="en-US"/>
    </w:rPr>
  </w:style>
  <w:style w:type="character" w:customStyle="1" w:styleId="ParaNumChar">
    <w:name w:val="ParaNum Char"/>
    <w:link w:val="ParaNum"/>
    <w:uiPriority w:val="99"/>
    <w:locked/>
    <w:rsid w:val="00B06571"/>
    <w:rPr>
      <w:kern w:val="28"/>
      <w:szCs w:val="20"/>
    </w:rPr>
  </w:style>
  <w:style w:type="character" w:styleId="Hyperlink">
    <w:name w:val="Hyperlink"/>
    <w:basedOn w:val="DefaultParagraphFont"/>
    <w:uiPriority w:val="99"/>
    <w:rsid w:val="00B06571"/>
    <w:rPr>
      <w:rFonts w:cs="Times New Roman"/>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3,f Char"/>
    <w:uiPriority w:val="99"/>
    <w:semiHidden/>
    <w:locked/>
    <w:rsid w:val="00B06571"/>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locked/>
    <w:rsid w:val="00B06571"/>
    <w:rPr>
      <w:lang w:val="en-US" w:eastAsia="en-US"/>
    </w:rPr>
  </w:style>
  <w:style w:type="character" w:styleId="CommentReference">
    <w:name w:val="annotation reference"/>
    <w:basedOn w:val="DefaultParagraphFont"/>
    <w:uiPriority w:val="99"/>
    <w:semiHidden/>
    <w:rsid w:val="00B06571"/>
    <w:rPr>
      <w:rFonts w:cs="Times New Roman"/>
      <w:sz w:val="16"/>
    </w:rPr>
  </w:style>
  <w:style w:type="paragraph" w:styleId="CommentText">
    <w:name w:val="annotation text"/>
    <w:basedOn w:val="Normal"/>
    <w:link w:val="CommentTextChar"/>
    <w:uiPriority w:val="99"/>
    <w:semiHidden/>
    <w:rsid w:val="00B06571"/>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B06571"/>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paragraph" w:styleId="BalloonText">
    <w:name w:val="Balloon Text"/>
    <w:basedOn w:val="Normal"/>
    <w:link w:val="BalloonTextChar"/>
    <w:uiPriority w:val="99"/>
    <w:semiHidden/>
    <w:rsid w:val="00B065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PageNumber">
    <w:name w:val="page number"/>
    <w:basedOn w:val="DefaultParagraphFont"/>
    <w:uiPriority w:val="99"/>
    <w:rsid w:val="00B06571"/>
    <w:rPr>
      <w:rFonts w:cs="Times New Roman"/>
    </w:rPr>
  </w:style>
  <w:style w:type="paragraph" w:styleId="DocumentMap">
    <w:name w:val="Document Map"/>
    <w:basedOn w:val="Normal"/>
    <w:link w:val="DocumentMapChar"/>
    <w:uiPriority w:val="99"/>
    <w:semiHidden/>
    <w:rsid w:val="009604B9"/>
    <w:pPr>
      <w:numPr>
        <w:numId w:val="9"/>
      </w:numPr>
      <w:shd w:val="clear" w:color="auto" w:fill="000080"/>
      <w:tabs>
        <w:tab w:val="clear" w:pos="1080"/>
      </w:tabs>
      <w:ind w:firstLine="0"/>
      <w:jc w:val="both"/>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kern w:val="28"/>
      <w:sz w:val="2"/>
    </w:rPr>
  </w:style>
  <w:style w:type="paragraph" w:styleId="ListParagraph">
    <w:name w:val="List Paragraph"/>
    <w:basedOn w:val="Normal"/>
    <w:uiPriority w:val="99"/>
    <w:qFormat/>
    <w:rsid w:val="009940DD"/>
    <w:pPr>
      <w:ind w:left="720"/>
    </w:pPr>
  </w:style>
  <w:style w:type="character" w:customStyle="1" w:styleId="starpage">
    <w:name w:val="starpage"/>
    <w:basedOn w:val="DefaultParagraphFont"/>
    <w:uiPriority w:val="99"/>
    <w:rsid w:val="00031AC0"/>
    <w:rPr>
      <w:rFonts w:cs="Times New Roman"/>
    </w:rPr>
  </w:style>
  <w:style w:type="character" w:styleId="FollowedHyperlink">
    <w:name w:val="FollowedHyperlink"/>
    <w:basedOn w:val="DefaultParagraphFont"/>
    <w:uiPriority w:val="99"/>
    <w:rsid w:val="0000041E"/>
    <w:rPr>
      <w:rFonts w:cs="Times New Roman"/>
      <w:color w:val="800080"/>
      <w:u w:val="single"/>
    </w:rPr>
  </w:style>
  <w:style w:type="paragraph" w:styleId="EndnoteText">
    <w:name w:val="endnote text"/>
    <w:basedOn w:val="Normal"/>
    <w:link w:val="EndnoteTextChar"/>
    <w:uiPriority w:val="99"/>
    <w:rsid w:val="006C3568"/>
    <w:rPr>
      <w:sz w:val="20"/>
    </w:rPr>
  </w:style>
  <w:style w:type="character" w:customStyle="1" w:styleId="EndnoteTextChar">
    <w:name w:val="Endnote Text Char"/>
    <w:basedOn w:val="DefaultParagraphFont"/>
    <w:link w:val="EndnoteText"/>
    <w:uiPriority w:val="99"/>
    <w:locked/>
    <w:rsid w:val="006C3568"/>
    <w:rPr>
      <w:rFonts w:cs="Times New Roman"/>
      <w:snapToGrid w:val="0"/>
      <w:kern w:val="28"/>
    </w:rPr>
  </w:style>
  <w:style w:type="character" w:styleId="EndnoteReference">
    <w:name w:val="endnote reference"/>
    <w:basedOn w:val="DefaultParagraphFont"/>
    <w:uiPriority w:val="99"/>
    <w:rsid w:val="006C356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7270">
      <w:marLeft w:val="0"/>
      <w:marRight w:val="0"/>
      <w:marTop w:val="0"/>
      <w:marBottom w:val="0"/>
      <w:divBdr>
        <w:top w:val="none" w:sz="0" w:space="0" w:color="auto"/>
        <w:left w:val="none" w:sz="0" w:space="0" w:color="auto"/>
        <w:bottom w:val="none" w:sz="0" w:space="0" w:color="auto"/>
        <w:right w:val="none" w:sz="0" w:space="0" w:color="auto"/>
      </w:divBdr>
    </w:div>
    <w:div w:id="1581677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Communications&amp;db=1000546&amp;rs=WLW12.04&amp;docname=47USCAS154&amp;rp=%2ffind%2fdefault.wl&amp;findtype=L&amp;ordoc=2011089772&amp;tc=-1&amp;vr=2.0&amp;fn=_top&amp;sv=Split&amp;tf=-1&amp;pbc=AB4595E3&amp;utid=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estlaw.com/find/default.wl?mt=Communications&amp;db=1000546&amp;rs=WLW12.04&amp;docname=47USCAS154&amp;rp=%2ffind%2fdefault.wl&amp;findtype=L&amp;ordoc=2011089772&amp;tc=-1&amp;vr=2.0&amp;fn=_top&amp;sv=Split&amp;tf=-1&amp;pbc=AB4595E3&amp;utid=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2153</Words>
  <Characters>11821</Characters>
  <Application>Microsoft Office Word</Application>
  <DocSecurity>0</DocSecurity>
  <Lines>210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2012-09-06T16:01:00Z</cp:lastPrinted>
  <dcterms:created xsi:type="dcterms:W3CDTF">2014-11-21T20:58:00Z</dcterms:created>
  <dcterms:modified xsi:type="dcterms:W3CDTF">2014-11-21T20:58:00Z</dcterms:modified>
  <cp:category> </cp:category>
  <cp:contentStatus> </cp:contentStatus>
</cp:coreProperties>
</file>