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0C" w:rsidRPr="007145B4" w:rsidRDefault="00026E0C" w:rsidP="00026E0C">
      <w:pPr>
        <w:jc w:val="center"/>
        <w:rPr>
          <w:b/>
          <w:szCs w:val="22"/>
        </w:rPr>
      </w:pPr>
      <w:bookmarkStart w:id="0" w:name="_GoBack"/>
      <w:bookmarkEnd w:id="0"/>
      <w:r w:rsidRPr="007145B4">
        <w:rPr>
          <w:b/>
          <w:kern w:val="0"/>
          <w:szCs w:val="22"/>
        </w:rPr>
        <w:t>Before</w:t>
      </w:r>
      <w:r w:rsidRPr="007145B4">
        <w:rPr>
          <w:b/>
          <w:szCs w:val="22"/>
        </w:rPr>
        <w:t xml:space="preserve"> the</w:t>
      </w:r>
    </w:p>
    <w:p w:rsidR="00026E0C" w:rsidRPr="007145B4" w:rsidRDefault="00026E0C" w:rsidP="00026E0C">
      <w:pPr>
        <w:pStyle w:val="StyleBoldCentered"/>
        <w:rPr>
          <w:rFonts w:ascii="Times New Roman" w:hAnsi="Times New Roman"/>
        </w:rPr>
      </w:pPr>
      <w:r w:rsidRPr="007145B4">
        <w:rPr>
          <w:rFonts w:ascii="Times New Roman" w:hAnsi="Times New Roman"/>
        </w:rPr>
        <w:t>F</w:t>
      </w:r>
      <w:r w:rsidRPr="007145B4">
        <w:rPr>
          <w:rFonts w:ascii="Times New Roman" w:hAnsi="Times New Roman"/>
          <w:caps w:val="0"/>
        </w:rPr>
        <w:t>ederal Communications Commission</w:t>
      </w:r>
    </w:p>
    <w:p w:rsidR="00026E0C" w:rsidRPr="007145B4" w:rsidRDefault="00026E0C" w:rsidP="00026E0C">
      <w:pPr>
        <w:pStyle w:val="StyleBoldCentered"/>
        <w:rPr>
          <w:rFonts w:ascii="Times New Roman" w:hAnsi="Times New Roman"/>
        </w:rPr>
      </w:pPr>
      <w:r w:rsidRPr="007145B4">
        <w:rPr>
          <w:rFonts w:ascii="Times New Roman" w:hAnsi="Times New Roman"/>
          <w:caps w:val="0"/>
        </w:rPr>
        <w:t>Washington, D.C. 20554</w:t>
      </w:r>
    </w:p>
    <w:p w:rsidR="00026E0C" w:rsidRPr="007145B4" w:rsidRDefault="00026E0C" w:rsidP="00026E0C">
      <w:pPr>
        <w:rPr>
          <w:szCs w:val="22"/>
        </w:rPr>
      </w:pPr>
    </w:p>
    <w:tbl>
      <w:tblPr>
        <w:tblW w:w="0" w:type="auto"/>
        <w:tblLayout w:type="fixed"/>
        <w:tblLook w:val="0000" w:firstRow="0" w:lastRow="0" w:firstColumn="0" w:lastColumn="0" w:noHBand="0" w:noVBand="0"/>
      </w:tblPr>
      <w:tblGrid>
        <w:gridCol w:w="4698"/>
        <w:gridCol w:w="630"/>
        <w:gridCol w:w="4248"/>
      </w:tblGrid>
      <w:tr w:rsidR="00026E0C" w:rsidRPr="007145B4">
        <w:tc>
          <w:tcPr>
            <w:tcW w:w="4698" w:type="dxa"/>
          </w:tcPr>
          <w:p w:rsidR="00026E0C" w:rsidRPr="007145B4" w:rsidRDefault="00026E0C" w:rsidP="00026E0C">
            <w:pPr>
              <w:tabs>
                <w:tab w:val="center" w:pos="4680"/>
              </w:tabs>
              <w:suppressAutoHyphens/>
              <w:rPr>
                <w:spacing w:val="-2"/>
                <w:szCs w:val="22"/>
              </w:rPr>
            </w:pPr>
            <w:r w:rsidRPr="007145B4">
              <w:rPr>
                <w:spacing w:val="-2"/>
                <w:szCs w:val="22"/>
              </w:rPr>
              <w:t>In the Matter of</w:t>
            </w:r>
          </w:p>
          <w:p w:rsidR="00026E0C" w:rsidRPr="007145B4" w:rsidRDefault="00026E0C" w:rsidP="00026E0C">
            <w:pPr>
              <w:tabs>
                <w:tab w:val="center" w:pos="4680"/>
              </w:tabs>
              <w:suppressAutoHyphens/>
              <w:rPr>
                <w:spacing w:val="-2"/>
                <w:szCs w:val="22"/>
              </w:rPr>
            </w:pPr>
          </w:p>
          <w:p w:rsidR="00026E0C" w:rsidRPr="007145B4" w:rsidRDefault="00026E0C" w:rsidP="00026E0C">
            <w:pPr>
              <w:tabs>
                <w:tab w:val="center" w:pos="4680"/>
              </w:tabs>
              <w:suppressAutoHyphens/>
              <w:rPr>
                <w:b/>
                <w:spacing w:val="-2"/>
                <w:szCs w:val="22"/>
              </w:rPr>
            </w:pPr>
            <w:r w:rsidRPr="007145B4">
              <w:rPr>
                <w:b/>
                <w:spacing w:val="-2"/>
                <w:szCs w:val="22"/>
              </w:rPr>
              <w:t>Journal Broadcast Corporation</w:t>
            </w:r>
          </w:p>
          <w:p w:rsidR="00026E0C" w:rsidRPr="007145B4" w:rsidRDefault="00026E0C" w:rsidP="00026E0C">
            <w:pPr>
              <w:tabs>
                <w:tab w:val="center" w:pos="4680"/>
              </w:tabs>
              <w:suppressAutoHyphens/>
              <w:rPr>
                <w:spacing w:val="-2"/>
                <w:szCs w:val="22"/>
              </w:rPr>
            </w:pPr>
          </w:p>
          <w:p w:rsidR="00026E0C" w:rsidRPr="007145B4" w:rsidRDefault="00026E0C" w:rsidP="00026E0C">
            <w:pPr>
              <w:tabs>
                <w:tab w:val="center" w:pos="4680"/>
              </w:tabs>
              <w:suppressAutoHyphens/>
              <w:rPr>
                <w:spacing w:val="-2"/>
                <w:szCs w:val="22"/>
              </w:rPr>
            </w:pPr>
            <w:r w:rsidRPr="007145B4">
              <w:rPr>
                <w:szCs w:val="22"/>
              </w:rPr>
              <w:t>Licensee of Station KTNV-TV, Las Vegas, Nevada</w:t>
            </w:r>
          </w:p>
        </w:tc>
        <w:tc>
          <w:tcPr>
            <w:tcW w:w="630" w:type="dxa"/>
          </w:tcPr>
          <w:p w:rsidR="00026E0C" w:rsidRPr="007145B4" w:rsidRDefault="00026E0C" w:rsidP="00026E0C">
            <w:pPr>
              <w:tabs>
                <w:tab w:val="center" w:pos="4680"/>
              </w:tabs>
              <w:suppressAutoHyphens/>
              <w:rPr>
                <w:b/>
                <w:spacing w:val="-2"/>
                <w:szCs w:val="22"/>
              </w:rPr>
            </w:pPr>
            <w:r w:rsidRPr="007145B4">
              <w:rPr>
                <w:b/>
                <w:spacing w:val="-2"/>
                <w:szCs w:val="22"/>
              </w:rPr>
              <w:t>)</w:t>
            </w:r>
          </w:p>
          <w:p w:rsidR="00026E0C" w:rsidRPr="007145B4" w:rsidRDefault="00026E0C" w:rsidP="00026E0C">
            <w:pPr>
              <w:tabs>
                <w:tab w:val="center" w:pos="4680"/>
              </w:tabs>
              <w:suppressAutoHyphens/>
              <w:rPr>
                <w:b/>
                <w:spacing w:val="-2"/>
                <w:szCs w:val="22"/>
              </w:rPr>
            </w:pPr>
            <w:r w:rsidRPr="007145B4">
              <w:rPr>
                <w:b/>
                <w:spacing w:val="-2"/>
                <w:szCs w:val="22"/>
              </w:rPr>
              <w:t>)</w:t>
            </w:r>
          </w:p>
          <w:p w:rsidR="00026E0C" w:rsidRPr="007145B4" w:rsidRDefault="00026E0C" w:rsidP="00026E0C">
            <w:pPr>
              <w:tabs>
                <w:tab w:val="center" w:pos="4680"/>
              </w:tabs>
              <w:suppressAutoHyphens/>
              <w:rPr>
                <w:b/>
                <w:spacing w:val="-2"/>
                <w:szCs w:val="22"/>
              </w:rPr>
            </w:pPr>
            <w:r w:rsidRPr="007145B4">
              <w:rPr>
                <w:b/>
                <w:spacing w:val="-2"/>
                <w:szCs w:val="22"/>
              </w:rPr>
              <w:t>)</w:t>
            </w:r>
          </w:p>
          <w:p w:rsidR="00026E0C" w:rsidRPr="007145B4" w:rsidRDefault="00026E0C" w:rsidP="00026E0C">
            <w:pPr>
              <w:tabs>
                <w:tab w:val="center" w:pos="4680"/>
              </w:tabs>
              <w:suppressAutoHyphens/>
              <w:rPr>
                <w:b/>
                <w:spacing w:val="-2"/>
                <w:szCs w:val="22"/>
              </w:rPr>
            </w:pPr>
            <w:r w:rsidRPr="007145B4">
              <w:rPr>
                <w:b/>
                <w:spacing w:val="-2"/>
                <w:szCs w:val="22"/>
              </w:rPr>
              <w:t>)</w:t>
            </w:r>
          </w:p>
          <w:p w:rsidR="00026E0C" w:rsidRPr="007145B4" w:rsidRDefault="00026E0C" w:rsidP="00026E0C">
            <w:pPr>
              <w:tabs>
                <w:tab w:val="center" w:pos="4680"/>
              </w:tabs>
              <w:suppressAutoHyphens/>
              <w:rPr>
                <w:b/>
                <w:spacing w:val="-2"/>
                <w:szCs w:val="22"/>
              </w:rPr>
            </w:pPr>
            <w:r w:rsidRPr="007145B4">
              <w:rPr>
                <w:b/>
                <w:spacing w:val="-2"/>
                <w:szCs w:val="22"/>
              </w:rPr>
              <w:t>)</w:t>
            </w:r>
          </w:p>
          <w:p w:rsidR="00026E0C" w:rsidRPr="007145B4" w:rsidRDefault="00026E0C" w:rsidP="00026E0C">
            <w:pPr>
              <w:tabs>
                <w:tab w:val="center" w:pos="4680"/>
              </w:tabs>
              <w:suppressAutoHyphens/>
              <w:rPr>
                <w:b/>
                <w:spacing w:val="-2"/>
                <w:szCs w:val="22"/>
              </w:rPr>
            </w:pPr>
            <w:r w:rsidRPr="007145B4">
              <w:rPr>
                <w:b/>
                <w:spacing w:val="-2"/>
                <w:szCs w:val="22"/>
              </w:rPr>
              <w:t>)</w:t>
            </w:r>
          </w:p>
          <w:p w:rsidR="00026E0C" w:rsidRPr="007145B4" w:rsidRDefault="00026E0C" w:rsidP="00026E0C">
            <w:pPr>
              <w:tabs>
                <w:tab w:val="center" w:pos="4680"/>
              </w:tabs>
              <w:suppressAutoHyphens/>
              <w:rPr>
                <w:b/>
                <w:spacing w:val="-2"/>
                <w:szCs w:val="22"/>
              </w:rPr>
            </w:pPr>
            <w:r w:rsidRPr="007145B4">
              <w:rPr>
                <w:b/>
                <w:spacing w:val="-2"/>
                <w:szCs w:val="22"/>
              </w:rPr>
              <w:t>)</w:t>
            </w:r>
          </w:p>
          <w:p w:rsidR="00026E0C" w:rsidRPr="007145B4" w:rsidRDefault="00026E0C" w:rsidP="00026E0C">
            <w:pPr>
              <w:tabs>
                <w:tab w:val="center" w:pos="4680"/>
              </w:tabs>
              <w:suppressAutoHyphens/>
              <w:rPr>
                <w:b/>
                <w:spacing w:val="-2"/>
                <w:szCs w:val="22"/>
              </w:rPr>
            </w:pPr>
            <w:r w:rsidRPr="007145B4">
              <w:rPr>
                <w:b/>
                <w:spacing w:val="-2"/>
                <w:szCs w:val="22"/>
              </w:rPr>
              <w:t>)</w:t>
            </w:r>
          </w:p>
          <w:p w:rsidR="00026E0C" w:rsidRPr="007145B4" w:rsidRDefault="00026E0C" w:rsidP="00026E0C">
            <w:pPr>
              <w:tabs>
                <w:tab w:val="center" w:pos="4680"/>
              </w:tabs>
              <w:suppressAutoHyphens/>
              <w:rPr>
                <w:b/>
                <w:spacing w:val="-2"/>
                <w:szCs w:val="22"/>
              </w:rPr>
            </w:pPr>
            <w:r w:rsidRPr="007145B4">
              <w:rPr>
                <w:b/>
                <w:spacing w:val="-2"/>
                <w:szCs w:val="22"/>
              </w:rPr>
              <w:t>)</w:t>
            </w:r>
          </w:p>
          <w:p w:rsidR="00026E0C" w:rsidRPr="007145B4" w:rsidRDefault="00026E0C" w:rsidP="00026E0C">
            <w:pPr>
              <w:tabs>
                <w:tab w:val="center" w:pos="4680"/>
              </w:tabs>
              <w:suppressAutoHyphens/>
              <w:rPr>
                <w:spacing w:val="-2"/>
                <w:szCs w:val="22"/>
              </w:rPr>
            </w:pPr>
            <w:r w:rsidRPr="007145B4">
              <w:rPr>
                <w:b/>
                <w:spacing w:val="-2"/>
                <w:szCs w:val="22"/>
              </w:rPr>
              <w:t>)</w:t>
            </w:r>
          </w:p>
        </w:tc>
        <w:tc>
          <w:tcPr>
            <w:tcW w:w="4248" w:type="dxa"/>
          </w:tcPr>
          <w:p w:rsidR="00026E0C" w:rsidRPr="007145B4" w:rsidRDefault="00026E0C" w:rsidP="00026E0C">
            <w:pPr>
              <w:tabs>
                <w:tab w:val="center" w:pos="4680"/>
              </w:tabs>
              <w:suppressAutoHyphens/>
              <w:rPr>
                <w:spacing w:val="-2"/>
                <w:szCs w:val="22"/>
              </w:rPr>
            </w:pPr>
          </w:p>
          <w:p w:rsidR="00026E0C" w:rsidRPr="007145B4" w:rsidRDefault="00026E0C" w:rsidP="00026E0C">
            <w:pPr>
              <w:pStyle w:val="TOAHeading"/>
              <w:tabs>
                <w:tab w:val="clear" w:pos="9360"/>
                <w:tab w:val="center" w:pos="4680"/>
              </w:tabs>
              <w:rPr>
                <w:spacing w:val="-2"/>
                <w:szCs w:val="22"/>
              </w:rPr>
            </w:pPr>
          </w:p>
          <w:p w:rsidR="00026E0C" w:rsidRPr="007145B4" w:rsidRDefault="00026E0C" w:rsidP="00026E0C">
            <w:pPr>
              <w:pStyle w:val="Title"/>
              <w:jc w:val="left"/>
              <w:rPr>
                <w:b w:val="0"/>
                <w:szCs w:val="22"/>
                <w:lang w:val="en-US" w:eastAsia="en-US"/>
              </w:rPr>
            </w:pPr>
            <w:r w:rsidRPr="007145B4">
              <w:rPr>
                <w:b w:val="0"/>
                <w:szCs w:val="22"/>
                <w:lang w:val="en-US" w:eastAsia="en-US"/>
              </w:rPr>
              <w:t xml:space="preserve">File Nos.:  EB-IHD-14-00016141 and </w:t>
            </w:r>
          </w:p>
          <w:p w:rsidR="00026E0C" w:rsidRPr="007145B4" w:rsidRDefault="00026E0C" w:rsidP="00026E0C">
            <w:pPr>
              <w:pStyle w:val="Title"/>
              <w:jc w:val="left"/>
              <w:rPr>
                <w:b w:val="0"/>
                <w:szCs w:val="22"/>
                <w:lang w:val="en-US" w:eastAsia="en-US"/>
              </w:rPr>
            </w:pPr>
            <w:r w:rsidRPr="007145B4">
              <w:rPr>
                <w:b w:val="0"/>
                <w:szCs w:val="22"/>
                <w:lang w:val="en-US" w:eastAsia="en-US"/>
              </w:rPr>
              <w:t xml:space="preserve">                  EB-09-IH-1918</w:t>
            </w:r>
          </w:p>
          <w:p w:rsidR="00026E0C" w:rsidRPr="007145B4" w:rsidRDefault="00026E0C" w:rsidP="00026E0C">
            <w:pPr>
              <w:pStyle w:val="Title"/>
              <w:jc w:val="left"/>
              <w:rPr>
                <w:b w:val="0"/>
                <w:szCs w:val="22"/>
                <w:lang w:val="en-US" w:eastAsia="en-US"/>
              </w:rPr>
            </w:pPr>
          </w:p>
          <w:p w:rsidR="00026E0C" w:rsidRPr="007145B4" w:rsidRDefault="00026E0C" w:rsidP="00026E0C">
            <w:pPr>
              <w:pStyle w:val="Title"/>
              <w:jc w:val="left"/>
              <w:rPr>
                <w:b w:val="0"/>
                <w:color w:val="000000"/>
                <w:szCs w:val="22"/>
                <w:lang w:val="en-US" w:eastAsia="en-US"/>
              </w:rPr>
            </w:pPr>
            <w:r w:rsidRPr="007145B4">
              <w:rPr>
                <w:b w:val="0"/>
                <w:szCs w:val="22"/>
                <w:lang w:val="en-US" w:eastAsia="en-US"/>
              </w:rPr>
              <w:t xml:space="preserve">Acct. No.:  </w:t>
            </w:r>
            <w:r w:rsidR="007C11C5" w:rsidRPr="007145B4">
              <w:rPr>
                <w:b w:val="0"/>
                <w:color w:val="000000"/>
                <w:szCs w:val="22"/>
                <w:lang w:val="en-US" w:eastAsia="en-US"/>
              </w:rPr>
              <w:t>201532080004</w:t>
            </w:r>
          </w:p>
          <w:p w:rsidR="00026E0C" w:rsidRPr="007145B4" w:rsidRDefault="00026E0C" w:rsidP="00026E0C">
            <w:pPr>
              <w:pStyle w:val="Title"/>
              <w:jc w:val="left"/>
              <w:rPr>
                <w:b w:val="0"/>
                <w:szCs w:val="22"/>
                <w:lang w:val="en-US" w:eastAsia="en-US"/>
              </w:rPr>
            </w:pPr>
          </w:p>
          <w:p w:rsidR="00026E0C" w:rsidRPr="007145B4" w:rsidRDefault="00026E0C" w:rsidP="00026E0C">
            <w:pPr>
              <w:pStyle w:val="Title"/>
              <w:jc w:val="left"/>
              <w:rPr>
                <w:b w:val="0"/>
                <w:szCs w:val="22"/>
                <w:lang w:val="en-US" w:eastAsia="en-US"/>
              </w:rPr>
            </w:pPr>
            <w:r w:rsidRPr="007145B4">
              <w:rPr>
                <w:b w:val="0"/>
                <w:szCs w:val="22"/>
                <w:lang w:val="en-US" w:eastAsia="en-US"/>
              </w:rPr>
              <w:t>FRN:  0002710192</w:t>
            </w:r>
          </w:p>
          <w:p w:rsidR="00026E0C" w:rsidRPr="007145B4" w:rsidRDefault="00026E0C" w:rsidP="00026E0C">
            <w:pPr>
              <w:pStyle w:val="Title"/>
              <w:jc w:val="left"/>
              <w:rPr>
                <w:b w:val="0"/>
                <w:szCs w:val="22"/>
                <w:lang w:val="en-US" w:eastAsia="en-US"/>
              </w:rPr>
            </w:pPr>
          </w:p>
          <w:p w:rsidR="00026E0C" w:rsidRPr="007145B4" w:rsidRDefault="00026E0C" w:rsidP="00026E0C">
            <w:pPr>
              <w:pStyle w:val="Title"/>
              <w:jc w:val="left"/>
              <w:rPr>
                <w:b w:val="0"/>
                <w:szCs w:val="22"/>
                <w:lang w:val="en-US" w:eastAsia="en-US"/>
              </w:rPr>
            </w:pPr>
            <w:r w:rsidRPr="007145B4">
              <w:rPr>
                <w:b w:val="0"/>
                <w:szCs w:val="22"/>
                <w:lang w:val="en-US" w:eastAsia="en-US"/>
              </w:rPr>
              <w:t>Facility ID No.:  74100</w:t>
            </w:r>
          </w:p>
          <w:p w:rsidR="00026E0C" w:rsidRPr="007145B4" w:rsidRDefault="00026E0C" w:rsidP="00026E0C">
            <w:pPr>
              <w:tabs>
                <w:tab w:val="center" w:pos="4680"/>
              </w:tabs>
              <w:suppressAutoHyphens/>
              <w:rPr>
                <w:spacing w:val="-2"/>
                <w:szCs w:val="22"/>
              </w:rPr>
            </w:pPr>
          </w:p>
        </w:tc>
      </w:tr>
    </w:tbl>
    <w:p w:rsidR="00026E0C" w:rsidRPr="007145B4" w:rsidRDefault="00026E0C" w:rsidP="00026E0C">
      <w:pPr>
        <w:rPr>
          <w:szCs w:val="22"/>
        </w:rPr>
      </w:pPr>
    </w:p>
    <w:p w:rsidR="00026E0C" w:rsidRPr="007145B4" w:rsidRDefault="00026E0C" w:rsidP="00026E0C">
      <w:pPr>
        <w:pStyle w:val="StyleBoldCentered"/>
        <w:rPr>
          <w:rFonts w:ascii="Times New Roman" w:hAnsi="Times New Roman"/>
        </w:rPr>
      </w:pPr>
      <w:r w:rsidRPr="007145B4">
        <w:rPr>
          <w:rFonts w:ascii="Times New Roman" w:hAnsi="Times New Roman"/>
        </w:rPr>
        <w:t>order</w:t>
      </w:r>
    </w:p>
    <w:p w:rsidR="00026E0C" w:rsidRPr="007145B4" w:rsidRDefault="00026E0C" w:rsidP="00026E0C">
      <w:pPr>
        <w:tabs>
          <w:tab w:val="left" w:pos="-720"/>
        </w:tabs>
        <w:suppressAutoHyphens/>
        <w:spacing w:line="227" w:lineRule="auto"/>
        <w:rPr>
          <w:spacing w:val="-2"/>
          <w:szCs w:val="22"/>
        </w:rPr>
      </w:pPr>
    </w:p>
    <w:p w:rsidR="00026E0C" w:rsidRPr="007145B4" w:rsidRDefault="00026E0C" w:rsidP="00026E0C">
      <w:pPr>
        <w:tabs>
          <w:tab w:val="left" w:pos="720"/>
          <w:tab w:val="right" w:pos="9360"/>
        </w:tabs>
        <w:suppressAutoHyphens/>
        <w:spacing w:line="227" w:lineRule="auto"/>
        <w:rPr>
          <w:b/>
          <w:spacing w:val="-2"/>
          <w:szCs w:val="22"/>
        </w:rPr>
      </w:pPr>
      <w:r w:rsidRPr="007145B4">
        <w:rPr>
          <w:b/>
          <w:spacing w:val="-2"/>
          <w:szCs w:val="22"/>
        </w:rPr>
        <w:t xml:space="preserve">Adopted:  </w:t>
      </w:r>
      <w:r w:rsidR="00627077" w:rsidRPr="007145B4">
        <w:rPr>
          <w:b/>
          <w:spacing w:val="-2"/>
          <w:szCs w:val="22"/>
        </w:rPr>
        <w:t>December</w:t>
      </w:r>
      <w:r w:rsidRPr="007145B4">
        <w:rPr>
          <w:b/>
          <w:spacing w:val="-2"/>
          <w:szCs w:val="22"/>
        </w:rPr>
        <w:t xml:space="preserve"> </w:t>
      </w:r>
      <w:r w:rsidR="00792F66">
        <w:rPr>
          <w:b/>
          <w:spacing w:val="-2"/>
          <w:szCs w:val="22"/>
        </w:rPr>
        <w:t>5</w:t>
      </w:r>
      <w:r w:rsidRPr="007145B4">
        <w:rPr>
          <w:b/>
          <w:spacing w:val="-2"/>
          <w:szCs w:val="22"/>
        </w:rPr>
        <w:t>, 2014</w:t>
      </w:r>
      <w:r w:rsidRPr="007145B4">
        <w:rPr>
          <w:b/>
          <w:spacing w:val="-2"/>
          <w:szCs w:val="22"/>
        </w:rPr>
        <w:tab/>
        <w:t xml:space="preserve">Released:  </w:t>
      </w:r>
      <w:r w:rsidR="00627077" w:rsidRPr="007145B4">
        <w:rPr>
          <w:b/>
          <w:spacing w:val="-2"/>
          <w:szCs w:val="22"/>
        </w:rPr>
        <w:t>December</w:t>
      </w:r>
      <w:r w:rsidRPr="007145B4">
        <w:rPr>
          <w:b/>
          <w:spacing w:val="-2"/>
          <w:szCs w:val="22"/>
        </w:rPr>
        <w:t xml:space="preserve"> </w:t>
      </w:r>
      <w:r w:rsidR="00792F66">
        <w:rPr>
          <w:b/>
          <w:spacing w:val="-2"/>
          <w:szCs w:val="22"/>
        </w:rPr>
        <w:t>5</w:t>
      </w:r>
      <w:r w:rsidRPr="007145B4">
        <w:rPr>
          <w:b/>
          <w:spacing w:val="-2"/>
          <w:szCs w:val="22"/>
        </w:rPr>
        <w:t>, 2014</w:t>
      </w:r>
    </w:p>
    <w:p w:rsidR="00026E0C" w:rsidRPr="007145B4" w:rsidRDefault="00026E0C" w:rsidP="00026E0C">
      <w:pPr>
        <w:rPr>
          <w:szCs w:val="22"/>
        </w:rPr>
      </w:pPr>
    </w:p>
    <w:p w:rsidR="00026E0C" w:rsidRPr="007145B4" w:rsidRDefault="00026E0C" w:rsidP="00795A4A">
      <w:pPr>
        <w:pStyle w:val="MediumGrid21"/>
        <w:rPr>
          <w:sz w:val="22"/>
          <w:szCs w:val="22"/>
        </w:rPr>
      </w:pPr>
      <w:r w:rsidRPr="007145B4">
        <w:rPr>
          <w:sz w:val="22"/>
          <w:szCs w:val="22"/>
        </w:rPr>
        <w:t xml:space="preserve">By the Chief, </w:t>
      </w:r>
      <w:r w:rsidRPr="007145B4">
        <w:rPr>
          <w:spacing w:val="-2"/>
          <w:sz w:val="22"/>
          <w:szCs w:val="22"/>
        </w:rPr>
        <w:t>Enforcement Bureau:</w:t>
      </w:r>
    </w:p>
    <w:p w:rsidR="00026E0C" w:rsidRPr="007145B4" w:rsidRDefault="00026E0C" w:rsidP="00026E0C">
      <w:pPr>
        <w:rPr>
          <w:szCs w:val="22"/>
        </w:rPr>
      </w:pPr>
    </w:p>
    <w:p w:rsidR="00A74FF2" w:rsidRPr="007145B4" w:rsidRDefault="00627077" w:rsidP="007145B4">
      <w:pPr>
        <w:pStyle w:val="ParaNum"/>
        <w:numPr>
          <w:ilvl w:val="0"/>
          <w:numId w:val="7"/>
        </w:numPr>
        <w:tabs>
          <w:tab w:val="clear" w:pos="1080"/>
          <w:tab w:val="num" w:pos="1440"/>
        </w:tabs>
        <w:rPr>
          <w:szCs w:val="22"/>
        </w:rPr>
      </w:pPr>
      <w:r w:rsidRPr="007145B4">
        <w:rPr>
          <w:szCs w:val="22"/>
        </w:rPr>
        <w:t xml:space="preserve">The </w:t>
      </w:r>
      <w:r w:rsidR="009E06F0" w:rsidRPr="007145B4">
        <w:rPr>
          <w:szCs w:val="22"/>
        </w:rPr>
        <w:t>Federal Communication</w:t>
      </w:r>
      <w:r w:rsidR="009F619C" w:rsidRPr="007145B4">
        <w:rPr>
          <w:szCs w:val="22"/>
        </w:rPr>
        <w:t>s</w:t>
      </w:r>
      <w:r w:rsidR="009E06F0" w:rsidRPr="007145B4">
        <w:rPr>
          <w:szCs w:val="22"/>
        </w:rPr>
        <w:t xml:space="preserve"> </w:t>
      </w:r>
      <w:r w:rsidRPr="007145B4">
        <w:rPr>
          <w:szCs w:val="22"/>
        </w:rPr>
        <w:t>Commission’s sponsorship identification laws protect consumers and promote fair competition</w:t>
      </w:r>
      <w:r w:rsidR="00C83C4E" w:rsidRPr="007145B4">
        <w:rPr>
          <w:szCs w:val="22"/>
        </w:rPr>
        <w:t xml:space="preserve"> by requiring that the sponsors of paid programming material are clearly identified</w:t>
      </w:r>
      <w:r w:rsidRPr="007145B4">
        <w:rPr>
          <w:szCs w:val="22"/>
        </w:rPr>
        <w:t xml:space="preserve">.  </w:t>
      </w:r>
      <w:r w:rsidR="00571255" w:rsidRPr="007145B4">
        <w:rPr>
          <w:szCs w:val="22"/>
        </w:rPr>
        <w:t>Generally</w:t>
      </w:r>
      <w:r w:rsidR="00FA7F96" w:rsidRPr="007145B4">
        <w:rPr>
          <w:szCs w:val="22"/>
        </w:rPr>
        <w:t xml:space="preserve">, </w:t>
      </w:r>
      <w:r w:rsidR="00A74FF2" w:rsidRPr="007145B4">
        <w:rPr>
          <w:szCs w:val="22"/>
        </w:rPr>
        <w:t>it is clear when an announcement is a commercial</w:t>
      </w:r>
      <w:r w:rsidR="00851564" w:rsidRPr="007145B4">
        <w:rPr>
          <w:szCs w:val="22"/>
        </w:rPr>
        <w:t xml:space="preserve"> </w:t>
      </w:r>
      <w:r w:rsidR="000F7D23" w:rsidRPr="007145B4">
        <w:rPr>
          <w:szCs w:val="22"/>
        </w:rPr>
        <w:t>that</w:t>
      </w:r>
      <w:r w:rsidR="00851564" w:rsidRPr="007145B4">
        <w:rPr>
          <w:szCs w:val="22"/>
        </w:rPr>
        <w:t xml:space="preserve"> is paid for by a</w:t>
      </w:r>
      <w:r w:rsidR="00A74FF2" w:rsidRPr="007145B4">
        <w:rPr>
          <w:szCs w:val="22"/>
        </w:rPr>
        <w:t xml:space="preserve"> sponsor.  </w:t>
      </w:r>
      <w:r w:rsidR="003F167E" w:rsidRPr="007145B4">
        <w:rPr>
          <w:szCs w:val="22"/>
        </w:rPr>
        <w:t>I</w:t>
      </w:r>
      <w:r w:rsidR="00A74FF2" w:rsidRPr="007145B4">
        <w:rPr>
          <w:szCs w:val="22"/>
        </w:rPr>
        <w:t xml:space="preserve">n some cases, </w:t>
      </w:r>
      <w:r w:rsidR="003F167E" w:rsidRPr="007145B4">
        <w:rPr>
          <w:szCs w:val="22"/>
        </w:rPr>
        <w:t xml:space="preserve">however, </w:t>
      </w:r>
      <w:r w:rsidR="00A74FF2" w:rsidRPr="007145B4">
        <w:rPr>
          <w:szCs w:val="22"/>
        </w:rPr>
        <w:t xml:space="preserve">an announcement may appear to be the station’s editorial opinion or even </w:t>
      </w:r>
      <w:r w:rsidR="000F7D23" w:rsidRPr="007145B4">
        <w:rPr>
          <w:szCs w:val="22"/>
        </w:rPr>
        <w:t xml:space="preserve">station-produced </w:t>
      </w:r>
      <w:r w:rsidR="00A74FF2" w:rsidRPr="007145B4">
        <w:rPr>
          <w:szCs w:val="22"/>
        </w:rPr>
        <w:t xml:space="preserve">news, </w:t>
      </w:r>
      <w:r w:rsidR="003F167E" w:rsidRPr="007145B4">
        <w:rPr>
          <w:szCs w:val="22"/>
        </w:rPr>
        <w:t>when, in fact, it is</w:t>
      </w:r>
      <w:r w:rsidR="00A74FF2" w:rsidRPr="007145B4">
        <w:rPr>
          <w:szCs w:val="22"/>
        </w:rPr>
        <w:t xml:space="preserve"> </w:t>
      </w:r>
      <w:r w:rsidR="0081346B" w:rsidRPr="007145B4">
        <w:rPr>
          <w:szCs w:val="22"/>
        </w:rPr>
        <w:t>dictated by—and paid for by—</w:t>
      </w:r>
      <w:r w:rsidR="003F167E" w:rsidRPr="007145B4">
        <w:rPr>
          <w:szCs w:val="22"/>
        </w:rPr>
        <w:t xml:space="preserve">a </w:t>
      </w:r>
      <w:r w:rsidR="00A74FF2" w:rsidRPr="007145B4">
        <w:rPr>
          <w:szCs w:val="22"/>
        </w:rPr>
        <w:t xml:space="preserve">third party.  </w:t>
      </w:r>
      <w:r w:rsidR="00C83C4E" w:rsidRPr="007145B4">
        <w:rPr>
          <w:szCs w:val="22"/>
        </w:rPr>
        <w:t>In such cases, the sponsorship identification laws protect consumers by requiring that the third party is clearly disclosed as the sponsor of the announcement</w:t>
      </w:r>
      <w:r w:rsidR="003F167E" w:rsidRPr="007145B4">
        <w:rPr>
          <w:szCs w:val="22"/>
        </w:rPr>
        <w:t xml:space="preserve">.  </w:t>
      </w:r>
      <w:r w:rsidR="007145B4" w:rsidRPr="007145B4">
        <w:rPr>
          <w:szCs w:val="22"/>
        </w:rPr>
        <w:t>Among other things, these laws prevent broadcasters, advertisers, and others from presenting paid announcements that the public can perceive as the station’s editorial or objective content while concealing that the station is being paid by a third party to promote a particular message</w:t>
      </w:r>
      <w:r w:rsidR="008156D8" w:rsidRPr="007145B4">
        <w:rPr>
          <w:szCs w:val="22"/>
        </w:rPr>
        <w:t xml:space="preserve">.  </w:t>
      </w:r>
      <w:r w:rsidR="003F167E" w:rsidRPr="007145B4">
        <w:rPr>
          <w:szCs w:val="22"/>
        </w:rPr>
        <w:t>Enforcement of the</w:t>
      </w:r>
      <w:r w:rsidR="00A74FF2" w:rsidRPr="007145B4">
        <w:rPr>
          <w:szCs w:val="22"/>
        </w:rPr>
        <w:t xml:space="preserve"> sponsorship identification laws </w:t>
      </w:r>
      <w:r w:rsidR="00DF6058" w:rsidRPr="007145B4">
        <w:rPr>
          <w:szCs w:val="22"/>
        </w:rPr>
        <w:t xml:space="preserve">also </w:t>
      </w:r>
      <w:r w:rsidR="00A74FF2" w:rsidRPr="007145B4">
        <w:rPr>
          <w:szCs w:val="22"/>
        </w:rPr>
        <w:t>protect</w:t>
      </w:r>
      <w:r w:rsidR="003F167E" w:rsidRPr="007145B4">
        <w:rPr>
          <w:szCs w:val="22"/>
        </w:rPr>
        <w:t>s</w:t>
      </w:r>
      <w:r w:rsidR="00A74FF2" w:rsidRPr="007145B4">
        <w:rPr>
          <w:szCs w:val="22"/>
        </w:rPr>
        <w:t xml:space="preserve"> fair competition among advertisers</w:t>
      </w:r>
      <w:r w:rsidR="00571255" w:rsidRPr="007145B4">
        <w:rPr>
          <w:szCs w:val="22"/>
        </w:rPr>
        <w:t>.  We</w:t>
      </w:r>
      <w:r w:rsidR="00C22A13" w:rsidRPr="007145B4">
        <w:rPr>
          <w:szCs w:val="22"/>
        </w:rPr>
        <w:t xml:space="preserve"> </w:t>
      </w:r>
      <w:r w:rsidR="00E56BBF" w:rsidRPr="007145B4">
        <w:rPr>
          <w:szCs w:val="22"/>
        </w:rPr>
        <w:t xml:space="preserve">seek to </w:t>
      </w:r>
      <w:r w:rsidR="00C22A13" w:rsidRPr="007145B4">
        <w:rPr>
          <w:szCs w:val="22"/>
        </w:rPr>
        <w:t xml:space="preserve">prevent </w:t>
      </w:r>
      <w:r w:rsidR="00A74FF2" w:rsidRPr="007145B4">
        <w:rPr>
          <w:szCs w:val="22"/>
        </w:rPr>
        <w:t>sponsor</w:t>
      </w:r>
      <w:r w:rsidR="00E56BBF" w:rsidRPr="007145B4">
        <w:rPr>
          <w:szCs w:val="22"/>
        </w:rPr>
        <w:t>s</w:t>
      </w:r>
      <w:r w:rsidR="00A74FF2" w:rsidRPr="007145B4">
        <w:rPr>
          <w:szCs w:val="22"/>
        </w:rPr>
        <w:t xml:space="preserve"> from gaining unfair advantage</w:t>
      </w:r>
      <w:r w:rsidR="00F22D15" w:rsidRPr="007145B4">
        <w:rPr>
          <w:szCs w:val="22"/>
        </w:rPr>
        <w:t xml:space="preserve"> </w:t>
      </w:r>
      <w:r w:rsidR="0021587F" w:rsidRPr="007145B4">
        <w:rPr>
          <w:szCs w:val="22"/>
        </w:rPr>
        <w:t xml:space="preserve">by </w:t>
      </w:r>
      <w:r w:rsidR="00A74FF2" w:rsidRPr="007145B4">
        <w:rPr>
          <w:szCs w:val="22"/>
        </w:rPr>
        <w:t xml:space="preserve">paying </w:t>
      </w:r>
      <w:r w:rsidR="00571255" w:rsidRPr="007145B4">
        <w:rPr>
          <w:szCs w:val="22"/>
        </w:rPr>
        <w:t>station</w:t>
      </w:r>
      <w:r w:rsidR="00E56BBF" w:rsidRPr="007145B4">
        <w:rPr>
          <w:szCs w:val="22"/>
        </w:rPr>
        <w:t>s</w:t>
      </w:r>
      <w:r w:rsidR="00571255" w:rsidRPr="007145B4">
        <w:rPr>
          <w:szCs w:val="22"/>
        </w:rPr>
        <w:t xml:space="preserve"> to present </w:t>
      </w:r>
      <w:r w:rsidR="00F22D15" w:rsidRPr="007145B4">
        <w:rPr>
          <w:szCs w:val="22"/>
        </w:rPr>
        <w:t>promotional</w:t>
      </w:r>
      <w:r w:rsidR="004E16F9" w:rsidRPr="007145B4">
        <w:rPr>
          <w:szCs w:val="22"/>
        </w:rPr>
        <w:t xml:space="preserve"> </w:t>
      </w:r>
      <w:r w:rsidR="003F167E" w:rsidRPr="007145B4">
        <w:rPr>
          <w:szCs w:val="22"/>
        </w:rPr>
        <w:t>message</w:t>
      </w:r>
      <w:r w:rsidR="00E56BBF" w:rsidRPr="007145B4">
        <w:rPr>
          <w:szCs w:val="22"/>
        </w:rPr>
        <w:t>s</w:t>
      </w:r>
      <w:r w:rsidR="003F167E" w:rsidRPr="007145B4">
        <w:rPr>
          <w:szCs w:val="22"/>
        </w:rPr>
        <w:t xml:space="preserve"> </w:t>
      </w:r>
      <w:r w:rsidR="00A74FF2" w:rsidRPr="007145B4">
        <w:rPr>
          <w:szCs w:val="22"/>
        </w:rPr>
        <w:t xml:space="preserve">as </w:t>
      </w:r>
      <w:r w:rsidR="004E16F9" w:rsidRPr="007145B4">
        <w:rPr>
          <w:szCs w:val="22"/>
        </w:rPr>
        <w:t xml:space="preserve">station </w:t>
      </w:r>
      <w:r w:rsidR="00A74FF2" w:rsidRPr="007145B4">
        <w:rPr>
          <w:szCs w:val="22"/>
        </w:rPr>
        <w:t>news or editorial content</w:t>
      </w:r>
      <w:r w:rsidR="00C22A13" w:rsidRPr="007145B4">
        <w:rPr>
          <w:szCs w:val="22"/>
        </w:rPr>
        <w:t xml:space="preserve"> without appropriate disclosures,</w:t>
      </w:r>
      <w:r w:rsidR="00A74FF2" w:rsidRPr="007145B4">
        <w:rPr>
          <w:szCs w:val="22"/>
        </w:rPr>
        <w:t xml:space="preserve"> while </w:t>
      </w:r>
      <w:r w:rsidR="00E56BBF" w:rsidRPr="007145B4">
        <w:rPr>
          <w:szCs w:val="22"/>
        </w:rPr>
        <w:t>their</w:t>
      </w:r>
      <w:r w:rsidR="00F22D15" w:rsidRPr="007145B4">
        <w:rPr>
          <w:szCs w:val="22"/>
        </w:rPr>
        <w:t xml:space="preserve"> competitors</w:t>
      </w:r>
      <w:r w:rsidR="00A74FF2" w:rsidRPr="007145B4">
        <w:rPr>
          <w:szCs w:val="22"/>
        </w:rPr>
        <w:t xml:space="preserve"> </w:t>
      </w:r>
      <w:r w:rsidR="00571255" w:rsidRPr="007145B4">
        <w:rPr>
          <w:szCs w:val="22"/>
        </w:rPr>
        <w:t>observe</w:t>
      </w:r>
      <w:r w:rsidR="00A74FF2" w:rsidRPr="007145B4">
        <w:rPr>
          <w:szCs w:val="22"/>
        </w:rPr>
        <w:t xml:space="preserve"> the rules and </w:t>
      </w:r>
      <w:r w:rsidR="00571255" w:rsidRPr="007145B4">
        <w:rPr>
          <w:szCs w:val="22"/>
        </w:rPr>
        <w:t>present</w:t>
      </w:r>
      <w:r w:rsidR="00A74FF2" w:rsidRPr="007145B4">
        <w:rPr>
          <w:szCs w:val="22"/>
        </w:rPr>
        <w:t xml:space="preserve"> their content as </w:t>
      </w:r>
      <w:r w:rsidR="00E56BBF" w:rsidRPr="007145B4">
        <w:rPr>
          <w:szCs w:val="22"/>
        </w:rPr>
        <w:t xml:space="preserve">acknowledged </w:t>
      </w:r>
      <w:r w:rsidR="00571255" w:rsidRPr="007145B4">
        <w:rPr>
          <w:szCs w:val="22"/>
        </w:rPr>
        <w:t>commercial advertisements</w:t>
      </w:r>
      <w:r w:rsidR="00A74FF2" w:rsidRPr="007145B4">
        <w:rPr>
          <w:szCs w:val="22"/>
        </w:rPr>
        <w:t>.</w:t>
      </w:r>
    </w:p>
    <w:p w:rsidR="007C5CC5" w:rsidRPr="007145B4" w:rsidRDefault="00851564" w:rsidP="00845D98">
      <w:pPr>
        <w:pStyle w:val="ParaNum"/>
        <w:numPr>
          <w:ilvl w:val="0"/>
          <w:numId w:val="7"/>
        </w:numPr>
        <w:tabs>
          <w:tab w:val="clear" w:pos="1080"/>
          <w:tab w:val="num" w:pos="1440"/>
        </w:tabs>
        <w:rPr>
          <w:szCs w:val="22"/>
        </w:rPr>
      </w:pPr>
      <w:r w:rsidRPr="007145B4">
        <w:rPr>
          <w:szCs w:val="22"/>
        </w:rPr>
        <w:t xml:space="preserve">In this case, the Enforcement Bureau </w:t>
      </w:r>
      <w:r w:rsidR="009E06F0" w:rsidRPr="007145B4">
        <w:rPr>
          <w:szCs w:val="22"/>
        </w:rPr>
        <w:t xml:space="preserve">(Bureau) </w:t>
      </w:r>
      <w:r w:rsidRPr="007145B4">
        <w:rPr>
          <w:szCs w:val="22"/>
        </w:rPr>
        <w:t xml:space="preserve">of the Federal Communications Commission investigated a complaint that KTNV-TV in Las Vegas broadcast what appeared to be news reports about liquidation sales at local car dealerships, without disclosing that the dealerships had paid the station to air the reports.  Our investigation revealed that KTNV-TV </w:t>
      </w:r>
      <w:r w:rsidR="004E16F9" w:rsidRPr="007145B4">
        <w:rPr>
          <w:szCs w:val="22"/>
        </w:rPr>
        <w:t xml:space="preserve">produced and </w:t>
      </w:r>
      <w:r w:rsidRPr="007145B4">
        <w:rPr>
          <w:szCs w:val="22"/>
        </w:rPr>
        <w:t xml:space="preserve">aired </w:t>
      </w:r>
      <w:r w:rsidR="004E16F9" w:rsidRPr="007145B4">
        <w:rPr>
          <w:szCs w:val="22"/>
        </w:rPr>
        <w:t xml:space="preserve">“Special Reports,” formatted in the style of news reports, </w:t>
      </w:r>
      <w:r w:rsidRPr="007145B4">
        <w:rPr>
          <w:szCs w:val="22"/>
        </w:rPr>
        <w:t>concerning the liquidation sales</w:t>
      </w:r>
      <w:r w:rsidR="004E16F9" w:rsidRPr="007145B4">
        <w:rPr>
          <w:szCs w:val="22"/>
        </w:rPr>
        <w:t xml:space="preserve"> and that the “Special Reports” did not include explicit disclaimers that the car dealerships had paid for the “Special Reports.”</w:t>
      </w:r>
      <w:r w:rsidRPr="007145B4">
        <w:rPr>
          <w:szCs w:val="22"/>
        </w:rPr>
        <w:t xml:space="preserve">  Journal Broadcasting Corporation</w:t>
      </w:r>
      <w:r w:rsidR="009E06F0" w:rsidRPr="007145B4">
        <w:rPr>
          <w:szCs w:val="22"/>
        </w:rPr>
        <w:t xml:space="preserve"> (Journal)</w:t>
      </w:r>
      <w:r w:rsidRPr="007145B4">
        <w:rPr>
          <w:szCs w:val="22"/>
        </w:rPr>
        <w:t xml:space="preserve">, </w:t>
      </w:r>
      <w:r w:rsidR="00C22A13" w:rsidRPr="007145B4">
        <w:rPr>
          <w:szCs w:val="22"/>
        </w:rPr>
        <w:t xml:space="preserve">the </w:t>
      </w:r>
      <w:r w:rsidRPr="007145B4">
        <w:rPr>
          <w:szCs w:val="22"/>
        </w:rPr>
        <w:t>licensee of KTNV-TV</w:t>
      </w:r>
      <w:r w:rsidR="00C22A13" w:rsidRPr="007145B4">
        <w:rPr>
          <w:szCs w:val="22"/>
        </w:rPr>
        <w:t>,</w:t>
      </w:r>
      <w:r w:rsidRPr="007145B4">
        <w:rPr>
          <w:szCs w:val="22"/>
        </w:rPr>
        <w:t xml:space="preserve"> admits that these broadcasts violated the sponsorship identification laws.  Journal will pay $115,000 to resolve the allegations and agrees to implement a three-year compliance plan to avoid future violations of the sponsorship identification laws.</w:t>
      </w:r>
      <w:r w:rsidR="007C5CC5" w:rsidRPr="007145B4">
        <w:rPr>
          <w:szCs w:val="22"/>
        </w:rPr>
        <w:t xml:space="preserve">  </w:t>
      </w:r>
    </w:p>
    <w:p w:rsidR="005F5648" w:rsidRPr="007145B4" w:rsidRDefault="00026E0C" w:rsidP="00A72527">
      <w:pPr>
        <w:pStyle w:val="ParaNum"/>
        <w:numPr>
          <w:ilvl w:val="0"/>
          <w:numId w:val="7"/>
        </w:numPr>
        <w:tabs>
          <w:tab w:val="clear" w:pos="1080"/>
          <w:tab w:val="num" w:pos="1440"/>
        </w:tabs>
        <w:rPr>
          <w:szCs w:val="22"/>
        </w:rPr>
      </w:pPr>
      <w:r w:rsidRPr="007145B4">
        <w:rPr>
          <w:szCs w:val="22"/>
        </w:rPr>
        <w:t>In this Order, we adopt the attache</w:t>
      </w:r>
      <w:r w:rsidR="005F5648" w:rsidRPr="007145B4">
        <w:rPr>
          <w:szCs w:val="22"/>
        </w:rPr>
        <w:t>d Consent Decree entered into between</w:t>
      </w:r>
      <w:r w:rsidRPr="007145B4">
        <w:rPr>
          <w:szCs w:val="22"/>
        </w:rPr>
        <w:t xml:space="preserve"> the Bureau and </w:t>
      </w:r>
      <w:r w:rsidR="007A07F6" w:rsidRPr="007145B4">
        <w:rPr>
          <w:szCs w:val="22"/>
        </w:rPr>
        <w:t>Journal</w:t>
      </w:r>
      <w:r w:rsidRPr="007145B4">
        <w:rPr>
          <w:szCs w:val="22"/>
        </w:rPr>
        <w:t>.  The Consent Decree resolves and terminates the Bureau’s investigation into Journal’s violations of</w:t>
      </w:r>
      <w:r w:rsidR="005F5648" w:rsidRPr="007145B4">
        <w:rPr>
          <w:szCs w:val="22"/>
        </w:rPr>
        <w:t xml:space="preserve"> </w:t>
      </w:r>
      <w:r w:rsidRPr="007145B4">
        <w:rPr>
          <w:szCs w:val="22"/>
        </w:rPr>
        <w:t xml:space="preserve">Section 317 of the </w:t>
      </w:r>
      <w:r w:rsidR="005F5648" w:rsidRPr="007145B4">
        <w:rPr>
          <w:szCs w:val="22"/>
        </w:rPr>
        <w:t>Communications Act of 1934</w:t>
      </w:r>
      <w:r w:rsidRPr="007145B4">
        <w:rPr>
          <w:szCs w:val="22"/>
        </w:rPr>
        <w:t>, as amended</w:t>
      </w:r>
      <w:r w:rsidR="005F5648" w:rsidRPr="007145B4">
        <w:rPr>
          <w:szCs w:val="22"/>
        </w:rPr>
        <w:t xml:space="preserve"> (Act)</w:t>
      </w:r>
      <w:r w:rsidRPr="007145B4">
        <w:rPr>
          <w:szCs w:val="22"/>
        </w:rPr>
        <w:t>, and Section 73.1212 of the Commission’s rules (Rules) pertaining to sponsorship identification.</w:t>
      </w:r>
      <w:r w:rsidR="005F5648" w:rsidRPr="007145B4">
        <w:rPr>
          <w:rStyle w:val="FootnoteReference"/>
          <w:sz w:val="22"/>
          <w:szCs w:val="22"/>
        </w:rPr>
        <w:footnoteReference w:id="2"/>
      </w:r>
      <w:r w:rsidRPr="007145B4">
        <w:rPr>
          <w:szCs w:val="22"/>
        </w:rPr>
        <w:t xml:space="preserve">  </w:t>
      </w:r>
    </w:p>
    <w:p w:rsidR="00026E0C" w:rsidRPr="007145B4" w:rsidRDefault="005F5648" w:rsidP="00A81745">
      <w:pPr>
        <w:pStyle w:val="ParaNum"/>
        <w:widowControl/>
        <w:numPr>
          <w:ilvl w:val="0"/>
          <w:numId w:val="7"/>
        </w:numPr>
        <w:tabs>
          <w:tab w:val="clear" w:pos="1080"/>
          <w:tab w:val="num" w:pos="1440"/>
        </w:tabs>
        <w:rPr>
          <w:szCs w:val="22"/>
        </w:rPr>
      </w:pPr>
      <w:r w:rsidRPr="007145B4">
        <w:rPr>
          <w:szCs w:val="22"/>
        </w:rPr>
        <w:lastRenderedPageBreak/>
        <w:t xml:space="preserve">The Bureau and Journal have negotiated the terms of the Consent Decree that resolves this matter.  </w:t>
      </w:r>
      <w:r w:rsidR="00026E0C" w:rsidRPr="007145B4">
        <w:rPr>
          <w:szCs w:val="22"/>
        </w:rPr>
        <w:t xml:space="preserve">A copy of the Consent Decree is attached hereto and incorporated herein by reference. </w:t>
      </w:r>
    </w:p>
    <w:p w:rsidR="00026E0C" w:rsidRPr="007145B4" w:rsidRDefault="00026E0C" w:rsidP="00026E0C">
      <w:pPr>
        <w:pStyle w:val="ParaNum"/>
        <w:numPr>
          <w:ilvl w:val="0"/>
          <w:numId w:val="7"/>
        </w:numPr>
        <w:tabs>
          <w:tab w:val="clear" w:pos="1080"/>
          <w:tab w:val="num" w:pos="1440"/>
        </w:tabs>
        <w:rPr>
          <w:szCs w:val="22"/>
        </w:rPr>
      </w:pPr>
      <w:r w:rsidRPr="007145B4">
        <w:rPr>
          <w:szCs w:val="22"/>
        </w:rPr>
        <w:t>After reviewing the terms of the Consent Decree and evaluating the facts before us, we find that the public interest would be served by adopting the Consent Decree and terminating the investigation.</w:t>
      </w:r>
    </w:p>
    <w:p w:rsidR="00026E0C" w:rsidRPr="007145B4" w:rsidRDefault="00026E0C" w:rsidP="00026E0C">
      <w:pPr>
        <w:pStyle w:val="ParaNum"/>
        <w:numPr>
          <w:ilvl w:val="0"/>
          <w:numId w:val="7"/>
        </w:numPr>
        <w:tabs>
          <w:tab w:val="clear" w:pos="1080"/>
          <w:tab w:val="num" w:pos="1440"/>
        </w:tabs>
        <w:rPr>
          <w:szCs w:val="22"/>
        </w:rPr>
      </w:pPr>
      <w:r w:rsidRPr="007145B4">
        <w:rPr>
          <w:szCs w:val="22"/>
        </w:rPr>
        <w:t>In the absence of material new evidence relating to this matter, we conclude that our investigation raises no substantial or material questions of fact as to whether Journal possesses the basic qualifications, including those related to character, to hold or obtain any Commission license or authorization.</w:t>
      </w:r>
    </w:p>
    <w:p w:rsidR="00026E0C" w:rsidRPr="007145B4" w:rsidRDefault="00026E0C" w:rsidP="00026E0C">
      <w:pPr>
        <w:pStyle w:val="ParaNum"/>
        <w:widowControl/>
        <w:numPr>
          <w:ilvl w:val="0"/>
          <w:numId w:val="7"/>
        </w:numPr>
        <w:tabs>
          <w:tab w:val="clear" w:pos="1080"/>
          <w:tab w:val="num" w:pos="1440"/>
        </w:tabs>
        <w:rPr>
          <w:szCs w:val="22"/>
        </w:rPr>
      </w:pPr>
      <w:r w:rsidRPr="007145B4">
        <w:rPr>
          <w:szCs w:val="22"/>
        </w:rPr>
        <w:t xml:space="preserve">Accordingly, </w:t>
      </w:r>
      <w:r w:rsidRPr="007145B4">
        <w:rPr>
          <w:b/>
          <w:szCs w:val="22"/>
        </w:rPr>
        <w:t>IT IS ORDERED</w:t>
      </w:r>
      <w:r w:rsidRPr="007145B4">
        <w:rPr>
          <w:szCs w:val="22"/>
        </w:rPr>
        <w:t xml:space="preserve"> that, pursuant to Sections 4(i), 4(j), and 503(b) of the Act,</w:t>
      </w:r>
      <w:r w:rsidRPr="007145B4">
        <w:rPr>
          <w:rStyle w:val="FootnoteReference"/>
          <w:sz w:val="22"/>
          <w:szCs w:val="22"/>
        </w:rPr>
        <w:footnoteReference w:id="3"/>
      </w:r>
      <w:r w:rsidRPr="007145B4">
        <w:rPr>
          <w:szCs w:val="22"/>
        </w:rPr>
        <w:t xml:space="preserve"> and Sections 0.111 and 0.311 of the Rules,</w:t>
      </w:r>
      <w:r w:rsidRPr="007145B4">
        <w:rPr>
          <w:rStyle w:val="FootnoteReference"/>
          <w:sz w:val="22"/>
          <w:szCs w:val="22"/>
        </w:rPr>
        <w:footnoteReference w:id="4"/>
      </w:r>
      <w:r w:rsidRPr="007145B4">
        <w:rPr>
          <w:szCs w:val="22"/>
        </w:rPr>
        <w:t xml:space="preserve"> the Consent Decree attached to this Order </w:t>
      </w:r>
      <w:r w:rsidRPr="007145B4">
        <w:rPr>
          <w:b/>
          <w:szCs w:val="22"/>
        </w:rPr>
        <w:t>IS ADOPTED</w:t>
      </w:r>
      <w:r w:rsidRPr="007145B4">
        <w:rPr>
          <w:szCs w:val="22"/>
        </w:rPr>
        <w:t>.</w:t>
      </w:r>
    </w:p>
    <w:p w:rsidR="00026E0C" w:rsidRPr="007145B4" w:rsidRDefault="00026E0C" w:rsidP="00026E0C">
      <w:pPr>
        <w:pStyle w:val="ParaNum"/>
        <w:numPr>
          <w:ilvl w:val="0"/>
          <w:numId w:val="7"/>
        </w:numPr>
        <w:tabs>
          <w:tab w:val="clear" w:pos="1080"/>
          <w:tab w:val="num" w:pos="1440"/>
        </w:tabs>
        <w:rPr>
          <w:szCs w:val="22"/>
        </w:rPr>
      </w:pPr>
      <w:r w:rsidRPr="007145B4">
        <w:rPr>
          <w:b/>
          <w:szCs w:val="22"/>
        </w:rPr>
        <w:t>IT IS FURTHER ORDERED</w:t>
      </w:r>
      <w:r w:rsidRPr="007145B4">
        <w:rPr>
          <w:szCs w:val="22"/>
        </w:rPr>
        <w:t xml:space="preserve"> that the above-captioned investigation </w:t>
      </w:r>
      <w:r w:rsidRPr="007145B4">
        <w:rPr>
          <w:b/>
          <w:szCs w:val="22"/>
        </w:rPr>
        <w:t>IS</w:t>
      </w:r>
      <w:r w:rsidRPr="007145B4">
        <w:rPr>
          <w:szCs w:val="22"/>
        </w:rPr>
        <w:t xml:space="preserve"> </w:t>
      </w:r>
      <w:r w:rsidRPr="007145B4">
        <w:rPr>
          <w:b/>
          <w:szCs w:val="22"/>
        </w:rPr>
        <w:t>TERMINATED</w:t>
      </w:r>
      <w:r w:rsidRPr="007145B4">
        <w:rPr>
          <w:szCs w:val="22"/>
        </w:rPr>
        <w:t>.</w:t>
      </w:r>
    </w:p>
    <w:p w:rsidR="00026E0C" w:rsidRPr="007145B4" w:rsidRDefault="00026E0C" w:rsidP="00026E0C">
      <w:pPr>
        <w:pStyle w:val="ParaNum"/>
        <w:numPr>
          <w:ilvl w:val="0"/>
          <w:numId w:val="7"/>
        </w:numPr>
        <w:tabs>
          <w:tab w:val="clear" w:pos="1080"/>
          <w:tab w:val="num" w:pos="1440"/>
        </w:tabs>
        <w:rPr>
          <w:szCs w:val="22"/>
        </w:rPr>
      </w:pPr>
      <w:r w:rsidRPr="007145B4">
        <w:rPr>
          <w:b/>
          <w:szCs w:val="22"/>
        </w:rPr>
        <w:t xml:space="preserve">IT IS FURTHER ORDERED </w:t>
      </w:r>
      <w:r w:rsidRPr="007145B4">
        <w:rPr>
          <w:szCs w:val="22"/>
        </w:rPr>
        <w:t>that any third-party complaints and a</w:t>
      </w:r>
      <w:r w:rsidR="003102C8" w:rsidRPr="007145B4">
        <w:rPr>
          <w:szCs w:val="22"/>
        </w:rPr>
        <w:t xml:space="preserve">llegations against KTNV-TV </w:t>
      </w:r>
      <w:r w:rsidRPr="007145B4">
        <w:rPr>
          <w:szCs w:val="22"/>
        </w:rPr>
        <w:t>and/or Journal related to the above-captioned investigation that are currently pending before the Bureau as of the date of this Consent Decree</w:t>
      </w:r>
      <w:r w:rsidRPr="007145B4">
        <w:rPr>
          <w:b/>
          <w:szCs w:val="22"/>
        </w:rPr>
        <w:t xml:space="preserve"> ARE DISMISSED</w:t>
      </w:r>
      <w:r w:rsidRPr="007145B4">
        <w:rPr>
          <w:szCs w:val="22"/>
        </w:rPr>
        <w:t>.</w:t>
      </w:r>
    </w:p>
    <w:p w:rsidR="00026E0C" w:rsidRPr="007145B4" w:rsidRDefault="00026E0C" w:rsidP="00026E0C">
      <w:pPr>
        <w:pStyle w:val="ParaNum"/>
        <w:numPr>
          <w:ilvl w:val="0"/>
          <w:numId w:val="7"/>
        </w:numPr>
        <w:tabs>
          <w:tab w:val="clear" w:pos="1080"/>
          <w:tab w:val="num" w:pos="1440"/>
        </w:tabs>
        <w:rPr>
          <w:szCs w:val="22"/>
        </w:rPr>
      </w:pPr>
      <w:r w:rsidRPr="007145B4">
        <w:rPr>
          <w:b/>
          <w:szCs w:val="22"/>
        </w:rPr>
        <w:t>IT IS FURTHER ORDERED</w:t>
      </w:r>
      <w:r w:rsidRPr="007145B4">
        <w:rPr>
          <w:szCs w:val="22"/>
        </w:rPr>
        <w:t xml:space="preserve"> that a copy of this Order and Consent Decree shall be sent by First Cla</w:t>
      </w:r>
      <w:r w:rsidR="003102C8" w:rsidRPr="007145B4">
        <w:rPr>
          <w:szCs w:val="22"/>
        </w:rPr>
        <w:t>ss U.S. Mail and Certified Mail</w:t>
      </w:r>
      <w:r w:rsidRPr="007145B4">
        <w:rPr>
          <w:szCs w:val="22"/>
        </w:rPr>
        <w:t xml:space="preserve"> </w:t>
      </w:r>
      <w:r w:rsidR="003102C8" w:rsidRPr="007145B4">
        <w:rPr>
          <w:szCs w:val="22"/>
        </w:rPr>
        <w:t>to Journal</w:t>
      </w:r>
      <w:r w:rsidRPr="007145B4">
        <w:rPr>
          <w:szCs w:val="22"/>
        </w:rPr>
        <w:t xml:space="preserve">’s counsel, Dennis P. Corbett, Esq., Lerman Senter PLLC, 2000 K Street, NW, Suite 600, Washington, DC 20006.  </w:t>
      </w:r>
    </w:p>
    <w:p w:rsidR="00026E0C" w:rsidRPr="007145B4" w:rsidRDefault="00026E0C" w:rsidP="00026E0C">
      <w:pPr>
        <w:rPr>
          <w:szCs w:val="22"/>
        </w:rPr>
      </w:pPr>
    </w:p>
    <w:p w:rsidR="00026E0C" w:rsidRPr="007145B4" w:rsidRDefault="00026E0C" w:rsidP="00026E0C">
      <w:pPr>
        <w:tabs>
          <w:tab w:val="left" w:pos="4320"/>
        </w:tabs>
        <w:rPr>
          <w:szCs w:val="22"/>
        </w:rPr>
      </w:pPr>
      <w:r w:rsidRPr="007145B4">
        <w:rPr>
          <w:szCs w:val="22"/>
        </w:rPr>
        <w:tab/>
        <w:t>FEDERAL COMMUNICATIONS COMMISSION</w:t>
      </w:r>
    </w:p>
    <w:p w:rsidR="00026E0C" w:rsidRPr="007145B4" w:rsidRDefault="00026E0C" w:rsidP="00026E0C">
      <w:pPr>
        <w:tabs>
          <w:tab w:val="left" w:pos="4320"/>
        </w:tabs>
        <w:rPr>
          <w:szCs w:val="22"/>
        </w:rPr>
      </w:pPr>
    </w:p>
    <w:p w:rsidR="00026E0C" w:rsidRPr="007145B4" w:rsidRDefault="00026E0C" w:rsidP="00026E0C">
      <w:pPr>
        <w:tabs>
          <w:tab w:val="left" w:pos="4320"/>
        </w:tabs>
        <w:rPr>
          <w:szCs w:val="22"/>
        </w:rPr>
      </w:pPr>
    </w:p>
    <w:p w:rsidR="00026E0C" w:rsidRPr="007145B4" w:rsidRDefault="00026E0C" w:rsidP="00026E0C">
      <w:pPr>
        <w:tabs>
          <w:tab w:val="left" w:pos="4320"/>
        </w:tabs>
        <w:rPr>
          <w:szCs w:val="22"/>
        </w:rPr>
      </w:pPr>
    </w:p>
    <w:p w:rsidR="003102C8" w:rsidRPr="007145B4" w:rsidRDefault="00026E0C" w:rsidP="00F97309">
      <w:pPr>
        <w:tabs>
          <w:tab w:val="left" w:pos="4320"/>
        </w:tabs>
        <w:rPr>
          <w:szCs w:val="22"/>
        </w:rPr>
      </w:pPr>
      <w:r w:rsidRPr="007145B4">
        <w:rPr>
          <w:szCs w:val="22"/>
        </w:rPr>
        <w:tab/>
      </w:r>
    </w:p>
    <w:p w:rsidR="00522103" w:rsidRPr="007145B4" w:rsidRDefault="003102C8" w:rsidP="00F97309">
      <w:pPr>
        <w:tabs>
          <w:tab w:val="left" w:pos="4320"/>
        </w:tabs>
        <w:rPr>
          <w:szCs w:val="22"/>
        </w:rPr>
      </w:pPr>
      <w:r w:rsidRPr="007145B4">
        <w:rPr>
          <w:szCs w:val="22"/>
        </w:rPr>
        <w:tab/>
      </w:r>
      <w:r w:rsidR="00026E0C" w:rsidRPr="007145B4">
        <w:rPr>
          <w:szCs w:val="22"/>
        </w:rPr>
        <w:t>Travis LeBlanc</w:t>
      </w:r>
    </w:p>
    <w:p w:rsidR="00026E0C" w:rsidRPr="007145B4" w:rsidRDefault="00026E0C" w:rsidP="00795A4A">
      <w:pPr>
        <w:pStyle w:val="MediumGrid21"/>
        <w:ind w:firstLine="4320"/>
        <w:rPr>
          <w:sz w:val="22"/>
          <w:szCs w:val="22"/>
        </w:rPr>
      </w:pPr>
      <w:r w:rsidRPr="007145B4">
        <w:rPr>
          <w:sz w:val="22"/>
          <w:szCs w:val="22"/>
        </w:rPr>
        <w:t>Chief</w:t>
      </w:r>
    </w:p>
    <w:p w:rsidR="00026E0C" w:rsidRPr="007145B4" w:rsidRDefault="00026E0C" w:rsidP="00026E0C">
      <w:pPr>
        <w:tabs>
          <w:tab w:val="left" w:pos="4320"/>
        </w:tabs>
        <w:rPr>
          <w:szCs w:val="22"/>
        </w:rPr>
      </w:pPr>
      <w:r w:rsidRPr="007145B4">
        <w:rPr>
          <w:szCs w:val="22"/>
        </w:rPr>
        <w:tab/>
        <w:t>Enforcement Bureau</w:t>
      </w:r>
    </w:p>
    <w:p w:rsidR="00026E0C" w:rsidRPr="007145B4" w:rsidRDefault="00026E0C" w:rsidP="00026E0C">
      <w:pPr>
        <w:jc w:val="center"/>
        <w:rPr>
          <w:b/>
          <w:kern w:val="0"/>
          <w:szCs w:val="22"/>
        </w:rPr>
      </w:pPr>
    </w:p>
    <w:p w:rsidR="00A81745" w:rsidRDefault="00A81745" w:rsidP="0074556F">
      <w:pPr>
        <w:rPr>
          <w:szCs w:val="22"/>
        </w:rPr>
        <w:sectPr w:rsidR="00A81745" w:rsidSect="00F6495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224" w:right="1440" w:bottom="720" w:left="1440" w:header="720" w:footer="720" w:gutter="0"/>
          <w:cols w:space="720"/>
          <w:noEndnote/>
          <w:titlePg/>
          <w:docGrid w:linePitch="299"/>
        </w:sectPr>
      </w:pPr>
    </w:p>
    <w:p w:rsidR="00A81745" w:rsidRPr="0058223B" w:rsidRDefault="00A81745" w:rsidP="000A6EA3">
      <w:pPr>
        <w:jc w:val="center"/>
        <w:rPr>
          <w:b/>
          <w:szCs w:val="22"/>
        </w:rPr>
      </w:pPr>
      <w:r w:rsidRPr="0058223B">
        <w:rPr>
          <w:b/>
          <w:kern w:val="0"/>
          <w:szCs w:val="22"/>
        </w:rPr>
        <w:t>Before</w:t>
      </w:r>
      <w:r w:rsidRPr="0058223B">
        <w:rPr>
          <w:b/>
          <w:szCs w:val="22"/>
        </w:rPr>
        <w:t xml:space="preserve"> the</w:t>
      </w:r>
    </w:p>
    <w:p w:rsidR="00A81745" w:rsidRPr="0058223B" w:rsidRDefault="00A81745" w:rsidP="00026E0C">
      <w:pPr>
        <w:pStyle w:val="StyleBoldCentered"/>
        <w:rPr>
          <w:rFonts w:ascii="Times New Roman" w:hAnsi="Times New Roman"/>
        </w:rPr>
      </w:pPr>
      <w:r w:rsidRPr="0058223B">
        <w:rPr>
          <w:rFonts w:ascii="Times New Roman" w:hAnsi="Times New Roman"/>
        </w:rPr>
        <w:t>F</w:t>
      </w:r>
      <w:r w:rsidRPr="0058223B">
        <w:rPr>
          <w:rFonts w:ascii="Times New Roman" w:hAnsi="Times New Roman"/>
          <w:caps w:val="0"/>
        </w:rPr>
        <w:t>ederal Communications Commission</w:t>
      </w:r>
    </w:p>
    <w:p w:rsidR="00A81745" w:rsidRPr="000A6EA3" w:rsidRDefault="00A81745" w:rsidP="000A6EA3">
      <w:pPr>
        <w:pStyle w:val="StyleBoldCentered"/>
        <w:rPr>
          <w:rFonts w:ascii="Times New Roman" w:hAnsi="Times New Roman"/>
          <w:caps w:val="0"/>
        </w:rPr>
      </w:pPr>
      <w:r w:rsidRPr="0058223B">
        <w:rPr>
          <w:rFonts w:ascii="Times New Roman" w:hAnsi="Times New Roman"/>
          <w:caps w:val="0"/>
        </w:rPr>
        <w:t>Washington, D.C. 20554</w:t>
      </w:r>
    </w:p>
    <w:p w:rsidR="00A81745" w:rsidRPr="0058223B" w:rsidRDefault="00A81745" w:rsidP="00026E0C">
      <w:pPr>
        <w:pStyle w:val="StyleBoldCentered"/>
        <w:rPr>
          <w:rFonts w:ascii="Times New Roman" w:hAnsi="Times New Roman"/>
        </w:rPr>
      </w:pPr>
    </w:p>
    <w:tbl>
      <w:tblPr>
        <w:tblW w:w="0" w:type="auto"/>
        <w:tblLayout w:type="fixed"/>
        <w:tblLook w:val="0000" w:firstRow="0" w:lastRow="0" w:firstColumn="0" w:lastColumn="0" w:noHBand="0" w:noVBand="0"/>
      </w:tblPr>
      <w:tblGrid>
        <w:gridCol w:w="4698"/>
        <w:gridCol w:w="630"/>
        <w:gridCol w:w="4248"/>
      </w:tblGrid>
      <w:tr w:rsidR="00A81745" w:rsidRPr="0058223B">
        <w:tc>
          <w:tcPr>
            <w:tcW w:w="4698" w:type="dxa"/>
          </w:tcPr>
          <w:p w:rsidR="00A81745" w:rsidRPr="0058223B" w:rsidRDefault="00A81745" w:rsidP="00026E0C">
            <w:pPr>
              <w:tabs>
                <w:tab w:val="center" w:pos="4680"/>
              </w:tabs>
              <w:suppressAutoHyphens/>
              <w:rPr>
                <w:spacing w:val="-2"/>
                <w:szCs w:val="22"/>
              </w:rPr>
            </w:pPr>
            <w:r w:rsidRPr="0058223B">
              <w:rPr>
                <w:spacing w:val="-2"/>
                <w:szCs w:val="22"/>
              </w:rPr>
              <w:t>In the Matter of</w:t>
            </w:r>
          </w:p>
          <w:p w:rsidR="00A81745" w:rsidRPr="0058223B" w:rsidRDefault="00A81745" w:rsidP="00026E0C">
            <w:pPr>
              <w:tabs>
                <w:tab w:val="center" w:pos="4680"/>
              </w:tabs>
              <w:suppressAutoHyphens/>
              <w:rPr>
                <w:spacing w:val="-2"/>
                <w:szCs w:val="22"/>
              </w:rPr>
            </w:pPr>
          </w:p>
          <w:p w:rsidR="00A81745" w:rsidRPr="0058223B" w:rsidRDefault="00A81745" w:rsidP="00026E0C">
            <w:pPr>
              <w:tabs>
                <w:tab w:val="center" w:pos="4680"/>
              </w:tabs>
              <w:suppressAutoHyphens/>
              <w:rPr>
                <w:b/>
                <w:spacing w:val="-2"/>
                <w:szCs w:val="22"/>
              </w:rPr>
            </w:pPr>
            <w:r w:rsidRPr="0058223B">
              <w:rPr>
                <w:b/>
                <w:spacing w:val="-2"/>
                <w:szCs w:val="22"/>
              </w:rPr>
              <w:t>Journal Broadcast Corporation</w:t>
            </w:r>
          </w:p>
          <w:p w:rsidR="00A81745" w:rsidRPr="0058223B" w:rsidRDefault="00A81745" w:rsidP="00026E0C">
            <w:pPr>
              <w:tabs>
                <w:tab w:val="center" w:pos="4680"/>
              </w:tabs>
              <w:suppressAutoHyphens/>
              <w:rPr>
                <w:spacing w:val="-2"/>
                <w:szCs w:val="22"/>
              </w:rPr>
            </w:pPr>
          </w:p>
          <w:p w:rsidR="00A81745" w:rsidRPr="0058223B" w:rsidRDefault="00A81745" w:rsidP="00026E0C">
            <w:pPr>
              <w:tabs>
                <w:tab w:val="center" w:pos="4680"/>
              </w:tabs>
              <w:suppressAutoHyphens/>
              <w:rPr>
                <w:spacing w:val="-2"/>
                <w:szCs w:val="22"/>
              </w:rPr>
            </w:pPr>
            <w:r w:rsidRPr="0058223B">
              <w:rPr>
                <w:szCs w:val="22"/>
              </w:rPr>
              <w:t>Licensee of Station KTNV-TV, Las Vegas, Nevada</w:t>
            </w:r>
          </w:p>
        </w:tc>
        <w:tc>
          <w:tcPr>
            <w:tcW w:w="630" w:type="dxa"/>
          </w:tcPr>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b/>
                <w:spacing w:val="-2"/>
                <w:szCs w:val="22"/>
              </w:rPr>
            </w:pPr>
            <w:r w:rsidRPr="0058223B">
              <w:rPr>
                <w:b/>
                <w:spacing w:val="-2"/>
                <w:szCs w:val="22"/>
              </w:rPr>
              <w:t>)</w:t>
            </w:r>
          </w:p>
          <w:p w:rsidR="00A81745" w:rsidRPr="0058223B" w:rsidRDefault="00A81745" w:rsidP="00026E0C">
            <w:pPr>
              <w:tabs>
                <w:tab w:val="center" w:pos="4680"/>
              </w:tabs>
              <w:suppressAutoHyphens/>
              <w:rPr>
                <w:spacing w:val="-2"/>
                <w:szCs w:val="22"/>
              </w:rPr>
            </w:pPr>
          </w:p>
        </w:tc>
        <w:tc>
          <w:tcPr>
            <w:tcW w:w="4248" w:type="dxa"/>
          </w:tcPr>
          <w:p w:rsidR="00A81745" w:rsidRPr="0058223B" w:rsidRDefault="00A81745" w:rsidP="00026E0C">
            <w:pPr>
              <w:tabs>
                <w:tab w:val="center" w:pos="4680"/>
              </w:tabs>
              <w:suppressAutoHyphens/>
              <w:rPr>
                <w:spacing w:val="-2"/>
                <w:szCs w:val="22"/>
              </w:rPr>
            </w:pPr>
          </w:p>
          <w:p w:rsidR="00A81745" w:rsidRPr="0058223B" w:rsidRDefault="00A81745" w:rsidP="00026E0C">
            <w:pPr>
              <w:pStyle w:val="TOAHeading"/>
              <w:tabs>
                <w:tab w:val="clear" w:pos="9360"/>
                <w:tab w:val="center" w:pos="4680"/>
              </w:tabs>
              <w:rPr>
                <w:spacing w:val="-2"/>
                <w:szCs w:val="22"/>
              </w:rPr>
            </w:pPr>
          </w:p>
          <w:p w:rsidR="00A81745" w:rsidRPr="0001199F" w:rsidRDefault="00A81745" w:rsidP="00026E0C">
            <w:pPr>
              <w:pStyle w:val="Title"/>
              <w:jc w:val="left"/>
              <w:rPr>
                <w:b w:val="0"/>
                <w:szCs w:val="22"/>
                <w:lang w:val="en-US" w:eastAsia="en-US"/>
              </w:rPr>
            </w:pPr>
            <w:r w:rsidRPr="0001199F">
              <w:rPr>
                <w:b w:val="0"/>
                <w:szCs w:val="22"/>
                <w:lang w:val="en-US" w:eastAsia="en-US"/>
              </w:rPr>
              <w:t xml:space="preserve">File Nos.:  EB-IHD-14-00016141 and </w:t>
            </w:r>
          </w:p>
          <w:p w:rsidR="00A81745" w:rsidRPr="0001199F" w:rsidRDefault="00A81745" w:rsidP="00026E0C">
            <w:pPr>
              <w:pStyle w:val="Title"/>
              <w:jc w:val="left"/>
              <w:rPr>
                <w:b w:val="0"/>
                <w:szCs w:val="22"/>
                <w:lang w:val="en-US" w:eastAsia="en-US"/>
              </w:rPr>
            </w:pPr>
            <w:r w:rsidRPr="0001199F">
              <w:rPr>
                <w:b w:val="0"/>
                <w:szCs w:val="22"/>
                <w:lang w:val="en-US" w:eastAsia="en-US"/>
              </w:rPr>
              <w:t xml:space="preserve">                  EB-09-IH-1918</w:t>
            </w:r>
          </w:p>
          <w:p w:rsidR="00A81745" w:rsidRPr="0001199F" w:rsidRDefault="00A81745" w:rsidP="00026E0C">
            <w:pPr>
              <w:pStyle w:val="Title"/>
              <w:jc w:val="left"/>
              <w:rPr>
                <w:b w:val="0"/>
                <w:szCs w:val="22"/>
                <w:lang w:val="en-US" w:eastAsia="en-US"/>
              </w:rPr>
            </w:pPr>
          </w:p>
          <w:p w:rsidR="00A81745" w:rsidRPr="0001199F" w:rsidRDefault="00A81745" w:rsidP="00026E0C">
            <w:pPr>
              <w:pStyle w:val="Title"/>
              <w:jc w:val="left"/>
              <w:rPr>
                <w:b w:val="0"/>
                <w:color w:val="000000"/>
                <w:szCs w:val="22"/>
                <w:lang w:val="en-US" w:eastAsia="en-US"/>
              </w:rPr>
            </w:pPr>
            <w:r w:rsidRPr="0001199F">
              <w:rPr>
                <w:b w:val="0"/>
                <w:szCs w:val="22"/>
                <w:lang w:val="en-US" w:eastAsia="en-US"/>
              </w:rPr>
              <w:t xml:space="preserve">Acct. No.:  </w:t>
            </w:r>
            <w:r w:rsidRPr="00025E63">
              <w:rPr>
                <w:b w:val="0"/>
                <w:szCs w:val="22"/>
                <w:lang w:val="en-US" w:eastAsia="en-US"/>
              </w:rPr>
              <w:t>201532080004</w:t>
            </w:r>
          </w:p>
          <w:p w:rsidR="00A81745" w:rsidRPr="0001199F" w:rsidRDefault="00A81745" w:rsidP="00026E0C">
            <w:pPr>
              <w:pStyle w:val="Title"/>
              <w:jc w:val="left"/>
              <w:rPr>
                <w:b w:val="0"/>
                <w:szCs w:val="22"/>
                <w:highlight w:val="yellow"/>
                <w:lang w:val="en-US" w:eastAsia="en-US"/>
              </w:rPr>
            </w:pPr>
          </w:p>
          <w:p w:rsidR="00A81745" w:rsidRPr="0001199F" w:rsidRDefault="00A81745" w:rsidP="00026E0C">
            <w:pPr>
              <w:pStyle w:val="Title"/>
              <w:jc w:val="left"/>
              <w:rPr>
                <w:b w:val="0"/>
                <w:szCs w:val="22"/>
                <w:lang w:val="en-US" w:eastAsia="en-US"/>
              </w:rPr>
            </w:pPr>
            <w:r w:rsidRPr="0001199F">
              <w:rPr>
                <w:b w:val="0"/>
                <w:szCs w:val="22"/>
                <w:lang w:val="en-US" w:eastAsia="en-US"/>
              </w:rPr>
              <w:t>FRN:  0002710192</w:t>
            </w:r>
          </w:p>
          <w:p w:rsidR="00A81745" w:rsidRPr="0001199F" w:rsidRDefault="00A81745" w:rsidP="00026E0C">
            <w:pPr>
              <w:pStyle w:val="Title"/>
              <w:jc w:val="left"/>
              <w:rPr>
                <w:b w:val="0"/>
                <w:szCs w:val="22"/>
                <w:lang w:val="en-US" w:eastAsia="en-US"/>
              </w:rPr>
            </w:pPr>
          </w:p>
          <w:p w:rsidR="00A81745" w:rsidRPr="0001199F" w:rsidRDefault="00A81745" w:rsidP="00026E0C">
            <w:pPr>
              <w:pStyle w:val="Title"/>
              <w:jc w:val="left"/>
              <w:rPr>
                <w:b w:val="0"/>
                <w:szCs w:val="22"/>
                <w:lang w:val="en-US" w:eastAsia="en-US"/>
              </w:rPr>
            </w:pPr>
            <w:r w:rsidRPr="0001199F">
              <w:rPr>
                <w:b w:val="0"/>
                <w:szCs w:val="22"/>
                <w:lang w:val="en-US" w:eastAsia="en-US"/>
              </w:rPr>
              <w:t>Facility ID No.:  74100</w:t>
            </w:r>
          </w:p>
          <w:p w:rsidR="00A81745" w:rsidRPr="0058223B" w:rsidRDefault="00A81745" w:rsidP="00026E0C">
            <w:pPr>
              <w:tabs>
                <w:tab w:val="center" w:pos="4680"/>
              </w:tabs>
              <w:suppressAutoHyphens/>
              <w:rPr>
                <w:spacing w:val="-2"/>
                <w:szCs w:val="22"/>
              </w:rPr>
            </w:pPr>
          </w:p>
        </w:tc>
      </w:tr>
    </w:tbl>
    <w:p w:rsidR="00A81745" w:rsidRPr="0058223B" w:rsidRDefault="00A81745" w:rsidP="00026E0C">
      <w:pPr>
        <w:pStyle w:val="StyleBoldCentered"/>
        <w:rPr>
          <w:rFonts w:ascii="Times New Roman" w:hAnsi="Times New Roman"/>
        </w:rPr>
      </w:pPr>
      <w:r w:rsidRPr="0058223B">
        <w:rPr>
          <w:rFonts w:ascii="Times New Roman" w:hAnsi="Times New Roman"/>
        </w:rPr>
        <w:t>consent decree</w:t>
      </w:r>
    </w:p>
    <w:p w:rsidR="00A81745" w:rsidRPr="0058223B" w:rsidRDefault="00A81745" w:rsidP="00026E0C">
      <w:pPr>
        <w:pStyle w:val="StyleBoldCentered"/>
        <w:rPr>
          <w:rFonts w:ascii="Times New Roman" w:hAnsi="Times New Roman"/>
        </w:rPr>
      </w:pPr>
    </w:p>
    <w:p w:rsidR="00A81745" w:rsidRPr="00602B5B" w:rsidRDefault="00A81745" w:rsidP="00602B5B">
      <w:pPr>
        <w:pStyle w:val="ParaNum"/>
        <w:numPr>
          <w:ilvl w:val="0"/>
          <w:numId w:val="41"/>
        </w:numPr>
        <w:tabs>
          <w:tab w:val="clear" w:pos="1080"/>
        </w:tabs>
        <w:rPr>
          <w:szCs w:val="22"/>
        </w:rPr>
      </w:pPr>
      <w:r w:rsidRPr="00602B5B">
        <w:rPr>
          <w:szCs w:val="22"/>
        </w:rPr>
        <w:t>The Enforcement Bureau (Bureau) of the Federal Communications Commission (Commission or FCC) and Journal Broadcast Corporation (Journal), licensee of Station KTNV-TV, by their authorized representatives, hereby enter into this Consent Decree for the purpose of terminating the Bureau’s investigation into Journal</w:t>
      </w:r>
      <w:r w:rsidRPr="00241F2B">
        <w:t>’s</w:t>
      </w:r>
      <w:r w:rsidRPr="00602B5B">
        <w:rPr>
          <w:szCs w:val="22"/>
        </w:rPr>
        <w:t xml:space="preserve"> violations of Section 317 of the Communications Act of 1934, as amended (Act), and Section 73.1212 of the Commission’s rules (Rules) pertaining to sponsorship identification.</w:t>
      </w:r>
      <w:r w:rsidRPr="0058223B">
        <w:rPr>
          <w:rStyle w:val="FootnoteReference"/>
          <w:sz w:val="22"/>
          <w:szCs w:val="22"/>
        </w:rPr>
        <w:footnoteReference w:id="5"/>
      </w:r>
    </w:p>
    <w:p w:rsidR="00A81745" w:rsidRPr="0058223B" w:rsidRDefault="00A81745" w:rsidP="00026E0C">
      <w:pPr>
        <w:pStyle w:val="Heading1"/>
        <w:rPr>
          <w:rFonts w:ascii="Times New Roman" w:hAnsi="Times New Roman"/>
          <w:szCs w:val="22"/>
        </w:rPr>
      </w:pPr>
      <w:r w:rsidRPr="0058223B">
        <w:rPr>
          <w:rFonts w:ascii="Times New Roman" w:hAnsi="Times New Roman"/>
          <w:szCs w:val="22"/>
        </w:rPr>
        <w:t>Definitions</w:t>
      </w:r>
    </w:p>
    <w:p w:rsidR="00A81745" w:rsidRPr="0058223B" w:rsidRDefault="00A81745" w:rsidP="00A81745">
      <w:pPr>
        <w:pStyle w:val="ParaNum"/>
        <w:tabs>
          <w:tab w:val="clear" w:pos="1440"/>
        </w:tabs>
        <w:rPr>
          <w:szCs w:val="22"/>
        </w:rPr>
      </w:pPr>
      <w:r w:rsidRPr="0058223B">
        <w:rPr>
          <w:szCs w:val="22"/>
        </w:rPr>
        <w:t>For the purposes of this Consent Decree, the following definitions shall apply:</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 xml:space="preserve">“Act” means the Communications Act of 1934, as amended, 47 U.S.C. § 151 </w:t>
      </w:r>
      <w:r w:rsidRPr="0058223B">
        <w:rPr>
          <w:i/>
          <w:szCs w:val="22"/>
        </w:rPr>
        <w:t>et seq.</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“Adopting Order” means an order of the Bureau adopting the terms of this Consent Decree without change, addition, deletion, or modification.</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“Bureau” means the Enforcement Bureau of the Federal Communications Commission.</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“Commission” and “FCC” mean the Federal Communications Commission and all of its bureaus and offices.</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“Communications Laws” means collectively, the Act, the Rules, and the published and promulgated orders and decisions of the Commission to which each Commission licensee, including Journal, is subject by virtue of its being a Commission licensee, including but not limited to</w:t>
      </w:r>
      <w:r>
        <w:rPr>
          <w:szCs w:val="22"/>
        </w:rPr>
        <w:t xml:space="preserve"> the </w:t>
      </w:r>
      <w:r w:rsidRPr="0058223B">
        <w:rPr>
          <w:szCs w:val="22"/>
        </w:rPr>
        <w:t>Sponsorship Identification Laws.</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 xml:space="preserve">“Complaint” means the third-party Complaint received by, or in the possession of, the Bureau and alleging violation of </w:t>
      </w:r>
      <w:r>
        <w:rPr>
          <w:szCs w:val="22"/>
        </w:rPr>
        <w:t xml:space="preserve">the </w:t>
      </w:r>
      <w:r w:rsidRPr="0058223B">
        <w:rPr>
          <w:szCs w:val="22"/>
        </w:rPr>
        <w:t>Sponsorship Identification Laws, as described in this Consent Decree at paragraph 4.</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“Compliance Plan” means the compliance obligations, program, and procedures described in this Consent Decree at paragraph 1</w:t>
      </w:r>
      <w:r>
        <w:rPr>
          <w:szCs w:val="22"/>
        </w:rPr>
        <w:t>4</w:t>
      </w:r>
      <w:r w:rsidRPr="0058223B">
        <w:rPr>
          <w:szCs w:val="22"/>
        </w:rPr>
        <w:t>.</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 xml:space="preserve">“Consideration” means anything of value, including but not limited to, cash, checks, salaries, fees, commissions, loans, management fees, consulting fees, honoraria, per diem allowances, payments of third-party invoices, travel and/or hotel expenses, meals, gifts, bonuses, services, purchases of, or promises to purchase, advertising time, and/or any other things of value, from any source, or given by third parties, to another.  </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“Covered Employees” means all</w:t>
      </w:r>
      <w:r>
        <w:rPr>
          <w:szCs w:val="22"/>
        </w:rPr>
        <w:t xml:space="preserve"> </w:t>
      </w:r>
      <w:r w:rsidRPr="0058223B">
        <w:rPr>
          <w:szCs w:val="22"/>
        </w:rPr>
        <w:t>employees and agents of Journal who perform, or supervise, oversee, and/or manage the performance of, duties that relate to Journal’s responsibilities</w:t>
      </w:r>
      <w:r>
        <w:rPr>
          <w:szCs w:val="22"/>
        </w:rPr>
        <w:t xml:space="preserve"> for the Station</w:t>
      </w:r>
      <w:r w:rsidRPr="0058223B">
        <w:rPr>
          <w:szCs w:val="22"/>
        </w:rPr>
        <w:t xml:space="preserve"> under the Sponsorship Identification Laws, including those employees and agents who serve as on-air talent and/or materially participate in the on-air broadcast of program material and/or in the making of programming decisions</w:t>
      </w:r>
      <w:r>
        <w:rPr>
          <w:szCs w:val="22"/>
        </w:rPr>
        <w:t xml:space="preserve"> for the Station</w:t>
      </w:r>
      <w:r w:rsidRPr="0058223B">
        <w:rPr>
          <w:szCs w:val="22"/>
        </w:rPr>
        <w:t>, as well as their supervisory employees and agents.</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“Effective Date” means the date on which th</w:t>
      </w:r>
      <w:r>
        <w:rPr>
          <w:szCs w:val="22"/>
        </w:rPr>
        <w:t xml:space="preserve">e Bureau releases the Adopting </w:t>
      </w:r>
      <w:r w:rsidRPr="0058223B">
        <w:rPr>
          <w:szCs w:val="22"/>
        </w:rPr>
        <w:t>Order.</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“Investigation” means the investigation commenced by the Bureau’s September 26, 2013, Letter of I</w:t>
      </w:r>
      <w:r>
        <w:rPr>
          <w:szCs w:val="22"/>
        </w:rPr>
        <w:t xml:space="preserve">nquiry regarding whether </w:t>
      </w:r>
      <w:r w:rsidRPr="0058223B">
        <w:rPr>
          <w:szCs w:val="22"/>
        </w:rPr>
        <w:t>Journal violated the Sponsorship Identification Laws.</w:t>
      </w:r>
    </w:p>
    <w:p w:rsidR="00A81745" w:rsidRPr="0058223B" w:rsidRDefault="00A81745" w:rsidP="00795A4A">
      <w:pPr>
        <w:widowControl/>
        <w:numPr>
          <w:ilvl w:val="0"/>
          <w:numId w:val="4"/>
        </w:numPr>
        <w:tabs>
          <w:tab w:val="clear" w:pos="3960"/>
        </w:tabs>
        <w:spacing w:after="120"/>
        <w:ind w:left="2160" w:hanging="720"/>
        <w:rPr>
          <w:szCs w:val="22"/>
        </w:rPr>
      </w:pPr>
      <w:r>
        <w:rPr>
          <w:szCs w:val="22"/>
        </w:rPr>
        <w:t xml:space="preserve">“Journal” </w:t>
      </w:r>
      <w:r w:rsidRPr="0058223B">
        <w:rPr>
          <w:szCs w:val="22"/>
        </w:rPr>
        <w:t>means Journal Broadcast Corporation, including all of its subsidiaries and affiliates, its predecessors-in-interest, and its successors-in-interest</w:t>
      </w:r>
      <w:r>
        <w:rPr>
          <w:szCs w:val="22"/>
        </w:rPr>
        <w:t>, provided, however, that upon closing of the transaction announced on July 30, 2014 between Journal and the E.W. Scripps Company, this Consent Decree shall continue to apply only to the stations licensed to Journal as of the date of this Agreement</w:t>
      </w:r>
      <w:r w:rsidRPr="0058223B">
        <w:rPr>
          <w:szCs w:val="22"/>
        </w:rPr>
        <w:t>.</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“Operating Procedures” means the standard, internal operating procedures and compliance policies established by Journal to implement the Compliance Plan.</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“Parties” means Journal and the Bureau, each of which is a “Party.”</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“Rules” means the Commission’s regulations found in Title 47 of the Code of Federal Regulations.</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 xml:space="preserve">“Sponsored Broadcast” is a matter transmitted by a broadcast station that is aired in exchange for Consideration that is “directly or indirectly paid, or promised to or charged or accepted by, the station so broadcasting,” including, but not limited to, the types of broadcasts covered by </w:t>
      </w:r>
      <w:r>
        <w:rPr>
          <w:szCs w:val="22"/>
        </w:rPr>
        <w:t>Section 317 of the Act</w:t>
      </w:r>
      <w:r w:rsidRPr="0058223B">
        <w:rPr>
          <w:szCs w:val="22"/>
        </w:rPr>
        <w:t>.</w:t>
      </w:r>
      <w:r w:rsidRPr="0058223B">
        <w:rPr>
          <w:rStyle w:val="FootnoteReference"/>
          <w:sz w:val="22"/>
          <w:szCs w:val="22"/>
        </w:rPr>
        <w:footnoteReference w:id="6"/>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“Sponsorship Identification Laws” means, individually or collectively, Section 317 of the Act and Section 73.1212 of the Rules,</w:t>
      </w:r>
      <w:r w:rsidRPr="0058223B">
        <w:rPr>
          <w:rStyle w:val="FootnoteReference"/>
          <w:sz w:val="22"/>
          <w:szCs w:val="22"/>
        </w:rPr>
        <w:footnoteReference w:id="7"/>
      </w:r>
      <w:r w:rsidRPr="0058223B">
        <w:rPr>
          <w:szCs w:val="22"/>
        </w:rPr>
        <w:t xml:space="preserve"> and the decisions and orders of the Commission interpreting these provisions.</w:t>
      </w:r>
    </w:p>
    <w:p w:rsidR="00A81745" w:rsidRPr="0058223B" w:rsidRDefault="00A81745" w:rsidP="00795A4A">
      <w:pPr>
        <w:widowControl/>
        <w:numPr>
          <w:ilvl w:val="0"/>
          <w:numId w:val="4"/>
        </w:numPr>
        <w:tabs>
          <w:tab w:val="clear" w:pos="3960"/>
        </w:tabs>
        <w:spacing w:after="120"/>
        <w:ind w:left="2160" w:hanging="720"/>
        <w:rPr>
          <w:szCs w:val="22"/>
        </w:rPr>
      </w:pPr>
      <w:r w:rsidRPr="0058223B">
        <w:rPr>
          <w:szCs w:val="22"/>
        </w:rPr>
        <w:t>“Station” means Station KTNV-TV, Las Vegas, Nevada (Facility ID 74100).</w:t>
      </w:r>
    </w:p>
    <w:p w:rsidR="00A81745" w:rsidRPr="0058223B" w:rsidRDefault="00A81745" w:rsidP="00026E0C">
      <w:pPr>
        <w:pStyle w:val="Heading1"/>
        <w:rPr>
          <w:rFonts w:ascii="Times New Roman" w:hAnsi="Times New Roman"/>
          <w:szCs w:val="22"/>
        </w:rPr>
      </w:pPr>
      <w:r w:rsidRPr="0058223B">
        <w:rPr>
          <w:rFonts w:ascii="Times New Roman" w:hAnsi="Times New Roman"/>
          <w:szCs w:val="22"/>
        </w:rPr>
        <w:t>background</w:t>
      </w:r>
    </w:p>
    <w:p w:rsidR="00A81745" w:rsidRPr="0058223B" w:rsidRDefault="00A81745" w:rsidP="00A81745">
      <w:pPr>
        <w:pStyle w:val="ParaNum"/>
        <w:tabs>
          <w:tab w:val="clear" w:pos="1440"/>
        </w:tabs>
        <w:rPr>
          <w:szCs w:val="22"/>
        </w:rPr>
      </w:pPr>
      <w:r w:rsidRPr="0058223B">
        <w:rPr>
          <w:szCs w:val="22"/>
        </w:rPr>
        <w:t>The Sponsorship Identification Laws establish the general obligation of a broadcast station to air sponsorship identification announcements whenever any “money, service or other valuable consideration” is paid or promised to the station for the broadcast of program material.</w:t>
      </w:r>
      <w:r w:rsidRPr="0058223B">
        <w:rPr>
          <w:rStyle w:val="FootnoteReference"/>
          <w:sz w:val="22"/>
          <w:szCs w:val="22"/>
        </w:rPr>
        <w:footnoteReference w:id="8"/>
      </w:r>
      <w:r w:rsidRPr="0058223B">
        <w:rPr>
          <w:szCs w:val="22"/>
        </w:rPr>
        <w:t xml:space="preserve">  The Commission has noted that the Sponsorship Identification Laws are “grounded in the principle that listeners and viewers are entitled to know who seeks to persuade them.”</w:t>
      </w:r>
      <w:r w:rsidRPr="0058223B">
        <w:rPr>
          <w:szCs w:val="22"/>
          <w:vertAlign w:val="superscript"/>
        </w:rPr>
        <w:footnoteReference w:id="9"/>
      </w:r>
      <w:r w:rsidRPr="0058223B">
        <w:rPr>
          <w:szCs w:val="22"/>
        </w:rPr>
        <w:t xml:space="preserve">  T</w:t>
      </w:r>
      <w:r>
        <w:rPr>
          <w:szCs w:val="22"/>
        </w:rPr>
        <w:t>he disclosures required by the Sponsorship Identification Laws</w:t>
      </w:r>
      <w:r w:rsidRPr="0058223B">
        <w:rPr>
          <w:szCs w:val="22"/>
        </w:rPr>
        <w:t xml:space="preserve"> provide listeners and viewers with information concerning the source of material in order to prevent misleading or deceiving those listeners and viewers.</w:t>
      </w:r>
      <w:r w:rsidRPr="0058223B">
        <w:rPr>
          <w:rStyle w:val="FootnoteReference"/>
          <w:sz w:val="22"/>
          <w:szCs w:val="22"/>
        </w:rPr>
        <w:footnoteReference w:id="10"/>
      </w:r>
      <w:r w:rsidRPr="0058223B">
        <w:rPr>
          <w:szCs w:val="22"/>
        </w:rPr>
        <w:t xml:space="preserve">  The Commission has warned that it would take enforcement action against broadcast stations and cable operators that did not comply with these disclosure requirements.</w:t>
      </w:r>
      <w:r w:rsidRPr="0058223B">
        <w:rPr>
          <w:szCs w:val="22"/>
          <w:vertAlign w:val="superscript"/>
        </w:rPr>
        <w:footnoteReference w:id="11"/>
      </w:r>
      <w:r w:rsidRPr="0058223B">
        <w:rPr>
          <w:szCs w:val="22"/>
        </w:rPr>
        <w:t xml:space="preserve">  </w:t>
      </w:r>
    </w:p>
    <w:p w:rsidR="00A81745" w:rsidRPr="0058223B" w:rsidRDefault="00A81745" w:rsidP="00A81745">
      <w:pPr>
        <w:pStyle w:val="ParaNum"/>
        <w:tabs>
          <w:tab w:val="clear" w:pos="1440"/>
        </w:tabs>
        <w:rPr>
          <w:szCs w:val="22"/>
        </w:rPr>
      </w:pPr>
      <w:r w:rsidRPr="0058223B">
        <w:rPr>
          <w:szCs w:val="22"/>
        </w:rPr>
        <w:t xml:space="preserve">The Bureau received a Complaint alleging that </w:t>
      </w:r>
      <w:r>
        <w:rPr>
          <w:szCs w:val="22"/>
        </w:rPr>
        <w:t xml:space="preserve">Arrowhead Advertising, an advertising agency in Las Vegas, Nevada that represented local automobile dealerships, approached </w:t>
      </w:r>
      <w:r w:rsidRPr="0058223B">
        <w:rPr>
          <w:szCs w:val="22"/>
        </w:rPr>
        <w:t xml:space="preserve">several </w:t>
      </w:r>
      <w:r>
        <w:rPr>
          <w:szCs w:val="22"/>
        </w:rPr>
        <w:t>local</w:t>
      </w:r>
      <w:r w:rsidRPr="0058223B">
        <w:rPr>
          <w:szCs w:val="22"/>
        </w:rPr>
        <w:t xml:space="preserve"> television stations, including KTNV-TV, </w:t>
      </w:r>
      <w:r>
        <w:rPr>
          <w:szCs w:val="22"/>
        </w:rPr>
        <w:t xml:space="preserve">offering to buy air time for commercials if the stations </w:t>
      </w:r>
      <w:r w:rsidRPr="0058223B">
        <w:rPr>
          <w:szCs w:val="22"/>
        </w:rPr>
        <w:t xml:space="preserve">aired </w:t>
      </w:r>
      <w:r>
        <w:rPr>
          <w:szCs w:val="22"/>
        </w:rPr>
        <w:t>“</w:t>
      </w:r>
      <w:r w:rsidRPr="0058223B">
        <w:rPr>
          <w:szCs w:val="22"/>
        </w:rPr>
        <w:t>news</w:t>
      </w:r>
      <w:r>
        <w:rPr>
          <w:szCs w:val="22"/>
        </w:rPr>
        <w:t>”</w:t>
      </w:r>
      <w:r w:rsidRPr="0058223B">
        <w:rPr>
          <w:szCs w:val="22"/>
        </w:rPr>
        <w:t xml:space="preserve"> programming concerning automobile liquidation sales events at </w:t>
      </w:r>
      <w:r>
        <w:rPr>
          <w:szCs w:val="22"/>
        </w:rPr>
        <w:t>the</w:t>
      </w:r>
      <w:r w:rsidRPr="0058223B">
        <w:rPr>
          <w:szCs w:val="22"/>
        </w:rPr>
        <w:t xml:space="preserve"> dealership</w:t>
      </w:r>
      <w:r>
        <w:rPr>
          <w:szCs w:val="22"/>
        </w:rPr>
        <w:t>s</w:t>
      </w:r>
      <w:r w:rsidRPr="0058223B">
        <w:rPr>
          <w:szCs w:val="22"/>
        </w:rPr>
        <w:t>.</w:t>
      </w:r>
      <w:r w:rsidRPr="0058223B">
        <w:rPr>
          <w:rStyle w:val="FootnoteReference"/>
          <w:sz w:val="22"/>
          <w:szCs w:val="22"/>
        </w:rPr>
        <w:footnoteReference w:id="12"/>
      </w:r>
    </w:p>
    <w:p w:rsidR="00A81745" w:rsidRPr="0058223B" w:rsidRDefault="00A81745" w:rsidP="00A81745">
      <w:pPr>
        <w:pStyle w:val="ParaNum"/>
        <w:tabs>
          <w:tab w:val="clear" w:pos="1440"/>
        </w:tabs>
        <w:rPr>
          <w:szCs w:val="22"/>
          <w:u w:val="single"/>
        </w:rPr>
      </w:pPr>
      <w:r w:rsidRPr="0058223B">
        <w:rPr>
          <w:szCs w:val="22"/>
        </w:rPr>
        <w:t>The Bureau’s investigation reve</w:t>
      </w:r>
      <w:r w:rsidRPr="00387DD0">
        <w:rPr>
          <w:szCs w:val="22"/>
        </w:rPr>
        <w:t xml:space="preserve">aled that KTNV-TV accepted payment from the dealerships to produce and air several versions of </w:t>
      </w:r>
      <w:r>
        <w:rPr>
          <w:szCs w:val="22"/>
        </w:rPr>
        <w:t xml:space="preserve">what KTNV-TV called </w:t>
      </w:r>
      <w:r w:rsidRPr="00387DD0">
        <w:rPr>
          <w:szCs w:val="22"/>
        </w:rPr>
        <w:t xml:space="preserve">a “Special Report” about the liquidation at the dealerships.  </w:t>
      </w:r>
      <w:r>
        <w:rPr>
          <w:szCs w:val="22"/>
        </w:rPr>
        <w:t>The “Special Reports</w:t>
      </w:r>
      <w:r w:rsidRPr="00387DD0">
        <w:rPr>
          <w:szCs w:val="22"/>
        </w:rPr>
        <w:t xml:space="preserve">” </w:t>
      </w:r>
      <w:r>
        <w:rPr>
          <w:szCs w:val="22"/>
        </w:rPr>
        <w:t xml:space="preserve">were formatted in the style of a news report and </w:t>
      </w:r>
      <w:r w:rsidRPr="00241F2B">
        <w:t xml:space="preserve"> </w:t>
      </w:r>
      <w:r w:rsidRPr="00387DD0">
        <w:rPr>
          <w:szCs w:val="22"/>
        </w:rPr>
        <w:t>featured a KTNV-TV employee who</w:t>
      </w:r>
      <w:r w:rsidRPr="00241F2B">
        <w:t xml:space="preserve">, </w:t>
      </w:r>
      <w:r>
        <w:rPr>
          <w:szCs w:val="22"/>
        </w:rPr>
        <w:t xml:space="preserve">in the manner of </w:t>
      </w:r>
      <w:r w:rsidRPr="00241F2B">
        <w:t xml:space="preserve">a television </w:t>
      </w:r>
      <w:r>
        <w:rPr>
          <w:szCs w:val="22"/>
        </w:rPr>
        <w:t>reporter,</w:t>
      </w:r>
      <w:r w:rsidRPr="00387DD0">
        <w:rPr>
          <w:szCs w:val="22"/>
        </w:rPr>
        <w:t xml:space="preserve"> </w:t>
      </w:r>
      <w:r>
        <w:rPr>
          <w:szCs w:val="22"/>
        </w:rPr>
        <w:t>questioned</w:t>
      </w:r>
      <w:r w:rsidRPr="00832A1F">
        <w:t xml:space="preserve"> </w:t>
      </w:r>
      <w:r w:rsidRPr="00241F2B">
        <w:t xml:space="preserve">representatives of the dealerships about their ongoing liquidation sales events.  The </w:t>
      </w:r>
      <w:r w:rsidRPr="00387DD0">
        <w:rPr>
          <w:szCs w:val="22"/>
        </w:rPr>
        <w:t>“Special Reports</w:t>
      </w:r>
      <w:r>
        <w:rPr>
          <w:szCs w:val="22"/>
        </w:rPr>
        <w:t>,</w:t>
      </w:r>
      <w:r w:rsidRPr="00387DD0">
        <w:rPr>
          <w:szCs w:val="22"/>
        </w:rPr>
        <w:t>”</w:t>
      </w:r>
      <w:r>
        <w:rPr>
          <w:szCs w:val="22"/>
        </w:rPr>
        <w:t xml:space="preserve"> however,</w:t>
      </w:r>
      <w:r w:rsidRPr="00387DD0">
        <w:rPr>
          <w:szCs w:val="22"/>
        </w:rPr>
        <w:t xml:space="preserve"> were not in fact news coverage, but instead paid advertisements.  KTNV-TV broadcast the “Special Reports” twenty-seven times from May through August 2009.  </w:t>
      </w:r>
      <w:r>
        <w:rPr>
          <w:szCs w:val="22"/>
        </w:rPr>
        <w:t xml:space="preserve">In its response to the Bureau’s investigation, </w:t>
      </w:r>
      <w:r w:rsidRPr="00387DD0">
        <w:rPr>
          <w:szCs w:val="22"/>
        </w:rPr>
        <w:t>Journal acknowledge</w:t>
      </w:r>
      <w:r>
        <w:rPr>
          <w:szCs w:val="22"/>
        </w:rPr>
        <w:t>d</w:t>
      </w:r>
      <w:r w:rsidRPr="00387DD0">
        <w:rPr>
          <w:szCs w:val="22"/>
        </w:rPr>
        <w:t xml:space="preserve"> the applicability of the Commission’s Sponsorship Identification Laws to the “Special Reports</w:t>
      </w:r>
      <w:r>
        <w:rPr>
          <w:szCs w:val="22"/>
        </w:rPr>
        <w:t>,</w:t>
      </w:r>
      <w:r w:rsidRPr="00387DD0">
        <w:rPr>
          <w:szCs w:val="22"/>
        </w:rPr>
        <w:t>”</w:t>
      </w:r>
      <w:r>
        <w:rPr>
          <w:szCs w:val="22"/>
        </w:rPr>
        <w:t xml:space="preserve"> but argued that the context of the “Special Reports” made clear that the “Special Reports” were paid advertisements despite the lack of an explicit disclaimer.</w:t>
      </w:r>
      <w:r w:rsidRPr="00387DD0">
        <w:rPr>
          <w:rStyle w:val="FootnoteReference"/>
          <w:sz w:val="22"/>
          <w:szCs w:val="22"/>
        </w:rPr>
        <w:footnoteReference w:id="13"/>
      </w:r>
      <w:r w:rsidRPr="00387DD0">
        <w:rPr>
          <w:szCs w:val="22"/>
        </w:rPr>
        <w:t xml:space="preserve">  Based on the record, </w:t>
      </w:r>
      <w:r>
        <w:rPr>
          <w:szCs w:val="22"/>
        </w:rPr>
        <w:t>however</w:t>
      </w:r>
      <w:r w:rsidRPr="00241F2B">
        <w:t xml:space="preserve">, </w:t>
      </w:r>
      <w:r w:rsidRPr="00387DD0">
        <w:rPr>
          <w:szCs w:val="22"/>
        </w:rPr>
        <w:t xml:space="preserve">the Bureau contends that Journal failed to air sponsorship announcements required by the Sponsorship Identification Laws for the </w:t>
      </w:r>
      <w:r>
        <w:rPr>
          <w:szCs w:val="22"/>
        </w:rPr>
        <w:t xml:space="preserve">twenty-seven </w:t>
      </w:r>
      <w:r w:rsidRPr="00387DD0">
        <w:rPr>
          <w:szCs w:val="22"/>
        </w:rPr>
        <w:t>“Special Reports” broadcast by KTNV-TV.</w:t>
      </w:r>
    </w:p>
    <w:p w:rsidR="00A81745" w:rsidRPr="0058223B" w:rsidRDefault="00A81745" w:rsidP="00A81745">
      <w:pPr>
        <w:pStyle w:val="ParaNum"/>
        <w:tabs>
          <w:tab w:val="clear" w:pos="1440"/>
        </w:tabs>
        <w:rPr>
          <w:szCs w:val="22"/>
          <w:u w:val="single"/>
        </w:rPr>
      </w:pPr>
      <w:r w:rsidRPr="0058223B">
        <w:rPr>
          <w:b/>
          <w:szCs w:val="22"/>
          <w:u w:val="single"/>
        </w:rPr>
        <w:t>Adopting Order</w:t>
      </w:r>
      <w:r w:rsidRPr="0058223B">
        <w:rPr>
          <w:szCs w:val="22"/>
        </w:rPr>
        <w:t>.</w:t>
      </w:r>
      <w:r w:rsidRPr="0058223B">
        <w:rPr>
          <w:b/>
          <w:szCs w:val="22"/>
        </w:rPr>
        <w:t xml:space="preserve">  </w:t>
      </w:r>
      <w:r w:rsidRPr="0058223B">
        <w:rPr>
          <w:szCs w:val="22"/>
        </w:rPr>
        <w:t xml:space="preserve">The Parties agree that the provisions of this Consent Decree shall be subject to final approval by the </w:t>
      </w:r>
      <w:r w:rsidRPr="0058223B">
        <w:rPr>
          <w:bCs/>
          <w:szCs w:val="22"/>
        </w:rPr>
        <w:t xml:space="preserve">Bureau </w:t>
      </w:r>
      <w:r w:rsidRPr="0058223B">
        <w:rPr>
          <w:szCs w:val="22"/>
        </w:rPr>
        <w:t>by incorporation of such provisions by reference in the Adopting Order.</w:t>
      </w:r>
      <w:r w:rsidRPr="0058223B">
        <w:rPr>
          <w:b/>
          <w:szCs w:val="22"/>
          <w:u w:val="single"/>
        </w:rPr>
        <w:t xml:space="preserve"> </w:t>
      </w:r>
    </w:p>
    <w:p w:rsidR="00A81745" w:rsidRPr="0058223B" w:rsidRDefault="00A81745" w:rsidP="00A81745">
      <w:pPr>
        <w:pStyle w:val="ParaNum"/>
        <w:tabs>
          <w:tab w:val="clear" w:pos="1440"/>
        </w:tabs>
        <w:rPr>
          <w:szCs w:val="22"/>
        </w:rPr>
      </w:pPr>
      <w:r w:rsidRPr="0058223B">
        <w:rPr>
          <w:b/>
          <w:szCs w:val="22"/>
          <w:u w:val="single"/>
        </w:rPr>
        <w:t>Jurisdiction</w:t>
      </w:r>
      <w:r w:rsidRPr="0058223B">
        <w:rPr>
          <w:szCs w:val="22"/>
        </w:rPr>
        <w:t xml:space="preserve">.  Journal agrees that the </w:t>
      </w:r>
      <w:r w:rsidRPr="0058223B">
        <w:rPr>
          <w:bCs/>
          <w:szCs w:val="22"/>
        </w:rPr>
        <w:t>Bureau</w:t>
      </w:r>
      <w:r w:rsidRPr="0058223B">
        <w:rPr>
          <w:szCs w:val="22"/>
        </w:rPr>
        <w:t xml:space="preserve"> has jurisdiction over it and the matters contained in this Consent Decree and that the Bureau has the authority to enter into and adopt this Consent Decree.</w:t>
      </w:r>
    </w:p>
    <w:p w:rsidR="00A81745" w:rsidRPr="0058223B" w:rsidRDefault="00A81745" w:rsidP="00A81745">
      <w:pPr>
        <w:pStyle w:val="ParaNum"/>
        <w:tabs>
          <w:tab w:val="clear" w:pos="1440"/>
        </w:tabs>
        <w:rPr>
          <w:szCs w:val="22"/>
        </w:rPr>
      </w:pPr>
      <w:r w:rsidRPr="0058223B">
        <w:rPr>
          <w:b/>
          <w:szCs w:val="22"/>
          <w:u w:val="single"/>
        </w:rPr>
        <w:t>Effective Date; Violations</w:t>
      </w:r>
      <w:r w:rsidRPr="0058223B">
        <w:rPr>
          <w:szCs w:val="22"/>
        </w:rPr>
        <w:t>.</w:t>
      </w:r>
      <w:r w:rsidRPr="0058223B">
        <w:rPr>
          <w:b/>
          <w:szCs w:val="22"/>
        </w:rPr>
        <w:t xml:space="preserve">  </w:t>
      </w:r>
      <w:r w:rsidRPr="0058223B">
        <w:rPr>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A81745" w:rsidRDefault="00A81745" w:rsidP="00A81745">
      <w:pPr>
        <w:pStyle w:val="ParaNum"/>
        <w:widowControl/>
        <w:tabs>
          <w:tab w:val="clear" w:pos="1440"/>
        </w:tabs>
        <w:rPr>
          <w:szCs w:val="22"/>
        </w:rPr>
      </w:pPr>
      <w:r w:rsidRPr="0058223B">
        <w:rPr>
          <w:b/>
          <w:szCs w:val="22"/>
          <w:u w:val="single"/>
        </w:rPr>
        <w:t>Termination of Investigation</w:t>
      </w:r>
      <w:r w:rsidRPr="0058223B">
        <w:rPr>
          <w:szCs w:val="22"/>
        </w:rPr>
        <w:t>.</w:t>
      </w:r>
      <w:r w:rsidRPr="0058223B">
        <w:rPr>
          <w:b/>
          <w:szCs w:val="22"/>
        </w:rPr>
        <w:t xml:space="preserve">  </w:t>
      </w:r>
      <w:r w:rsidRPr="0058223B">
        <w:rPr>
          <w:szCs w:val="22"/>
        </w:rPr>
        <w:t>In express reliance on the covenants and representations in this Consent Decree and to avoid further expenditure of public resources, the Bureau agrees to terminate the Investigation.  In consideration for the termination of the Investigation, Journal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Journal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Journal with respect to Journal’s basic qualifications, including its character qualifications, to be a Commission licensee or to hold Commission licenses or authorizations.</w:t>
      </w:r>
    </w:p>
    <w:p w:rsidR="00A81745" w:rsidRPr="00AD6CEB" w:rsidRDefault="00A81745" w:rsidP="00A81745">
      <w:pPr>
        <w:pStyle w:val="ParaNum"/>
        <w:tabs>
          <w:tab w:val="clear" w:pos="1440"/>
        </w:tabs>
        <w:rPr>
          <w:rFonts w:eastAsia="MS Mincho"/>
          <w:szCs w:val="22"/>
        </w:rPr>
      </w:pPr>
      <w:r w:rsidRPr="0058223B">
        <w:rPr>
          <w:b/>
          <w:szCs w:val="22"/>
          <w:u w:val="single"/>
        </w:rPr>
        <w:t>Section 73.1212 Complaints; Subsequent Investigations</w:t>
      </w:r>
      <w:r w:rsidRPr="0058223B">
        <w:rPr>
          <w:szCs w:val="22"/>
        </w:rPr>
        <w:t>.  Nothing in this Consent Decree shall prevent the Commission or its delegated authority from adjudicating complaints</w:t>
      </w:r>
      <w:r>
        <w:rPr>
          <w:szCs w:val="22"/>
        </w:rPr>
        <w:t xml:space="preserve">, </w:t>
      </w:r>
      <w:r w:rsidRPr="00A14CB7">
        <w:rPr>
          <w:szCs w:val="22"/>
        </w:rPr>
        <w:t xml:space="preserve">other than the complaint that formed the basis for the instant Investigation, </w:t>
      </w:r>
      <w:r w:rsidRPr="0058223B">
        <w:rPr>
          <w:szCs w:val="22"/>
        </w:rPr>
        <w:t>filed pursuant to Section 73.1212 of the Rules against Journal, or its affiliates, for alleged violations of the Sponsorship Identification Laws, the Act, the Rules,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Journal with the Communications Laws.</w:t>
      </w:r>
    </w:p>
    <w:p w:rsidR="00A81745" w:rsidRPr="0058223B" w:rsidRDefault="00A81745" w:rsidP="00A81745">
      <w:pPr>
        <w:pStyle w:val="ParaNum"/>
        <w:tabs>
          <w:tab w:val="clear" w:pos="1440"/>
        </w:tabs>
        <w:rPr>
          <w:rFonts w:eastAsia="MS Mincho"/>
          <w:szCs w:val="22"/>
        </w:rPr>
      </w:pPr>
      <w:r w:rsidRPr="0058223B">
        <w:rPr>
          <w:b/>
          <w:szCs w:val="22"/>
          <w:u w:val="single"/>
        </w:rPr>
        <w:t>Admission</w:t>
      </w:r>
      <w:r>
        <w:rPr>
          <w:b/>
          <w:szCs w:val="22"/>
          <w:u w:val="single"/>
        </w:rPr>
        <w:t xml:space="preserve"> </w:t>
      </w:r>
      <w:r w:rsidRPr="0058223B">
        <w:rPr>
          <w:b/>
          <w:szCs w:val="22"/>
          <w:u w:val="single"/>
        </w:rPr>
        <w:t>of Liability</w:t>
      </w:r>
      <w:r w:rsidRPr="0058223B">
        <w:rPr>
          <w:szCs w:val="22"/>
        </w:rPr>
        <w:t>.</w:t>
      </w:r>
      <w:r w:rsidRPr="0058223B">
        <w:rPr>
          <w:b/>
          <w:szCs w:val="22"/>
        </w:rPr>
        <w:t xml:space="preserve">  </w:t>
      </w:r>
      <w:r w:rsidRPr="0058223B">
        <w:rPr>
          <w:rFonts w:eastAsia="MS Mincho"/>
          <w:szCs w:val="22"/>
        </w:rPr>
        <w:t xml:space="preserve">Journal admits, in express reliance on the provisions of paragraph 9 herein, that its actions with respect to the broadcast of the </w:t>
      </w:r>
      <w:r>
        <w:rPr>
          <w:rFonts w:eastAsia="MS Mincho"/>
          <w:szCs w:val="22"/>
        </w:rPr>
        <w:t>Special Reports</w:t>
      </w:r>
      <w:r w:rsidRPr="00241F2B">
        <w:rPr>
          <w:rFonts w:eastAsia="MS Mincho"/>
        </w:rPr>
        <w:t xml:space="preserve"> </w:t>
      </w:r>
      <w:r w:rsidRPr="0058223B">
        <w:rPr>
          <w:rFonts w:eastAsia="MS Mincho"/>
          <w:szCs w:val="22"/>
        </w:rPr>
        <w:t>referenced in paragraph 5 of this Consent Decree violated the Commission’s Sponsorship Identification Laws</w:t>
      </w:r>
      <w:r>
        <w:rPr>
          <w:rStyle w:val="CommentReference"/>
        </w:rPr>
        <w:t>.</w:t>
      </w:r>
      <w:r w:rsidRPr="0058223B">
        <w:rPr>
          <w:szCs w:val="22"/>
        </w:rPr>
        <w:t xml:space="preserve"> </w:t>
      </w:r>
    </w:p>
    <w:p w:rsidR="00A81745" w:rsidRPr="0058223B" w:rsidRDefault="00A81745" w:rsidP="00A81745">
      <w:pPr>
        <w:pStyle w:val="ParaNum"/>
        <w:tabs>
          <w:tab w:val="clear" w:pos="1440"/>
        </w:tabs>
        <w:rPr>
          <w:rFonts w:eastAsia="MS Mincho"/>
          <w:szCs w:val="22"/>
        </w:rPr>
      </w:pPr>
      <w:r w:rsidRPr="00241F2B">
        <w:rPr>
          <w:b/>
          <w:u w:val="single"/>
        </w:rPr>
        <w:t>Civil Penalty</w:t>
      </w:r>
      <w:r w:rsidRPr="0058223B">
        <w:rPr>
          <w:szCs w:val="22"/>
        </w:rPr>
        <w:t>.  J</w:t>
      </w:r>
      <w:r>
        <w:rPr>
          <w:szCs w:val="22"/>
        </w:rPr>
        <w:t xml:space="preserve">ournal </w:t>
      </w:r>
      <w:r w:rsidRPr="0058223B">
        <w:rPr>
          <w:rFonts w:eastAsia="MS Mincho"/>
          <w:szCs w:val="22"/>
        </w:rPr>
        <w:t>will make a payment to the United States Treasury in the amount of one hundred fi</w:t>
      </w:r>
      <w:r>
        <w:rPr>
          <w:rFonts w:eastAsia="MS Mincho"/>
          <w:szCs w:val="22"/>
        </w:rPr>
        <w:t>fteen</w:t>
      </w:r>
      <w:r w:rsidRPr="0058223B">
        <w:rPr>
          <w:rFonts w:eastAsia="MS Mincho"/>
          <w:szCs w:val="22"/>
        </w:rPr>
        <w:t xml:space="preserve"> thousand dollars ($1</w:t>
      </w:r>
      <w:r>
        <w:rPr>
          <w:rFonts w:eastAsia="MS Mincho"/>
          <w:szCs w:val="22"/>
        </w:rPr>
        <w:t>1</w:t>
      </w:r>
      <w:r w:rsidRPr="0058223B">
        <w:rPr>
          <w:rFonts w:eastAsia="MS Mincho"/>
          <w:szCs w:val="22"/>
        </w:rPr>
        <w:t>5,000) within thirty (30) calendar days after the Effective Date.  Journal</w:t>
      </w:r>
      <w:r w:rsidRPr="0058223B">
        <w:rPr>
          <w:szCs w:val="22"/>
        </w:rPr>
        <w:t xml:space="preserve"> </w:t>
      </w:r>
      <w:r w:rsidRPr="0058223B">
        <w:rPr>
          <w:rFonts w:eastAsia="MS Mincho"/>
          <w:szCs w:val="22"/>
        </w:rPr>
        <w:t>shall also send electronic notification of payment to</w:t>
      </w:r>
      <w:r w:rsidRPr="0058223B">
        <w:rPr>
          <w:szCs w:val="22"/>
        </w:rPr>
        <w:t xml:space="preserve"> Jeffrey J. Gee at Jeffrey.Gee@fcc.gov, Kenneth M. Scheibel, Jr. at Kenneth.Scheibel@fcc.gov, and to Guy N. Benson at Guy.Benson@fcc.gov</w:t>
      </w:r>
      <w:r w:rsidRPr="0058223B">
        <w:rPr>
          <w:rFonts w:eastAsia="MS Mincho"/>
          <w:szCs w:val="22"/>
        </w:rPr>
        <w:t xml:space="preserve"> on the date said payment is made.  The payment must be made by check or similar instrument, wire transfer, or credit card, and must include the Account Number and FRN referenced above.  Regardless of the form of payment, </w:t>
      </w:r>
      <w:r w:rsidRPr="007C5CC5">
        <w:rPr>
          <w:rFonts w:eastAsia="MS Mincho"/>
          <w:szCs w:val="22"/>
        </w:rPr>
        <w:t>Journal must submit a completed FCC Form 159 (Remittance Advice).</w:t>
      </w:r>
      <w:r w:rsidRPr="007C5CC5">
        <w:rPr>
          <w:rStyle w:val="FootnoteReference"/>
          <w:rFonts w:eastAsia="MS Mincho"/>
          <w:sz w:val="22"/>
          <w:szCs w:val="22"/>
        </w:rPr>
        <w:footnoteReference w:id="14"/>
      </w:r>
      <w:r w:rsidRPr="007C5CC5">
        <w:rPr>
          <w:rFonts w:eastAsia="MS Mincho"/>
          <w:szCs w:val="22"/>
        </w:rPr>
        <w:t xml:space="preserve">  When completing the FCC Form 159, Journal should enter the Account Number in block number 23A (call sign/other ID) and enter</w:t>
      </w:r>
      <w:r w:rsidRPr="0058223B">
        <w:rPr>
          <w:rFonts w:eastAsia="MS Mincho"/>
          <w:szCs w:val="22"/>
        </w:rPr>
        <w:t xml:space="preserve"> the letters “FORF” in block nu</w:t>
      </w:r>
      <w:r>
        <w:rPr>
          <w:rFonts w:eastAsia="MS Mincho"/>
          <w:szCs w:val="22"/>
        </w:rPr>
        <w:t>mber 24A (payment type code).  </w:t>
      </w:r>
      <w:r w:rsidRPr="0058223B">
        <w:rPr>
          <w:color w:val="000000"/>
          <w:szCs w:val="22"/>
        </w:rPr>
        <w:t>Below are additional instructions that Journal should follow based on the form of payment it selects:</w:t>
      </w:r>
      <w:r w:rsidRPr="0058223B">
        <w:rPr>
          <w:rStyle w:val="FootnoteReference"/>
          <w:color w:val="000000"/>
          <w:sz w:val="22"/>
          <w:szCs w:val="22"/>
        </w:rPr>
        <w:footnoteReference w:id="15"/>
      </w:r>
    </w:p>
    <w:p w:rsidR="00A81745" w:rsidRPr="0058223B" w:rsidRDefault="00A81745" w:rsidP="00026E0C">
      <w:pPr>
        <w:pStyle w:val="ParaNum"/>
        <w:numPr>
          <w:ilvl w:val="0"/>
          <w:numId w:val="6"/>
        </w:numPr>
        <w:rPr>
          <w:rFonts w:eastAsia="MS Mincho"/>
          <w:szCs w:val="22"/>
        </w:rPr>
      </w:pPr>
      <w:r w:rsidRPr="0058223B">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A81745" w:rsidRPr="0058223B" w:rsidRDefault="00A81745" w:rsidP="00026E0C">
      <w:pPr>
        <w:pStyle w:val="ParaNum"/>
        <w:numPr>
          <w:ilvl w:val="0"/>
          <w:numId w:val="6"/>
        </w:numPr>
        <w:rPr>
          <w:rFonts w:eastAsia="MS Mincho"/>
          <w:szCs w:val="22"/>
        </w:rPr>
      </w:pPr>
      <w:r w:rsidRPr="0058223B">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81745" w:rsidRDefault="00A81745" w:rsidP="002C437B">
      <w:pPr>
        <w:pStyle w:val="ParaNum"/>
        <w:widowControl/>
        <w:numPr>
          <w:ilvl w:val="0"/>
          <w:numId w:val="6"/>
        </w:numPr>
        <w:rPr>
          <w:rFonts w:eastAsia="MS Mincho"/>
          <w:szCs w:val="22"/>
        </w:rPr>
      </w:pPr>
      <w:r w:rsidRPr="0058223B">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w:t>
      </w:r>
      <w:r>
        <w:rPr>
          <w:rFonts w:eastAsia="MS Mincho"/>
          <w:szCs w:val="22"/>
        </w:rPr>
        <w:t>on Plaza, St. Louis, MO 63101.</w:t>
      </w:r>
    </w:p>
    <w:p w:rsidR="00A81745" w:rsidRPr="008336BB" w:rsidRDefault="00A81745" w:rsidP="00A81745">
      <w:pPr>
        <w:pStyle w:val="ParaNum"/>
        <w:tabs>
          <w:tab w:val="clear" w:pos="1440"/>
        </w:tabs>
      </w:pPr>
      <w:r w:rsidRPr="00253729">
        <w:rPr>
          <w:b/>
          <w:u w:val="single"/>
        </w:rPr>
        <w:t>Compliance Officer</w:t>
      </w:r>
      <w:r w:rsidRPr="00E24547">
        <w:rPr>
          <w:szCs w:val="22"/>
        </w:rPr>
        <w:t>.</w:t>
      </w:r>
      <w:r>
        <w:t xml:space="preserve">  </w:t>
      </w:r>
      <w:r w:rsidRPr="00253729">
        <w:t>Within thirty (30) calendar days after the Effective Date, Journal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Journal complies with the terms and conditions of the Compliance Plan and this Consent Decree.  In addition to the general knowledge of the Communications Laws necessary to discharge his/her duties under this Consent Decree, the Compliance Officer shall have specific knowledge of the Sponsorship Identification Laws prior to assuming his/her duties and shall commit to ensuring compliance with respect to the Sponsorship Identification Laws.</w:t>
      </w:r>
    </w:p>
    <w:p w:rsidR="00A81745" w:rsidRPr="008336BB" w:rsidRDefault="00A81745" w:rsidP="00A81745">
      <w:pPr>
        <w:pStyle w:val="ParaNum"/>
        <w:tabs>
          <w:tab w:val="clear" w:pos="1440"/>
        </w:tabs>
      </w:pPr>
      <w:r w:rsidRPr="0014549F">
        <w:rPr>
          <w:b/>
          <w:u w:val="single"/>
        </w:rPr>
        <w:t>Compliance Plan</w:t>
      </w:r>
      <w:r w:rsidRPr="00E24547">
        <w:t xml:space="preserve">.  </w:t>
      </w:r>
      <w:r w:rsidRPr="00253729">
        <w:t xml:space="preserve">Journal agrees that it shall, </w:t>
      </w:r>
      <w:r>
        <w:t>by</w:t>
      </w:r>
      <w:r w:rsidRPr="00253729">
        <w:t xml:space="preserve"> the </w:t>
      </w:r>
      <w:r>
        <w:t>dates specified in this paragraph</w:t>
      </w:r>
      <w:r w:rsidRPr="00E24547">
        <w:t>,</w:t>
      </w:r>
      <w:r>
        <w:t xml:space="preserve"> including its subparts</w:t>
      </w:r>
      <w:r w:rsidRPr="00253729">
        <w:t>, develop and implement a Compliance Plan designed to ensure future compliance with the Communications Laws and with the terms and conditions of this Consent Decree.  With respect to the Sponsorship Identification Laws, Journal shall implement the following procedures:</w:t>
      </w:r>
    </w:p>
    <w:p w:rsidR="00A81745" w:rsidRDefault="00A81745" w:rsidP="0014549F">
      <w:pPr>
        <w:pStyle w:val="Heading6"/>
        <w:tabs>
          <w:tab w:val="clear" w:pos="4320"/>
        </w:tabs>
        <w:ind w:left="2160"/>
        <w:rPr>
          <w:b w:val="0"/>
        </w:rPr>
      </w:pPr>
      <w:r w:rsidRPr="00E24547">
        <w:rPr>
          <w:u w:val="single"/>
        </w:rPr>
        <w:t>Operating Procedures</w:t>
      </w:r>
      <w:r w:rsidRPr="00E24547">
        <w:rPr>
          <w:b w:val="0"/>
        </w:rPr>
        <w:t>.  Within sixty (60) calen</w:t>
      </w:r>
      <w:r>
        <w:rPr>
          <w:b w:val="0"/>
        </w:rPr>
        <w:t xml:space="preserve">dar days after the </w:t>
      </w:r>
      <w:r w:rsidRPr="00E24547">
        <w:rPr>
          <w:b w:val="0"/>
        </w:rPr>
        <w:t>Effective Date, Journal shall establish Operating Procedures that all Covered Employees must follow to help ensure Journal’s compliance with the Sponsorship Identification Laws.  Journal’s Operating Procedures shall include</w:t>
      </w:r>
      <w:r>
        <w:rPr>
          <w:b w:val="0"/>
        </w:rPr>
        <w:t xml:space="preserve"> company-wide</w:t>
      </w:r>
      <w:r w:rsidRPr="00E24547">
        <w:rPr>
          <w:b w:val="0"/>
        </w:rPr>
        <w:t xml:space="preserve"> internal procedures and policies specifically designed to ensure that </w:t>
      </w:r>
      <w:r>
        <w:rPr>
          <w:b w:val="0"/>
        </w:rPr>
        <w:t>Journal</w:t>
      </w:r>
      <w:r w:rsidRPr="00E24547">
        <w:rPr>
          <w:b w:val="0"/>
        </w:rPr>
        <w:t xml:space="preserve"> discloses the sponsorship status and the sponsor of broadcasts that are aired in exchange for valuable Consideration or otherwise require sponsorship identification, consistent with the Sponsorship Identification Laws.  Journal also shall develop a Compliance Checklist that describes the steps that a Covered Employee must follow to ensure compliance with the Sponsorship Identification Laws.  At a minimum, the Compliance Checklist shall require a multi-level review of Sponsored Broadcasts that </w:t>
      </w:r>
      <w:r>
        <w:rPr>
          <w:b w:val="0"/>
        </w:rPr>
        <w:t>air</w:t>
      </w:r>
      <w:r w:rsidRPr="00E24547">
        <w:rPr>
          <w:b w:val="0"/>
        </w:rPr>
        <w:t xml:space="preserve"> over the Station</w:t>
      </w:r>
      <w:r>
        <w:rPr>
          <w:b w:val="0"/>
        </w:rPr>
        <w:t>, meaning that</w:t>
      </w:r>
      <w:r w:rsidRPr="00E24547">
        <w:rPr>
          <w:b w:val="0"/>
        </w:rPr>
        <w:t xml:space="preserve"> </w:t>
      </w:r>
      <w:r>
        <w:rPr>
          <w:b w:val="0"/>
        </w:rPr>
        <w:t>a</w:t>
      </w:r>
      <w:r w:rsidRPr="00E24547">
        <w:rPr>
          <w:b w:val="0"/>
        </w:rPr>
        <w:t>ll scripts of</w:t>
      </w:r>
      <w:r>
        <w:rPr>
          <w:b w:val="0"/>
        </w:rPr>
        <w:t xml:space="preserve"> such</w:t>
      </w:r>
      <w:r w:rsidRPr="00E24547">
        <w:rPr>
          <w:b w:val="0"/>
        </w:rPr>
        <w:t xml:space="preserve"> Sponsored Broadcasts shall be reviewed prior to broadcast for compliance with the Sponsorship Identification Laws by at least two </w:t>
      </w:r>
      <w:r>
        <w:rPr>
          <w:b w:val="0"/>
        </w:rPr>
        <w:t>S</w:t>
      </w:r>
      <w:r w:rsidRPr="00E24547">
        <w:rPr>
          <w:b w:val="0"/>
        </w:rPr>
        <w:t xml:space="preserve">tation employees, one of whom shall be a </w:t>
      </w:r>
      <w:r>
        <w:rPr>
          <w:b w:val="0"/>
        </w:rPr>
        <w:t>supervisory</w:t>
      </w:r>
      <w:r w:rsidRPr="00E24547">
        <w:rPr>
          <w:b w:val="0"/>
        </w:rPr>
        <w:t>-level employee</w:t>
      </w:r>
      <w:r>
        <w:rPr>
          <w:b w:val="0"/>
        </w:rPr>
        <w:t xml:space="preserve"> or employee specially trained in Sponsorship Identification Laws compliance, provided, however, that a multi-level review shall not be required of Sponsored Broadcasts embedded in network or syndicated programming</w:t>
      </w:r>
      <w:r w:rsidRPr="00E24547">
        <w:rPr>
          <w:b w:val="0"/>
        </w:rPr>
        <w:t>.</w:t>
      </w:r>
    </w:p>
    <w:p w:rsidR="00A81745" w:rsidRDefault="00A81745" w:rsidP="0014549F">
      <w:pPr>
        <w:pStyle w:val="Heading6"/>
        <w:tabs>
          <w:tab w:val="clear" w:pos="4320"/>
        </w:tabs>
        <w:ind w:left="2160"/>
        <w:rPr>
          <w:b w:val="0"/>
        </w:rPr>
      </w:pPr>
      <w:r w:rsidRPr="00E24547">
        <w:rPr>
          <w:u w:val="single"/>
        </w:rPr>
        <w:t>Compliance Manual</w:t>
      </w:r>
      <w:r w:rsidRPr="0014549F">
        <w:rPr>
          <w:b w:val="0"/>
          <w:u w:val="single"/>
        </w:rPr>
        <w:t>.</w:t>
      </w:r>
      <w:r w:rsidRPr="00E24547">
        <w:rPr>
          <w:b w:val="0"/>
        </w:rPr>
        <w:t xml:space="preserve">  Within sixty (60) calendar days after the Effective Date, the Compliance Officer (with assistance of counsel as appropriate) shall develop and distribute a Compliance Manual to all Covered Employees.  The Compliance Manual shall explain the Sponsorship Identification Laws and set forth the Operating Procedures that Covered Employees shall follow to help ensure Journal’s compliance with the Communications Laws.  Journal shall periodically review and revise the Compliance Manual as necessary to ensure that the information set forth therein remains current and complete.  Journal shall distribute any revisions to the Compliance Manual promptly to all Covered Employees.</w:t>
      </w:r>
    </w:p>
    <w:p w:rsidR="00A81745" w:rsidRDefault="00A81745" w:rsidP="0014549F">
      <w:pPr>
        <w:pStyle w:val="Heading6"/>
        <w:tabs>
          <w:tab w:val="clear" w:pos="4320"/>
        </w:tabs>
        <w:ind w:left="2160"/>
        <w:rPr>
          <w:b w:val="0"/>
        </w:rPr>
      </w:pPr>
      <w:r w:rsidRPr="00E24547">
        <w:rPr>
          <w:u w:val="single"/>
        </w:rPr>
        <w:t>Compliance Training Program</w:t>
      </w:r>
      <w:r w:rsidRPr="00E24547">
        <w:rPr>
          <w:b w:val="0"/>
        </w:rPr>
        <w:t>.  Journal shall establish and implement a Compliance Training Program on compliance</w:t>
      </w:r>
      <w:r>
        <w:rPr>
          <w:b w:val="0"/>
        </w:rPr>
        <w:t xml:space="preserve"> by Covered Employees</w:t>
      </w:r>
      <w:r w:rsidRPr="00E24547">
        <w:rPr>
          <w:b w:val="0"/>
        </w:rPr>
        <w:t xml:space="preserve"> with the Sponsorship Identification Laws and the Operating Procedures.  As part of the Compliance Training Program, Covered Employees shall be advised of Journal’s obligation to report any noncompliance with the Sponsorship Identification Laws</w:t>
      </w:r>
      <w:r>
        <w:rPr>
          <w:b w:val="0"/>
        </w:rPr>
        <w:t xml:space="preserve"> as described under paragraph 16</w:t>
      </w:r>
      <w:r w:rsidRPr="00E24547">
        <w:rPr>
          <w:b w:val="0"/>
        </w:rPr>
        <w:t xml:space="preserve"> of this Consent Decree and shall be instructed on how to disclose noncompliance to the Compliance Officer.  All Covered Employees shall be trained pursuant to the Compliance Training Program within ninety (90) calendar days after the Effective Date.  Any person who becomes a Covered Employee at any time after the initial Compliance Training Program is conducted  shall be trained within thirty (30) calendar days after the date such person becomes a Covered Employee.  Journal shall repeat the compliance training on an annual basis, and shall periodically review and revise the Compliance Training Program as necessary to ensure that it remains current and complete and to enhance its effectiveness.</w:t>
      </w:r>
    </w:p>
    <w:p w:rsidR="00A81745" w:rsidRPr="008336BB" w:rsidRDefault="00A81745" w:rsidP="0014549F">
      <w:pPr>
        <w:pStyle w:val="Heading6"/>
        <w:tabs>
          <w:tab w:val="clear" w:pos="4320"/>
        </w:tabs>
        <w:ind w:left="2160"/>
        <w:rPr>
          <w:b w:val="0"/>
        </w:rPr>
      </w:pPr>
      <w:r w:rsidRPr="00E24547">
        <w:rPr>
          <w:szCs w:val="22"/>
          <w:u w:val="single"/>
        </w:rPr>
        <w:t>Hotline</w:t>
      </w:r>
      <w:r w:rsidRPr="00253729">
        <w:rPr>
          <w:b w:val="0"/>
        </w:rPr>
        <w:t>.</w:t>
      </w:r>
      <w:r w:rsidRPr="0014549F">
        <w:rPr>
          <w:b w:val="0"/>
        </w:rPr>
        <w:t xml:space="preserve">  The Compliance Officer shall maintain a hotline for </w:t>
      </w:r>
      <w:r>
        <w:rPr>
          <w:b w:val="0"/>
        </w:rPr>
        <w:t>Covered E</w:t>
      </w:r>
      <w:r w:rsidRPr="0014549F">
        <w:rPr>
          <w:b w:val="0"/>
        </w:rPr>
        <w:t>mployees to call the Compliance Officer to obtain advice on compliance with the Compliance Plan and report violations of the Compliance Plan.</w:t>
      </w:r>
    </w:p>
    <w:p w:rsidR="00A81745" w:rsidRPr="008336BB" w:rsidRDefault="00A81745" w:rsidP="0014549F">
      <w:pPr>
        <w:pStyle w:val="Heading6"/>
        <w:tabs>
          <w:tab w:val="clear" w:pos="4320"/>
        </w:tabs>
        <w:ind w:left="2160"/>
        <w:rPr>
          <w:b w:val="0"/>
        </w:rPr>
      </w:pPr>
      <w:r w:rsidRPr="00D9258C">
        <w:rPr>
          <w:szCs w:val="22"/>
          <w:u w:val="single"/>
        </w:rPr>
        <w:t>Contractual Agreements</w:t>
      </w:r>
      <w:r w:rsidRPr="00253729">
        <w:rPr>
          <w:b w:val="0"/>
        </w:rPr>
        <w:t>.  Journal will ensure that all contractual agreements with respect to Covered Employees shall include a contractual clause requiring compliance with the Sponsorship Identification Laws.</w:t>
      </w:r>
    </w:p>
    <w:p w:rsidR="00A81745" w:rsidRPr="008336BB" w:rsidRDefault="00A81745" w:rsidP="0014549F">
      <w:pPr>
        <w:pStyle w:val="Heading6"/>
        <w:tabs>
          <w:tab w:val="clear" w:pos="4320"/>
        </w:tabs>
        <w:ind w:left="2160"/>
        <w:rPr>
          <w:b w:val="0"/>
        </w:rPr>
      </w:pPr>
      <w:r w:rsidRPr="00D9258C">
        <w:rPr>
          <w:szCs w:val="22"/>
          <w:u w:val="single"/>
        </w:rPr>
        <w:t>Commitment to Due Diligence for the Identification of Program Sponsors and the Airing of Sponsored Content</w:t>
      </w:r>
      <w:r w:rsidRPr="00253729">
        <w:rPr>
          <w:b w:val="0"/>
        </w:rPr>
        <w:t>.  Journal commits to diligently identify program sponsors and to broadcast compliant announcements, where required, to avoid violations of the Sponsorship Identification Laws.</w:t>
      </w:r>
    </w:p>
    <w:p w:rsidR="00A81745" w:rsidRPr="00D9258C" w:rsidRDefault="00A81745" w:rsidP="0014549F">
      <w:pPr>
        <w:pStyle w:val="Heading6"/>
        <w:tabs>
          <w:tab w:val="clear" w:pos="4320"/>
        </w:tabs>
        <w:ind w:left="2160"/>
        <w:rPr>
          <w:b w:val="0"/>
        </w:rPr>
      </w:pPr>
      <w:r w:rsidRPr="00D9258C">
        <w:rPr>
          <w:u w:val="single"/>
        </w:rPr>
        <w:t>Sponsor Education</w:t>
      </w:r>
      <w:r w:rsidRPr="00D9258C">
        <w:rPr>
          <w:b w:val="0"/>
        </w:rPr>
        <w:t>.  Journal will also implement and maintain a plan to educate prospective sponsors about appropriate sponsorship content and how it incorporates such sponsorship content in the messages that it prepares for the sponsor’s approval and eventual broadcast.  To that end, Journal will summarize the Sponsorship Identification Laws for each client prior to accepting any contract to air messages and/or programming over the Station and preparing the message and/or programming for the sponsor’s review.</w:t>
      </w:r>
    </w:p>
    <w:p w:rsidR="00A81745" w:rsidRPr="00D9258C" w:rsidRDefault="00A81745" w:rsidP="0014549F">
      <w:pPr>
        <w:pStyle w:val="Heading6"/>
        <w:tabs>
          <w:tab w:val="clear" w:pos="4320"/>
        </w:tabs>
        <w:ind w:left="2160"/>
        <w:rPr>
          <w:b w:val="0"/>
        </w:rPr>
      </w:pPr>
      <w:r w:rsidRPr="00D9258C">
        <w:rPr>
          <w:u w:val="single"/>
        </w:rPr>
        <w:t>Annual Report</w:t>
      </w:r>
      <w:r w:rsidRPr="00D9258C">
        <w:rPr>
          <w:b w:val="0"/>
        </w:rPr>
        <w:t>.  The Compliance Officer shall submit reports to Journal’s Board of Directors concerning Journal’s compliance with this Compliance Plan.  The first such report shall be submitted within sixty (60) days of the Effective Date and additional reports shall be submitted at least annually thereafter.</w:t>
      </w:r>
    </w:p>
    <w:p w:rsidR="00A81745" w:rsidRPr="00253729" w:rsidRDefault="00A81745" w:rsidP="00A81745">
      <w:pPr>
        <w:pStyle w:val="ParaNum"/>
        <w:tabs>
          <w:tab w:val="clear" w:pos="1440"/>
        </w:tabs>
      </w:pPr>
      <w:r w:rsidRPr="00253729">
        <w:rPr>
          <w:b/>
          <w:u w:val="single"/>
        </w:rPr>
        <w:t>Compliance Reports</w:t>
      </w:r>
      <w:r w:rsidRPr="00253729">
        <w:t>.  Journal shall file Compliance Reports with the Commission ninety (90) calendar days after the Effective Date, twelve (12) months after the Effective Date, twenty-four (24) months after the Effective Date, and thirty-six (36) months after the Effective Date.</w:t>
      </w:r>
    </w:p>
    <w:p w:rsidR="00A81745" w:rsidRDefault="00A81745" w:rsidP="0014549F">
      <w:pPr>
        <w:numPr>
          <w:ilvl w:val="0"/>
          <w:numId w:val="31"/>
        </w:numPr>
        <w:spacing w:after="120"/>
        <w:ind w:left="2160" w:hanging="720"/>
      </w:pPr>
      <w:r w:rsidRPr="0058223B">
        <w:t>Each Compliance Report shall include a detailed description of Journal’s efforts during the relevant period to comply with the terms and conditions of this Consent Decree and the Sponsorship Identification Laws.  In addition, each Compliance Report shall include a certification by the Compliance Officer, as an agent of and on behalf of Journal, stating that the Compliance Officer has personal knowledge that Journal:</w:t>
      </w:r>
      <w:r>
        <w:t xml:space="preserve">  (i</w:t>
      </w:r>
      <w:r w:rsidRPr="0058223B">
        <w:t>) has established and imp</w:t>
      </w:r>
      <w:r>
        <w:t>lemented the Compliance Plan; (ii</w:t>
      </w:r>
      <w:r w:rsidRPr="0058223B">
        <w:t>) has utilized the Operating Procedures since the implementatio</w:t>
      </w:r>
      <w:r>
        <w:t>n of the Compliance Plan; and (iii</w:t>
      </w:r>
      <w:r w:rsidRPr="0058223B">
        <w:t>) is not aware of any instances of noncompliance with the terms and conditions of this Consent Decree, including the reporting oblig</w:t>
      </w:r>
      <w:r>
        <w:t>ations set forth in paragraph 16</w:t>
      </w:r>
      <w:r w:rsidRPr="0058223B">
        <w:t>.</w:t>
      </w:r>
    </w:p>
    <w:p w:rsidR="00A81745" w:rsidRPr="00D9258C" w:rsidRDefault="00A81745" w:rsidP="007B4DF4">
      <w:pPr>
        <w:widowControl/>
        <w:numPr>
          <w:ilvl w:val="0"/>
          <w:numId w:val="31"/>
        </w:numPr>
        <w:spacing w:after="120"/>
        <w:ind w:left="2160" w:hanging="720"/>
      </w:pPr>
      <w:r w:rsidRPr="00D9258C">
        <w:rPr>
          <w:szCs w:val="22"/>
        </w:rPr>
        <w:t>The Compliance Officer’s certification shall be accompanied by a statement explaining the basis for such certification and must comply with Section 1.16 of the Rules</w:t>
      </w:r>
      <w:r w:rsidRPr="0058223B">
        <w:rPr>
          <w:rStyle w:val="FootnoteReference"/>
          <w:sz w:val="22"/>
          <w:szCs w:val="22"/>
        </w:rPr>
        <w:footnoteReference w:id="16"/>
      </w:r>
      <w:r w:rsidRPr="00D9258C">
        <w:rPr>
          <w:szCs w:val="22"/>
        </w:rPr>
        <w:t xml:space="preserve"> and be subscribed to as true under penalty of perjury in substantially the form set forth therein.</w:t>
      </w:r>
    </w:p>
    <w:p w:rsidR="00A81745" w:rsidRPr="00D9258C" w:rsidRDefault="00A81745" w:rsidP="0014549F">
      <w:pPr>
        <w:numPr>
          <w:ilvl w:val="0"/>
          <w:numId w:val="31"/>
        </w:numPr>
        <w:spacing w:after="120"/>
        <w:ind w:left="2160" w:hanging="720"/>
      </w:pPr>
      <w:r w:rsidRPr="00D9258C">
        <w:rPr>
          <w:szCs w:val="22"/>
        </w:rPr>
        <w:t>If the Compliance Officer cannot provide the requisite certification, the Compliance Officer, as an agent of and on behalf of Journal, shall provide the Commission with a detailed explanation of the reas</w:t>
      </w:r>
      <w:r>
        <w:rPr>
          <w:szCs w:val="22"/>
        </w:rPr>
        <w:t>on(s) why and describe fully: (i</w:t>
      </w:r>
      <w:r w:rsidRPr="00D9258C">
        <w:rPr>
          <w:szCs w:val="22"/>
        </w:rPr>
        <w:t>) ea</w:t>
      </w:r>
      <w:r>
        <w:rPr>
          <w:szCs w:val="22"/>
        </w:rPr>
        <w:t>ch instance of noncompliance; (ii</w:t>
      </w:r>
      <w:r w:rsidRPr="00D9258C">
        <w:rPr>
          <w:szCs w:val="22"/>
        </w:rPr>
        <w:t xml:space="preserve">) the steps that Journal has taken or will take to remedy such noncompliance, including the schedule on which proposed remedial action will be taken; and </w:t>
      </w:r>
      <w:r>
        <w:rPr>
          <w:szCs w:val="22"/>
        </w:rPr>
        <w:t>(iii</w:t>
      </w:r>
      <w:r w:rsidRPr="00D9258C">
        <w:rPr>
          <w:szCs w:val="22"/>
        </w:rPr>
        <w:t>) the steps that Journal has taken or will take to prevent the recurrence of any such noncompliance, including the schedule on which such preventive action will be taken.</w:t>
      </w:r>
    </w:p>
    <w:p w:rsidR="00A81745" w:rsidRPr="00D9258C" w:rsidRDefault="00A81745" w:rsidP="0014549F">
      <w:pPr>
        <w:numPr>
          <w:ilvl w:val="0"/>
          <w:numId w:val="31"/>
        </w:numPr>
        <w:spacing w:after="120"/>
        <w:ind w:left="2160" w:hanging="720"/>
      </w:pPr>
      <w:r w:rsidRPr="00D9258C">
        <w:rPr>
          <w:szCs w:val="22"/>
        </w:rPr>
        <w:t>All Compliance Reports shall be submitted to the Chief, Investigations and Hearings Division, Enforcement Bureau, Federal Communications Commission, Room 4-C330, 445 12th Street, SW, Washington, DC 20554, with a copy submitted electronically to Jeffrey J. Gee at Jeffrey.Gee@fcc.gov, Kenneth M. Scheibel, Jr. at Kenneth.Scheibel@fcc.gov, and Guy N. Benson at Guy.Benson@fcc.gov.</w:t>
      </w:r>
    </w:p>
    <w:p w:rsidR="00A81745" w:rsidRPr="0058223B" w:rsidRDefault="00A81745" w:rsidP="00A81745">
      <w:pPr>
        <w:pStyle w:val="ParaNum"/>
        <w:tabs>
          <w:tab w:val="clear" w:pos="1440"/>
        </w:tabs>
        <w:rPr>
          <w:szCs w:val="22"/>
        </w:rPr>
      </w:pPr>
      <w:r w:rsidRPr="0058223B">
        <w:rPr>
          <w:b/>
          <w:szCs w:val="22"/>
          <w:u w:val="single"/>
        </w:rPr>
        <w:t>Reporting Noncompliance</w:t>
      </w:r>
      <w:r w:rsidRPr="0058223B">
        <w:rPr>
          <w:szCs w:val="22"/>
        </w:rPr>
        <w:t>.  Journal shall report any noncompliance with the Sponsorship Identification Laws at the Station, and with the terms and conditions of this Consent Decree, within thirty (30) calendar days after discovery of such noncompliance.  Such reports shall include a detailed explanation of:  (i) each instance of noncompliance; (ii) the steps that Journal has taken or will take to remedy such noncompliance; (iii) the schedule on which such remedial actions will be taken; and (iv</w:t>
      </w:r>
      <w:r>
        <w:rPr>
          <w:szCs w:val="22"/>
        </w:rPr>
        <w:t xml:space="preserve">) </w:t>
      </w:r>
      <w:r w:rsidRPr="0058223B">
        <w:rPr>
          <w:szCs w:val="22"/>
        </w:rPr>
        <w:t>the steps that Journal 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copy submitted electronically to Jeffrey J. Gee at Jeffrey.Gee@fcc.gov, Kenneth M. Scheibel, Jr. at Kenneth.Scheibel@fcc.gov, and Guy N. Benson at Guy.Benson@fcc.gov.</w:t>
      </w:r>
    </w:p>
    <w:p w:rsidR="00A81745" w:rsidRPr="0058223B" w:rsidRDefault="00A81745" w:rsidP="00A81745">
      <w:pPr>
        <w:pStyle w:val="ParaNum"/>
        <w:tabs>
          <w:tab w:val="left" w:pos="1440"/>
        </w:tabs>
        <w:rPr>
          <w:szCs w:val="22"/>
        </w:rPr>
      </w:pPr>
      <w:r w:rsidRPr="0058223B">
        <w:rPr>
          <w:b/>
          <w:szCs w:val="22"/>
          <w:u w:val="single"/>
        </w:rPr>
        <w:t>FCC Enforcement Actions</w:t>
      </w:r>
      <w:r w:rsidRPr="0058223B">
        <w:rPr>
          <w:szCs w:val="22"/>
        </w:rPr>
        <w:t xml:space="preserve">.  If, as a result of a possible future violation of the Sponsorship Identification Laws at the Station, Journal receives a Notice of Apparent Liability or similar Bureau document proposing a forfeiture, or contemplating license non-renewal or revocation, Journal shall: </w:t>
      </w:r>
    </w:p>
    <w:p w:rsidR="00A81745" w:rsidRPr="00D9258C" w:rsidRDefault="00A81745" w:rsidP="0014549F">
      <w:pPr>
        <w:pStyle w:val="par1"/>
        <w:numPr>
          <w:ilvl w:val="1"/>
          <w:numId w:val="5"/>
        </w:numPr>
        <w:tabs>
          <w:tab w:val="clear" w:pos="1800"/>
        </w:tabs>
        <w:spacing w:after="120"/>
        <w:ind w:left="2160" w:hanging="720"/>
        <w:rPr>
          <w:szCs w:val="22"/>
        </w:rPr>
      </w:pPr>
      <w:r w:rsidRPr="0058223B">
        <w:rPr>
          <w:szCs w:val="22"/>
        </w:rPr>
        <w:t>suspend each employee accused of violating the Sponsorship Identification</w:t>
      </w:r>
      <w:r w:rsidRPr="0058223B">
        <w:rPr>
          <w:b/>
          <w:szCs w:val="22"/>
        </w:rPr>
        <w:t xml:space="preserve"> </w:t>
      </w:r>
      <w:r>
        <w:rPr>
          <w:szCs w:val="22"/>
        </w:rPr>
        <w:t xml:space="preserve">Laws and </w:t>
      </w:r>
      <w:r w:rsidRPr="0058223B">
        <w:rPr>
          <w:szCs w:val="22"/>
        </w:rPr>
        <w:t xml:space="preserve">undertake an investigation of each such incident; </w:t>
      </w:r>
    </w:p>
    <w:p w:rsidR="00A81745" w:rsidRPr="00A64FAF" w:rsidRDefault="00A81745" w:rsidP="0014549F">
      <w:pPr>
        <w:pStyle w:val="par1"/>
        <w:numPr>
          <w:ilvl w:val="1"/>
          <w:numId w:val="5"/>
        </w:numPr>
        <w:tabs>
          <w:tab w:val="clear" w:pos="1800"/>
        </w:tabs>
        <w:spacing w:after="120"/>
        <w:ind w:left="2160" w:hanging="720"/>
        <w:rPr>
          <w:szCs w:val="22"/>
        </w:rPr>
      </w:pPr>
      <w:r w:rsidRPr="00D9258C">
        <w:rPr>
          <w:szCs w:val="22"/>
        </w:rPr>
        <w:t>require that each such employee receive remedial training on the Sponsorship Identification Laws and the Compliance Plan and successfully demonstrate to the Compliance Officer and Station management that he or she understands such regulations and policies before allowing such employee to resume his or her duties; and</w:t>
      </w:r>
    </w:p>
    <w:p w:rsidR="00A81745" w:rsidRPr="00A64FAF" w:rsidRDefault="00A81745" w:rsidP="0014549F">
      <w:pPr>
        <w:pStyle w:val="par1"/>
        <w:numPr>
          <w:ilvl w:val="1"/>
          <w:numId w:val="5"/>
        </w:numPr>
        <w:tabs>
          <w:tab w:val="clear" w:pos="1800"/>
        </w:tabs>
        <w:spacing w:after="120"/>
        <w:ind w:left="2160" w:hanging="720"/>
        <w:rPr>
          <w:szCs w:val="22"/>
        </w:rPr>
      </w:pPr>
      <w:r w:rsidRPr="00A64FAF">
        <w:rPr>
          <w:szCs w:val="22"/>
        </w:rPr>
        <w:t>take disciplinary action, up to and including termination, against each employee who is materially involved in the violation of the Sponsorship Identification Laws, if such violation results in a final adjudication by the Commission that Journal violated the Sponsorship Identification Laws</w:t>
      </w:r>
      <w:r>
        <w:rPr>
          <w:szCs w:val="22"/>
          <w:lang w:val="en-US"/>
        </w:rPr>
        <w:t xml:space="preserve"> or in other circumstances as determined appropriate by Journal</w:t>
      </w:r>
      <w:r w:rsidRPr="00A64FAF">
        <w:rPr>
          <w:szCs w:val="22"/>
        </w:rPr>
        <w:t>.</w:t>
      </w:r>
    </w:p>
    <w:p w:rsidR="00A81745" w:rsidRPr="0058223B" w:rsidRDefault="00A81745" w:rsidP="00A81745">
      <w:pPr>
        <w:pStyle w:val="ParaNum"/>
        <w:tabs>
          <w:tab w:val="clear" w:pos="1440"/>
        </w:tabs>
        <w:rPr>
          <w:szCs w:val="22"/>
        </w:rPr>
      </w:pPr>
      <w:r w:rsidRPr="0058223B">
        <w:rPr>
          <w:b/>
          <w:szCs w:val="22"/>
          <w:u w:val="single"/>
        </w:rPr>
        <w:t>Termination Date</w:t>
      </w:r>
      <w:r w:rsidRPr="0058223B">
        <w:rPr>
          <w:szCs w:val="22"/>
        </w:rPr>
        <w:t>.  Unless stated otherwise,</w:t>
      </w:r>
      <w:r w:rsidRPr="0058223B">
        <w:rPr>
          <w:b/>
          <w:szCs w:val="22"/>
        </w:rPr>
        <w:t xml:space="preserve"> </w:t>
      </w:r>
      <w:r w:rsidRPr="0058223B">
        <w:rPr>
          <w:szCs w:val="22"/>
        </w:rPr>
        <w:t>the requirements set forth in paragraphs</w:t>
      </w:r>
      <w:r>
        <w:rPr>
          <w:szCs w:val="22"/>
        </w:rPr>
        <w:t xml:space="preserve"> 13–17</w:t>
      </w:r>
      <w:r w:rsidRPr="0058223B">
        <w:rPr>
          <w:szCs w:val="22"/>
        </w:rPr>
        <w:t xml:space="preserve"> of this Consent Decree shall expire thirty-six (36) months after the Effective Date.</w:t>
      </w:r>
    </w:p>
    <w:p w:rsidR="00A81745" w:rsidRPr="0058223B" w:rsidRDefault="00A81745" w:rsidP="00A81745">
      <w:pPr>
        <w:pStyle w:val="ParaNum"/>
        <w:tabs>
          <w:tab w:val="clear" w:pos="1440"/>
        </w:tabs>
        <w:rPr>
          <w:szCs w:val="22"/>
        </w:rPr>
      </w:pPr>
      <w:r w:rsidRPr="0058223B">
        <w:rPr>
          <w:b/>
          <w:szCs w:val="22"/>
          <w:u w:val="single"/>
        </w:rPr>
        <w:t>Waivers</w:t>
      </w:r>
      <w:r w:rsidRPr="0058223B">
        <w:rPr>
          <w:szCs w:val="22"/>
        </w:rPr>
        <w:t xml:space="preserve">.  Journal waives any and all rights it may have to seek administrative or judicial reconsideration, review, appeal, or stay, or to otherwise challenge or contest the validity of this Consent Decree and the Adopting Order, provided the Bureau issues an Adopting Order as defined herein.  Journal shall retain the right to challenge Commission interpretation of the Consent Decree or any terms contained herein.  If any Party (or the United States on behalf of the Commission) brings a judicial action to enforce the terms of the Adopting Order, neither Journal nor the Commission shall contest the validity of the Consent Decree or the Adopting Order, and Journal shall waive any statutory right to a trial </w:t>
      </w:r>
      <w:r w:rsidRPr="0058223B">
        <w:rPr>
          <w:i/>
          <w:szCs w:val="22"/>
        </w:rPr>
        <w:t>de novo</w:t>
      </w:r>
      <w:r w:rsidRPr="0058223B">
        <w:rPr>
          <w:szCs w:val="22"/>
        </w:rPr>
        <w:t xml:space="preserve">.  Journal hereby agrees to waive any claims it may have under </w:t>
      </w:r>
      <w:r>
        <w:rPr>
          <w:szCs w:val="22"/>
        </w:rPr>
        <w:t>the Equal Access to Justice Act</w:t>
      </w:r>
      <w:r>
        <w:rPr>
          <w:rStyle w:val="FootnoteReference"/>
          <w:szCs w:val="22"/>
        </w:rPr>
        <w:footnoteReference w:id="17"/>
      </w:r>
      <w:r>
        <w:rPr>
          <w:szCs w:val="22"/>
        </w:rPr>
        <w:t xml:space="preserve"> </w:t>
      </w:r>
      <w:r w:rsidRPr="0058223B">
        <w:rPr>
          <w:szCs w:val="22"/>
        </w:rPr>
        <w:t>relating to the matters addressed in this Consent Decree.</w:t>
      </w:r>
    </w:p>
    <w:p w:rsidR="00A81745" w:rsidRPr="0058223B" w:rsidRDefault="00A81745" w:rsidP="00A81745">
      <w:pPr>
        <w:pStyle w:val="ParaNum"/>
        <w:widowControl/>
        <w:tabs>
          <w:tab w:val="clear" w:pos="1440"/>
        </w:tabs>
        <w:rPr>
          <w:szCs w:val="22"/>
        </w:rPr>
      </w:pPr>
      <w:r w:rsidRPr="0058223B">
        <w:rPr>
          <w:b/>
          <w:szCs w:val="22"/>
          <w:u w:val="single"/>
        </w:rPr>
        <w:t>Invalidity</w:t>
      </w:r>
      <w:r w:rsidRPr="0058223B">
        <w:rPr>
          <w:szCs w:val="22"/>
        </w:rPr>
        <w:t xml:space="preserve">.  In the event that this Consent Decree in its entirety is rendered invalid by any court of competent jurisdiction, it shall become null and void and may not be used in any manner in any legal proceeding.  </w:t>
      </w:r>
    </w:p>
    <w:p w:rsidR="00A81745" w:rsidRPr="0058223B" w:rsidRDefault="00A81745" w:rsidP="00A81745">
      <w:pPr>
        <w:pStyle w:val="ParaNum"/>
        <w:widowControl/>
        <w:tabs>
          <w:tab w:val="clear" w:pos="1440"/>
        </w:tabs>
        <w:rPr>
          <w:szCs w:val="22"/>
        </w:rPr>
      </w:pPr>
      <w:r w:rsidRPr="0058223B">
        <w:rPr>
          <w:b/>
          <w:szCs w:val="22"/>
          <w:u w:val="single"/>
        </w:rPr>
        <w:t>Subsequent Rule or Order</w:t>
      </w:r>
      <w:r w:rsidRPr="0058223B">
        <w:rPr>
          <w:szCs w:val="22"/>
        </w:rPr>
        <w:t>.  The Parties agree that if any provision of this Consent Decree conflicts with any subsequent Rule or order adopted by the Commission (except an order specifically intended to revise the terms of this Consent Decree to which Journal does not expressly consent) that provision will be superseded by such Rule or Commission order.</w:t>
      </w:r>
    </w:p>
    <w:p w:rsidR="00A81745" w:rsidRPr="0058223B" w:rsidRDefault="00A81745" w:rsidP="00A81745">
      <w:pPr>
        <w:pStyle w:val="ParaNum"/>
        <w:tabs>
          <w:tab w:val="clear" w:pos="1440"/>
        </w:tabs>
        <w:rPr>
          <w:rFonts w:eastAsia="MS Mincho"/>
          <w:szCs w:val="22"/>
        </w:rPr>
      </w:pPr>
      <w:r w:rsidRPr="0058223B">
        <w:rPr>
          <w:b/>
          <w:szCs w:val="22"/>
          <w:u w:val="single"/>
        </w:rPr>
        <w:t>Successors and Assigns</w:t>
      </w:r>
      <w:r w:rsidRPr="0058223B">
        <w:rPr>
          <w:szCs w:val="22"/>
        </w:rPr>
        <w:t xml:space="preserve">.  Journal agrees that the provisions of this Consent Decree shall be binding on </w:t>
      </w:r>
      <w:r>
        <w:rPr>
          <w:szCs w:val="22"/>
        </w:rPr>
        <w:t>its</w:t>
      </w:r>
      <w:r w:rsidRPr="0058223B">
        <w:rPr>
          <w:szCs w:val="22"/>
        </w:rPr>
        <w:t xml:space="preserve"> successors, assigns, and transferees. </w:t>
      </w:r>
    </w:p>
    <w:p w:rsidR="00A81745" w:rsidRPr="0058223B" w:rsidRDefault="00A81745" w:rsidP="00A81745">
      <w:pPr>
        <w:pStyle w:val="ParaNum"/>
        <w:tabs>
          <w:tab w:val="clear" w:pos="1440"/>
        </w:tabs>
        <w:rPr>
          <w:color w:val="000000"/>
          <w:szCs w:val="22"/>
        </w:rPr>
      </w:pPr>
      <w:r w:rsidRPr="0058223B">
        <w:rPr>
          <w:b/>
          <w:szCs w:val="22"/>
          <w:u w:val="single"/>
        </w:rPr>
        <w:t>Final Settlement</w:t>
      </w:r>
      <w:r w:rsidRPr="0058223B">
        <w:rPr>
          <w:szCs w:val="22"/>
        </w:rPr>
        <w:t>.  The Parties agree and acknowledge that this Consent Decree shall constitute a final settlement between the Parties with respect to the Investigation.</w:t>
      </w:r>
    </w:p>
    <w:p w:rsidR="00A81745" w:rsidRPr="0058223B" w:rsidRDefault="00A81745" w:rsidP="00A81745">
      <w:pPr>
        <w:pStyle w:val="ParaNum"/>
        <w:tabs>
          <w:tab w:val="clear" w:pos="1440"/>
        </w:tabs>
        <w:rPr>
          <w:szCs w:val="22"/>
        </w:rPr>
      </w:pPr>
      <w:r w:rsidRPr="0058223B">
        <w:rPr>
          <w:b/>
          <w:szCs w:val="22"/>
          <w:u w:val="single"/>
        </w:rPr>
        <w:t>Modifications</w:t>
      </w:r>
      <w:r w:rsidRPr="0058223B">
        <w:rPr>
          <w:szCs w:val="22"/>
        </w:rPr>
        <w:t>.  This Consent Decree cannot be modified without the advance written consent of all Parties.</w:t>
      </w:r>
    </w:p>
    <w:p w:rsidR="00A81745" w:rsidRPr="0058223B" w:rsidRDefault="00A81745" w:rsidP="00A81745">
      <w:pPr>
        <w:pStyle w:val="ParaNum"/>
        <w:tabs>
          <w:tab w:val="clear" w:pos="1440"/>
        </w:tabs>
        <w:rPr>
          <w:szCs w:val="22"/>
        </w:rPr>
      </w:pPr>
      <w:r w:rsidRPr="0058223B">
        <w:rPr>
          <w:b/>
          <w:szCs w:val="22"/>
          <w:u w:val="single"/>
        </w:rPr>
        <w:t>Paragraph Headings</w:t>
      </w:r>
      <w:r w:rsidRPr="0058223B">
        <w:rPr>
          <w:szCs w:val="22"/>
        </w:rPr>
        <w:t>.  The headings of the paragraphs in this Consent Decree are inserted for convenience only and are not intended to affect the meaning or interpretation of this Consent Decree.</w:t>
      </w:r>
    </w:p>
    <w:p w:rsidR="00A81745" w:rsidRDefault="00A81745" w:rsidP="00A81745">
      <w:pPr>
        <w:pStyle w:val="ParaNum"/>
        <w:tabs>
          <w:tab w:val="clear" w:pos="1440"/>
        </w:tabs>
        <w:rPr>
          <w:szCs w:val="22"/>
        </w:rPr>
      </w:pPr>
      <w:r w:rsidRPr="0058223B">
        <w:rPr>
          <w:b/>
          <w:szCs w:val="22"/>
          <w:u w:val="single"/>
        </w:rPr>
        <w:t>Authorized Representative</w:t>
      </w:r>
      <w:r w:rsidRPr="0058223B">
        <w:rPr>
          <w:szCs w:val="22"/>
        </w:rPr>
        <w:t>.  Each Party represents and warrants to the other Parties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A81745" w:rsidRPr="0058223B" w:rsidRDefault="00A81745" w:rsidP="00A81745">
      <w:pPr>
        <w:pStyle w:val="ParaNum"/>
        <w:tabs>
          <w:tab w:val="clear" w:pos="1440"/>
        </w:tabs>
        <w:rPr>
          <w:szCs w:val="22"/>
        </w:rPr>
      </w:pPr>
      <w:r>
        <w:rPr>
          <w:b/>
          <w:szCs w:val="22"/>
          <w:u w:val="single"/>
        </w:rPr>
        <w:br w:type="page"/>
      </w:r>
      <w:r w:rsidRPr="0058223B">
        <w:rPr>
          <w:b/>
          <w:szCs w:val="22"/>
          <w:u w:val="single"/>
        </w:rPr>
        <w:t>Counterparts</w:t>
      </w:r>
      <w:r w:rsidRPr="0058223B">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A81745" w:rsidRPr="0058223B" w:rsidRDefault="00A81745" w:rsidP="00026E0C">
      <w:pPr>
        <w:pStyle w:val="par1"/>
        <w:tabs>
          <w:tab w:val="clear" w:pos="1080"/>
        </w:tabs>
        <w:ind w:firstLine="0"/>
        <w:rPr>
          <w:szCs w:val="22"/>
        </w:rPr>
      </w:pPr>
    </w:p>
    <w:p w:rsidR="00A81745" w:rsidRPr="0058223B" w:rsidRDefault="00A81745" w:rsidP="0014549F">
      <w:pPr>
        <w:pStyle w:val="MediumGrid21"/>
        <w:ind w:firstLine="4320"/>
        <w:rPr>
          <w:szCs w:val="22"/>
        </w:rPr>
      </w:pPr>
      <w:r w:rsidRPr="0058223B">
        <w:rPr>
          <w:sz w:val="22"/>
          <w:szCs w:val="22"/>
        </w:rPr>
        <w:t>FEDERAL COMMUNICATIONS COMMISSION</w:t>
      </w:r>
    </w:p>
    <w:p w:rsidR="00A81745" w:rsidRPr="0058223B" w:rsidRDefault="00A81745" w:rsidP="00026E0C">
      <w:pPr>
        <w:ind w:firstLine="4320"/>
        <w:jc w:val="center"/>
        <w:rPr>
          <w:szCs w:val="22"/>
        </w:rPr>
      </w:pPr>
    </w:p>
    <w:p w:rsidR="00A81745" w:rsidRPr="0058223B" w:rsidRDefault="00A81745" w:rsidP="00026E0C">
      <w:pPr>
        <w:ind w:firstLine="4320"/>
        <w:jc w:val="center"/>
        <w:rPr>
          <w:szCs w:val="22"/>
        </w:rPr>
      </w:pPr>
    </w:p>
    <w:p w:rsidR="00A81745" w:rsidRPr="0058223B" w:rsidRDefault="00A81745" w:rsidP="00026E0C">
      <w:pPr>
        <w:ind w:firstLine="4320"/>
        <w:jc w:val="center"/>
        <w:rPr>
          <w:szCs w:val="22"/>
        </w:rPr>
      </w:pPr>
    </w:p>
    <w:p w:rsidR="00A81745" w:rsidRPr="0058223B" w:rsidRDefault="00A81745" w:rsidP="0014549F">
      <w:pPr>
        <w:pStyle w:val="MediumGrid21"/>
        <w:ind w:firstLine="4320"/>
        <w:rPr>
          <w:szCs w:val="22"/>
        </w:rPr>
      </w:pPr>
      <w:r w:rsidRPr="0058223B">
        <w:rPr>
          <w:sz w:val="22"/>
          <w:szCs w:val="22"/>
        </w:rPr>
        <w:t>___________________________</w:t>
      </w:r>
    </w:p>
    <w:p w:rsidR="00A81745" w:rsidRPr="0058223B" w:rsidRDefault="00A81745" w:rsidP="0014549F">
      <w:pPr>
        <w:pStyle w:val="MediumGrid21"/>
        <w:ind w:firstLine="4320"/>
        <w:rPr>
          <w:szCs w:val="22"/>
        </w:rPr>
      </w:pPr>
      <w:r>
        <w:rPr>
          <w:sz w:val="22"/>
          <w:szCs w:val="22"/>
        </w:rPr>
        <w:t>Travis LeBlanc</w:t>
      </w:r>
    </w:p>
    <w:p w:rsidR="00A81745" w:rsidRDefault="00A81745" w:rsidP="0014549F">
      <w:pPr>
        <w:pStyle w:val="MediumGrid21"/>
        <w:ind w:firstLine="4320"/>
        <w:rPr>
          <w:szCs w:val="22"/>
        </w:rPr>
      </w:pPr>
      <w:r w:rsidRPr="0058223B">
        <w:rPr>
          <w:sz w:val="22"/>
          <w:szCs w:val="22"/>
        </w:rPr>
        <w:t>Chief</w:t>
      </w:r>
    </w:p>
    <w:p w:rsidR="00A81745" w:rsidRPr="0058223B" w:rsidRDefault="00A81745" w:rsidP="0014549F">
      <w:pPr>
        <w:pStyle w:val="MediumGrid21"/>
        <w:ind w:firstLine="4320"/>
        <w:rPr>
          <w:szCs w:val="22"/>
        </w:rPr>
      </w:pPr>
      <w:r w:rsidRPr="0058223B">
        <w:rPr>
          <w:sz w:val="22"/>
          <w:szCs w:val="22"/>
        </w:rPr>
        <w:t>Enforcement Bureau</w:t>
      </w:r>
    </w:p>
    <w:p w:rsidR="00A81745" w:rsidRPr="0058223B" w:rsidRDefault="00A81745" w:rsidP="00026E0C">
      <w:pPr>
        <w:keepNext/>
        <w:ind w:firstLine="4320"/>
        <w:rPr>
          <w:szCs w:val="22"/>
        </w:rPr>
      </w:pPr>
    </w:p>
    <w:p w:rsidR="00A81745" w:rsidRPr="0058223B" w:rsidRDefault="00A81745" w:rsidP="00026E0C">
      <w:pPr>
        <w:keepNext/>
        <w:ind w:firstLine="4320"/>
        <w:rPr>
          <w:szCs w:val="22"/>
        </w:rPr>
      </w:pPr>
    </w:p>
    <w:p w:rsidR="00A81745" w:rsidRPr="0058223B" w:rsidRDefault="00A81745" w:rsidP="0014549F">
      <w:pPr>
        <w:pStyle w:val="MediumGrid21"/>
        <w:ind w:firstLine="4320"/>
        <w:rPr>
          <w:szCs w:val="22"/>
        </w:rPr>
      </w:pPr>
      <w:r w:rsidRPr="0058223B">
        <w:rPr>
          <w:sz w:val="22"/>
          <w:szCs w:val="22"/>
        </w:rPr>
        <w:t>___________________________</w:t>
      </w:r>
    </w:p>
    <w:p w:rsidR="00A81745" w:rsidRPr="0058223B" w:rsidRDefault="00A81745" w:rsidP="0014549F">
      <w:pPr>
        <w:pStyle w:val="MediumGrid21"/>
        <w:ind w:firstLine="4320"/>
        <w:rPr>
          <w:szCs w:val="22"/>
        </w:rPr>
      </w:pPr>
      <w:r w:rsidRPr="0058223B">
        <w:rPr>
          <w:sz w:val="22"/>
          <w:szCs w:val="22"/>
        </w:rPr>
        <w:t>Date</w:t>
      </w:r>
    </w:p>
    <w:p w:rsidR="00A81745" w:rsidRPr="0058223B" w:rsidRDefault="00A81745" w:rsidP="00026E0C">
      <w:pPr>
        <w:ind w:firstLine="4320"/>
        <w:rPr>
          <w:szCs w:val="22"/>
        </w:rPr>
      </w:pPr>
    </w:p>
    <w:p w:rsidR="00A81745" w:rsidRDefault="00A81745" w:rsidP="00026E0C">
      <w:pPr>
        <w:ind w:left="4320"/>
        <w:rPr>
          <w:szCs w:val="22"/>
        </w:rPr>
      </w:pPr>
    </w:p>
    <w:p w:rsidR="00A81745" w:rsidRPr="0058223B" w:rsidRDefault="00A81745" w:rsidP="00026E0C">
      <w:pPr>
        <w:ind w:left="4320"/>
        <w:rPr>
          <w:szCs w:val="22"/>
        </w:rPr>
      </w:pPr>
      <w:r w:rsidRPr="0058223B">
        <w:rPr>
          <w:szCs w:val="22"/>
        </w:rPr>
        <w:t>JOURNAL BROADCAST CORPORATION</w:t>
      </w:r>
    </w:p>
    <w:p w:rsidR="00A81745" w:rsidRPr="0058223B" w:rsidRDefault="00A81745" w:rsidP="0014549F">
      <w:pPr>
        <w:pStyle w:val="MediumGrid21"/>
        <w:ind w:firstLine="4320"/>
        <w:rPr>
          <w:szCs w:val="22"/>
        </w:rPr>
      </w:pPr>
    </w:p>
    <w:p w:rsidR="00A81745" w:rsidRPr="0058223B" w:rsidRDefault="00A81745" w:rsidP="0014549F">
      <w:pPr>
        <w:pStyle w:val="MediumGrid21"/>
        <w:ind w:firstLine="4320"/>
        <w:rPr>
          <w:szCs w:val="22"/>
        </w:rPr>
      </w:pPr>
    </w:p>
    <w:p w:rsidR="00A81745" w:rsidRPr="0058223B" w:rsidRDefault="00A81745" w:rsidP="0014549F">
      <w:pPr>
        <w:pStyle w:val="MediumGrid21"/>
        <w:ind w:firstLine="4320"/>
        <w:rPr>
          <w:szCs w:val="22"/>
        </w:rPr>
      </w:pPr>
      <w:r w:rsidRPr="0058223B">
        <w:rPr>
          <w:sz w:val="22"/>
          <w:szCs w:val="22"/>
        </w:rPr>
        <w:t>_____________________________</w:t>
      </w:r>
    </w:p>
    <w:p w:rsidR="00A81745" w:rsidRDefault="00A81745" w:rsidP="0014549F">
      <w:pPr>
        <w:pStyle w:val="MediumGrid21"/>
        <w:ind w:firstLine="4320"/>
        <w:rPr>
          <w:sz w:val="22"/>
          <w:szCs w:val="22"/>
        </w:rPr>
      </w:pPr>
      <w:r>
        <w:rPr>
          <w:sz w:val="22"/>
          <w:szCs w:val="22"/>
        </w:rPr>
        <w:t>Steven J. Smith</w:t>
      </w:r>
    </w:p>
    <w:p w:rsidR="00A81745" w:rsidRPr="0058223B" w:rsidRDefault="00A81745" w:rsidP="0014549F">
      <w:pPr>
        <w:pStyle w:val="MediumGrid21"/>
        <w:ind w:firstLine="4320"/>
        <w:rPr>
          <w:szCs w:val="22"/>
        </w:rPr>
      </w:pPr>
      <w:r>
        <w:rPr>
          <w:sz w:val="22"/>
          <w:szCs w:val="22"/>
        </w:rPr>
        <w:t>Vice President</w:t>
      </w:r>
    </w:p>
    <w:p w:rsidR="00A81745" w:rsidRPr="0058223B" w:rsidRDefault="00A81745" w:rsidP="00026E0C">
      <w:pPr>
        <w:ind w:firstLine="4320"/>
        <w:jc w:val="both"/>
        <w:rPr>
          <w:color w:val="000000"/>
          <w:szCs w:val="22"/>
        </w:rPr>
      </w:pPr>
    </w:p>
    <w:p w:rsidR="00A81745" w:rsidRPr="0058223B" w:rsidRDefault="00A81745" w:rsidP="00026E0C">
      <w:pPr>
        <w:ind w:firstLine="4320"/>
        <w:jc w:val="both"/>
        <w:rPr>
          <w:color w:val="000000"/>
          <w:szCs w:val="22"/>
        </w:rPr>
      </w:pPr>
    </w:p>
    <w:p w:rsidR="00A81745" w:rsidRPr="0058223B" w:rsidRDefault="00A81745" w:rsidP="0014549F">
      <w:pPr>
        <w:pStyle w:val="MediumGrid21"/>
        <w:ind w:firstLine="4320"/>
        <w:rPr>
          <w:szCs w:val="22"/>
        </w:rPr>
      </w:pPr>
      <w:r w:rsidRPr="0058223B">
        <w:rPr>
          <w:sz w:val="22"/>
          <w:szCs w:val="22"/>
        </w:rPr>
        <w:t>_____________________________</w:t>
      </w:r>
    </w:p>
    <w:p w:rsidR="00A81745" w:rsidRPr="0058223B" w:rsidRDefault="00A81745" w:rsidP="0014549F">
      <w:pPr>
        <w:pStyle w:val="MediumGrid21"/>
        <w:ind w:firstLine="4320"/>
        <w:rPr>
          <w:szCs w:val="22"/>
        </w:rPr>
      </w:pPr>
      <w:r w:rsidRPr="0058223B">
        <w:rPr>
          <w:sz w:val="22"/>
          <w:szCs w:val="22"/>
        </w:rPr>
        <w:t>Date</w:t>
      </w:r>
    </w:p>
    <w:p w:rsidR="00026E0C" w:rsidRPr="007145B4" w:rsidRDefault="00026E0C" w:rsidP="0074556F">
      <w:pPr>
        <w:rPr>
          <w:szCs w:val="22"/>
        </w:rPr>
      </w:pPr>
    </w:p>
    <w:sectPr w:rsidR="00026E0C" w:rsidRPr="007145B4" w:rsidSect="00A81745">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224"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89" w:rsidRDefault="00E21889">
      <w:pPr>
        <w:spacing w:line="20" w:lineRule="exact"/>
      </w:pPr>
    </w:p>
  </w:endnote>
  <w:endnote w:type="continuationSeparator" w:id="0">
    <w:p w:rsidR="00E21889" w:rsidRDefault="00E21889">
      <w:r>
        <w:t xml:space="preserve"> </w:t>
      </w:r>
    </w:p>
  </w:endnote>
  <w:endnote w:type="continuationNotice" w:id="1">
    <w:p w:rsidR="00E21889" w:rsidRDefault="00E218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8D" w:rsidRDefault="00A5398D" w:rsidP="00026E0C">
    <w:pPr>
      <w:pStyle w:val="Footer"/>
      <w:framePr w:wrap="around" w:vAnchor="text" w:hAnchor="margin" w:xAlign="center" w:y="1"/>
    </w:pPr>
    <w:r>
      <w:fldChar w:fldCharType="begin"/>
    </w:r>
    <w:r>
      <w:instrText xml:space="preserve">PAGE  </w:instrText>
    </w:r>
    <w:r>
      <w:fldChar w:fldCharType="end"/>
    </w:r>
  </w:p>
  <w:p w:rsidR="00A5398D" w:rsidRDefault="00A5398D">
    <w:pPr>
      <w:pStyle w:val="Footer"/>
    </w:pPr>
  </w:p>
  <w:p w:rsidR="00A5398D" w:rsidRDefault="00A539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8D" w:rsidRDefault="00A5398D" w:rsidP="00026E0C">
    <w:pPr>
      <w:pStyle w:val="Footer"/>
      <w:framePr w:wrap="around" w:vAnchor="text" w:hAnchor="margin" w:xAlign="center" w:y="1"/>
    </w:pPr>
    <w:r>
      <w:fldChar w:fldCharType="begin"/>
    </w:r>
    <w:r>
      <w:instrText xml:space="preserve">PAGE  </w:instrText>
    </w:r>
    <w:r>
      <w:fldChar w:fldCharType="separate"/>
    </w:r>
    <w:r w:rsidR="00D44683">
      <w:rPr>
        <w:noProof/>
      </w:rPr>
      <w:t>2</w:t>
    </w:r>
    <w:r>
      <w:fldChar w:fldCharType="end"/>
    </w:r>
  </w:p>
  <w:p w:rsidR="00A5398D" w:rsidRPr="00D109D2" w:rsidRDefault="00A5398D" w:rsidP="00026E0C">
    <w:pPr>
      <w:suppressAutoHyphens/>
      <w:spacing w:line="227" w:lineRule="auto"/>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83" w:rsidRDefault="00D446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8D" w:rsidRDefault="00A5398D" w:rsidP="00026E0C">
    <w:pPr>
      <w:pStyle w:val="Footer"/>
      <w:framePr w:wrap="around" w:vAnchor="text" w:hAnchor="margin" w:xAlign="center" w:y="1"/>
    </w:pPr>
    <w:r>
      <w:fldChar w:fldCharType="begin"/>
    </w:r>
    <w:r>
      <w:instrText xml:space="preserve">PAGE  </w:instrText>
    </w:r>
    <w:r>
      <w:fldChar w:fldCharType="end"/>
    </w:r>
  </w:p>
  <w:p w:rsidR="00A5398D" w:rsidRDefault="00A5398D">
    <w:pPr>
      <w:pStyle w:val="Footer"/>
    </w:pPr>
  </w:p>
  <w:p w:rsidR="00A5398D" w:rsidRDefault="00A539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8D" w:rsidRDefault="00A5398D" w:rsidP="00026E0C">
    <w:pPr>
      <w:pStyle w:val="Footer"/>
      <w:framePr w:wrap="around" w:vAnchor="text" w:hAnchor="margin" w:xAlign="center" w:y="1"/>
    </w:pPr>
    <w:r>
      <w:fldChar w:fldCharType="begin"/>
    </w:r>
    <w:r>
      <w:instrText xml:space="preserve">PAGE  </w:instrText>
    </w:r>
    <w:r>
      <w:fldChar w:fldCharType="separate"/>
    </w:r>
    <w:r w:rsidR="00792F66">
      <w:rPr>
        <w:noProof/>
      </w:rPr>
      <w:t>9</w:t>
    </w:r>
    <w:r>
      <w:fldChar w:fldCharType="end"/>
    </w:r>
  </w:p>
  <w:p w:rsidR="00A5398D" w:rsidRPr="00D109D2" w:rsidRDefault="00A5398D" w:rsidP="00026E0C">
    <w:pPr>
      <w:suppressAutoHyphens/>
      <w:spacing w:line="227" w:lineRule="auto"/>
      <w:rPr>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8D" w:rsidRDefault="00A5398D" w:rsidP="00026E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89" w:rsidRDefault="00E21889">
      <w:r>
        <w:separator/>
      </w:r>
    </w:p>
  </w:footnote>
  <w:footnote w:type="continuationSeparator" w:id="0">
    <w:p w:rsidR="00E21889" w:rsidRDefault="00E21889" w:rsidP="00026E0C">
      <w:pPr>
        <w:spacing w:before="120"/>
        <w:rPr>
          <w:sz w:val="20"/>
        </w:rPr>
      </w:pPr>
      <w:r>
        <w:rPr>
          <w:sz w:val="20"/>
        </w:rPr>
        <w:t xml:space="preserve">(Continued from previous page)  </w:t>
      </w:r>
      <w:r>
        <w:rPr>
          <w:sz w:val="20"/>
        </w:rPr>
        <w:separator/>
      </w:r>
    </w:p>
  </w:footnote>
  <w:footnote w:type="continuationNotice" w:id="1">
    <w:p w:rsidR="00E21889" w:rsidRDefault="00E21889" w:rsidP="00026E0C">
      <w:pPr>
        <w:jc w:val="right"/>
        <w:rPr>
          <w:sz w:val="20"/>
        </w:rPr>
      </w:pPr>
      <w:r>
        <w:rPr>
          <w:sz w:val="20"/>
        </w:rPr>
        <w:t>(continued….)</w:t>
      </w:r>
    </w:p>
  </w:footnote>
  <w:footnote w:id="2">
    <w:p w:rsidR="005F5648" w:rsidRPr="008D2B6C" w:rsidRDefault="005F5648" w:rsidP="005F5648">
      <w:pPr>
        <w:pStyle w:val="FootnoteText"/>
      </w:pPr>
      <w:r>
        <w:rPr>
          <w:rStyle w:val="FootnoteReference"/>
        </w:rPr>
        <w:footnoteRef/>
      </w:r>
      <w:r>
        <w:t xml:space="preserve"> </w:t>
      </w:r>
      <w:r w:rsidRPr="00D27B00">
        <w:t>47 U.S.C. § 317; 47 C.F.R. § 73.1212.</w:t>
      </w:r>
    </w:p>
  </w:footnote>
  <w:footnote w:id="3">
    <w:p w:rsidR="00A5398D" w:rsidRDefault="00A5398D" w:rsidP="00026E0C">
      <w:pPr>
        <w:pStyle w:val="FootnoteText"/>
      </w:pPr>
      <w:r w:rsidRPr="008205E2">
        <w:rPr>
          <w:rStyle w:val="FootnoteReference"/>
        </w:rPr>
        <w:footnoteRef/>
      </w:r>
      <w:r w:rsidRPr="008205E2">
        <w:t xml:space="preserve"> 47 U.S.C. §§ 154(i), 154(j), 503(b).</w:t>
      </w:r>
    </w:p>
  </w:footnote>
  <w:footnote w:id="4">
    <w:p w:rsidR="00A5398D" w:rsidRDefault="00A5398D" w:rsidP="00026E0C">
      <w:pPr>
        <w:pStyle w:val="FootnoteText"/>
      </w:pPr>
      <w:r w:rsidRPr="008205E2">
        <w:rPr>
          <w:rStyle w:val="FootnoteReference"/>
          <w:bCs/>
        </w:rPr>
        <w:footnoteRef/>
      </w:r>
      <w:r w:rsidRPr="008205E2">
        <w:t xml:space="preserve"> 47 C.F.R. §§ 0.111, 0.311.</w:t>
      </w:r>
    </w:p>
  </w:footnote>
  <w:footnote w:id="5">
    <w:p w:rsidR="00A81745" w:rsidRPr="008D2B6C" w:rsidRDefault="00A81745" w:rsidP="000A6EA3">
      <w:pPr>
        <w:pStyle w:val="FootnoteText"/>
      </w:pPr>
      <w:r>
        <w:rPr>
          <w:rStyle w:val="FootnoteReference"/>
        </w:rPr>
        <w:footnoteRef/>
      </w:r>
      <w:r>
        <w:t xml:space="preserve"> </w:t>
      </w:r>
      <w:r w:rsidRPr="00D27B00">
        <w:t>47 U.S.C. § 317; 47 C.F.R. § 73.1212.</w:t>
      </w:r>
    </w:p>
  </w:footnote>
  <w:footnote w:id="6">
    <w:p w:rsidR="00A81745" w:rsidRPr="0014549F" w:rsidRDefault="00A81745">
      <w:pPr>
        <w:pStyle w:val="FootnoteText"/>
        <w:rPr>
          <w:i/>
        </w:rPr>
      </w:pPr>
      <w:r>
        <w:rPr>
          <w:rStyle w:val="FootnoteReference"/>
        </w:rPr>
        <w:footnoteRef/>
      </w:r>
      <w:r>
        <w:t xml:space="preserve"> 47 U.S.C. § 317.  </w:t>
      </w:r>
      <w:r>
        <w:rPr>
          <w:i/>
        </w:rPr>
        <w:t>See</w:t>
      </w:r>
      <w:r w:rsidRPr="0014549F">
        <w:rPr>
          <w:i/>
        </w:rPr>
        <w:t xml:space="preserve"> </w:t>
      </w:r>
      <w:r>
        <w:t xml:space="preserve">47 C.F.R. § 73.1212.  </w:t>
      </w:r>
    </w:p>
  </w:footnote>
  <w:footnote w:id="7">
    <w:p w:rsidR="00A81745" w:rsidRDefault="00A81745">
      <w:pPr>
        <w:pStyle w:val="FootnoteText"/>
      </w:pPr>
      <w:r>
        <w:rPr>
          <w:rStyle w:val="FootnoteReference"/>
        </w:rPr>
        <w:footnoteRef/>
      </w:r>
      <w:r>
        <w:t xml:space="preserve"> </w:t>
      </w:r>
      <w:r>
        <w:rPr>
          <w:i/>
        </w:rPr>
        <w:t xml:space="preserve">See </w:t>
      </w:r>
      <w:r w:rsidRPr="00D27B00">
        <w:t>47 U.S.C. § 317; 47 C.F.R. § 73.1212.</w:t>
      </w:r>
    </w:p>
  </w:footnote>
  <w:footnote w:id="8">
    <w:p w:rsidR="00A81745" w:rsidRPr="002B6778" w:rsidRDefault="00A81745" w:rsidP="00026E0C">
      <w:pPr>
        <w:pStyle w:val="FootnoteText"/>
        <w:keepLines/>
      </w:pPr>
      <w:r>
        <w:rPr>
          <w:rStyle w:val="FootnoteReference"/>
        </w:rPr>
        <w:footnoteRef/>
      </w:r>
      <w:r>
        <w:t xml:space="preserve"> 47 U.S.C. § 317(a)(1); 47 C.F.R. § 73.1212(a).</w:t>
      </w:r>
    </w:p>
  </w:footnote>
  <w:footnote w:id="9">
    <w:p w:rsidR="00A81745" w:rsidRPr="002B6778" w:rsidRDefault="00A81745" w:rsidP="00026E0C">
      <w:pPr>
        <w:pStyle w:val="FootnoteText"/>
        <w:keepLines/>
        <w:tabs>
          <w:tab w:val="left" w:pos="0"/>
        </w:tabs>
      </w:pPr>
      <w:r>
        <w:rPr>
          <w:rStyle w:val="FootnoteReference"/>
        </w:rPr>
        <w:footnoteRef/>
      </w:r>
      <w:r>
        <w:t xml:space="preserve"> </w:t>
      </w:r>
      <w:r>
        <w:rPr>
          <w:i/>
        </w:rPr>
        <w:t>Commission Reminds Broadcast Licensees, Cable Operators and Others of Requirements Applicable to Video News Releases and Seeks Comment on the Use of Video News Releases by Broadcast Licensees and Cable Operators</w:t>
      </w:r>
      <w:r>
        <w:t>, Public Notice, 20 FCC Rcd 8593, 8593–94 (2005) (</w:t>
      </w:r>
      <w:r>
        <w:rPr>
          <w:i/>
        </w:rPr>
        <w:t>2005 Public Notice</w:t>
      </w:r>
      <w:r>
        <w:t xml:space="preserve">). </w:t>
      </w:r>
    </w:p>
  </w:footnote>
  <w:footnote w:id="10">
    <w:p w:rsidR="00A81745" w:rsidRDefault="00A81745" w:rsidP="00026E0C">
      <w:pPr>
        <w:pStyle w:val="FootnoteText"/>
      </w:pPr>
      <w:r>
        <w:rPr>
          <w:rStyle w:val="FootnoteReference"/>
        </w:rPr>
        <w:footnoteRef/>
      </w:r>
      <w:r>
        <w:t xml:space="preserve"> </w:t>
      </w:r>
      <w:r>
        <w:rPr>
          <w:i/>
        </w:rPr>
        <w:t>See Sonshine Family Television, Inc.</w:t>
      </w:r>
      <w:r>
        <w:t xml:space="preserve">, Notice of Apparent Liability for Forfeiture, 22 FCC Rcd 18686, 18694, para. 15 (2007), </w:t>
      </w:r>
      <w:r>
        <w:rPr>
          <w:i/>
        </w:rPr>
        <w:t>aff’d with reduced forfeiture</w:t>
      </w:r>
      <w:r>
        <w:t>,</w:t>
      </w:r>
      <w:r>
        <w:rPr>
          <w:i/>
        </w:rPr>
        <w:t xml:space="preserve"> </w:t>
      </w:r>
      <w:r>
        <w:t>Forfeiture Order, 24 FCC Rcd 14830, 14834, para. 12 (2009) (forfeiture reduced based on licensee’s history of compliance) (forfeiture paid).</w:t>
      </w:r>
    </w:p>
  </w:footnote>
  <w:footnote w:id="11">
    <w:p w:rsidR="00A81745" w:rsidRPr="002B6778" w:rsidRDefault="00A81745" w:rsidP="00026E0C">
      <w:pPr>
        <w:pStyle w:val="FootnoteText"/>
        <w:keepLines/>
        <w:tabs>
          <w:tab w:val="left" w:pos="0"/>
        </w:tabs>
        <w:rPr>
          <w:i/>
        </w:rPr>
      </w:pPr>
      <w:r>
        <w:rPr>
          <w:rStyle w:val="FootnoteReference"/>
        </w:rPr>
        <w:footnoteRef/>
      </w:r>
      <w:r>
        <w:t xml:space="preserve"> </w:t>
      </w:r>
      <w:r>
        <w:rPr>
          <w:i/>
        </w:rPr>
        <w:t>See</w:t>
      </w:r>
      <w:r>
        <w:t xml:space="preserve">, </w:t>
      </w:r>
      <w:r w:rsidRPr="002B6778">
        <w:rPr>
          <w:i/>
        </w:rPr>
        <w:t>e.g.</w:t>
      </w:r>
      <w:r>
        <w:t xml:space="preserve">, </w:t>
      </w:r>
      <w:r>
        <w:rPr>
          <w:i/>
        </w:rPr>
        <w:t xml:space="preserve">2005 Public Notice </w:t>
      </w:r>
      <w:r>
        <w:t>at 8594</w:t>
      </w:r>
      <w:r w:rsidRPr="002B6778">
        <w:rPr>
          <w:i/>
        </w:rPr>
        <w:t>.</w:t>
      </w:r>
    </w:p>
  </w:footnote>
  <w:footnote w:id="12">
    <w:p w:rsidR="00A81745" w:rsidRPr="00025E8E" w:rsidRDefault="00A81745" w:rsidP="00026E0C">
      <w:pPr>
        <w:pStyle w:val="FootnoteText"/>
      </w:pPr>
      <w:r>
        <w:rPr>
          <w:rStyle w:val="FootnoteReference"/>
        </w:rPr>
        <w:footnoteRef/>
      </w:r>
      <w:r>
        <w:t xml:space="preserve"> </w:t>
      </w:r>
      <w:r>
        <w:rPr>
          <w:i/>
        </w:rPr>
        <w:t xml:space="preserve">See </w:t>
      </w:r>
      <w:r>
        <w:t>Letter from J. Dominic Monahan, Counsel for Valley Broadcasting Company, to Hillary S. DeNigro, Chief, Investigations and Hearings Division, FCC Enforcement Bureau (Oct. 7, 2009) (on file in EB-09-IH-1918 and EB</w:t>
      </w:r>
      <w:r>
        <w:noBreakHyphen/>
        <w:t>IHD-14-00016141).</w:t>
      </w:r>
    </w:p>
  </w:footnote>
  <w:footnote w:id="13">
    <w:p w:rsidR="00A81745" w:rsidRPr="0003320F" w:rsidRDefault="00A81745">
      <w:pPr>
        <w:pStyle w:val="FootnoteText"/>
      </w:pPr>
      <w:r>
        <w:rPr>
          <w:rStyle w:val="FootnoteReference"/>
        </w:rPr>
        <w:footnoteRef/>
      </w:r>
      <w:r>
        <w:t xml:space="preserve"> </w:t>
      </w:r>
      <w:r>
        <w:rPr>
          <w:i/>
        </w:rPr>
        <w:t xml:space="preserve">See </w:t>
      </w:r>
      <w:r>
        <w:t xml:space="preserve">Letter from Dennis P. Corbett, Esq., Counsel to Journal Broadcast Corporation, to Guy N. Benson, Esq., FCC Enforcement Bureau at 5 (Dec. 4, 2013) (on file in EB-09-IH-1918 and </w:t>
      </w:r>
      <w:r>
        <w:rPr>
          <w:szCs w:val="22"/>
        </w:rPr>
        <w:t>EB</w:t>
      </w:r>
      <w:r>
        <w:rPr>
          <w:szCs w:val="22"/>
        </w:rPr>
        <w:noBreakHyphen/>
        <w:t>IHD</w:t>
      </w:r>
      <w:r>
        <w:rPr>
          <w:szCs w:val="22"/>
        </w:rPr>
        <w:noBreakHyphen/>
        <w:t>14</w:t>
      </w:r>
      <w:r>
        <w:rPr>
          <w:szCs w:val="22"/>
        </w:rPr>
        <w:noBreakHyphen/>
      </w:r>
      <w:r w:rsidRPr="008644A6">
        <w:rPr>
          <w:szCs w:val="22"/>
        </w:rPr>
        <w:t>00016141</w:t>
      </w:r>
      <w:r>
        <w:t xml:space="preserve">); Letter from Dennis P. Corbett, Esq., Counsel to Journal Broadcast Corporation, to Guy N. Benson, Esq., FCC Enforcement Bureau at 2 (Apr. 17, 2014) (on file in EB-09-IH-1918 and </w:t>
      </w:r>
      <w:r>
        <w:rPr>
          <w:szCs w:val="22"/>
        </w:rPr>
        <w:t>EB</w:t>
      </w:r>
      <w:r>
        <w:rPr>
          <w:szCs w:val="22"/>
        </w:rPr>
        <w:noBreakHyphen/>
        <w:t>IHD</w:t>
      </w:r>
      <w:r>
        <w:rPr>
          <w:szCs w:val="22"/>
        </w:rPr>
        <w:noBreakHyphen/>
        <w:t>14</w:t>
      </w:r>
      <w:r>
        <w:rPr>
          <w:szCs w:val="22"/>
        </w:rPr>
        <w:noBreakHyphen/>
      </w:r>
      <w:r w:rsidRPr="008644A6">
        <w:rPr>
          <w:szCs w:val="22"/>
        </w:rPr>
        <w:t>00016141</w:t>
      </w:r>
      <w:r>
        <w:t>).</w:t>
      </w:r>
    </w:p>
  </w:footnote>
  <w:footnote w:id="14">
    <w:p w:rsidR="00A81745" w:rsidRDefault="00A81745" w:rsidP="00026E0C">
      <w:pPr>
        <w:pStyle w:val="FootnoteText"/>
        <w:keepLines/>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5">
    <w:p w:rsidR="00A81745" w:rsidRDefault="00A81745" w:rsidP="00026E0C">
      <w:pPr>
        <w:pStyle w:val="FootnoteText"/>
        <w:keepLines/>
      </w:pPr>
      <w:r>
        <w:rPr>
          <w:rStyle w:val="FootnoteReference"/>
        </w:rPr>
        <w:footnoteRef/>
      </w:r>
      <w:r>
        <w:t xml:space="preserve"> If</w:t>
      </w:r>
      <w:r>
        <w:rPr>
          <w:rFonts w:eastAsia="MS Mincho"/>
        </w:rPr>
        <w:t xml:space="preserve"> Journal has questions regarding payment procedures, it should contact the Financial Operations Group Help Desk by phone at 1-877-480-3201, or by e</w:t>
      </w:r>
      <w:r>
        <w:rPr>
          <w:rFonts w:eastAsia="MS Mincho"/>
        </w:rPr>
        <w:noBreakHyphen/>
        <w:t xml:space="preserve">mail at </w:t>
      </w:r>
      <w:r w:rsidRPr="00B7759B">
        <w:rPr>
          <w:rFonts w:eastAsia="MS Mincho" w:cs="Arial"/>
        </w:rPr>
        <w:t>ARINQUIRIES@fcc.gov</w:t>
      </w:r>
      <w:r>
        <w:rPr>
          <w:rFonts w:eastAsia="MS Mincho" w:cs="Arial"/>
        </w:rPr>
        <w:t>.</w:t>
      </w:r>
    </w:p>
  </w:footnote>
  <w:footnote w:id="16">
    <w:p w:rsidR="00A81745" w:rsidRDefault="00A81745" w:rsidP="00043FF9">
      <w:pPr>
        <w:pStyle w:val="FootnoteText"/>
        <w:keepLines/>
      </w:pPr>
      <w:r>
        <w:rPr>
          <w:rStyle w:val="FootnoteReference"/>
        </w:rPr>
        <w:footnoteRef/>
      </w:r>
      <w:r>
        <w:t xml:space="preserve"> 47 C.F.R. § 1.16.</w:t>
      </w:r>
    </w:p>
  </w:footnote>
  <w:footnote w:id="17">
    <w:p w:rsidR="00A81745" w:rsidRDefault="00A81745">
      <w:pPr>
        <w:pStyle w:val="FootnoteText"/>
      </w:pPr>
      <w:r>
        <w:rPr>
          <w:rStyle w:val="FootnoteReference"/>
        </w:rPr>
        <w:footnoteRef/>
      </w:r>
      <w:r>
        <w:t xml:space="preserve"> </w:t>
      </w:r>
      <w:r>
        <w:rPr>
          <w:szCs w:val="22"/>
        </w:rPr>
        <w:t xml:space="preserve">5 U.S.C. § 504; </w:t>
      </w:r>
      <w:r w:rsidRPr="0058223B">
        <w:rPr>
          <w:szCs w:val="22"/>
        </w:rPr>
        <w:t xml:space="preserve">47 C.F.R. § 1.1501 </w:t>
      </w:r>
      <w:r w:rsidRPr="0058223B">
        <w:rPr>
          <w:i/>
          <w:szCs w:val="22"/>
        </w:rPr>
        <w:t>et seq</w:t>
      </w:r>
      <w:r w:rsidRPr="0058223B">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83" w:rsidRDefault="00D44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8D" w:rsidRDefault="00A5398D" w:rsidP="00026E0C">
    <w:pPr>
      <w:pStyle w:val="Header"/>
      <w:rPr>
        <w:b w:val="0"/>
      </w:rPr>
    </w:pPr>
    <w:r>
      <w:tab/>
      <w:t>Federal Communications Commission</w:t>
    </w:r>
    <w:r>
      <w:tab/>
      <w:t xml:space="preserve">DA </w:t>
    </w:r>
    <w:r w:rsidR="007C11C5" w:rsidRPr="007C11C5">
      <w:t>14-1692</w:t>
    </w:r>
  </w:p>
  <w:p w:rsidR="00A5398D" w:rsidRPr="0014549F" w:rsidRDefault="00056124" w:rsidP="0014549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8D" w:rsidRDefault="00056124" w:rsidP="00026E0C">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A5398D">
      <w:tab/>
      <w:t>Federal Communications Commission</w:t>
    </w:r>
    <w:r w:rsidR="00A5398D">
      <w:tab/>
    </w:r>
    <w:r w:rsidR="00A5398D">
      <w:rPr>
        <w:spacing w:val="-2"/>
      </w:rPr>
      <w:t>DA 14-</w:t>
    </w:r>
    <w:r w:rsidR="00F64959">
      <w:rPr>
        <w:spacing w:val="-2"/>
      </w:rPr>
      <w:t>1692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8D" w:rsidRDefault="00A5398D" w:rsidP="00026E0C">
    <w:pPr>
      <w:pStyle w:val="Header"/>
      <w:rPr>
        <w:b w:val="0"/>
      </w:rPr>
    </w:pPr>
    <w:r>
      <w:tab/>
      <w:t>Federal Communications Commission</w:t>
    </w:r>
    <w:r>
      <w:tab/>
      <w:t xml:space="preserve">DA </w:t>
    </w:r>
    <w:r w:rsidR="00602B5B" w:rsidRPr="00025E63">
      <w:t>14-1692</w:t>
    </w:r>
  </w:p>
  <w:p w:rsidR="00A5398D" w:rsidRPr="0014549F" w:rsidRDefault="00056124" w:rsidP="0014549F">
    <w:pPr>
      <w:tabs>
        <w:tab w:val="left" w:pos="-720"/>
      </w:tabs>
      <w:suppressAutoHyphens/>
      <w:spacing w:line="19" w:lineRule="exact"/>
      <w:rPr>
        <w:spacing w:val="-2"/>
      </w:rPr>
    </w:pPr>
    <w:r>
      <w:rPr>
        <w:noProof/>
      </w:rPr>
      <w:pict>
        <v:rect id="_x0000_s2051" style="position:absolute;margin-left:0;margin-top:0;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v:textbox style="mso-next-textbox:#_x0000_s2051">
            <w:txbxContent>
              <w:p w:rsidR="00AB2FE0" w:rsidRDefault="00056124"/>
            </w:txbxContent>
          </v:textbox>
          <w10:wrap anchorx="margin"/>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8D" w:rsidRDefault="00056124" w:rsidP="00026E0C">
    <w:pPr>
      <w:pStyle w:val="Header"/>
      <w:rPr>
        <w:b w:val="0"/>
      </w:rPr>
    </w:pPr>
    <w:r>
      <w:rPr>
        <w:noProof/>
      </w:rPr>
      <w:pict>
        <v:rect id="_x0000_s2052" style="position:absolute;margin-left:.6pt;margin-top:12.65pt;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v:textbox>
            <w:txbxContent>
              <w:p w:rsidR="00AB2FE0" w:rsidRDefault="00056124"/>
            </w:txbxContent>
          </v:textbox>
          <w10:wrap anchorx="margin"/>
        </v:rect>
      </w:pict>
    </w:r>
    <w:r w:rsidR="00A5398D">
      <w:tab/>
      <w:t>Federal Communications Commission</w:t>
    </w:r>
    <w:r w:rsidR="00A5398D">
      <w:tab/>
    </w:r>
    <w:r w:rsidR="00A5398D">
      <w:rPr>
        <w:spacing w:val="-2"/>
      </w:rPr>
      <w:t>DA 14-</w:t>
    </w:r>
    <w:r w:rsidR="00602B5B">
      <w:rPr>
        <w:spacing w:val="-2"/>
      </w:rPr>
      <w:t>1692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E600E7"/>
    <w:multiLevelType w:val="hybridMultilevel"/>
    <w:tmpl w:val="79ECDFCC"/>
    <w:lvl w:ilvl="0" w:tplc="2ECEDAEE">
      <w:start w:val="1"/>
      <w:numFmt w:val="decimal"/>
      <w:lvlText w:val="%1."/>
      <w:lvlJc w:val="left"/>
      <w:pPr>
        <w:tabs>
          <w:tab w:val="num" w:pos="1620"/>
        </w:tabs>
        <w:ind w:left="1620" w:hanging="720"/>
      </w:pPr>
      <w:rPr>
        <w:rFonts w:hint="default"/>
        <w:sz w:val="22"/>
        <w:szCs w:val="22"/>
      </w:rPr>
    </w:lvl>
    <w:lvl w:ilvl="1" w:tplc="17DC9C8C">
      <w:start w:val="1"/>
      <w:numFmt w:val="lowerLetter"/>
      <w:lvlText w:val="(%2)"/>
      <w:lvlJc w:val="left"/>
      <w:pPr>
        <w:tabs>
          <w:tab w:val="num" w:pos="1800"/>
        </w:tabs>
        <w:ind w:left="1800" w:hanging="360"/>
      </w:pPr>
      <w:rPr>
        <w:rFonts w:ascii="Times New Roman" w:eastAsia="Times New Roman" w:hAnsi="Times New Roman" w:cs="Times New Roman"/>
        <w:b w:val="0"/>
        <w:i w:val="0"/>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907F2C"/>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A07F49"/>
    <w:multiLevelType w:val="multilevel"/>
    <w:tmpl w:val="57220BDE"/>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53D97BEF"/>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10"/>
  </w:num>
  <w:num w:numId="2">
    <w:abstractNumId w:val="5"/>
  </w:num>
  <w:num w:numId="3">
    <w:abstractNumId w:val="11"/>
  </w:num>
  <w:num w:numId="4">
    <w:abstractNumId w:val="2"/>
  </w:num>
  <w:num w:numId="5">
    <w:abstractNumId w:val="1"/>
  </w:num>
  <w:num w:numId="6">
    <w:abstractNumId w:val="6"/>
  </w:num>
  <w:num w:numId="7">
    <w:abstractNumId w:val="10"/>
    <w:lvlOverride w:ilvl="0">
      <w:startOverride w:val="1"/>
    </w:lvlOverride>
  </w:num>
  <w:num w:numId="8">
    <w:abstractNumId w:val="10"/>
  </w:num>
  <w:num w:numId="9">
    <w:abstractNumId w:val="10"/>
  </w:num>
  <w:num w:numId="10">
    <w:abstractNumId w:val="7"/>
  </w:num>
  <w:num w:numId="11">
    <w:abstractNumId w:val="10"/>
    <w:lvlOverride w:ilvl="0">
      <w:startOverride w:val="1"/>
    </w:lvlOverride>
  </w:num>
  <w:num w:numId="12">
    <w:abstractNumId w:val="3"/>
  </w:num>
  <w:num w:numId="13">
    <w:abstractNumId w:val="10"/>
  </w:num>
  <w:num w:numId="14">
    <w:abstractNumId w:val="10"/>
  </w:num>
  <w:num w:numId="15">
    <w:abstractNumId w:val="10"/>
  </w:num>
  <w:num w:numId="16">
    <w:abstractNumId w:val="10"/>
  </w:num>
  <w:num w:numId="17">
    <w:abstractNumId w:val="4"/>
  </w:num>
  <w:num w:numId="18">
    <w:abstractNumId w:val="0"/>
  </w:num>
  <w:num w:numId="19">
    <w:abstractNumId w:val="10"/>
  </w:num>
  <w:num w:numId="20">
    <w:abstractNumId w:val="5"/>
  </w:num>
  <w:num w:numId="21">
    <w:abstractNumId w:val="5"/>
  </w:num>
  <w:num w:numId="22">
    <w:abstractNumId w:val="10"/>
    <w:lvlOverride w:ilvl="0">
      <w:startOverride w:val="1"/>
    </w:lvlOverride>
  </w:num>
  <w:num w:numId="23">
    <w:abstractNumId w:val="10"/>
  </w:num>
  <w:num w:numId="24">
    <w:abstractNumId w:val="10"/>
    <w:lvlOverride w:ilvl="0">
      <w:startOverride w:val="1"/>
    </w:lvlOverride>
  </w:num>
  <w:num w:numId="25">
    <w:abstractNumId w:val="10"/>
  </w:num>
  <w:num w:numId="26">
    <w:abstractNumId w:val="10"/>
    <w:lvlOverride w:ilvl="0">
      <w:startOverride w:val="1"/>
    </w:lvlOverride>
  </w:num>
  <w:num w:numId="27">
    <w:abstractNumId w:val="10"/>
  </w:num>
  <w:num w:numId="28">
    <w:abstractNumId w:val="10"/>
    <w:lvlOverride w:ilvl="0">
      <w:startOverride w:val="1"/>
    </w:lvlOverride>
  </w:num>
  <w:num w:numId="29">
    <w:abstractNumId w:val="10"/>
  </w:num>
  <w:num w:numId="30">
    <w:abstractNumId w:val="9"/>
  </w:num>
  <w:num w:numId="31">
    <w:abstractNumId w:val="8"/>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1BC1"/>
    <w:rsid w:val="00010222"/>
    <w:rsid w:val="00026E0C"/>
    <w:rsid w:val="000373F2"/>
    <w:rsid w:val="00043FF9"/>
    <w:rsid w:val="00056124"/>
    <w:rsid w:val="0005753E"/>
    <w:rsid w:val="00062AAA"/>
    <w:rsid w:val="00072CD8"/>
    <w:rsid w:val="000A01A5"/>
    <w:rsid w:val="000A0488"/>
    <w:rsid w:val="000A6EA3"/>
    <w:rsid w:val="000C239C"/>
    <w:rsid w:val="000C48AB"/>
    <w:rsid w:val="000F29CC"/>
    <w:rsid w:val="000F7D23"/>
    <w:rsid w:val="00106969"/>
    <w:rsid w:val="00134C0A"/>
    <w:rsid w:val="0014549F"/>
    <w:rsid w:val="00187131"/>
    <w:rsid w:val="00194808"/>
    <w:rsid w:val="001F25A4"/>
    <w:rsid w:val="001F58C0"/>
    <w:rsid w:val="00201BC1"/>
    <w:rsid w:val="0021587F"/>
    <w:rsid w:val="002435AC"/>
    <w:rsid w:val="002475AF"/>
    <w:rsid w:val="002505CF"/>
    <w:rsid w:val="00253729"/>
    <w:rsid w:val="00277CB1"/>
    <w:rsid w:val="002D5C49"/>
    <w:rsid w:val="003102C8"/>
    <w:rsid w:val="00324D0A"/>
    <w:rsid w:val="003437E0"/>
    <w:rsid w:val="00347727"/>
    <w:rsid w:val="003517E5"/>
    <w:rsid w:val="00387DD0"/>
    <w:rsid w:val="00391FD5"/>
    <w:rsid w:val="003D1FF4"/>
    <w:rsid w:val="003F167E"/>
    <w:rsid w:val="0041665E"/>
    <w:rsid w:val="00434435"/>
    <w:rsid w:val="004628DE"/>
    <w:rsid w:val="00486D55"/>
    <w:rsid w:val="004929D6"/>
    <w:rsid w:val="004E16F9"/>
    <w:rsid w:val="004F3038"/>
    <w:rsid w:val="004F6E4B"/>
    <w:rsid w:val="00500128"/>
    <w:rsid w:val="005159F8"/>
    <w:rsid w:val="00522103"/>
    <w:rsid w:val="005535D2"/>
    <w:rsid w:val="00571255"/>
    <w:rsid w:val="00583C15"/>
    <w:rsid w:val="005A11E0"/>
    <w:rsid w:val="005E6F03"/>
    <w:rsid w:val="005F5648"/>
    <w:rsid w:val="00602B5B"/>
    <w:rsid w:val="00606C8B"/>
    <w:rsid w:val="00622AF7"/>
    <w:rsid w:val="00625BEE"/>
    <w:rsid w:val="00627077"/>
    <w:rsid w:val="00633DC4"/>
    <w:rsid w:val="006414CD"/>
    <w:rsid w:val="00657DD8"/>
    <w:rsid w:val="0066084B"/>
    <w:rsid w:val="006C14F0"/>
    <w:rsid w:val="00702341"/>
    <w:rsid w:val="007145B4"/>
    <w:rsid w:val="00721159"/>
    <w:rsid w:val="0074556F"/>
    <w:rsid w:val="00792F66"/>
    <w:rsid w:val="00795A4A"/>
    <w:rsid w:val="007A07F6"/>
    <w:rsid w:val="007C11C5"/>
    <w:rsid w:val="007C5CC5"/>
    <w:rsid w:val="0081346B"/>
    <w:rsid w:val="008156D8"/>
    <w:rsid w:val="008336BB"/>
    <w:rsid w:val="00843A83"/>
    <w:rsid w:val="00845D98"/>
    <w:rsid w:val="00850567"/>
    <w:rsid w:val="00851564"/>
    <w:rsid w:val="008B04A0"/>
    <w:rsid w:val="008B6221"/>
    <w:rsid w:val="008B68D4"/>
    <w:rsid w:val="008E341B"/>
    <w:rsid w:val="00926F9F"/>
    <w:rsid w:val="00933330"/>
    <w:rsid w:val="00936CF3"/>
    <w:rsid w:val="00995DF5"/>
    <w:rsid w:val="009B6772"/>
    <w:rsid w:val="009E06F0"/>
    <w:rsid w:val="009E3330"/>
    <w:rsid w:val="009F619C"/>
    <w:rsid w:val="00A3449F"/>
    <w:rsid w:val="00A5398D"/>
    <w:rsid w:val="00A64FAF"/>
    <w:rsid w:val="00A72527"/>
    <w:rsid w:val="00A74FF2"/>
    <w:rsid w:val="00A81745"/>
    <w:rsid w:val="00A92248"/>
    <w:rsid w:val="00AB43D4"/>
    <w:rsid w:val="00AC1E92"/>
    <w:rsid w:val="00AC2FFB"/>
    <w:rsid w:val="00AD6CEB"/>
    <w:rsid w:val="00AF639D"/>
    <w:rsid w:val="00B049A2"/>
    <w:rsid w:val="00B73F66"/>
    <w:rsid w:val="00B802DD"/>
    <w:rsid w:val="00B93AA7"/>
    <w:rsid w:val="00B93C90"/>
    <w:rsid w:val="00C06234"/>
    <w:rsid w:val="00C10705"/>
    <w:rsid w:val="00C22A13"/>
    <w:rsid w:val="00C41A5D"/>
    <w:rsid w:val="00C43805"/>
    <w:rsid w:val="00C83C4E"/>
    <w:rsid w:val="00CA654E"/>
    <w:rsid w:val="00CF672C"/>
    <w:rsid w:val="00D44683"/>
    <w:rsid w:val="00D44C05"/>
    <w:rsid w:val="00D737D5"/>
    <w:rsid w:val="00D80918"/>
    <w:rsid w:val="00D9258C"/>
    <w:rsid w:val="00D95DE1"/>
    <w:rsid w:val="00DD4446"/>
    <w:rsid w:val="00DF6058"/>
    <w:rsid w:val="00E21889"/>
    <w:rsid w:val="00E24547"/>
    <w:rsid w:val="00E47BD9"/>
    <w:rsid w:val="00E559CC"/>
    <w:rsid w:val="00E56BBF"/>
    <w:rsid w:val="00E577FD"/>
    <w:rsid w:val="00E64344"/>
    <w:rsid w:val="00E73655"/>
    <w:rsid w:val="00E8799E"/>
    <w:rsid w:val="00EB69BE"/>
    <w:rsid w:val="00EB6F10"/>
    <w:rsid w:val="00ED72BD"/>
    <w:rsid w:val="00ED72FB"/>
    <w:rsid w:val="00EE0784"/>
    <w:rsid w:val="00F22D15"/>
    <w:rsid w:val="00F536FD"/>
    <w:rsid w:val="00F6147B"/>
    <w:rsid w:val="00F64959"/>
    <w:rsid w:val="00F778C6"/>
    <w:rsid w:val="00F97309"/>
    <w:rsid w:val="00FA7F96"/>
    <w:rsid w:val="00FB5659"/>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124"/>
    <w:pPr>
      <w:widowControl w:val="0"/>
    </w:pPr>
    <w:rPr>
      <w:snapToGrid w:val="0"/>
      <w:kern w:val="28"/>
      <w:sz w:val="22"/>
    </w:rPr>
  </w:style>
  <w:style w:type="paragraph" w:styleId="Heading1">
    <w:name w:val="heading 1"/>
    <w:basedOn w:val="Normal"/>
    <w:next w:val="ParaNum"/>
    <w:link w:val="Heading1Char"/>
    <w:qFormat/>
    <w:rsid w:val="0005612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56124"/>
    <w:pPr>
      <w:keepNext/>
      <w:numPr>
        <w:ilvl w:val="1"/>
        <w:numId w:val="2"/>
      </w:numPr>
      <w:spacing w:after="120"/>
      <w:outlineLvl w:val="1"/>
    </w:pPr>
    <w:rPr>
      <w:b/>
    </w:rPr>
  </w:style>
  <w:style w:type="paragraph" w:styleId="Heading3">
    <w:name w:val="heading 3"/>
    <w:basedOn w:val="Normal"/>
    <w:next w:val="ParaNum"/>
    <w:qFormat/>
    <w:rsid w:val="00056124"/>
    <w:pPr>
      <w:keepNext/>
      <w:numPr>
        <w:ilvl w:val="2"/>
        <w:numId w:val="2"/>
      </w:numPr>
      <w:tabs>
        <w:tab w:val="left" w:pos="2160"/>
      </w:tabs>
      <w:spacing w:after="120"/>
      <w:outlineLvl w:val="2"/>
    </w:pPr>
    <w:rPr>
      <w:b/>
    </w:rPr>
  </w:style>
  <w:style w:type="paragraph" w:styleId="Heading4">
    <w:name w:val="heading 4"/>
    <w:basedOn w:val="Normal"/>
    <w:next w:val="ParaNum"/>
    <w:qFormat/>
    <w:rsid w:val="00056124"/>
    <w:pPr>
      <w:keepNext/>
      <w:numPr>
        <w:ilvl w:val="3"/>
        <w:numId w:val="2"/>
      </w:numPr>
      <w:tabs>
        <w:tab w:val="left" w:pos="2880"/>
      </w:tabs>
      <w:spacing w:after="120"/>
      <w:outlineLvl w:val="3"/>
    </w:pPr>
    <w:rPr>
      <w:b/>
    </w:rPr>
  </w:style>
  <w:style w:type="paragraph" w:styleId="Heading5">
    <w:name w:val="heading 5"/>
    <w:basedOn w:val="Normal"/>
    <w:next w:val="ParaNum"/>
    <w:qFormat/>
    <w:rsid w:val="0005612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56124"/>
    <w:pPr>
      <w:numPr>
        <w:ilvl w:val="5"/>
        <w:numId w:val="2"/>
      </w:numPr>
      <w:tabs>
        <w:tab w:val="left" w:pos="4320"/>
      </w:tabs>
      <w:spacing w:after="120"/>
      <w:outlineLvl w:val="5"/>
    </w:pPr>
    <w:rPr>
      <w:b/>
    </w:rPr>
  </w:style>
  <w:style w:type="paragraph" w:styleId="Heading7">
    <w:name w:val="heading 7"/>
    <w:basedOn w:val="Normal"/>
    <w:next w:val="ParaNum"/>
    <w:qFormat/>
    <w:rsid w:val="0005612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5612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5612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61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6124"/>
  </w:style>
  <w:style w:type="paragraph" w:customStyle="1" w:styleId="ParaNum">
    <w:name w:val="ParaNum"/>
    <w:basedOn w:val="Normal"/>
    <w:link w:val="ParaNumChar"/>
    <w:rsid w:val="00056124"/>
    <w:pPr>
      <w:numPr>
        <w:numId w:val="1"/>
      </w:numPr>
      <w:tabs>
        <w:tab w:val="clear" w:pos="1080"/>
        <w:tab w:val="num" w:pos="1440"/>
      </w:tabs>
      <w:spacing w:after="120"/>
    </w:pPr>
  </w:style>
  <w:style w:type="paragraph" w:styleId="EndnoteText">
    <w:name w:val="endnote text"/>
    <w:basedOn w:val="Normal"/>
    <w:semiHidden/>
    <w:rsid w:val="00056124"/>
    <w:rPr>
      <w:sz w:val="20"/>
    </w:rPr>
  </w:style>
  <w:style w:type="character" w:styleId="EndnoteReference">
    <w:name w:val="endnote reference"/>
    <w:semiHidden/>
    <w:rsid w:val="00056124"/>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056124"/>
    <w:pPr>
      <w:spacing w:after="120"/>
    </w:pPr>
  </w:style>
  <w:style w:type="character" w:styleId="FootnoteReference">
    <w:name w:val="footnote reference"/>
    <w:aliases w:val="Style 4,Style 12,(NECG) Footnote Reference,Appel note de bas de p,Style 124,Style 13,o,fr,Style 3"/>
    <w:rsid w:val="00056124"/>
    <w:rPr>
      <w:rFonts w:ascii="Times New Roman" w:hAnsi="Times New Roman"/>
      <w:dstrike w:val="0"/>
      <w:color w:val="auto"/>
      <w:sz w:val="20"/>
      <w:vertAlign w:val="superscript"/>
    </w:rPr>
  </w:style>
  <w:style w:type="paragraph" w:styleId="TOC1">
    <w:name w:val="toc 1"/>
    <w:basedOn w:val="Normal"/>
    <w:next w:val="Normal"/>
    <w:semiHidden/>
    <w:rsid w:val="000561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6124"/>
    <w:pPr>
      <w:tabs>
        <w:tab w:val="left" w:pos="720"/>
        <w:tab w:val="right" w:leader="dot" w:pos="9360"/>
      </w:tabs>
      <w:suppressAutoHyphens/>
      <w:ind w:left="720" w:right="720" w:hanging="360"/>
    </w:pPr>
    <w:rPr>
      <w:noProof/>
    </w:rPr>
  </w:style>
  <w:style w:type="paragraph" w:styleId="TOC3">
    <w:name w:val="toc 3"/>
    <w:basedOn w:val="Normal"/>
    <w:next w:val="Normal"/>
    <w:semiHidden/>
    <w:rsid w:val="000561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61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61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61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61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61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61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6124"/>
    <w:pPr>
      <w:tabs>
        <w:tab w:val="right" w:pos="9360"/>
      </w:tabs>
      <w:suppressAutoHyphens/>
    </w:pPr>
  </w:style>
  <w:style w:type="character" w:customStyle="1" w:styleId="EquationCaption">
    <w:name w:val="_Equation Caption"/>
    <w:rsid w:val="00056124"/>
  </w:style>
  <w:style w:type="paragraph" w:styleId="Header">
    <w:name w:val="header"/>
    <w:basedOn w:val="Normal"/>
    <w:autoRedefine/>
    <w:rsid w:val="00056124"/>
    <w:pPr>
      <w:tabs>
        <w:tab w:val="center" w:pos="4680"/>
        <w:tab w:val="right" w:pos="9360"/>
      </w:tabs>
    </w:pPr>
    <w:rPr>
      <w:b/>
    </w:rPr>
  </w:style>
  <w:style w:type="paragraph" w:styleId="Footer">
    <w:name w:val="footer"/>
    <w:basedOn w:val="Normal"/>
    <w:rsid w:val="00056124"/>
    <w:pPr>
      <w:tabs>
        <w:tab w:val="center" w:pos="4320"/>
        <w:tab w:val="right" w:pos="8640"/>
      </w:tabs>
    </w:pPr>
  </w:style>
  <w:style w:type="character" w:styleId="PageNumber">
    <w:name w:val="page number"/>
    <w:basedOn w:val="DefaultParagraphFont"/>
    <w:rsid w:val="00056124"/>
  </w:style>
  <w:style w:type="paragraph" w:styleId="BlockText">
    <w:name w:val="Block Text"/>
    <w:basedOn w:val="Normal"/>
    <w:rsid w:val="00056124"/>
    <w:pPr>
      <w:spacing w:after="240"/>
      <w:ind w:left="1440" w:right="1440"/>
    </w:pPr>
  </w:style>
  <w:style w:type="paragraph" w:customStyle="1" w:styleId="Paratitle">
    <w:name w:val="Para title"/>
    <w:basedOn w:val="Normal"/>
    <w:rsid w:val="00056124"/>
    <w:pPr>
      <w:tabs>
        <w:tab w:val="center" w:pos="9270"/>
      </w:tabs>
      <w:spacing w:after="240"/>
    </w:pPr>
    <w:rPr>
      <w:spacing w:val="-2"/>
    </w:rPr>
  </w:style>
  <w:style w:type="paragraph" w:customStyle="1" w:styleId="Bullet">
    <w:name w:val="Bullet"/>
    <w:basedOn w:val="Normal"/>
    <w:rsid w:val="00056124"/>
    <w:pPr>
      <w:tabs>
        <w:tab w:val="left" w:pos="2160"/>
      </w:tabs>
      <w:spacing w:after="220"/>
      <w:ind w:left="2160" w:hanging="720"/>
    </w:pPr>
  </w:style>
  <w:style w:type="paragraph" w:customStyle="1" w:styleId="TableFormat">
    <w:name w:val="TableFormat"/>
    <w:basedOn w:val="Bullet"/>
    <w:rsid w:val="00056124"/>
    <w:pPr>
      <w:tabs>
        <w:tab w:val="clear" w:pos="2160"/>
        <w:tab w:val="left" w:pos="5040"/>
      </w:tabs>
      <w:ind w:left="5040" w:hanging="3600"/>
    </w:pPr>
  </w:style>
  <w:style w:type="paragraph" w:customStyle="1" w:styleId="TOCTitle">
    <w:name w:val="TOC Title"/>
    <w:basedOn w:val="Normal"/>
    <w:rsid w:val="000561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6124"/>
    <w:pPr>
      <w:jc w:val="center"/>
    </w:pPr>
    <w:rPr>
      <w:rFonts w:ascii="Times New Roman Bold" w:hAnsi="Times New Roman Bold"/>
      <w:b/>
      <w:bCs/>
      <w:caps/>
      <w:szCs w:val="22"/>
    </w:rPr>
  </w:style>
  <w:style w:type="character" w:styleId="Hyperlink">
    <w:name w:val="Hyperlink"/>
    <w:rsid w:val="00056124"/>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lang w:val="x-none" w:eastAsia="x-none"/>
    </w:rPr>
  </w:style>
  <w:style w:type="character" w:customStyle="1" w:styleId="TitleChar">
    <w:name w:val="Title Char"/>
    <w:link w:val="Title"/>
    <w:rsid w:val="00835ED4"/>
    <w:rPr>
      <w:b/>
      <w:sz w:val="22"/>
    </w:rPr>
  </w:style>
  <w:style w:type="paragraph" w:styleId="BalloonText">
    <w:name w:val="Balloon Text"/>
    <w:basedOn w:val="Normal"/>
    <w:link w:val="BalloonTextChar"/>
    <w:rsid w:val="00835ED4"/>
    <w:rPr>
      <w:rFonts w:ascii="Lucida Grande" w:hAnsi="Lucida Grande"/>
      <w:sz w:val="18"/>
      <w:szCs w:val="18"/>
      <w:lang w:val="x-none" w:eastAsia="x-none"/>
    </w:rPr>
  </w:style>
  <w:style w:type="character" w:customStyle="1" w:styleId="BalloonTextChar">
    <w:name w:val="Balloon Text Char"/>
    <w:link w:val="BalloonText"/>
    <w:rsid w:val="00835ED4"/>
    <w:rPr>
      <w:rFonts w:ascii="Lucida Grande" w:hAnsi="Lucida Grande" w:cs="Lucida Grande"/>
      <w:snapToGrid w:val="0"/>
      <w:kern w:val="28"/>
      <w:sz w:val="18"/>
      <w:szCs w:val="18"/>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rsid w:val="00E91C29"/>
    <w:pPr>
      <w:tabs>
        <w:tab w:val="num" w:pos="1080"/>
      </w:tabs>
      <w:ind w:firstLine="720"/>
    </w:pPr>
    <w:rPr>
      <w:lang w:val="x-none" w:eastAsia="x-none"/>
    </w:rPr>
  </w:style>
  <w:style w:type="character" w:customStyle="1" w:styleId="par1Char">
    <w:name w:val="par1 Char"/>
    <w:link w:val="par1"/>
    <w:locked/>
    <w:rsid w:val="00042570"/>
    <w:rPr>
      <w:snapToGrid w:val="0"/>
      <w:kern w:val="28"/>
      <w:sz w:val="22"/>
    </w:rPr>
  </w:style>
  <w:style w:type="paragraph" w:customStyle="1" w:styleId="ColorfulList-Accent11">
    <w:name w:val="Colorful List - Accent 11"/>
    <w:basedOn w:val="Normal"/>
    <w:qFormat/>
    <w:rsid w:val="00D24C94"/>
    <w:pPr>
      <w:widowControl/>
      <w:ind w:left="720"/>
    </w:pPr>
    <w:rPr>
      <w:snapToGrid/>
      <w:kern w:val="0"/>
      <w:sz w:val="24"/>
      <w:szCs w:val="24"/>
    </w:rPr>
  </w:style>
  <w:style w:type="character" w:customStyle="1" w:styleId="Heading1Char">
    <w:name w:val="Heading 1 Char"/>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uiPriority w:val="99"/>
    <w:rsid w:val="00DC6C15"/>
    <w:pPr>
      <w:keepNext/>
      <w:suppressAutoHyphens/>
      <w:spacing w:after="120"/>
      <w:outlineLvl w:val="0"/>
    </w:pPr>
    <w:rPr>
      <w:rFonts w:ascii="Times New Roman Bold" w:eastAsia="Calibri" w:hAnsi="Times New Roman Bold"/>
      <w:caps/>
      <w:color w:val="000000"/>
      <w:sz w:val="24"/>
    </w:rPr>
  </w:style>
  <w:style w:type="paragraph" w:customStyle="1" w:styleId="MediumGrid21">
    <w:name w:val="Medium Grid 21"/>
    <w:uiPriority w:val="99"/>
    <w:qFormat/>
    <w:rsid w:val="00DC6C15"/>
    <w:rPr>
      <w:sz w:val="24"/>
      <w:szCs w:val="24"/>
    </w:rPr>
  </w:style>
  <w:style w:type="character" w:styleId="CommentReference">
    <w:name w:val="annotation reference"/>
    <w:uiPriority w:val="99"/>
    <w:rsid w:val="000E06E8"/>
    <w:rPr>
      <w:sz w:val="16"/>
      <w:szCs w:val="16"/>
    </w:rPr>
  </w:style>
  <w:style w:type="paragraph" w:styleId="CommentText">
    <w:name w:val="annotation text"/>
    <w:basedOn w:val="Normal"/>
    <w:link w:val="CommentTextChar"/>
    <w:uiPriority w:val="99"/>
    <w:rsid w:val="000E06E8"/>
    <w:rPr>
      <w:sz w:val="20"/>
      <w:lang w:val="x-none" w:eastAsia="x-none"/>
    </w:rPr>
  </w:style>
  <w:style w:type="character" w:customStyle="1" w:styleId="CommentTextChar">
    <w:name w:val="Comment Text Char"/>
    <w:link w:val="CommentText"/>
    <w:uiPriority w:val="99"/>
    <w:rsid w:val="000E06E8"/>
    <w:rPr>
      <w:snapToGrid w:val="0"/>
      <w:kern w:val="28"/>
    </w:rPr>
  </w:style>
  <w:style w:type="paragraph" w:styleId="CommentSubject">
    <w:name w:val="annotation subject"/>
    <w:basedOn w:val="CommentText"/>
    <w:next w:val="CommentText"/>
    <w:link w:val="CommentSubjectChar"/>
    <w:rsid w:val="000E06E8"/>
    <w:rPr>
      <w:b/>
      <w:bCs/>
    </w:rPr>
  </w:style>
  <w:style w:type="character" w:customStyle="1" w:styleId="CommentSubjectChar">
    <w:name w:val="Comment Subject Char"/>
    <w:link w:val="CommentSubject"/>
    <w:rsid w:val="000E06E8"/>
    <w:rPr>
      <w:b/>
      <w:bCs/>
      <w:snapToGrid w:val="0"/>
      <w:kern w:val="28"/>
    </w:rPr>
  </w:style>
  <w:style w:type="paragraph" w:customStyle="1" w:styleId="ColorfulShading-Accent11">
    <w:name w:val="Colorful Shading - Accent 11"/>
    <w:hidden/>
    <w:uiPriority w:val="71"/>
    <w:rsid w:val="00F60C09"/>
    <w:rPr>
      <w:snapToGrid w:val="0"/>
      <w:kern w:val="28"/>
      <w:sz w:val="22"/>
    </w:rPr>
  </w:style>
  <w:style w:type="paragraph" w:styleId="Revision">
    <w:name w:val="Revision"/>
    <w:hidden/>
    <w:uiPriority w:val="71"/>
    <w:rsid w:val="00A5398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124"/>
    <w:pPr>
      <w:widowControl w:val="0"/>
    </w:pPr>
    <w:rPr>
      <w:snapToGrid w:val="0"/>
      <w:kern w:val="28"/>
      <w:sz w:val="22"/>
    </w:rPr>
  </w:style>
  <w:style w:type="paragraph" w:styleId="Heading1">
    <w:name w:val="heading 1"/>
    <w:basedOn w:val="Normal"/>
    <w:next w:val="ParaNum"/>
    <w:link w:val="Heading1Char"/>
    <w:qFormat/>
    <w:rsid w:val="0005612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56124"/>
    <w:pPr>
      <w:keepNext/>
      <w:numPr>
        <w:ilvl w:val="1"/>
        <w:numId w:val="2"/>
      </w:numPr>
      <w:spacing w:after="120"/>
      <w:outlineLvl w:val="1"/>
    </w:pPr>
    <w:rPr>
      <w:b/>
    </w:rPr>
  </w:style>
  <w:style w:type="paragraph" w:styleId="Heading3">
    <w:name w:val="heading 3"/>
    <w:basedOn w:val="Normal"/>
    <w:next w:val="ParaNum"/>
    <w:qFormat/>
    <w:rsid w:val="00056124"/>
    <w:pPr>
      <w:keepNext/>
      <w:numPr>
        <w:ilvl w:val="2"/>
        <w:numId w:val="2"/>
      </w:numPr>
      <w:tabs>
        <w:tab w:val="left" w:pos="2160"/>
      </w:tabs>
      <w:spacing w:after="120"/>
      <w:outlineLvl w:val="2"/>
    </w:pPr>
    <w:rPr>
      <w:b/>
    </w:rPr>
  </w:style>
  <w:style w:type="paragraph" w:styleId="Heading4">
    <w:name w:val="heading 4"/>
    <w:basedOn w:val="Normal"/>
    <w:next w:val="ParaNum"/>
    <w:qFormat/>
    <w:rsid w:val="00056124"/>
    <w:pPr>
      <w:keepNext/>
      <w:numPr>
        <w:ilvl w:val="3"/>
        <w:numId w:val="2"/>
      </w:numPr>
      <w:tabs>
        <w:tab w:val="left" w:pos="2880"/>
      </w:tabs>
      <w:spacing w:after="120"/>
      <w:outlineLvl w:val="3"/>
    </w:pPr>
    <w:rPr>
      <w:b/>
    </w:rPr>
  </w:style>
  <w:style w:type="paragraph" w:styleId="Heading5">
    <w:name w:val="heading 5"/>
    <w:basedOn w:val="Normal"/>
    <w:next w:val="ParaNum"/>
    <w:qFormat/>
    <w:rsid w:val="0005612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56124"/>
    <w:pPr>
      <w:numPr>
        <w:ilvl w:val="5"/>
        <w:numId w:val="2"/>
      </w:numPr>
      <w:tabs>
        <w:tab w:val="left" w:pos="4320"/>
      </w:tabs>
      <w:spacing w:after="120"/>
      <w:outlineLvl w:val="5"/>
    </w:pPr>
    <w:rPr>
      <w:b/>
    </w:rPr>
  </w:style>
  <w:style w:type="paragraph" w:styleId="Heading7">
    <w:name w:val="heading 7"/>
    <w:basedOn w:val="Normal"/>
    <w:next w:val="ParaNum"/>
    <w:qFormat/>
    <w:rsid w:val="0005612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5612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5612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61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6124"/>
  </w:style>
  <w:style w:type="paragraph" w:customStyle="1" w:styleId="ParaNum">
    <w:name w:val="ParaNum"/>
    <w:basedOn w:val="Normal"/>
    <w:link w:val="ParaNumChar"/>
    <w:rsid w:val="00056124"/>
    <w:pPr>
      <w:numPr>
        <w:numId w:val="1"/>
      </w:numPr>
      <w:tabs>
        <w:tab w:val="clear" w:pos="1080"/>
        <w:tab w:val="num" w:pos="1440"/>
      </w:tabs>
      <w:spacing w:after="120"/>
    </w:pPr>
  </w:style>
  <w:style w:type="paragraph" w:styleId="EndnoteText">
    <w:name w:val="endnote text"/>
    <w:basedOn w:val="Normal"/>
    <w:semiHidden/>
    <w:rsid w:val="00056124"/>
    <w:rPr>
      <w:sz w:val="20"/>
    </w:rPr>
  </w:style>
  <w:style w:type="character" w:styleId="EndnoteReference">
    <w:name w:val="endnote reference"/>
    <w:semiHidden/>
    <w:rsid w:val="00056124"/>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056124"/>
    <w:pPr>
      <w:spacing w:after="120"/>
    </w:pPr>
  </w:style>
  <w:style w:type="character" w:styleId="FootnoteReference">
    <w:name w:val="footnote reference"/>
    <w:aliases w:val="Style 4,Style 12,(NECG) Footnote Reference,Appel note de bas de p,Style 124,Style 13,o,fr,Style 3"/>
    <w:rsid w:val="00056124"/>
    <w:rPr>
      <w:rFonts w:ascii="Times New Roman" w:hAnsi="Times New Roman"/>
      <w:dstrike w:val="0"/>
      <w:color w:val="auto"/>
      <w:sz w:val="20"/>
      <w:vertAlign w:val="superscript"/>
    </w:rPr>
  </w:style>
  <w:style w:type="paragraph" w:styleId="TOC1">
    <w:name w:val="toc 1"/>
    <w:basedOn w:val="Normal"/>
    <w:next w:val="Normal"/>
    <w:semiHidden/>
    <w:rsid w:val="000561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6124"/>
    <w:pPr>
      <w:tabs>
        <w:tab w:val="left" w:pos="720"/>
        <w:tab w:val="right" w:leader="dot" w:pos="9360"/>
      </w:tabs>
      <w:suppressAutoHyphens/>
      <w:ind w:left="720" w:right="720" w:hanging="360"/>
    </w:pPr>
    <w:rPr>
      <w:noProof/>
    </w:rPr>
  </w:style>
  <w:style w:type="paragraph" w:styleId="TOC3">
    <w:name w:val="toc 3"/>
    <w:basedOn w:val="Normal"/>
    <w:next w:val="Normal"/>
    <w:semiHidden/>
    <w:rsid w:val="000561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61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61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61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61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61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61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6124"/>
    <w:pPr>
      <w:tabs>
        <w:tab w:val="right" w:pos="9360"/>
      </w:tabs>
      <w:suppressAutoHyphens/>
    </w:pPr>
  </w:style>
  <w:style w:type="character" w:customStyle="1" w:styleId="EquationCaption">
    <w:name w:val="_Equation Caption"/>
    <w:rsid w:val="00056124"/>
  </w:style>
  <w:style w:type="paragraph" w:styleId="Header">
    <w:name w:val="header"/>
    <w:basedOn w:val="Normal"/>
    <w:autoRedefine/>
    <w:rsid w:val="00056124"/>
    <w:pPr>
      <w:tabs>
        <w:tab w:val="center" w:pos="4680"/>
        <w:tab w:val="right" w:pos="9360"/>
      </w:tabs>
    </w:pPr>
    <w:rPr>
      <w:b/>
    </w:rPr>
  </w:style>
  <w:style w:type="paragraph" w:styleId="Footer">
    <w:name w:val="footer"/>
    <w:basedOn w:val="Normal"/>
    <w:rsid w:val="00056124"/>
    <w:pPr>
      <w:tabs>
        <w:tab w:val="center" w:pos="4320"/>
        <w:tab w:val="right" w:pos="8640"/>
      </w:tabs>
    </w:pPr>
  </w:style>
  <w:style w:type="character" w:styleId="PageNumber">
    <w:name w:val="page number"/>
    <w:basedOn w:val="DefaultParagraphFont"/>
    <w:rsid w:val="00056124"/>
  </w:style>
  <w:style w:type="paragraph" w:styleId="BlockText">
    <w:name w:val="Block Text"/>
    <w:basedOn w:val="Normal"/>
    <w:rsid w:val="00056124"/>
    <w:pPr>
      <w:spacing w:after="240"/>
      <w:ind w:left="1440" w:right="1440"/>
    </w:pPr>
  </w:style>
  <w:style w:type="paragraph" w:customStyle="1" w:styleId="Paratitle">
    <w:name w:val="Para title"/>
    <w:basedOn w:val="Normal"/>
    <w:rsid w:val="00056124"/>
    <w:pPr>
      <w:tabs>
        <w:tab w:val="center" w:pos="9270"/>
      </w:tabs>
      <w:spacing w:after="240"/>
    </w:pPr>
    <w:rPr>
      <w:spacing w:val="-2"/>
    </w:rPr>
  </w:style>
  <w:style w:type="paragraph" w:customStyle="1" w:styleId="Bullet">
    <w:name w:val="Bullet"/>
    <w:basedOn w:val="Normal"/>
    <w:rsid w:val="00056124"/>
    <w:pPr>
      <w:tabs>
        <w:tab w:val="left" w:pos="2160"/>
      </w:tabs>
      <w:spacing w:after="220"/>
      <w:ind w:left="2160" w:hanging="720"/>
    </w:pPr>
  </w:style>
  <w:style w:type="paragraph" w:customStyle="1" w:styleId="TableFormat">
    <w:name w:val="TableFormat"/>
    <w:basedOn w:val="Bullet"/>
    <w:rsid w:val="00056124"/>
    <w:pPr>
      <w:tabs>
        <w:tab w:val="clear" w:pos="2160"/>
        <w:tab w:val="left" w:pos="5040"/>
      </w:tabs>
      <w:ind w:left="5040" w:hanging="3600"/>
    </w:pPr>
  </w:style>
  <w:style w:type="paragraph" w:customStyle="1" w:styleId="TOCTitle">
    <w:name w:val="TOC Title"/>
    <w:basedOn w:val="Normal"/>
    <w:rsid w:val="000561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6124"/>
    <w:pPr>
      <w:jc w:val="center"/>
    </w:pPr>
    <w:rPr>
      <w:rFonts w:ascii="Times New Roman Bold" w:hAnsi="Times New Roman Bold"/>
      <w:b/>
      <w:bCs/>
      <w:caps/>
      <w:szCs w:val="22"/>
    </w:rPr>
  </w:style>
  <w:style w:type="character" w:styleId="Hyperlink">
    <w:name w:val="Hyperlink"/>
    <w:rsid w:val="00056124"/>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lang w:val="x-none" w:eastAsia="x-none"/>
    </w:rPr>
  </w:style>
  <w:style w:type="character" w:customStyle="1" w:styleId="TitleChar">
    <w:name w:val="Title Char"/>
    <w:link w:val="Title"/>
    <w:rsid w:val="00835ED4"/>
    <w:rPr>
      <w:b/>
      <w:sz w:val="22"/>
    </w:rPr>
  </w:style>
  <w:style w:type="paragraph" w:styleId="BalloonText">
    <w:name w:val="Balloon Text"/>
    <w:basedOn w:val="Normal"/>
    <w:link w:val="BalloonTextChar"/>
    <w:rsid w:val="00835ED4"/>
    <w:rPr>
      <w:rFonts w:ascii="Lucida Grande" w:hAnsi="Lucida Grande"/>
      <w:sz w:val="18"/>
      <w:szCs w:val="18"/>
      <w:lang w:val="x-none" w:eastAsia="x-none"/>
    </w:rPr>
  </w:style>
  <w:style w:type="character" w:customStyle="1" w:styleId="BalloonTextChar">
    <w:name w:val="Balloon Text Char"/>
    <w:link w:val="BalloonText"/>
    <w:rsid w:val="00835ED4"/>
    <w:rPr>
      <w:rFonts w:ascii="Lucida Grande" w:hAnsi="Lucida Grande" w:cs="Lucida Grande"/>
      <w:snapToGrid w:val="0"/>
      <w:kern w:val="28"/>
      <w:sz w:val="18"/>
      <w:szCs w:val="18"/>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rsid w:val="00E91C29"/>
    <w:pPr>
      <w:tabs>
        <w:tab w:val="num" w:pos="1080"/>
      </w:tabs>
      <w:ind w:firstLine="720"/>
    </w:pPr>
    <w:rPr>
      <w:lang w:val="x-none" w:eastAsia="x-none"/>
    </w:rPr>
  </w:style>
  <w:style w:type="character" w:customStyle="1" w:styleId="par1Char">
    <w:name w:val="par1 Char"/>
    <w:link w:val="par1"/>
    <w:locked/>
    <w:rsid w:val="00042570"/>
    <w:rPr>
      <w:snapToGrid w:val="0"/>
      <w:kern w:val="28"/>
      <w:sz w:val="22"/>
    </w:rPr>
  </w:style>
  <w:style w:type="paragraph" w:customStyle="1" w:styleId="ColorfulList-Accent11">
    <w:name w:val="Colorful List - Accent 11"/>
    <w:basedOn w:val="Normal"/>
    <w:qFormat/>
    <w:rsid w:val="00D24C94"/>
    <w:pPr>
      <w:widowControl/>
      <w:ind w:left="720"/>
    </w:pPr>
    <w:rPr>
      <w:snapToGrid/>
      <w:kern w:val="0"/>
      <w:sz w:val="24"/>
      <w:szCs w:val="24"/>
    </w:rPr>
  </w:style>
  <w:style w:type="character" w:customStyle="1" w:styleId="Heading1Char">
    <w:name w:val="Heading 1 Char"/>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uiPriority w:val="99"/>
    <w:rsid w:val="00DC6C15"/>
    <w:pPr>
      <w:keepNext/>
      <w:suppressAutoHyphens/>
      <w:spacing w:after="120"/>
      <w:outlineLvl w:val="0"/>
    </w:pPr>
    <w:rPr>
      <w:rFonts w:ascii="Times New Roman Bold" w:eastAsia="Calibri" w:hAnsi="Times New Roman Bold"/>
      <w:caps/>
      <w:color w:val="000000"/>
      <w:sz w:val="24"/>
    </w:rPr>
  </w:style>
  <w:style w:type="paragraph" w:customStyle="1" w:styleId="MediumGrid21">
    <w:name w:val="Medium Grid 21"/>
    <w:uiPriority w:val="99"/>
    <w:qFormat/>
    <w:rsid w:val="00DC6C15"/>
    <w:rPr>
      <w:sz w:val="24"/>
      <w:szCs w:val="24"/>
    </w:rPr>
  </w:style>
  <w:style w:type="character" w:styleId="CommentReference">
    <w:name w:val="annotation reference"/>
    <w:uiPriority w:val="99"/>
    <w:rsid w:val="000E06E8"/>
    <w:rPr>
      <w:sz w:val="16"/>
      <w:szCs w:val="16"/>
    </w:rPr>
  </w:style>
  <w:style w:type="paragraph" w:styleId="CommentText">
    <w:name w:val="annotation text"/>
    <w:basedOn w:val="Normal"/>
    <w:link w:val="CommentTextChar"/>
    <w:uiPriority w:val="99"/>
    <w:rsid w:val="000E06E8"/>
    <w:rPr>
      <w:sz w:val="20"/>
      <w:lang w:val="x-none" w:eastAsia="x-none"/>
    </w:rPr>
  </w:style>
  <w:style w:type="character" w:customStyle="1" w:styleId="CommentTextChar">
    <w:name w:val="Comment Text Char"/>
    <w:link w:val="CommentText"/>
    <w:uiPriority w:val="99"/>
    <w:rsid w:val="000E06E8"/>
    <w:rPr>
      <w:snapToGrid w:val="0"/>
      <w:kern w:val="28"/>
    </w:rPr>
  </w:style>
  <w:style w:type="paragraph" w:styleId="CommentSubject">
    <w:name w:val="annotation subject"/>
    <w:basedOn w:val="CommentText"/>
    <w:next w:val="CommentText"/>
    <w:link w:val="CommentSubjectChar"/>
    <w:rsid w:val="000E06E8"/>
    <w:rPr>
      <w:b/>
      <w:bCs/>
    </w:rPr>
  </w:style>
  <w:style w:type="character" w:customStyle="1" w:styleId="CommentSubjectChar">
    <w:name w:val="Comment Subject Char"/>
    <w:link w:val="CommentSubject"/>
    <w:rsid w:val="000E06E8"/>
    <w:rPr>
      <w:b/>
      <w:bCs/>
      <w:snapToGrid w:val="0"/>
      <w:kern w:val="28"/>
    </w:rPr>
  </w:style>
  <w:style w:type="paragraph" w:customStyle="1" w:styleId="ColorfulShading-Accent11">
    <w:name w:val="Colorful Shading - Accent 11"/>
    <w:hidden/>
    <w:uiPriority w:val="71"/>
    <w:rsid w:val="00F60C09"/>
    <w:rPr>
      <w:snapToGrid w:val="0"/>
      <w:kern w:val="28"/>
      <w:sz w:val="22"/>
    </w:rPr>
  </w:style>
  <w:style w:type="paragraph" w:styleId="Revision">
    <w:name w:val="Revision"/>
    <w:hidden/>
    <w:uiPriority w:val="71"/>
    <w:rsid w:val="00A5398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4522">
      <w:bodyDiv w:val="1"/>
      <w:marLeft w:val="0"/>
      <w:marRight w:val="0"/>
      <w:marTop w:val="0"/>
      <w:marBottom w:val="0"/>
      <w:divBdr>
        <w:top w:val="none" w:sz="0" w:space="0" w:color="auto"/>
        <w:left w:val="none" w:sz="0" w:space="0" w:color="auto"/>
        <w:bottom w:val="none" w:sz="0" w:space="0" w:color="auto"/>
        <w:right w:val="none" w:sz="0" w:space="0" w:color="auto"/>
      </w:divBdr>
    </w:div>
    <w:div w:id="446235648">
      <w:bodyDiv w:val="1"/>
      <w:marLeft w:val="0"/>
      <w:marRight w:val="0"/>
      <w:marTop w:val="0"/>
      <w:marBottom w:val="0"/>
      <w:divBdr>
        <w:top w:val="none" w:sz="0" w:space="0" w:color="auto"/>
        <w:left w:val="none" w:sz="0" w:space="0" w:color="auto"/>
        <w:bottom w:val="none" w:sz="0" w:space="0" w:color="auto"/>
        <w:right w:val="none" w:sz="0" w:space="0" w:color="auto"/>
      </w:divBdr>
    </w:div>
    <w:div w:id="523135224">
      <w:bodyDiv w:val="1"/>
      <w:marLeft w:val="0"/>
      <w:marRight w:val="0"/>
      <w:marTop w:val="0"/>
      <w:marBottom w:val="0"/>
      <w:divBdr>
        <w:top w:val="none" w:sz="0" w:space="0" w:color="auto"/>
        <w:left w:val="none" w:sz="0" w:space="0" w:color="auto"/>
        <w:bottom w:val="none" w:sz="0" w:space="0" w:color="auto"/>
        <w:right w:val="none" w:sz="0" w:space="0" w:color="auto"/>
      </w:divBdr>
    </w:div>
    <w:div w:id="899899701">
      <w:bodyDiv w:val="1"/>
      <w:marLeft w:val="0"/>
      <w:marRight w:val="0"/>
      <w:marTop w:val="0"/>
      <w:marBottom w:val="0"/>
      <w:divBdr>
        <w:top w:val="none" w:sz="0" w:space="0" w:color="auto"/>
        <w:left w:val="none" w:sz="0" w:space="0" w:color="auto"/>
        <w:bottom w:val="none" w:sz="0" w:space="0" w:color="auto"/>
        <w:right w:val="none" w:sz="0" w:space="0" w:color="auto"/>
      </w:divBdr>
    </w:div>
    <w:div w:id="1884829178">
      <w:bodyDiv w:val="1"/>
      <w:marLeft w:val="0"/>
      <w:marRight w:val="0"/>
      <w:marTop w:val="0"/>
      <w:marBottom w:val="0"/>
      <w:divBdr>
        <w:top w:val="none" w:sz="0" w:space="0" w:color="auto"/>
        <w:left w:val="none" w:sz="0" w:space="0" w:color="auto"/>
        <w:bottom w:val="none" w:sz="0" w:space="0" w:color="auto"/>
        <w:right w:val="none" w:sz="0" w:space="0" w:color="auto"/>
      </w:divBdr>
    </w:div>
    <w:div w:id="211039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4514</Words>
  <Characters>25800</Characters>
  <Application>Microsoft Office Word</Application>
  <DocSecurity>0</DocSecurity>
  <Lines>474</Lines>
  <Paragraphs>138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30335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2014-04-25T14:13:00Z</cp:lastPrinted>
  <dcterms:created xsi:type="dcterms:W3CDTF">2014-12-05T19:31:00Z</dcterms:created>
  <dcterms:modified xsi:type="dcterms:W3CDTF">2014-12-05T19:31:00Z</dcterms:modified>
  <cp:category> </cp:category>
  <cp:contentStatus> </cp:contentStatus>
</cp:coreProperties>
</file>