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3E" w:rsidRPr="00DD257A" w:rsidRDefault="00DC033E" w:rsidP="00DC033E">
      <w:pPr>
        <w:jc w:val="right"/>
        <w:rPr>
          <w:b/>
          <w:szCs w:val="22"/>
        </w:rPr>
      </w:pPr>
      <w:bookmarkStart w:id="0" w:name="_GoBack"/>
      <w:bookmarkEnd w:id="0"/>
      <w:r w:rsidRPr="00DD257A">
        <w:rPr>
          <w:b/>
          <w:szCs w:val="22"/>
        </w:rPr>
        <w:t xml:space="preserve">DA </w:t>
      </w:r>
      <w:r w:rsidR="009E4A0E">
        <w:rPr>
          <w:b/>
          <w:szCs w:val="22"/>
        </w:rPr>
        <w:t>14</w:t>
      </w:r>
      <w:r w:rsidR="002476AA" w:rsidRPr="00DD257A">
        <w:rPr>
          <w:b/>
          <w:szCs w:val="22"/>
        </w:rPr>
        <w:t>-</w:t>
      </w:r>
      <w:r w:rsidR="009E4A0E">
        <w:rPr>
          <w:b/>
          <w:szCs w:val="22"/>
        </w:rPr>
        <w:t>1700</w:t>
      </w:r>
    </w:p>
    <w:p w:rsidR="00DC033E" w:rsidRPr="00DD257A" w:rsidRDefault="00DC033E" w:rsidP="00DC033E">
      <w:pPr>
        <w:jc w:val="right"/>
        <w:rPr>
          <w:b/>
          <w:szCs w:val="22"/>
        </w:rPr>
      </w:pPr>
      <w:r w:rsidRPr="00DD257A">
        <w:rPr>
          <w:b/>
          <w:szCs w:val="22"/>
        </w:rPr>
        <w:t xml:space="preserve">Released:  </w:t>
      </w:r>
      <w:r w:rsidR="00F7742E">
        <w:rPr>
          <w:b/>
          <w:szCs w:val="22"/>
        </w:rPr>
        <w:t>November 24</w:t>
      </w:r>
      <w:r w:rsidR="00F7742E" w:rsidRPr="00DD257A">
        <w:rPr>
          <w:b/>
          <w:szCs w:val="22"/>
        </w:rPr>
        <w:t xml:space="preserve">, </w:t>
      </w:r>
      <w:r w:rsidRPr="00DD257A">
        <w:rPr>
          <w:b/>
          <w:szCs w:val="22"/>
        </w:rPr>
        <w:t>201</w:t>
      </w:r>
      <w:r w:rsidR="008E68AD" w:rsidRPr="00DD257A">
        <w:rPr>
          <w:b/>
          <w:szCs w:val="22"/>
        </w:rPr>
        <w:t>4</w:t>
      </w:r>
    </w:p>
    <w:p w:rsidR="00DC033E" w:rsidRPr="007509D8" w:rsidRDefault="00DC033E" w:rsidP="00DC033E">
      <w:pPr>
        <w:rPr>
          <w:szCs w:val="22"/>
        </w:rPr>
      </w:pPr>
    </w:p>
    <w:p w:rsidR="00DC033E" w:rsidRPr="00DD257A" w:rsidRDefault="00DC033E" w:rsidP="00DC033E">
      <w:pPr>
        <w:spacing w:after="240"/>
        <w:jc w:val="center"/>
        <w:rPr>
          <w:b/>
          <w:caps/>
          <w:szCs w:val="22"/>
        </w:rPr>
      </w:pPr>
      <w:r w:rsidRPr="00DD257A">
        <w:rPr>
          <w:b/>
          <w:caps/>
          <w:szCs w:val="22"/>
        </w:rPr>
        <w:t xml:space="preserve">Consumer AND Governmental Affairs Bureau Seeks Comment on </w:t>
      </w:r>
      <w:r w:rsidR="003143C5" w:rsidRPr="00BE5D9C">
        <w:rPr>
          <w:b/>
          <w:caps/>
          <w:szCs w:val="22"/>
        </w:rPr>
        <w:br/>
      </w:r>
      <w:r w:rsidR="00731F75">
        <w:rPr>
          <w:b/>
          <w:caps/>
          <w:szCs w:val="22"/>
        </w:rPr>
        <w:t xml:space="preserve">ROBOCALLS AND </w:t>
      </w:r>
      <w:r w:rsidR="003143C5" w:rsidRPr="00BE5D9C">
        <w:rPr>
          <w:b/>
          <w:caps/>
          <w:szCs w:val="22"/>
        </w:rPr>
        <w:t xml:space="preserve">call-blocking issues raised by </w:t>
      </w:r>
      <w:r w:rsidR="00731F75">
        <w:rPr>
          <w:b/>
          <w:caps/>
          <w:szCs w:val="22"/>
        </w:rPr>
        <w:t>THE NATIONAL ASSOCIATION OF ATTORNEYS GENERAL</w:t>
      </w:r>
      <w:r w:rsidR="00B56F39">
        <w:rPr>
          <w:b/>
          <w:caps/>
          <w:szCs w:val="22"/>
        </w:rPr>
        <w:t xml:space="preserve"> </w:t>
      </w:r>
      <w:r w:rsidR="00731F75">
        <w:rPr>
          <w:b/>
          <w:caps/>
          <w:szCs w:val="22"/>
        </w:rPr>
        <w:t xml:space="preserve">ON BEHALF OF </w:t>
      </w:r>
      <w:r w:rsidR="00BC4FD3" w:rsidRPr="00BE5D9C">
        <w:rPr>
          <w:b/>
          <w:caps/>
          <w:szCs w:val="22"/>
        </w:rPr>
        <w:t xml:space="preserve">thirty-nine </w:t>
      </w:r>
      <w:r w:rsidR="003143C5" w:rsidRPr="00032D17">
        <w:rPr>
          <w:b/>
          <w:caps/>
          <w:szCs w:val="22"/>
        </w:rPr>
        <w:t>attorneys general</w:t>
      </w:r>
    </w:p>
    <w:p w:rsidR="00DC033E" w:rsidRDefault="00DC033E" w:rsidP="00DC033E">
      <w:pPr>
        <w:jc w:val="center"/>
        <w:rPr>
          <w:b/>
          <w:szCs w:val="22"/>
        </w:rPr>
      </w:pPr>
      <w:r w:rsidRPr="00BE5D9C">
        <w:rPr>
          <w:b/>
          <w:szCs w:val="22"/>
        </w:rPr>
        <w:t xml:space="preserve">CG Docket No. </w:t>
      </w:r>
      <w:r w:rsidR="00D0720A" w:rsidRPr="00BE5D9C">
        <w:rPr>
          <w:b/>
          <w:szCs w:val="22"/>
        </w:rPr>
        <w:t>02-278</w:t>
      </w:r>
    </w:p>
    <w:p w:rsidR="00DD1085" w:rsidRPr="00032D17" w:rsidRDefault="00DD1085" w:rsidP="00DC033E">
      <w:pPr>
        <w:jc w:val="center"/>
        <w:rPr>
          <w:b/>
          <w:szCs w:val="22"/>
        </w:rPr>
      </w:pPr>
      <w:r>
        <w:rPr>
          <w:b/>
          <w:szCs w:val="22"/>
        </w:rPr>
        <w:t>WC Docket No. 07-135</w:t>
      </w:r>
    </w:p>
    <w:p w:rsidR="00DC033E" w:rsidRPr="00381B30" w:rsidRDefault="00DC033E" w:rsidP="00DC033E">
      <w:pPr>
        <w:jc w:val="center"/>
        <w:rPr>
          <w:szCs w:val="22"/>
        </w:rPr>
      </w:pPr>
    </w:p>
    <w:p w:rsidR="00DC033E" w:rsidRPr="00F7742E" w:rsidRDefault="00DC033E" w:rsidP="00DC033E">
      <w:pPr>
        <w:pStyle w:val="Heading3"/>
        <w:numPr>
          <w:ilvl w:val="0"/>
          <w:numId w:val="0"/>
        </w:numPr>
        <w:spacing w:after="0"/>
        <w:rPr>
          <w:b w:val="0"/>
          <w:szCs w:val="22"/>
        </w:rPr>
      </w:pPr>
      <w:r w:rsidRPr="00C102D0">
        <w:rPr>
          <w:b w:val="0"/>
          <w:szCs w:val="22"/>
        </w:rPr>
        <w:t xml:space="preserve">Comment Date:  </w:t>
      </w:r>
      <w:r w:rsidR="00F7742E" w:rsidRPr="00F7742E">
        <w:rPr>
          <w:b w:val="0"/>
          <w:szCs w:val="22"/>
        </w:rPr>
        <w:t>December 24</w:t>
      </w:r>
      <w:r w:rsidRPr="00F7742E">
        <w:rPr>
          <w:b w:val="0"/>
          <w:szCs w:val="22"/>
        </w:rPr>
        <w:t xml:space="preserve">, </w:t>
      </w:r>
      <w:r w:rsidR="00D7484B" w:rsidRPr="00F7742E">
        <w:rPr>
          <w:b w:val="0"/>
          <w:szCs w:val="22"/>
        </w:rPr>
        <w:t>2014</w:t>
      </w:r>
    </w:p>
    <w:p w:rsidR="00DC033E" w:rsidRPr="00BE7922" w:rsidRDefault="00DC033E" w:rsidP="00DC033E">
      <w:pPr>
        <w:rPr>
          <w:szCs w:val="22"/>
        </w:rPr>
      </w:pPr>
      <w:r w:rsidRPr="00F7742E">
        <w:rPr>
          <w:szCs w:val="22"/>
        </w:rPr>
        <w:t xml:space="preserve">Reply Comment Date:  </w:t>
      </w:r>
      <w:r w:rsidR="00F7742E" w:rsidRPr="00F7742E">
        <w:rPr>
          <w:szCs w:val="22"/>
        </w:rPr>
        <w:t>January 8, 2015</w:t>
      </w:r>
    </w:p>
    <w:p w:rsidR="00DC033E" w:rsidRPr="00CC37AD" w:rsidRDefault="00DC033E" w:rsidP="00DC033E">
      <w:pPr>
        <w:rPr>
          <w:b/>
          <w:szCs w:val="22"/>
        </w:rPr>
      </w:pPr>
    </w:p>
    <w:p w:rsidR="00331B7A" w:rsidRPr="00DD257A" w:rsidRDefault="00731F75" w:rsidP="000263DD">
      <w:pPr>
        <w:autoSpaceDE w:val="0"/>
        <w:autoSpaceDN w:val="0"/>
        <w:adjustRightInd w:val="0"/>
        <w:ind w:firstLine="720"/>
        <w:rPr>
          <w:szCs w:val="22"/>
        </w:rPr>
      </w:pPr>
      <w:r>
        <w:rPr>
          <w:szCs w:val="22"/>
        </w:rPr>
        <w:t>I</w:t>
      </w:r>
      <w:r w:rsidR="00331B7A" w:rsidRPr="007509D8">
        <w:rPr>
          <w:szCs w:val="22"/>
        </w:rPr>
        <w:t xml:space="preserve">n a letter from </w:t>
      </w:r>
      <w:r>
        <w:rPr>
          <w:szCs w:val="22"/>
        </w:rPr>
        <w:t xml:space="preserve">the National Association of Attorneys General, </w:t>
      </w:r>
      <w:r w:rsidR="00EF51E4" w:rsidRPr="007509D8">
        <w:rPr>
          <w:szCs w:val="22"/>
        </w:rPr>
        <w:t xml:space="preserve">thirty-nine </w:t>
      </w:r>
      <w:r>
        <w:rPr>
          <w:szCs w:val="22"/>
        </w:rPr>
        <w:t>A</w:t>
      </w:r>
      <w:r w:rsidR="00331B7A" w:rsidRPr="007509D8">
        <w:rPr>
          <w:szCs w:val="22"/>
        </w:rPr>
        <w:t xml:space="preserve">ttorneys </w:t>
      </w:r>
      <w:r>
        <w:rPr>
          <w:szCs w:val="22"/>
        </w:rPr>
        <w:t>G</w:t>
      </w:r>
      <w:r w:rsidR="00331B7A" w:rsidRPr="007509D8">
        <w:rPr>
          <w:szCs w:val="22"/>
        </w:rPr>
        <w:t>eneral</w:t>
      </w:r>
      <w:r w:rsidR="00B56F39">
        <w:rPr>
          <w:szCs w:val="22"/>
        </w:rPr>
        <w:t xml:space="preserve"> </w:t>
      </w:r>
      <w:r>
        <w:rPr>
          <w:szCs w:val="22"/>
        </w:rPr>
        <w:t xml:space="preserve">writing “on behalf of the millions of Americans regularly receiving unwanted and harassing telemarketing calls,” </w:t>
      </w:r>
      <w:r w:rsidR="00331B7A" w:rsidRPr="007509D8">
        <w:rPr>
          <w:szCs w:val="22"/>
        </w:rPr>
        <w:t xml:space="preserve">ask the Commission </w:t>
      </w:r>
      <w:r w:rsidR="0012027C">
        <w:rPr>
          <w:szCs w:val="22"/>
        </w:rPr>
        <w:t xml:space="preserve">for </w:t>
      </w:r>
      <w:r w:rsidR="00331B7A" w:rsidRPr="007509D8">
        <w:rPr>
          <w:szCs w:val="22"/>
        </w:rPr>
        <w:t xml:space="preserve">an opinion on </w:t>
      </w:r>
      <w:r w:rsidR="00575960" w:rsidRPr="007509D8">
        <w:rPr>
          <w:szCs w:val="22"/>
        </w:rPr>
        <w:t>three</w:t>
      </w:r>
      <w:r w:rsidR="00331B7A" w:rsidRPr="007509D8">
        <w:rPr>
          <w:szCs w:val="22"/>
        </w:rPr>
        <w:t xml:space="preserve"> issues regarding telephone </w:t>
      </w:r>
      <w:r w:rsidR="003307AF">
        <w:rPr>
          <w:szCs w:val="22"/>
        </w:rPr>
        <w:t>providers’</w:t>
      </w:r>
      <w:r w:rsidR="003307AF" w:rsidRPr="007509D8">
        <w:rPr>
          <w:szCs w:val="22"/>
        </w:rPr>
        <w:t xml:space="preserve"> </w:t>
      </w:r>
      <w:r w:rsidR="00331B7A" w:rsidRPr="007509D8">
        <w:rPr>
          <w:szCs w:val="22"/>
        </w:rPr>
        <w:t>legal ability to implement call-blocking technology</w:t>
      </w:r>
      <w:r w:rsidR="006719CF">
        <w:rPr>
          <w:szCs w:val="22"/>
        </w:rPr>
        <w:t xml:space="preserve"> as a means of addressing unwanted telemarketing calls</w:t>
      </w:r>
      <w:r w:rsidR="00331B7A" w:rsidRPr="007509D8">
        <w:rPr>
          <w:szCs w:val="22"/>
        </w:rPr>
        <w:t>.</w:t>
      </w:r>
      <w:r w:rsidR="00231A59" w:rsidRPr="00DD257A">
        <w:rPr>
          <w:rStyle w:val="FootnoteReference"/>
          <w:szCs w:val="22"/>
        </w:rPr>
        <w:footnoteReference w:id="2"/>
      </w:r>
      <w:r w:rsidR="00231A59" w:rsidRPr="00DD257A">
        <w:rPr>
          <w:szCs w:val="22"/>
        </w:rPr>
        <w:t xml:space="preserve">  </w:t>
      </w:r>
      <w:r w:rsidR="00E745BE" w:rsidRPr="007509D8">
        <w:rPr>
          <w:szCs w:val="22"/>
        </w:rPr>
        <w:t xml:space="preserve">With this Public Notice, we seek comment on </w:t>
      </w:r>
      <w:r w:rsidR="00E745BE">
        <w:rPr>
          <w:szCs w:val="22"/>
        </w:rPr>
        <w:t xml:space="preserve">the </w:t>
      </w:r>
      <w:r w:rsidR="00E745BE" w:rsidRPr="007509D8">
        <w:rPr>
          <w:szCs w:val="22"/>
        </w:rPr>
        <w:t>issues raised</w:t>
      </w:r>
      <w:r w:rsidR="00E745BE">
        <w:rPr>
          <w:szCs w:val="22"/>
        </w:rPr>
        <w:t xml:space="preserve"> by the Attorneys General.</w:t>
      </w:r>
    </w:p>
    <w:p w:rsidR="000263DD" w:rsidRPr="00BE5D9C" w:rsidRDefault="000263DD" w:rsidP="00715B50">
      <w:pPr>
        <w:autoSpaceDE w:val="0"/>
        <w:autoSpaceDN w:val="0"/>
        <w:adjustRightInd w:val="0"/>
        <w:ind w:firstLine="720"/>
        <w:rPr>
          <w:szCs w:val="22"/>
        </w:rPr>
      </w:pPr>
    </w:p>
    <w:p w:rsidR="006D6140" w:rsidRPr="00DD257A" w:rsidRDefault="00E745BE" w:rsidP="006D6140">
      <w:pPr>
        <w:autoSpaceDE w:val="0"/>
        <w:autoSpaceDN w:val="0"/>
        <w:adjustRightInd w:val="0"/>
        <w:ind w:firstLine="720"/>
        <w:rPr>
          <w:szCs w:val="22"/>
        </w:rPr>
      </w:pPr>
      <w:r>
        <w:rPr>
          <w:szCs w:val="22"/>
        </w:rPr>
        <w:t>Specifically, t</w:t>
      </w:r>
      <w:r w:rsidR="006D6140" w:rsidRPr="00BE5D9C">
        <w:rPr>
          <w:szCs w:val="22"/>
        </w:rPr>
        <w:t xml:space="preserve">he </w:t>
      </w:r>
      <w:r>
        <w:rPr>
          <w:szCs w:val="22"/>
        </w:rPr>
        <w:t>A</w:t>
      </w:r>
      <w:r w:rsidR="006D6140" w:rsidRPr="00BE5D9C">
        <w:rPr>
          <w:szCs w:val="22"/>
        </w:rPr>
        <w:t xml:space="preserve">ttorneys </w:t>
      </w:r>
      <w:r>
        <w:rPr>
          <w:szCs w:val="22"/>
        </w:rPr>
        <w:t>G</w:t>
      </w:r>
      <w:r w:rsidR="006D6140" w:rsidRPr="00BE5D9C">
        <w:rPr>
          <w:szCs w:val="22"/>
        </w:rPr>
        <w:t xml:space="preserve">eneral </w:t>
      </w:r>
      <w:r w:rsidR="00032D17">
        <w:rPr>
          <w:szCs w:val="22"/>
        </w:rPr>
        <w:t xml:space="preserve">request a formal Commission opinion on </w:t>
      </w:r>
      <w:r w:rsidR="006D6140" w:rsidRPr="00BE5D9C">
        <w:rPr>
          <w:szCs w:val="22"/>
        </w:rPr>
        <w:t xml:space="preserve">three </w:t>
      </w:r>
      <w:r w:rsidR="0012027C">
        <w:rPr>
          <w:szCs w:val="22"/>
        </w:rPr>
        <w:t xml:space="preserve">categories </w:t>
      </w:r>
      <w:r w:rsidR="006D6140" w:rsidRPr="00BE5D9C">
        <w:rPr>
          <w:szCs w:val="22"/>
        </w:rPr>
        <w:t>of questions</w:t>
      </w:r>
      <w:r w:rsidR="006D6140" w:rsidRPr="00DD257A">
        <w:rPr>
          <w:szCs w:val="22"/>
        </w:rPr>
        <w:t>:</w:t>
      </w:r>
      <w:r w:rsidR="00894CBD" w:rsidRPr="00DD257A">
        <w:rPr>
          <w:rStyle w:val="FootnoteReference"/>
          <w:szCs w:val="22"/>
        </w:rPr>
        <w:footnoteReference w:id="3"/>
      </w:r>
    </w:p>
    <w:p w:rsidR="006D6140" w:rsidRPr="00BE5D9C" w:rsidRDefault="006D6140" w:rsidP="006D6140">
      <w:pPr>
        <w:autoSpaceDE w:val="0"/>
        <w:autoSpaceDN w:val="0"/>
        <w:adjustRightInd w:val="0"/>
        <w:rPr>
          <w:szCs w:val="22"/>
        </w:rPr>
      </w:pPr>
    </w:p>
    <w:p w:rsidR="005D790A" w:rsidRDefault="00220612" w:rsidP="00137F0B">
      <w:pPr>
        <w:autoSpaceDE w:val="0"/>
        <w:autoSpaceDN w:val="0"/>
        <w:adjustRightInd w:val="0"/>
        <w:ind w:left="1440"/>
        <w:rPr>
          <w:szCs w:val="22"/>
        </w:rPr>
      </w:pPr>
      <w:r w:rsidRPr="007509D8">
        <w:rPr>
          <w:szCs w:val="22"/>
        </w:rPr>
        <w:t xml:space="preserve">1) </w:t>
      </w:r>
      <w:r w:rsidR="006D6140" w:rsidRPr="007509D8">
        <w:rPr>
          <w:szCs w:val="22"/>
        </w:rPr>
        <w:t xml:space="preserve">What </w:t>
      </w:r>
      <w:r w:rsidR="006D6140" w:rsidRPr="007509D8">
        <w:rPr>
          <w:iCs/>
          <w:szCs w:val="22"/>
        </w:rPr>
        <w:t>legal and/or regulatory</w:t>
      </w:r>
      <w:r w:rsidR="006D6140" w:rsidRPr="007509D8">
        <w:rPr>
          <w:i/>
          <w:iCs/>
          <w:szCs w:val="22"/>
        </w:rPr>
        <w:t xml:space="preserve"> </w:t>
      </w:r>
      <w:r w:rsidR="006D6140" w:rsidRPr="007509D8">
        <w:rPr>
          <w:szCs w:val="22"/>
        </w:rPr>
        <w:t>prohibitions, if any, prevent telephone carriers</w:t>
      </w:r>
      <w:r w:rsidR="00082322">
        <w:rPr>
          <w:rStyle w:val="FootnoteReference"/>
          <w:szCs w:val="22"/>
        </w:rPr>
        <w:footnoteReference w:id="4"/>
      </w:r>
      <w:r w:rsidR="006D6140" w:rsidRPr="007509D8">
        <w:rPr>
          <w:szCs w:val="22"/>
        </w:rPr>
        <w:t xml:space="preserve"> from implementing call-blocking technology?</w:t>
      </w:r>
      <w:r w:rsidR="00894CBD" w:rsidRPr="00DD257A">
        <w:rPr>
          <w:rStyle w:val="FootnoteReference"/>
          <w:szCs w:val="22"/>
        </w:rPr>
        <w:footnoteReference w:id="5"/>
      </w:r>
      <w:r w:rsidRPr="00DD257A">
        <w:rPr>
          <w:szCs w:val="22"/>
        </w:rPr>
        <w:t xml:space="preserve"> </w:t>
      </w:r>
      <w:r w:rsidR="006D6140" w:rsidRPr="007509D8">
        <w:rPr>
          <w:szCs w:val="22"/>
        </w:rPr>
        <w:t xml:space="preserve"> Does the answer change if the telephone </w:t>
      </w:r>
      <w:r w:rsidR="006D6140" w:rsidRPr="007509D8">
        <w:rPr>
          <w:szCs w:val="22"/>
        </w:rPr>
        <w:lastRenderedPageBreak/>
        <w:t>companies’ customers affirmatively “opt into” the call-blocking technology (either for a fee or as a free service)?</w:t>
      </w:r>
      <w:r w:rsidR="005D790A" w:rsidRPr="00DD257A">
        <w:rPr>
          <w:szCs w:val="22"/>
        </w:rPr>
        <w:t xml:space="preserve"> </w:t>
      </w:r>
    </w:p>
    <w:p w:rsidR="007509D8" w:rsidRPr="00BE5D9C" w:rsidRDefault="007509D8" w:rsidP="00137F0B">
      <w:pPr>
        <w:autoSpaceDE w:val="0"/>
        <w:autoSpaceDN w:val="0"/>
        <w:adjustRightInd w:val="0"/>
        <w:ind w:left="1440"/>
        <w:rPr>
          <w:szCs w:val="22"/>
        </w:rPr>
      </w:pPr>
    </w:p>
    <w:p w:rsidR="005D790A" w:rsidRPr="007509D8" w:rsidRDefault="00894CBD" w:rsidP="00137F0B">
      <w:pPr>
        <w:pStyle w:val="Default"/>
        <w:ind w:left="1440"/>
        <w:rPr>
          <w:rFonts w:ascii="Times New Roman" w:hAnsi="Times New Roman" w:cs="Times New Roman"/>
          <w:sz w:val="22"/>
          <w:szCs w:val="22"/>
        </w:rPr>
      </w:pPr>
      <w:r w:rsidRPr="007509D8">
        <w:rPr>
          <w:rFonts w:ascii="Times New Roman" w:hAnsi="Times New Roman" w:cs="Times New Roman"/>
          <w:sz w:val="22"/>
          <w:szCs w:val="22"/>
        </w:rPr>
        <w:t xml:space="preserve">2) </w:t>
      </w:r>
      <w:r w:rsidR="00477001" w:rsidRPr="007509D8">
        <w:rPr>
          <w:rFonts w:ascii="Times New Roman" w:hAnsi="Times New Roman" w:cs="Times New Roman"/>
          <w:sz w:val="22"/>
          <w:szCs w:val="22"/>
        </w:rPr>
        <w:t xml:space="preserve">US Telecom claims that telephone carriers “can and do block harassing and annoying telephone traffic at their end-user customer’s request,” but only for a “discrete set of specific phone numbers.” </w:t>
      </w:r>
      <w:r w:rsidR="007509D8">
        <w:rPr>
          <w:rFonts w:ascii="Times New Roman" w:hAnsi="Times New Roman" w:cs="Times New Roman"/>
          <w:sz w:val="22"/>
          <w:szCs w:val="22"/>
        </w:rPr>
        <w:t xml:space="preserve"> </w:t>
      </w:r>
      <w:r w:rsidRPr="007509D8">
        <w:rPr>
          <w:rFonts w:ascii="Times New Roman" w:hAnsi="Times New Roman" w:cs="Times New Roman"/>
          <w:sz w:val="22"/>
          <w:szCs w:val="22"/>
        </w:rPr>
        <w:t>At a customer’s request, can telephone carriers legally block certain types of calls (</w:t>
      </w:r>
      <w:r w:rsidRPr="007509D8">
        <w:rPr>
          <w:rFonts w:ascii="Times New Roman" w:hAnsi="Times New Roman" w:cs="Times New Roman"/>
          <w:i/>
          <w:iCs/>
          <w:sz w:val="22"/>
          <w:szCs w:val="22"/>
        </w:rPr>
        <w:t>e.g</w:t>
      </w:r>
      <w:r w:rsidRPr="007509D8">
        <w:rPr>
          <w:rFonts w:ascii="Times New Roman" w:hAnsi="Times New Roman" w:cs="Times New Roman"/>
          <w:sz w:val="22"/>
          <w:szCs w:val="22"/>
        </w:rPr>
        <w:t>., telemarketing calls) if technology is able to identify incoming calls as originating or probably originating from a telemarketer?</w:t>
      </w:r>
    </w:p>
    <w:p w:rsidR="00331B7A" w:rsidRPr="00DD257A" w:rsidRDefault="00331B7A" w:rsidP="00137F0B">
      <w:pPr>
        <w:autoSpaceDE w:val="0"/>
        <w:autoSpaceDN w:val="0"/>
        <w:adjustRightInd w:val="0"/>
        <w:ind w:left="720" w:firstLine="720"/>
        <w:rPr>
          <w:szCs w:val="22"/>
        </w:rPr>
      </w:pPr>
    </w:p>
    <w:p w:rsidR="00A9455C" w:rsidRPr="00DD257A" w:rsidRDefault="00894CBD" w:rsidP="00137F0B">
      <w:pPr>
        <w:autoSpaceDE w:val="0"/>
        <w:autoSpaceDN w:val="0"/>
        <w:adjustRightInd w:val="0"/>
        <w:ind w:left="1440"/>
        <w:rPr>
          <w:szCs w:val="22"/>
        </w:rPr>
      </w:pPr>
      <w:r w:rsidRPr="00DD257A">
        <w:rPr>
          <w:szCs w:val="22"/>
        </w:rPr>
        <w:t xml:space="preserve">3) </w:t>
      </w:r>
      <w:r w:rsidRPr="007509D8">
        <w:rPr>
          <w:szCs w:val="22"/>
        </w:rPr>
        <w:t xml:space="preserve">US Telecom describes the FCC’s position as “strict oversight in ensuring the unimpeded delivery of telecommunications traffic.” </w:t>
      </w:r>
      <w:r w:rsidR="007509D8">
        <w:rPr>
          <w:szCs w:val="22"/>
        </w:rPr>
        <w:t xml:space="preserve"> </w:t>
      </w:r>
      <w:r w:rsidRPr="007509D8">
        <w:rPr>
          <w:szCs w:val="22"/>
        </w:rPr>
        <w:t xml:space="preserve">Is US Telecom’s characterization of the FCC’s position accurate? </w:t>
      </w:r>
      <w:r w:rsidR="007509D8">
        <w:rPr>
          <w:szCs w:val="22"/>
        </w:rPr>
        <w:t xml:space="preserve"> </w:t>
      </w:r>
      <w:r w:rsidRPr="007509D8">
        <w:rPr>
          <w:szCs w:val="22"/>
        </w:rPr>
        <w:t>If so, upon what basis does the FCC claim that telephone carriers may not “block, choke, reduce or restrict telecommunications traffic in any way”?</w:t>
      </w:r>
    </w:p>
    <w:p w:rsidR="00A9455C" w:rsidRPr="00BE5D9C" w:rsidRDefault="00A9455C" w:rsidP="00715B50">
      <w:pPr>
        <w:autoSpaceDE w:val="0"/>
        <w:autoSpaceDN w:val="0"/>
        <w:adjustRightInd w:val="0"/>
        <w:ind w:firstLine="720"/>
        <w:rPr>
          <w:szCs w:val="22"/>
        </w:rPr>
      </w:pPr>
    </w:p>
    <w:p w:rsidR="00F76F51" w:rsidRPr="00032D17" w:rsidRDefault="0012027C" w:rsidP="00137F0B">
      <w:pPr>
        <w:autoSpaceDE w:val="0"/>
        <w:autoSpaceDN w:val="0"/>
        <w:adjustRightInd w:val="0"/>
        <w:ind w:firstLine="720"/>
        <w:rPr>
          <w:szCs w:val="22"/>
        </w:rPr>
      </w:pPr>
      <w:r w:rsidRPr="0012027C">
        <w:rPr>
          <w:szCs w:val="22"/>
        </w:rPr>
        <w:t xml:space="preserve">The </w:t>
      </w:r>
      <w:r w:rsidR="00666729">
        <w:rPr>
          <w:szCs w:val="22"/>
        </w:rPr>
        <w:t>A</w:t>
      </w:r>
      <w:r w:rsidRPr="0012027C">
        <w:rPr>
          <w:szCs w:val="22"/>
        </w:rPr>
        <w:t xml:space="preserve">ttorneys </w:t>
      </w:r>
      <w:r w:rsidR="00666729">
        <w:rPr>
          <w:szCs w:val="22"/>
        </w:rPr>
        <w:t>G</w:t>
      </w:r>
      <w:r w:rsidRPr="0012027C">
        <w:rPr>
          <w:szCs w:val="22"/>
        </w:rPr>
        <w:t>eneral note that at a July 2013 hearing before the U.S. Senate Subcommittee on Consumer Protection, Product Safety, and Insurance, representatives from US Telecom Association and CTIA-The Wireless Association (CTIA), testified that “legal barriers prevent[] carriers from implementing advanced call-blocking technology to reduce the number of unwanted telemarketing calls.”</w:t>
      </w:r>
      <w:r w:rsidR="00B5547F">
        <w:rPr>
          <w:rStyle w:val="FootnoteReference"/>
          <w:szCs w:val="22"/>
        </w:rPr>
        <w:footnoteReference w:id="6"/>
      </w:r>
      <w:r w:rsidRPr="0012027C">
        <w:rPr>
          <w:szCs w:val="22"/>
        </w:rPr>
        <w:t xml:space="preserve"> </w:t>
      </w:r>
      <w:r w:rsidR="00B5547F">
        <w:rPr>
          <w:szCs w:val="22"/>
        </w:rPr>
        <w:t xml:space="preserve"> </w:t>
      </w:r>
      <w:r w:rsidR="00477001" w:rsidRPr="00BE5D9C">
        <w:rPr>
          <w:szCs w:val="22"/>
        </w:rPr>
        <w:t xml:space="preserve">We </w:t>
      </w:r>
      <w:r w:rsidR="00341C66" w:rsidRPr="00BE5D9C">
        <w:rPr>
          <w:szCs w:val="22"/>
        </w:rPr>
        <w:t>seek comment on the</w:t>
      </w:r>
      <w:r w:rsidR="00894CBD" w:rsidRPr="00BE5D9C">
        <w:rPr>
          <w:szCs w:val="22"/>
        </w:rPr>
        <w:t xml:space="preserve">se </w:t>
      </w:r>
      <w:r w:rsidR="00F76F51" w:rsidRPr="00BE5D9C">
        <w:rPr>
          <w:szCs w:val="22"/>
        </w:rPr>
        <w:t xml:space="preserve">questions </w:t>
      </w:r>
      <w:r w:rsidR="00894CBD" w:rsidRPr="00BE5D9C">
        <w:rPr>
          <w:szCs w:val="22"/>
        </w:rPr>
        <w:t>and related</w:t>
      </w:r>
      <w:r w:rsidR="00F76F51" w:rsidRPr="00BE5D9C">
        <w:rPr>
          <w:szCs w:val="22"/>
        </w:rPr>
        <w:t xml:space="preserve"> issues</w:t>
      </w:r>
      <w:r w:rsidR="00341C66" w:rsidRPr="00032D17">
        <w:rPr>
          <w:szCs w:val="22"/>
        </w:rPr>
        <w:t xml:space="preserve">.  </w:t>
      </w:r>
    </w:p>
    <w:p w:rsidR="00F76F51" w:rsidRPr="00381B30" w:rsidRDefault="00F76F51" w:rsidP="00340B95">
      <w:pPr>
        <w:autoSpaceDE w:val="0"/>
        <w:autoSpaceDN w:val="0"/>
        <w:adjustRightInd w:val="0"/>
        <w:ind w:firstLine="720"/>
        <w:rPr>
          <w:szCs w:val="22"/>
        </w:rPr>
      </w:pPr>
    </w:p>
    <w:p w:rsidR="00723A1A" w:rsidRDefault="0012027C" w:rsidP="00340B95">
      <w:pPr>
        <w:autoSpaceDE w:val="0"/>
        <w:autoSpaceDN w:val="0"/>
        <w:adjustRightInd w:val="0"/>
        <w:ind w:firstLine="720"/>
        <w:rPr>
          <w:szCs w:val="22"/>
        </w:rPr>
      </w:pPr>
      <w:r>
        <w:rPr>
          <w:szCs w:val="22"/>
        </w:rPr>
        <w:t xml:space="preserve">By way of background, </w:t>
      </w:r>
      <w:r w:rsidR="00A56C82">
        <w:rPr>
          <w:szCs w:val="22"/>
        </w:rPr>
        <w:t>the Commission has long prohibited call blocking in particular contexts pursuant to its authority under the Communications Act of 1934, as amended.  For example, it has prohibited carriers from blocking calls handled by other carriers for abusive or anticompetitive reasons,</w:t>
      </w:r>
      <w:r w:rsidR="00A56C82">
        <w:rPr>
          <w:rStyle w:val="FootnoteReference"/>
          <w:szCs w:val="22"/>
        </w:rPr>
        <w:footnoteReference w:id="7"/>
      </w:r>
      <w:r w:rsidR="00A56C82" w:rsidRPr="00032D17">
        <w:rPr>
          <w:szCs w:val="22"/>
        </w:rPr>
        <w:t xml:space="preserve"> </w:t>
      </w:r>
      <w:r w:rsidR="00A56C82">
        <w:rPr>
          <w:szCs w:val="22"/>
        </w:rPr>
        <w:t xml:space="preserve">in part because such conduct can harm consumers.  We seek comment </w:t>
      </w:r>
      <w:r w:rsidR="00F943FC">
        <w:rPr>
          <w:szCs w:val="22"/>
        </w:rPr>
        <w:t xml:space="preserve">generally </w:t>
      </w:r>
      <w:r w:rsidR="00A56C82">
        <w:rPr>
          <w:szCs w:val="22"/>
        </w:rPr>
        <w:t xml:space="preserve">on whether there are additional sources of Commission authority to prohibit call blocking, and on </w:t>
      </w:r>
      <w:r w:rsidR="00F943FC">
        <w:rPr>
          <w:szCs w:val="22"/>
        </w:rPr>
        <w:t>the scope of that authority</w:t>
      </w:r>
      <w:r w:rsidR="00A56C82">
        <w:rPr>
          <w:szCs w:val="22"/>
        </w:rPr>
        <w:t>.</w:t>
      </w:r>
      <w:r w:rsidR="001F64CD">
        <w:rPr>
          <w:szCs w:val="22"/>
        </w:rPr>
        <w:t xml:space="preserve"> </w:t>
      </w:r>
      <w:r w:rsidR="006A0D0D">
        <w:rPr>
          <w:szCs w:val="22"/>
        </w:rPr>
        <w:t xml:space="preserve"> </w:t>
      </w:r>
      <w:r w:rsidR="00E035F9">
        <w:rPr>
          <w:szCs w:val="22"/>
        </w:rPr>
        <w:t>We also seek</w:t>
      </w:r>
      <w:r w:rsidR="006A0D0D">
        <w:rPr>
          <w:szCs w:val="22"/>
        </w:rPr>
        <w:t xml:space="preserve"> comment on whether and to what extent our prior precedent and applicable statutory provisions regarding call blocking applies to call blocking technologies now on the market or under development.</w:t>
      </w:r>
    </w:p>
    <w:p w:rsidR="00723A1A" w:rsidRDefault="00723A1A" w:rsidP="00340B95">
      <w:pPr>
        <w:autoSpaceDE w:val="0"/>
        <w:autoSpaceDN w:val="0"/>
        <w:adjustRightInd w:val="0"/>
        <w:ind w:firstLine="720"/>
        <w:rPr>
          <w:szCs w:val="22"/>
        </w:rPr>
      </w:pPr>
    </w:p>
    <w:p w:rsidR="00E537B8" w:rsidRDefault="00137F0B" w:rsidP="00340B95">
      <w:pPr>
        <w:autoSpaceDE w:val="0"/>
        <w:autoSpaceDN w:val="0"/>
        <w:adjustRightInd w:val="0"/>
        <w:ind w:firstLine="720"/>
        <w:rPr>
          <w:szCs w:val="22"/>
        </w:rPr>
      </w:pPr>
      <w:r>
        <w:rPr>
          <w:szCs w:val="22"/>
        </w:rPr>
        <w:t>While the Commission has stated that, “except in rare circumstances,” it “does not allow carriers to engage in call blocking,”</w:t>
      </w:r>
      <w:r>
        <w:rPr>
          <w:rStyle w:val="FootnoteReference"/>
          <w:szCs w:val="22"/>
        </w:rPr>
        <w:footnoteReference w:id="8"/>
      </w:r>
      <w:r>
        <w:rPr>
          <w:szCs w:val="22"/>
        </w:rPr>
        <w:t xml:space="preserve"> </w:t>
      </w:r>
      <w:r w:rsidR="00CD0A3D">
        <w:rPr>
          <w:szCs w:val="22"/>
        </w:rPr>
        <w:t xml:space="preserve">it has </w:t>
      </w:r>
      <w:r w:rsidR="001622B0">
        <w:rPr>
          <w:szCs w:val="22"/>
        </w:rPr>
        <w:t>not</w:t>
      </w:r>
      <w:r>
        <w:rPr>
          <w:szCs w:val="22"/>
        </w:rPr>
        <w:t xml:space="preserve"> directly</w:t>
      </w:r>
      <w:r w:rsidR="00CD0A3D">
        <w:rPr>
          <w:szCs w:val="22"/>
        </w:rPr>
        <w:t xml:space="preserve"> held that blocking calls upon customer request is unlawful.</w:t>
      </w:r>
      <w:r w:rsidR="00A02D28" w:rsidRPr="00032D17">
        <w:rPr>
          <w:szCs w:val="22"/>
        </w:rPr>
        <w:t xml:space="preserve"> </w:t>
      </w:r>
      <w:r w:rsidR="00CD0A3D">
        <w:rPr>
          <w:szCs w:val="22"/>
        </w:rPr>
        <w:t xml:space="preserve"> Indeed, </w:t>
      </w:r>
      <w:r w:rsidR="00340B95" w:rsidRPr="00BE5D9C">
        <w:rPr>
          <w:szCs w:val="22"/>
        </w:rPr>
        <w:t xml:space="preserve">the Commission </w:t>
      </w:r>
      <w:r w:rsidR="00CD0A3D">
        <w:rPr>
          <w:szCs w:val="22"/>
        </w:rPr>
        <w:t>has</w:t>
      </w:r>
      <w:r w:rsidR="00314950" w:rsidRPr="00BE5D9C">
        <w:rPr>
          <w:szCs w:val="22"/>
        </w:rPr>
        <w:t xml:space="preserve"> </w:t>
      </w:r>
      <w:r w:rsidR="00AA795C" w:rsidRPr="00BE5D9C">
        <w:rPr>
          <w:szCs w:val="22"/>
        </w:rPr>
        <w:t>recogniz</w:t>
      </w:r>
      <w:r w:rsidR="00340B95" w:rsidRPr="00BE5D9C">
        <w:rPr>
          <w:szCs w:val="22"/>
        </w:rPr>
        <w:t>ed</w:t>
      </w:r>
      <w:r w:rsidR="00AA795C" w:rsidRPr="00BE5D9C">
        <w:rPr>
          <w:szCs w:val="22"/>
        </w:rPr>
        <w:t xml:space="preserve"> “the right of individual end u</w:t>
      </w:r>
      <w:r w:rsidR="00340B95" w:rsidRPr="00BE5D9C">
        <w:rPr>
          <w:szCs w:val="22"/>
        </w:rPr>
        <w:t>s</w:t>
      </w:r>
      <w:r w:rsidR="00AA795C" w:rsidRPr="00BE5D9C">
        <w:rPr>
          <w:szCs w:val="22"/>
        </w:rPr>
        <w:t>ers to choose to block incoming calls from unwanted callers.”</w:t>
      </w:r>
      <w:r w:rsidR="00AA795C" w:rsidRPr="00DD257A">
        <w:rPr>
          <w:rStyle w:val="FootnoteReference"/>
          <w:szCs w:val="22"/>
        </w:rPr>
        <w:footnoteReference w:id="9"/>
      </w:r>
      <w:r w:rsidR="00314950" w:rsidRPr="00DD257A">
        <w:rPr>
          <w:szCs w:val="22"/>
        </w:rPr>
        <w:t xml:space="preserve"> </w:t>
      </w:r>
      <w:r w:rsidR="009E1985" w:rsidRPr="00DD257A">
        <w:rPr>
          <w:szCs w:val="22"/>
        </w:rPr>
        <w:t xml:space="preserve"> </w:t>
      </w:r>
      <w:r w:rsidR="00A6447E" w:rsidRPr="00DD257A">
        <w:rPr>
          <w:szCs w:val="22"/>
        </w:rPr>
        <w:t>For example, i</w:t>
      </w:r>
      <w:r w:rsidR="00A02D28" w:rsidRPr="00DD257A">
        <w:rPr>
          <w:szCs w:val="22"/>
        </w:rPr>
        <w:t xml:space="preserve">n 2004, </w:t>
      </w:r>
      <w:r w:rsidR="00E26C3E" w:rsidRPr="00DD257A">
        <w:rPr>
          <w:szCs w:val="22"/>
        </w:rPr>
        <w:t>the Commission</w:t>
      </w:r>
      <w:r w:rsidR="00A02D28" w:rsidRPr="00DD257A">
        <w:rPr>
          <w:szCs w:val="22"/>
        </w:rPr>
        <w:t xml:space="preserve"> stated that telecommunications relay services (TRS) providers “are capable of providing anon</w:t>
      </w:r>
      <w:r w:rsidR="00A02D28" w:rsidRPr="00BE5D9C">
        <w:rPr>
          <w:szCs w:val="22"/>
        </w:rPr>
        <w:t>ymous call rejection . . . as long as the TRS consumer seeking to use these features, whether the calling party or called party, subscribes to the service.”</w:t>
      </w:r>
      <w:r w:rsidR="00A02D28" w:rsidRPr="00DD257A">
        <w:rPr>
          <w:rStyle w:val="FootnoteReference"/>
          <w:szCs w:val="22"/>
        </w:rPr>
        <w:footnoteReference w:id="10"/>
      </w:r>
      <w:r w:rsidR="00A02D28" w:rsidRPr="00DD257A">
        <w:rPr>
          <w:szCs w:val="22"/>
        </w:rPr>
        <w:t xml:space="preserve">  </w:t>
      </w:r>
      <w:r w:rsidR="008016EF" w:rsidRPr="00DD257A">
        <w:rPr>
          <w:szCs w:val="22"/>
        </w:rPr>
        <w:t>In 1996, a</w:t>
      </w:r>
      <w:r w:rsidR="00B90DD1" w:rsidRPr="00DD257A">
        <w:rPr>
          <w:szCs w:val="22"/>
        </w:rPr>
        <w:t xml:space="preserve">ddressing </w:t>
      </w:r>
      <w:r w:rsidR="008016EF" w:rsidRPr="00DD257A">
        <w:rPr>
          <w:szCs w:val="22"/>
        </w:rPr>
        <w:t>a type of toll fraud faced by aggregator telephones</w:t>
      </w:r>
      <w:r w:rsidR="00B90DD1" w:rsidRPr="00DD257A">
        <w:rPr>
          <w:szCs w:val="22"/>
        </w:rPr>
        <w:t>,</w:t>
      </w:r>
      <w:r w:rsidR="008016EF" w:rsidRPr="00DD257A">
        <w:rPr>
          <w:rStyle w:val="FootnoteReference"/>
          <w:szCs w:val="22"/>
        </w:rPr>
        <w:footnoteReference w:id="11"/>
      </w:r>
      <w:r w:rsidR="00B90DD1" w:rsidRPr="00DD257A">
        <w:rPr>
          <w:szCs w:val="22"/>
        </w:rPr>
        <w:t xml:space="preserve"> the Commission required local exchange carriers to “provide international blocking services to business customers, where </w:t>
      </w:r>
      <w:r w:rsidR="00233397">
        <w:rPr>
          <w:szCs w:val="22"/>
        </w:rPr>
        <w:t xml:space="preserve">technically feasible and </w:t>
      </w:r>
      <w:r w:rsidR="00B90DD1" w:rsidRPr="00DD257A">
        <w:rPr>
          <w:szCs w:val="22"/>
        </w:rPr>
        <w:t>economically reasonable</w:t>
      </w:r>
      <w:r w:rsidR="00A6447E" w:rsidRPr="00BE5D9C">
        <w:rPr>
          <w:szCs w:val="22"/>
        </w:rPr>
        <w:t>.</w:t>
      </w:r>
      <w:r w:rsidR="00B90DD1" w:rsidRPr="00BE5D9C">
        <w:rPr>
          <w:szCs w:val="22"/>
        </w:rPr>
        <w:t>”</w:t>
      </w:r>
      <w:r w:rsidR="00B90DD1" w:rsidRPr="00DD257A">
        <w:rPr>
          <w:rStyle w:val="FootnoteReference"/>
          <w:szCs w:val="22"/>
        </w:rPr>
        <w:footnoteReference w:id="12"/>
      </w:r>
      <w:r w:rsidR="00B90DD1" w:rsidRPr="00DD257A">
        <w:rPr>
          <w:szCs w:val="22"/>
        </w:rPr>
        <w:t xml:space="preserve"> </w:t>
      </w:r>
      <w:r w:rsidR="005C7864" w:rsidRPr="00DD257A">
        <w:rPr>
          <w:szCs w:val="22"/>
        </w:rPr>
        <w:t xml:space="preserve"> </w:t>
      </w:r>
      <w:r w:rsidR="001A75DD">
        <w:rPr>
          <w:szCs w:val="22"/>
        </w:rPr>
        <w:t>That call blocking service allowed a customer to “decline to accept collect or third-party billed calls on its line.”</w:t>
      </w:r>
      <w:r w:rsidR="001A75DD">
        <w:rPr>
          <w:rStyle w:val="FootnoteReference"/>
          <w:szCs w:val="22"/>
        </w:rPr>
        <w:footnoteReference w:id="13"/>
      </w:r>
      <w:r w:rsidR="001A75DD">
        <w:rPr>
          <w:szCs w:val="22"/>
        </w:rPr>
        <w:t xml:space="preserve">  </w:t>
      </w:r>
      <w:r w:rsidR="00A6447E" w:rsidRPr="00DD257A">
        <w:rPr>
          <w:szCs w:val="22"/>
        </w:rPr>
        <w:t xml:space="preserve">In these </w:t>
      </w:r>
      <w:r w:rsidR="00670D94">
        <w:rPr>
          <w:szCs w:val="22"/>
        </w:rPr>
        <w:t xml:space="preserve">specific </w:t>
      </w:r>
      <w:r w:rsidR="00A6447E" w:rsidRPr="00DD257A">
        <w:rPr>
          <w:szCs w:val="22"/>
        </w:rPr>
        <w:t xml:space="preserve">contexts, the Commission </w:t>
      </w:r>
      <w:r w:rsidR="00544DAF" w:rsidRPr="00DD257A">
        <w:rPr>
          <w:szCs w:val="22"/>
        </w:rPr>
        <w:t xml:space="preserve">has </w:t>
      </w:r>
      <w:r w:rsidR="00B73D64">
        <w:rPr>
          <w:szCs w:val="22"/>
        </w:rPr>
        <w:t>recognized that call-</w:t>
      </w:r>
      <w:r w:rsidR="00A6447E" w:rsidRPr="00BE5D9C">
        <w:rPr>
          <w:szCs w:val="22"/>
        </w:rPr>
        <w:t xml:space="preserve">blocking </w:t>
      </w:r>
      <w:r w:rsidR="0025088E">
        <w:rPr>
          <w:szCs w:val="22"/>
        </w:rPr>
        <w:t xml:space="preserve">services, including those provided by common carriers, </w:t>
      </w:r>
      <w:r w:rsidR="00A6447E" w:rsidRPr="00BE5D9C">
        <w:rPr>
          <w:szCs w:val="22"/>
        </w:rPr>
        <w:t>are lawful.</w:t>
      </w:r>
      <w:r w:rsidR="00544DAF" w:rsidRPr="00BE5D9C">
        <w:rPr>
          <w:szCs w:val="22"/>
        </w:rPr>
        <w:t xml:space="preserve">  We seek comment on the extent to which such precedent provides a basis for address</w:t>
      </w:r>
      <w:r w:rsidR="006A1E96">
        <w:rPr>
          <w:szCs w:val="22"/>
        </w:rPr>
        <w:t>ing</w:t>
      </w:r>
      <w:r w:rsidR="00544DAF" w:rsidRPr="00BE5D9C">
        <w:rPr>
          <w:szCs w:val="22"/>
        </w:rPr>
        <w:t xml:space="preserve"> the questions raised by the </w:t>
      </w:r>
      <w:r w:rsidR="00666729">
        <w:rPr>
          <w:szCs w:val="22"/>
        </w:rPr>
        <w:t>A</w:t>
      </w:r>
      <w:r w:rsidR="00544DAF" w:rsidRPr="00BE5D9C">
        <w:rPr>
          <w:szCs w:val="22"/>
        </w:rPr>
        <w:t xml:space="preserve">ttorneys </w:t>
      </w:r>
      <w:r w:rsidR="00666729">
        <w:rPr>
          <w:szCs w:val="22"/>
        </w:rPr>
        <w:t>G</w:t>
      </w:r>
      <w:r w:rsidR="00544DAF" w:rsidRPr="00BE5D9C">
        <w:rPr>
          <w:szCs w:val="22"/>
        </w:rPr>
        <w:t>eneral.</w:t>
      </w:r>
    </w:p>
    <w:p w:rsidR="00824BD6" w:rsidRDefault="00824BD6" w:rsidP="00340B95">
      <w:pPr>
        <w:autoSpaceDE w:val="0"/>
        <w:autoSpaceDN w:val="0"/>
        <w:adjustRightInd w:val="0"/>
        <w:ind w:firstLine="720"/>
        <w:rPr>
          <w:szCs w:val="22"/>
        </w:rPr>
      </w:pPr>
    </w:p>
    <w:p w:rsidR="0012027C" w:rsidRDefault="00824BD6" w:rsidP="00340B95">
      <w:pPr>
        <w:autoSpaceDE w:val="0"/>
        <w:autoSpaceDN w:val="0"/>
        <w:adjustRightInd w:val="0"/>
        <w:ind w:firstLine="720"/>
      </w:pPr>
      <w:r>
        <w:rPr>
          <w:szCs w:val="22"/>
        </w:rPr>
        <w:t xml:space="preserve">As the Commission </w:t>
      </w:r>
      <w:r w:rsidR="001537EE">
        <w:rPr>
          <w:szCs w:val="22"/>
        </w:rPr>
        <w:t xml:space="preserve">considers </w:t>
      </w:r>
      <w:r>
        <w:rPr>
          <w:szCs w:val="22"/>
        </w:rPr>
        <w:t>the questions posed by the Attorneys General, we</w:t>
      </w:r>
      <w:r w:rsidR="00DD257A" w:rsidRPr="00381B30">
        <w:rPr>
          <w:szCs w:val="22"/>
        </w:rPr>
        <w:t xml:space="preserve"> seek comment on </w:t>
      </w:r>
      <w:r w:rsidR="006A1E96">
        <w:rPr>
          <w:szCs w:val="22"/>
        </w:rPr>
        <w:t xml:space="preserve">what </w:t>
      </w:r>
      <w:r w:rsidR="00DD257A" w:rsidRPr="00381B30">
        <w:rPr>
          <w:szCs w:val="22"/>
        </w:rPr>
        <w:t>call-blocking technologies</w:t>
      </w:r>
      <w:r w:rsidR="006A1E96">
        <w:rPr>
          <w:szCs w:val="22"/>
        </w:rPr>
        <w:t xml:space="preserve"> are available</w:t>
      </w:r>
      <w:r w:rsidR="00604287">
        <w:rPr>
          <w:szCs w:val="22"/>
        </w:rPr>
        <w:t xml:space="preserve"> or under development</w:t>
      </w:r>
      <w:r w:rsidR="006A1E96">
        <w:rPr>
          <w:szCs w:val="22"/>
        </w:rPr>
        <w:t xml:space="preserve"> in the United States and internationally, how they work</w:t>
      </w:r>
      <w:r w:rsidR="00DD257A" w:rsidRPr="00381B30">
        <w:rPr>
          <w:szCs w:val="22"/>
        </w:rPr>
        <w:t xml:space="preserve">, how those details </w:t>
      </w:r>
      <w:r w:rsidR="00DD257A" w:rsidRPr="00C102D0">
        <w:rPr>
          <w:szCs w:val="22"/>
        </w:rPr>
        <w:t>should inform the Commission’s analysis</w:t>
      </w:r>
      <w:r w:rsidR="00BE7922">
        <w:rPr>
          <w:szCs w:val="22"/>
        </w:rPr>
        <w:t>, and whether differences in how specific technologies work produce different outcomes under the law</w:t>
      </w:r>
      <w:r w:rsidR="001F5305" w:rsidRPr="00C102D0">
        <w:rPr>
          <w:szCs w:val="22"/>
        </w:rPr>
        <w:t>.</w:t>
      </w:r>
      <w:r w:rsidR="001F5305">
        <w:rPr>
          <w:szCs w:val="22"/>
        </w:rPr>
        <w:t xml:space="preserve"> </w:t>
      </w:r>
      <w:r w:rsidR="001F5305" w:rsidRPr="00C102D0">
        <w:rPr>
          <w:szCs w:val="22"/>
        </w:rPr>
        <w:t xml:space="preserve"> </w:t>
      </w:r>
      <w:r>
        <w:rPr>
          <w:szCs w:val="22"/>
        </w:rPr>
        <w:t xml:space="preserve">How effective are the different services in blocking calls that consumers do not want?  To what </w:t>
      </w:r>
      <w:r w:rsidR="00492F3E">
        <w:rPr>
          <w:szCs w:val="22"/>
        </w:rPr>
        <w:t xml:space="preserve">extent </w:t>
      </w:r>
      <w:r w:rsidR="00362B02">
        <w:rPr>
          <w:szCs w:val="22"/>
        </w:rPr>
        <w:t xml:space="preserve">do </w:t>
      </w:r>
      <w:r>
        <w:rPr>
          <w:szCs w:val="22"/>
        </w:rPr>
        <w:t>the technologies produce “false positives” (</w:t>
      </w:r>
      <w:r>
        <w:rPr>
          <w:i/>
          <w:szCs w:val="22"/>
        </w:rPr>
        <w:t>i.e</w:t>
      </w:r>
      <w:r w:rsidRPr="001537EE">
        <w:rPr>
          <w:i/>
        </w:rPr>
        <w:t>.</w:t>
      </w:r>
      <w:r>
        <w:rPr>
          <w:szCs w:val="22"/>
        </w:rPr>
        <w:t>, block numbers that should not have been blocked) or “false negatives” (</w:t>
      </w:r>
      <w:r>
        <w:rPr>
          <w:i/>
          <w:szCs w:val="22"/>
        </w:rPr>
        <w:t>i.e.</w:t>
      </w:r>
      <w:r>
        <w:rPr>
          <w:szCs w:val="22"/>
        </w:rPr>
        <w:t xml:space="preserve">, fail to block numbers that should have been blocked)?  </w:t>
      </w:r>
      <w:r w:rsidRPr="00824BD6">
        <w:t>If the technologies</w:t>
      </w:r>
      <w:r>
        <w:t xml:space="preserve"> produce “false positives” or “false negative</w:t>
      </w:r>
      <w:r w:rsidR="001C24A6">
        <w:t>s</w:t>
      </w:r>
      <w:r>
        <w:t xml:space="preserve">,” what percentage or number of false positives or false negatives may be sufficiently high to warrant a finding that </w:t>
      </w:r>
      <w:r w:rsidR="006A0D0D">
        <w:t xml:space="preserve">a </w:t>
      </w:r>
      <w:r>
        <w:t xml:space="preserve">blocking service </w:t>
      </w:r>
      <w:r w:rsidR="006A0D0D">
        <w:t xml:space="preserve">offered by a carrier </w:t>
      </w:r>
      <w:r>
        <w:t xml:space="preserve">resulted in the “impairment” of common carrier service to a “community, or part of a community,” in violation of section 214(a) of the Communications Act of 1934, as amended?  </w:t>
      </w:r>
      <w:r w:rsidR="00575180">
        <w:t>Does it make a difference if the consumer is informed prior to purchase of the</w:t>
      </w:r>
      <w:r w:rsidR="00362B02">
        <w:t xml:space="preserve"> rate of false positives and false negatives</w:t>
      </w:r>
      <w:r w:rsidR="00575180">
        <w:t xml:space="preserve">, and therefore that legitimate or desired calls may be blocked? </w:t>
      </w:r>
      <w:r w:rsidR="00362B02">
        <w:t xml:space="preserve"> </w:t>
      </w:r>
      <w:r>
        <w:rPr>
          <w:szCs w:val="22"/>
        </w:rPr>
        <w:t>What is the consumer demand for the different call-blocking services</w:t>
      </w:r>
      <w:r w:rsidR="006A0D0D">
        <w:rPr>
          <w:szCs w:val="22"/>
        </w:rPr>
        <w:t>, whether offered by a carrier or third party</w:t>
      </w:r>
      <w:r>
        <w:rPr>
          <w:szCs w:val="22"/>
        </w:rPr>
        <w:t>?  To what exten</w:t>
      </w:r>
      <w:r w:rsidR="001C24A6">
        <w:rPr>
          <w:szCs w:val="22"/>
        </w:rPr>
        <w:t>t</w:t>
      </w:r>
      <w:r>
        <w:rPr>
          <w:szCs w:val="22"/>
        </w:rPr>
        <w:t xml:space="preserve"> </w:t>
      </w:r>
      <w:r w:rsidR="001C24A6">
        <w:rPr>
          <w:szCs w:val="22"/>
        </w:rPr>
        <w:t>d</w:t>
      </w:r>
      <w:r>
        <w:rPr>
          <w:szCs w:val="22"/>
        </w:rPr>
        <w:t xml:space="preserve">o carriers seek to offer these services?  </w:t>
      </w:r>
      <w:r w:rsidR="001F64CD">
        <w:t>What other collateral legal issues may be raised by such blocking services</w:t>
      </w:r>
      <w:r w:rsidR="006A0D0D">
        <w:t>, and does it matter who offers them or how they operate</w:t>
      </w:r>
      <w:r w:rsidR="001F64CD">
        <w:t xml:space="preserve">?  </w:t>
      </w:r>
    </w:p>
    <w:p w:rsidR="008E338A" w:rsidRDefault="008E338A" w:rsidP="00340B95">
      <w:pPr>
        <w:autoSpaceDE w:val="0"/>
        <w:autoSpaceDN w:val="0"/>
        <w:adjustRightInd w:val="0"/>
        <w:ind w:firstLine="720"/>
      </w:pPr>
    </w:p>
    <w:p w:rsidR="008E338A" w:rsidRDefault="008E338A" w:rsidP="00340B95">
      <w:pPr>
        <w:autoSpaceDE w:val="0"/>
        <w:autoSpaceDN w:val="0"/>
        <w:adjustRightInd w:val="0"/>
        <w:ind w:firstLine="720"/>
      </w:pPr>
      <w:r>
        <w:t>Are the legal issues raised by these call blocking services different from the legal issues raised by vertical service codes for call blocking, such as *60, which a</w:t>
      </w:r>
      <w:r w:rsidRPr="008E338A">
        <w:t>llows the subscriber to have incoming calls from a limited number of calling parties rejected by the terminating switching system</w:t>
      </w:r>
      <w:r>
        <w:t xml:space="preserve">, or *64, which provides </w:t>
      </w:r>
      <w:r w:rsidRPr="008E338A">
        <w:t>the subscriber the ability to block calls from all but a predetermined list of directory numbers specified by the subscriber</w:t>
      </w:r>
      <w:r>
        <w:t>?</w:t>
      </w:r>
      <w:r>
        <w:rPr>
          <w:rStyle w:val="FootnoteReference"/>
        </w:rPr>
        <w:footnoteReference w:id="14"/>
      </w:r>
      <w:r>
        <w:t xml:space="preserve">  </w:t>
      </w:r>
      <w:r w:rsidR="00102E17">
        <w:t>If so, how are the legal issues different?</w:t>
      </w:r>
    </w:p>
    <w:p w:rsidR="0012027C" w:rsidRDefault="0012027C" w:rsidP="00340B95">
      <w:pPr>
        <w:autoSpaceDE w:val="0"/>
        <w:autoSpaceDN w:val="0"/>
        <w:adjustRightInd w:val="0"/>
        <w:ind w:firstLine="720"/>
      </w:pPr>
    </w:p>
    <w:p w:rsidR="00544DAF" w:rsidRPr="00DD257A" w:rsidRDefault="001F64CD" w:rsidP="00340B95">
      <w:pPr>
        <w:autoSpaceDE w:val="0"/>
        <w:autoSpaceDN w:val="0"/>
        <w:adjustRightInd w:val="0"/>
        <w:ind w:firstLine="720"/>
        <w:rPr>
          <w:szCs w:val="22"/>
        </w:rPr>
      </w:pPr>
      <w:r>
        <w:rPr>
          <w:szCs w:val="22"/>
        </w:rPr>
        <w:t>O</w:t>
      </w:r>
      <w:r w:rsidR="00DD257A" w:rsidRPr="006A1E96">
        <w:rPr>
          <w:szCs w:val="22"/>
        </w:rPr>
        <w:t>ne available technology appears to allow at least one ring to the consumer</w:t>
      </w:r>
      <w:r w:rsidR="00DD257A">
        <w:rPr>
          <w:szCs w:val="22"/>
        </w:rPr>
        <w:t>’</w:t>
      </w:r>
      <w:r w:rsidR="00DD257A" w:rsidRPr="00DD257A">
        <w:rPr>
          <w:szCs w:val="22"/>
        </w:rPr>
        <w:t xml:space="preserve">s </w:t>
      </w:r>
      <w:r w:rsidR="00DD257A">
        <w:rPr>
          <w:szCs w:val="22"/>
        </w:rPr>
        <w:t>tele</w:t>
      </w:r>
      <w:r w:rsidR="00DD257A" w:rsidRPr="00DD257A">
        <w:rPr>
          <w:szCs w:val="22"/>
        </w:rPr>
        <w:t>phone before a call is blocked</w:t>
      </w:r>
      <w:r w:rsidR="001F5305" w:rsidRPr="00DD257A">
        <w:rPr>
          <w:szCs w:val="22"/>
        </w:rPr>
        <w:t>.</w:t>
      </w:r>
      <w:r w:rsidR="00021D5A">
        <w:rPr>
          <w:rStyle w:val="FootnoteReference"/>
          <w:szCs w:val="22"/>
        </w:rPr>
        <w:footnoteReference w:id="15"/>
      </w:r>
      <w:r w:rsidR="001F5305">
        <w:rPr>
          <w:szCs w:val="22"/>
        </w:rPr>
        <w:t xml:space="preserve">  </w:t>
      </w:r>
      <w:r w:rsidR="0012027C">
        <w:rPr>
          <w:szCs w:val="22"/>
        </w:rPr>
        <w:t>To the extent such technologies allow a robocall to ring a consumer’s phone,</w:t>
      </w:r>
      <w:r w:rsidR="003307AF">
        <w:rPr>
          <w:rStyle w:val="FootnoteReference"/>
          <w:szCs w:val="22"/>
        </w:rPr>
        <w:footnoteReference w:id="16"/>
      </w:r>
      <w:r w:rsidR="0012027C">
        <w:rPr>
          <w:szCs w:val="22"/>
        </w:rPr>
        <w:t xml:space="preserve"> d</w:t>
      </w:r>
      <w:r w:rsidR="00DD257A" w:rsidRPr="00DD257A">
        <w:rPr>
          <w:szCs w:val="22"/>
        </w:rPr>
        <w:t xml:space="preserve">oes that mean that the call is completed for purposes of a </w:t>
      </w:r>
      <w:r w:rsidR="00DD257A">
        <w:rPr>
          <w:szCs w:val="22"/>
        </w:rPr>
        <w:t xml:space="preserve">common </w:t>
      </w:r>
      <w:r w:rsidR="00DD257A" w:rsidRPr="00DD257A">
        <w:rPr>
          <w:szCs w:val="22"/>
        </w:rPr>
        <w:t xml:space="preserve">carrier’s obligation </w:t>
      </w:r>
      <w:r w:rsidR="00DD257A">
        <w:rPr>
          <w:szCs w:val="22"/>
        </w:rPr>
        <w:t>to complete calls under section 201(b) of the Communications Act of 1934, as amended</w:t>
      </w:r>
      <w:r w:rsidR="00DD257A" w:rsidRPr="00DD257A">
        <w:rPr>
          <w:szCs w:val="22"/>
        </w:rPr>
        <w:t>?</w:t>
      </w:r>
      <w:r w:rsidR="004D600A">
        <w:rPr>
          <w:rStyle w:val="FootnoteReference"/>
          <w:szCs w:val="22"/>
        </w:rPr>
        <w:footnoteReference w:id="17"/>
      </w:r>
      <w:r w:rsidR="00BE5D9C">
        <w:rPr>
          <w:szCs w:val="22"/>
        </w:rPr>
        <w:t xml:space="preserve">  </w:t>
      </w:r>
      <w:r w:rsidR="0012027C">
        <w:rPr>
          <w:szCs w:val="22"/>
        </w:rPr>
        <w:t xml:space="preserve">How should the </w:t>
      </w:r>
      <w:r w:rsidR="00381B30">
        <w:rPr>
          <w:rFonts w:eastAsia="Calibri"/>
        </w:rPr>
        <w:t xml:space="preserve">Commission </w:t>
      </w:r>
      <w:r w:rsidR="003307AF">
        <w:rPr>
          <w:rFonts w:eastAsia="Calibri"/>
        </w:rPr>
        <w:t xml:space="preserve">reconcile the obligation of voice providers to complete calls with protecting </w:t>
      </w:r>
      <w:r w:rsidR="00381B30">
        <w:rPr>
          <w:rFonts w:eastAsia="Calibri"/>
        </w:rPr>
        <w:t xml:space="preserve">consumers from unwanted calls under the </w:t>
      </w:r>
      <w:r w:rsidR="00381B30" w:rsidRPr="00381B30">
        <w:rPr>
          <w:rFonts w:eastAsia="Calibri"/>
        </w:rPr>
        <w:t>Telephone Consumer Protection Act (TCPA)?</w:t>
      </w:r>
      <w:r w:rsidR="00D56B7E">
        <w:rPr>
          <w:rStyle w:val="FootnoteReference"/>
          <w:rFonts w:eastAsia="Calibri"/>
        </w:rPr>
        <w:footnoteReference w:id="18"/>
      </w:r>
      <w:r w:rsidR="00381B30" w:rsidRPr="00381B30">
        <w:rPr>
          <w:rFonts w:eastAsia="Calibri"/>
        </w:rPr>
        <w:t xml:space="preserve">  </w:t>
      </w:r>
      <w:r w:rsidR="006A1E96">
        <w:rPr>
          <w:rFonts w:eastAsia="Calibri"/>
        </w:rPr>
        <w:t xml:space="preserve">Further, </w:t>
      </w:r>
      <w:r w:rsidR="006A1E96">
        <w:t>to what extent</w:t>
      </w:r>
      <w:r w:rsidR="00BE5D9C">
        <w:t xml:space="preserve"> should the consumer’s role in designating telephone numbers or categories of callers to be blocked factor into our</w:t>
      </w:r>
      <w:r w:rsidR="0012027C">
        <w:t xml:space="preserve"> analysis</w:t>
      </w:r>
      <w:r w:rsidR="00BE5D9C">
        <w:t xml:space="preserve">?  </w:t>
      </w:r>
      <w:r w:rsidR="00670D94">
        <w:t xml:space="preserve">How, if at all, should our </w:t>
      </w:r>
      <w:r w:rsidR="0012027C">
        <w:t xml:space="preserve">analysis </w:t>
      </w:r>
      <w:r w:rsidR="00670D94">
        <w:t>reflect the different types of potential robocalls?  For instance, are there any special considerations that should be given to robocalls</w:t>
      </w:r>
      <w:r>
        <w:t xml:space="preserve"> </w:t>
      </w:r>
      <w:r w:rsidR="00021D5A">
        <w:t>made</w:t>
      </w:r>
      <w:r>
        <w:t xml:space="preserve"> for emergency purposes</w:t>
      </w:r>
      <w:r w:rsidR="00E73DA8">
        <w:rPr>
          <w:rStyle w:val="FootnoteReference"/>
        </w:rPr>
        <w:footnoteReference w:id="19"/>
      </w:r>
      <w:r w:rsidR="00670D94">
        <w:t xml:space="preserve"> or to robocalls from charitable organizations?</w:t>
      </w:r>
      <w:r w:rsidR="00D56B7E">
        <w:rPr>
          <w:rStyle w:val="FootnoteReference"/>
        </w:rPr>
        <w:footnoteReference w:id="20"/>
      </w:r>
      <w:r w:rsidR="00670D94">
        <w:t xml:space="preserve">  </w:t>
      </w:r>
      <w:r w:rsidR="00381B30" w:rsidRPr="00381B30">
        <w:rPr>
          <w:rFonts w:eastAsia="Calibri"/>
        </w:rPr>
        <w:t>We seek comment on these and any other issues raised</w:t>
      </w:r>
      <w:r w:rsidR="00381B30">
        <w:rPr>
          <w:rFonts w:eastAsia="Calibri"/>
        </w:rPr>
        <w:t xml:space="preserve"> by the </w:t>
      </w:r>
      <w:r w:rsidR="00666729">
        <w:rPr>
          <w:rFonts w:eastAsia="Calibri"/>
        </w:rPr>
        <w:t>A</w:t>
      </w:r>
      <w:r w:rsidR="00381B30">
        <w:rPr>
          <w:rFonts w:eastAsia="Calibri"/>
        </w:rPr>
        <w:t xml:space="preserve">ttorneys </w:t>
      </w:r>
      <w:r w:rsidR="00666729">
        <w:rPr>
          <w:rFonts w:eastAsia="Calibri"/>
        </w:rPr>
        <w:t>G</w:t>
      </w:r>
      <w:r w:rsidR="00381B30">
        <w:rPr>
          <w:rFonts w:eastAsia="Calibri"/>
        </w:rPr>
        <w:t>eneral</w:t>
      </w:r>
      <w:r w:rsidR="00381B30" w:rsidRPr="00381B30">
        <w:rPr>
          <w:rFonts w:eastAsia="Calibri"/>
        </w:rPr>
        <w:t>.</w:t>
      </w:r>
    </w:p>
    <w:p w:rsidR="00A9455C" w:rsidRPr="00BE5D9C" w:rsidRDefault="00A9455C" w:rsidP="00715B50">
      <w:pPr>
        <w:autoSpaceDE w:val="0"/>
        <w:autoSpaceDN w:val="0"/>
        <w:adjustRightInd w:val="0"/>
        <w:ind w:firstLine="720"/>
        <w:rPr>
          <w:szCs w:val="22"/>
        </w:rPr>
      </w:pPr>
    </w:p>
    <w:p w:rsidR="00DC033E" w:rsidRPr="00BE5D9C" w:rsidRDefault="00DC033E" w:rsidP="00351541">
      <w:pPr>
        <w:ind w:firstLine="720"/>
        <w:rPr>
          <w:szCs w:val="22"/>
        </w:rPr>
      </w:pPr>
      <w:r w:rsidRPr="00BE5D9C">
        <w:rPr>
          <w:szCs w:val="22"/>
        </w:rPr>
        <w:t>Pursuant to sections 1.415 and 1.419 of the Commission’s rules,</w:t>
      </w:r>
      <w:r w:rsidR="00351541" w:rsidRPr="00DD257A">
        <w:rPr>
          <w:rStyle w:val="FootnoteReference"/>
          <w:szCs w:val="22"/>
        </w:rPr>
        <w:footnoteReference w:id="21"/>
      </w:r>
      <w:r w:rsidRPr="00DD257A">
        <w:rPr>
          <w:szCs w:val="22"/>
        </w:rPr>
        <w:t xml:space="preserve"> interested parties may file comments and reply comments on or before the respective dates indicated on the first page of this Notice.  Comments may be filed using the Commission’s Electronic Comment Filing System (ECFS).  </w:t>
      </w:r>
      <w:r w:rsidRPr="00BE5D9C">
        <w:rPr>
          <w:i/>
          <w:szCs w:val="22"/>
        </w:rPr>
        <w:t>See Electronic Filing of Documents in Rulemaking Proceedings</w:t>
      </w:r>
      <w:r w:rsidRPr="00BE5D9C">
        <w:rPr>
          <w:szCs w:val="22"/>
        </w:rPr>
        <w:t>, 63 FR 24121 (1998).</w:t>
      </w:r>
    </w:p>
    <w:p w:rsidR="00DC033E" w:rsidRPr="00032D17" w:rsidRDefault="00DC033E" w:rsidP="00DC033E">
      <w:pPr>
        <w:rPr>
          <w:szCs w:val="22"/>
        </w:rPr>
      </w:pPr>
    </w:p>
    <w:p w:rsidR="00DC033E" w:rsidRPr="00DD257A" w:rsidRDefault="00DC033E" w:rsidP="00DC033E">
      <w:pPr>
        <w:numPr>
          <w:ilvl w:val="0"/>
          <w:numId w:val="4"/>
        </w:numPr>
        <w:tabs>
          <w:tab w:val="clear" w:pos="720"/>
          <w:tab w:val="num" w:pos="1080"/>
        </w:tabs>
        <w:ind w:left="1080"/>
        <w:rPr>
          <w:szCs w:val="22"/>
        </w:rPr>
      </w:pPr>
      <w:r w:rsidRPr="00381B30">
        <w:rPr>
          <w:szCs w:val="22"/>
        </w:rPr>
        <w:t xml:space="preserve">Electronic Filers:  Comments may be filed electronically using the Internet by accessing the ECFS:  </w:t>
      </w:r>
      <w:hyperlink r:id="rId8" w:history="1">
        <w:r w:rsidRPr="00DD257A">
          <w:rPr>
            <w:rStyle w:val="Hyperlink"/>
            <w:szCs w:val="22"/>
          </w:rPr>
          <w:t>http://fjallfoss.fcc.gov/ecfs2/</w:t>
        </w:r>
      </w:hyperlink>
      <w:r w:rsidRPr="00DD257A">
        <w:rPr>
          <w:szCs w:val="22"/>
        </w:rPr>
        <w:t xml:space="preserve">.  </w:t>
      </w:r>
    </w:p>
    <w:p w:rsidR="00DC033E" w:rsidRPr="00BE5D9C" w:rsidRDefault="00DC033E" w:rsidP="00DC033E">
      <w:pPr>
        <w:ind w:left="360"/>
        <w:rPr>
          <w:szCs w:val="22"/>
        </w:rPr>
      </w:pPr>
    </w:p>
    <w:p w:rsidR="00DC033E" w:rsidRPr="00BE5D9C" w:rsidRDefault="00DC033E" w:rsidP="00DC033E">
      <w:pPr>
        <w:numPr>
          <w:ilvl w:val="0"/>
          <w:numId w:val="2"/>
        </w:numPr>
        <w:tabs>
          <w:tab w:val="clear" w:pos="720"/>
          <w:tab w:val="num" w:pos="1080"/>
        </w:tabs>
        <w:ind w:left="1080"/>
        <w:rPr>
          <w:szCs w:val="22"/>
        </w:rPr>
      </w:pPr>
      <w:r w:rsidRPr="00BE5D9C">
        <w:rPr>
          <w:szCs w:val="22"/>
        </w:rPr>
        <w:t xml:space="preserve">Paper Filers:  Parties who choose to file by paper must file an original and one copy of each filing.  </w:t>
      </w:r>
    </w:p>
    <w:p w:rsidR="00DC033E" w:rsidRPr="00032D17" w:rsidRDefault="00DC033E" w:rsidP="00DC033E">
      <w:pPr>
        <w:ind w:left="720"/>
        <w:rPr>
          <w:szCs w:val="22"/>
        </w:rPr>
      </w:pPr>
    </w:p>
    <w:p w:rsidR="00DC033E" w:rsidRPr="00381B30" w:rsidRDefault="00DC033E" w:rsidP="00DC033E">
      <w:pPr>
        <w:numPr>
          <w:ilvl w:val="0"/>
          <w:numId w:val="2"/>
        </w:numPr>
        <w:tabs>
          <w:tab w:val="clear" w:pos="720"/>
          <w:tab w:val="num" w:pos="1080"/>
        </w:tabs>
        <w:ind w:left="1080"/>
        <w:rPr>
          <w:szCs w:val="22"/>
        </w:rPr>
      </w:pPr>
      <w:r w:rsidRPr="00032D17">
        <w:rPr>
          <w:szCs w:val="22"/>
        </w:rPr>
        <w:t>Filings can be sent by hand or messenger delivery, by commercial overnight courier, or by first-class or overnight U.S. Postal Service mail.  All filings must</w:t>
      </w:r>
      <w:r w:rsidRPr="00381B30">
        <w:rPr>
          <w:szCs w:val="22"/>
        </w:rPr>
        <w:t xml:space="preserve"> be addressed to the Commission’s Secretary, Office of the Secretary, Federal Communications Commission.</w:t>
      </w:r>
    </w:p>
    <w:p w:rsidR="00DC033E" w:rsidRPr="00C102D0" w:rsidRDefault="00DC033E" w:rsidP="00DC033E">
      <w:pPr>
        <w:ind w:left="360"/>
        <w:rPr>
          <w:szCs w:val="22"/>
        </w:rPr>
      </w:pPr>
    </w:p>
    <w:p w:rsidR="00DC033E" w:rsidRPr="0025088E" w:rsidRDefault="00DC033E" w:rsidP="00DC033E">
      <w:pPr>
        <w:numPr>
          <w:ilvl w:val="0"/>
          <w:numId w:val="3"/>
        </w:numPr>
        <w:tabs>
          <w:tab w:val="clear" w:pos="1440"/>
          <w:tab w:val="num" w:pos="1080"/>
        </w:tabs>
        <w:ind w:left="1080"/>
        <w:rPr>
          <w:szCs w:val="22"/>
        </w:rPr>
      </w:pPr>
      <w:r w:rsidRPr="00903B82">
        <w:rPr>
          <w:szCs w:val="22"/>
        </w:rPr>
        <w:t>All hand-delivered or messenger-delivered paper filings for the Commission’s Secretary must be delivered to FCC Headquarters at 445 12</w:t>
      </w:r>
      <w:r w:rsidRPr="00150DB5">
        <w:rPr>
          <w:szCs w:val="22"/>
          <w:vertAlign w:val="superscript"/>
        </w:rPr>
        <w:t>th</w:t>
      </w:r>
      <w:r w:rsidRPr="00F52B99">
        <w:rPr>
          <w:szCs w:val="22"/>
        </w:rPr>
        <w:t xml:space="preserve"> St., SW, Room TW-A325, Washington, DC 20554.  The filing hours are 8:00 a.m. to 7:00 p.m.  All hand deliveries must be held together with rubber bands or fasteners.  Any env</w:t>
      </w:r>
      <w:r w:rsidRPr="00B648B8">
        <w:rPr>
          <w:szCs w:val="22"/>
        </w:rPr>
        <w:t xml:space="preserve">elopes and boxes must be disposed of </w:t>
      </w:r>
      <w:r w:rsidRPr="00B648B8">
        <w:rPr>
          <w:szCs w:val="22"/>
          <w:u w:val="single"/>
        </w:rPr>
        <w:t>before</w:t>
      </w:r>
      <w:r w:rsidRPr="0025088E">
        <w:rPr>
          <w:szCs w:val="22"/>
        </w:rPr>
        <w:t xml:space="preserve"> entering the building.  </w:t>
      </w:r>
    </w:p>
    <w:p w:rsidR="00DC033E" w:rsidRPr="00BE7922" w:rsidRDefault="00DC033E" w:rsidP="00DC033E">
      <w:pPr>
        <w:ind w:left="720"/>
        <w:rPr>
          <w:szCs w:val="22"/>
        </w:rPr>
      </w:pPr>
    </w:p>
    <w:p w:rsidR="00DC033E" w:rsidRPr="007509D8" w:rsidRDefault="00DC033E" w:rsidP="00DC033E">
      <w:pPr>
        <w:numPr>
          <w:ilvl w:val="0"/>
          <w:numId w:val="3"/>
        </w:numPr>
        <w:tabs>
          <w:tab w:val="clear" w:pos="1440"/>
          <w:tab w:val="num" w:pos="1080"/>
        </w:tabs>
        <w:ind w:left="1080"/>
        <w:rPr>
          <w:szCs w:val="22"/>
        </w:rPr>
      </w:pPr>
      <w:r w:rsidRPr="00CC37AD">
        <w:rPr>
          <w:szCs w:val="22"/>
        </w:rPr>
        <w:t>Commercial overnight mail (other than U.S. Postal Service Express Ma</w:t>
      </w:r>
      <w:r w:rsidRPr="007509D8">
        <w:rPr>
          <w:szCs w:val="22"/>
        </w:rPr>
        <w:t>il and Priority Mail) must be sent to 9300 East Hampton Drive, Capitol Heights, MD  20743.</w:t>
      </w:r>
    </w:p>
    <w:p w:rsidR="00DC033E" w:rsidRPr="007509D8" w:rsidRDefault="00DC033E" w:rsidP="00DC033E">
      <w:pPr>
        <w:rPr>
          <w:szCs w:val="22"/>
        </w:rPr>
      </w:pPr>
    </w:p>
    <w:p w:rsidR="00DC033E" w:rsidRPr="007509D8" w:rsidRDefault="00DC033E" w:rsidP="00DC033E">
      <w:pPr>
        <w:numPr>
          <w:ilvl w:val="0"/>
          <w:numId w:val="3"/>
        </w:numPr>
        <w:tabs>
          <w:tab w:val="clear" w:pos="1440"/>
          <w:tab w:val="num" w:pos="1080"/>
        </w:tabs>
        <w:ind w:left="1080"/>
        <w:rPr>
          <w:szCs w:val="22"/>
        </w:rPr>
      </w:pPr>
      <w:r w:rsidRPr="007509D8">
        <w:rPr>
          <w:szCs w:val="22"/>
        </w:rPr>
        <w:t>U.S. Postal Service first-class, Express, and Priority mail must be addressed to 445 12</w:t>
      </w:r>
      <w:r w:rsidRPr="007509D8">
        <w:rPr>
          <w:szCs w:val="22"/>
          <w:vertAlign w:val="superscript"/>
        </w:rPr>
        <w:t>th</w:t>
      </w:r>
      <w:r w:rsidRPr="007509D8">
        <w:rPr>
          <w:szCs w:val="22"/>
        </w:rPr>
        <w:t xml:space="preserve"> Street, SW, Washington DC  20554.</w:t>
      </w:r>
    </w:p>
    <w:p w:rsidR="00DC033E" w:rsidRPr="00430A0B" w:rsidRDefault="00DC033E" w:rsidP="00DC033E">
      <w:pPr>
        <w:rPr>
          <w:szCs w:val="22"/>
        </w:rPr>
      </w:pPr>
    </w:p>
    <w:p w:rsidR="00DC033E" w:rsidRPr="00032D17" w:rsidRDefault="00DC033E" w:rsidP="00DC033E">
      <w:pPr>
        <w:rPr>
          <w:szCs w:val="22"/>
        </w:rPr>
      </w:pPr>
      <w:r w:rsidRPr="001F5305">
        <w:rPr>
          <w:szCs w:val="22"/>
        </w:rPr>
        <w:t xml:space="preserve">People with Disabilities:  To request materials in accessible formats for people with disabilities (braille, large print, electronic files, audio format), send an e-mail to </w:t>
      </w:r>
      <w:hyperlink r:id="rId9" w:history="1">
        <w:r w:rsidRPr="00DD257A">
          <w:rPr>
            <w:rStyle w:val="Hyperlink"/>
            <w:szCs w:val="22"/>
          </w:rPr>
          <w:t>fcc504@fcc.gov</w:t>
        </w:r>
      </w:hyperlink>
      <w:r w:rsidRPr="00DD257A">
        <w:rPr>
          <w:szCs w:val="22"/>
        </w:rPr>
        <w:t xml:space="preserve"> or call the Consumer </w:t>
      </w:r>
      <w:r w:rsidR="006A0B29" w:rsidRPr="00DD257A">
        <w:rPr>
          <w:szCs w:val="22"/>
        </w:rPr>
        <w:t>and</w:t>
      </w:r>
      <w:r w:rsidR="006A0B29" w:rsidRPr="00BE5D9C">
        <w:rPr>
          <w:szCs w:val="22"/>
        </w:rPr>
        <w:t xml:space="preserve"> </w:t>
      </w:r>
      <w:r w:rsidRPr="00BE5D9C">
        <w:rPr>
          <w:szCs w:val="22"/>
        </w:rPr>
        <w:t>G</w:t>
      </w:r>
      <w:r w:rsidRPr="00032D17">
        <w:rPr>
          <w:szCs w:val="22"/>
        </w:rPr>
        <w:t>overnmental Affairs Bureau at 202-418-0530 (voice), 202-418-0432 (tty).</w:t>
      </w:r>
    </w:p>
    <w:p w:rsidR="00DC033E" w:rsidRPr="00381B30" w:rsidRDefault="00DC033E" w:rsidP="00DC033E">
      <w:pPr>
        <w:autoSpaceDE w:val="0"/>
        <w:autoSpaceDN w:val="0"/>
        <w:adjustRightInd w:val="0"/>
        <w:ind w:firstLine="720"/>
        <w:rPr>
          <w:szCs w:val="22"/>
        </w:rPr>
      </w:pPr>
    </w:p>
    <w:p w:rsidR="00DC033E" w:rsidRPr="001F5305" w:rsidRDefault="00DC033E" w:rsidP="00DC033E">
      <w:pPr>
        <w:ind w:firstLine="720"/>
        <w:rPr>
          <w:szCs w:val="22"/>
        </w:rPr>
      </w:pPr>
      <w:r w:rsidRPr="00C102D0">
        <w:rPr>
          <w:szCs w:val="22"/>
        </w:rPr>
        <w:t xml:space="preserve">The proceeding this Notice initiates shall be treated as a “permit-but-disclose” proceeding in accordance with the Commission’s </w:t>
      </w:r>
      <w:r w:rsidRPr="00903B82">
        <w:rPr>
          <w:i/>
          <w:iCs/>
          <w:szCs w:val="22"/>
        </w:rPr>
        <w:t xml:space="preserve">ex parte </w:t>
      </w:r>
      <w:r w:rsidRPr="00903B82">
        <w:rPr>
          <w:szCs w:val="22"/>
        </w:rPr>
        <w:t>rules.</w:t>
      </w:r>
      <w:r w:rsidRPr="00DD257A">
        <w:rPr>
          <w:rStyle w:val="FootnoteReference"/>
          <w:szCs w:val="22"/>
        </w:rPr>
        <w:footnoteReference w:id="22"/>
      </w:r>
      <w:r w:rsidRPr="00DD257A">
        <w:rPr>
          <w:szCs w:val="22"/>
        </w:rPr>
        <w:t xml:space="preserve">  Persons making </w:t>
      </w:r>
      <w:r w:rsidRPr="00DD257A">
        <w:rPr>
          <w:i/>
          <w:szCs w:val="22"/>
        </w:rPr>
        <w:t xml:space="preserve">ex parte </w:t>
      </w:r>
      <w:r w:rsidRPr="00BE5D9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32D17">
        <w:rPr>
          <w:i/>
          <w:iCs/>
          <w:szCs w:val="22"/>
        </w:rPr>
        <w:t xml:space="preserve">ex parte </w:t>
      </w:r>
      <w:r w:rsidRPr="00032D17">
        <w:rPr>
          <w:szCs w:val="22"/>
        </w:rPr>
        <w:t>presentat</w:t>
      </w:r>
      <w:r w:rsidRPr="00381B30">
        <w:rPr>
          <w:szCs w:val="22"/>
        </w:rPr>
        <w:t xml:space="preserve">ions are reminded that memoranda summarizing the presentation must (1) list all persons attending or otherwise participating in the meeting at which the </w:t>
      </w:r>
      <w:r w:rsidRPr="00C102D0">
        <w:rPr>
          <w:i/>
          <w:iCs/>
          <w:szCs w:val="22"/>
        </w:rPr>
        <w:t xml:space="preserve">ex parte </w:t>
      </w:r>
      <w:r w:rsidRPr="00903B82">
        <w:rPr>
          <w:szCs w:val="22"/>
        </w:rPr>
        <w:t>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w:t>
      </w:r>
      <w:r w:rsidRPr="00150DB5">
        <w:rPr>
          <w:szCs w:val="22"/>
        </w:rPr>
        <w:t>rguments in his or her prior comments, memoranda, or other filings (specifying the relevant page and/or paragraph numbers where such data or arguments can be fo</w:t>
      </w:r>
      <w:r w:rsidRPr="00F52B99">
        <w:rPr>
          <w:szCs w:val="22"/>
        </w:rPr>
        <w:t xml:space="preserve">und) in lieu of summarizing them in the memorandum.  Documents shown or given to Commission staff during </w:t>
      </w:r>
      <w:r w:rsidRPr="00B648B8">
        <w:rPr>
          <w:i/>
          <w:iCs/>
          <w:szCs w:val="22"/>
        </w:rPr>
        <w:t xml:space="preserve">ex parte </w:t>
      </w:r>
      <w:r w:rsidRPr="00B648B8">
        <w:rPr>
          <w:szCs w:val="22"/>
        </w:rPr>
        <w:t xml:space="preserve">meetings are deemed to be written </w:t>
      </w:r>
      <w:r w:rsidRPr="0025088E">
        <w:rPr>
          <w:i/>
          <w:iCs/>
          <w:szCs w:val="22"/>
        </w:rPr>
        <w:t>ex parte</w:t>
      </w:r>
      <w:r w:rsidRPr="0025088E">
        <w:rPr>
          <w:szCs w:val="22"/>
        </w:rPr>
        <w:t xml:space="preserve"> presentations and must be filed consistent with rule 1.1206(b).  In proceedings governed by rule 1.</w:t>
      </w:r>
      <w:r w:rsidRPr="00BE7922">
        <w:rPr>
          <w:szCs w:val="22"/>
        </w:rPr>
        <w:t xml:space="preserve">49(f) or for which the Commission has made available a method of electronic filing, written </w:t>
      </w:r>
      <w:r w:rsidRPr="00CC37AD">
        <w:rPr>
          <w:i/>
          <w:iCs/>
          <w:szCs w:val="22"/>
        </w:rPr>
        <w:t xml:space="preserve">ex parte </w:t>
      </w:r>
      <w:r w:rsidRPr="007509D8">
        <w:rPr>
          <w:szCs w:val="22"/>
        </w:rPr>
        <w:t xml:space="preserve">presentations and memoranda summarizing oral </w:t>
      </w:r>
      <w:r w:rsidRPr="007509D8">
        <w:rPr>
          <w:i/>
          <w:iCs/>
          <w:szCs w:val="22"/>
        </w:rPr>
        <w:t xml:space="preserve">ex parte </w:t>
      </w:r>
      <w:r w:rsidRPr="007509D8">
        <w:rPr>
          <w:szCs w:val="22"/>
        </w:rPr>
        <w:t>presentations, and all attachments thereto, must be filed through the electronic comment filing system available for that proceeding, and must be filed in their native format (</w:t>
      </w:r>
      <w:r w:rsidRPr="007509D8">
        <w:rPr>
          <w:i/>
          <w:iCs/>
          <w:szCs w:val="22"/>
        </w:rPr>
        <w:t>e.g.</w:t>
      </w:r>
      <w:r w:rsidRPr="007509D8">
        <w:rPr>
          <w:szCs w:val="22"/>
        </w:rPr>
        <w:t xml:space="preserve">, .doc, .xml, .ppt, searchable .pdf).  Participants in this proceeding should familiarize themselves with the Commission’s </w:t>
      </w:r>
      <w:r w:rsidRPr="00430A0B">
        <w:rPr>
          <w:i/>
          <w:iCs/>
          <w:szCs w:val="22"/>
        </w:rPr>
        <w:t xml:space="preserve">ex parte </w:t>
      </w:r>
      <w:r w:rsidRPr="001F5305">
        <w:rPr>
          <w:szCs w:val="22"/>
        </w:rPr>
        <w:t>rules.</w:t>
      </w:r>
      <w:r w:rsidRPr="001F5305">
        <w:rPr>
          <w:szCs w:val="22"/>
        </w:rPr>
        <w:tab/>
      </w:r>
    </w:p>
    <w:p w:rsidR="00DC033E" w:rsidRPr="001F5305" w:rsidRDefault="00DC033E" w:rsidP="00DC033E">
      <w:pPr>
        <w:autoSpaceDE w:val="0"/>
        <w:autoSpaceDN w:val="0"/>
        <w:adjustRightInd w:val="0"/>
        <w:rPr>
          <w:szCs w:val="22"/>
        </w:rPr>
      </w:pPr>
    </w:p>
    <w:p w:rsidR="00DC033E" w:rsidRPr="00DD257A" w:rsidRDefault="00DC033E" w:rsidP="00DC033E">
      <w:pPr>
        <w:rPr>
          <w:szCs w:val="22"/>
        </w:rPr>
      </w:pPr>
      <w:r w:rsidRPr="001F5305">
        <w:rPr>
          <w:b/>
          <w:szCs w:val="22"/>
        </w:rPr>
        <w:t>FOR FURTHER INFORMATION CONTACT:</w:t>
      </w:r>
      <w:r w:rsidRPr="001F5305">
        <w:rPr>
          <w:szCs w:val="22"/>
        </w:rPr>
        <w:t xml:space="preserve">  </w:t>
      </w:r>
      <w:r w:rsidR="00715B50" w:rsidRPr="001F5305">
        <w:rPr>
          <w:szCs w:val="22"/>
        </w:rPr>
        <w:t>Kristi Lemoine</w:t>
      </w:r>
      <w:r w:rsidR="00675528" w:rsidRPr="001F5305">
        <w:rPr>
          <w:szCs w:val="22"/>
        </w:rPr>
        <w:t>, Consumer and Governmental Affairs Bureau, Federal Communications Commission, 202-418-</w:t>
      </w:r>
      <w:r w:rsidR="00715B50" w:rsidRPr="001F5305">
        <w:rPr>
          <w:szCs w:val="22"/>
        </w:rPr>
        <w:t>2467</w:t>
      </w:r>
      <w:r w:rsidR="00675528" w:rsidRPr="001F5305">
        <w:rPr>
          <w:szCs w:val="22"/>
        </w:rPr>
        <w:t xml:space="preserve">, and </w:t>
      </w:r>
      <w:hyperlink r:id="rId10" w:history="1">
        <w:r w:rsidR="00715B50" w:rsidRPr="00DD257A">
          <w:rPr>
            <w:rStyle w:val="Hyperlink"/>
            <w:szCs w:val="22"/>
          </w:rPr>
          <w:t>kristi.lemoine</w:t>
        </w:r>
        <w:r w:rsidR="00715B50" w:rsidRPr="00BE5D9C">
          <w:rPr>
            <w:rStyle w:val="Hyperlink"/>
            <w:szCs w:val="22"/>
          </w:rPr>
          <w:t>@fcc.gov</w:t>
        </w:r>
      </w:hyperlink>
      <w:r w:rsidR="00675528" w:rsidRPr="00DD257A">
        <w:rPr>
          <w:szCs w:val="22"/>
        </w:rPr>
        <w:t>.</w:t>
      </w:r>
    </w:p>
    <w:p w:rsidR="00DC033E" w:rsidRPr="00BE5D9C" w:rsidRDefault="00DC033E" w:rsidP="00DC033E">
      <w:pPr>
        <w:rPr>
          <w:szCs w:val="22"/>
        </w:rPr>
      </w:pPr>
    </w:p>
    <w:p w:rsidR="00DC033E" w:rsidRPr="00BE5D9C" w:rsidRDefault="00DC033E" w:rsidP="00DC033E">
      <w:pPr>
        <w:jc w:val="center"/>
        <w:rPr>
          <w:b/>
          <w:szCs w:val="22"/>
        </w:rPr>
      </w:pPr>
      <w:r w:rsidRPr="00BE5D9C">
        <w:rPr>
          <w:b/>
          <w:szCs w:val="22"/>
        </w:rPr>
        <w:t>-FCC-</w:t>
      </w:r>
    </w:p>
    <w:p w:rsidR="00D76C77" w:rsidRPr="00032D17" w:rsidRDefault="00D76C77">
      <w:pPr>
        <w:rPr>
          <w:szCs w:val="22"/>
        </w:rPr>
      </w:pPr>
    </w:p>
    <w:sectPr w:rsidR="00D76C77" w:rsidRPr="00032D17" w:rsidSect="00DC033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84" w:rsidRDefault="00112784">
      <w:r>
        <w:separator/>
      </w:r>
    </w:p>
  </w:endnote>
  <w:endnote w:type="continuationSeparator" w:id="0">
    <w:p w:rsidR="00112784" w:rsidRDefault="00112784">
      <w:r>
        <w:continuationSeparator/>
      </w:r>
    </w:p>
  </w:endnote>
  <w:endnote w:type="continuationNotice" w:id="1">
    <w:p w:rsidR="00112784" w:rsidRDefault="00112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A" w:rsidRDefault="00B47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78FA" w:rsidRDefault="00B47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A" w:rsidRDefault="00B47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A1D">
      <w:rPr>
        <w:rStyle w:val="PageNumber"/>
        <w:noProof/>
      </w:rPr>
      <w:t>4</w:t>
    </w:r>
    <w:r>
      <w:rPr>
        <w:rStyle w:val="PageNumber"/>
      </w:rPr>
      <w:fldChar w:fldCharType="end"/>
    </w:r>
  </w:p>
  <w:p w:rsidR="00B478FA" w:rsidRDefault="00B478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D" w:rsidRDefault="00737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84" w:rsidRDefault="00112784">
      <w:r>
        <w:separator/>
      </w:r>
    </w:p>
  </w:footnote>
  <w:footnote w:type="continuationSeparator" w:id="0">
    <w:p w:rsidR="00112784" w:rsidRDefault="00112784">
      <w:r>
        <w:continuationSeparator/>
      </w:r>
    </w:p>
  </w:footnote>
  <w:footnote w:type="continuationNotice" w:id="1">
    <w:p w:rsidR="00112784" w:rsidRDefault="00112784"/>
  </w:footnote>
  <w:footnote w:id="2">
    <w:p w:rsidR="00231A59" w:rsidRPr="00231A59" w:rsidRDefault="00231A59">
      <w:pPr>
        <w:pStyle w:val="FootnoteText"/>
        <w:rPr>
          <w:sz w:val="20"/>
        </w:rPr>
      </w:pPr>
      <w:r>
        <w:rPr>
          <w:rStyle w:val="FootnoteReference"/>
        </w:rPr>
        <w:footnoteRef/>
      </w:r>
      <w:r>
        <w:t xml:space="preserve"> </w:t>
      </w:r>
      <w:r w:rsidRPr="00231A59">
        <w:rPr>
          <w:sz w:val="20"/>
        </w:rPr>
        <w:t xml:space="preserve">Letter from </w:t>
      </w:r>
      <w:r w:rsidR="00EF51E4" w:rsidRPr="00D56B7E">
        <w:rPr>
          <w:sz w:val="20"/>
        </w:rPr>
        <w:t xml:space="preserve">Indiana Attorney General </w:t>
      </w:r>
      <w:r w:rsidRPr="00D56B7E">
        <w:rPr>
          <w:sz w:val="20"/>
        </w:rPr>
        <w:t>Greg Zoeller</w:t>
      </w:r>
      <w:r w:rsidRPr="00D56B7E">
        <w:rPr>
          <w:i/>
          <w:sz w:val="20"/>
        </w:rPr>
        <w:t xml:space="preserve"> et al</w:t>
      </w:r>
      <w:r w:rsidR="00376BD3" w:rsidRPr="00D56B7E">
        <w:rPr>
          <w:i/>
          <w:sz w:val="20"/>
        </w:rPr>
        <w:t>.</w:t>
      </w:r>
      <w:r w:rsidR="00EF51E4" w:rsidRPr="00D56B7E">
        <w:rPr>
          <w:sz w:val="20"/>
        </w:rPr>
        <w:t xml:space="preserve"> </w:t>
      </w:r>
      <w:r w:rsidRPr="00D56B7E">
        <w:rPr>
          <w:sz w:val="20"/>
        </w:rPr>
        <w:t>to Tom Wheeler, Chairman, Federal Communications Commission (Sept. 9, 2014) (Letter)</w:t>
      </w:r>
      <w:r w:rsidR="00EF51E4" w:rsidRPr="00D56B7E">
        <w:rPr>
          <w:sz w:val="20"/>
        </w:rPr>
        <w:t xml:space="preserve"> (</w:t>
      </w:r>
      <w:r w:rsidR="0012027C" w:rsidRPr="00D56B7E">
        <w:rPr>
          <w:sz w:val="20"/>
        </w:rPr>
        <w:t xml:space="preserve">additional </w:t>
      </w:r>
      <w:r w:rsidR="00EF51E4" w:rsidRPr="00D56B7E">
        <w:rPr>
          <w:sz w:val="20"/>
        </w:rPr>
        <w:t xml:space="preserve">signatories include </w:t>
      </w:r>
      <w:r w:rsidR="00666729">
        <w:rPr>
          <w:sz w:val="20"/>
        </w:rPr>
        <w:t>A</w:t>
      </w:r>
      <w:r w:rsidR="00EF51E4" w:rsidRPr="00D56B7E">
        <w:rPr>
          <w:sz w:val="20"/>
        </w:rPr>
        <w:t xml:space="preserve">ttorneys </w:t>
      </w:r>
      <w:r w:rsidR="00666729">
        <w:rPr>
          <w:sz w:val="20"/>
        </w:rPr>
        <w:t>G</w:t>
      </w:r>
      <w:r w:rsidR="00EF51E4" w:rsidRPr="00D56B7E">
        <w:rPr>
          <w:sz w:val="20"/>
        </w:rPr>
        <w:t>eneral from</w:t>
      </w:r>
      <w:r w:rsidR="001F5305" w:rsidRPr="00D56B7E">
        <w:rPr>
          <w:sz w:val="20"/>
        </w:rPr>
        <w:t xml:space="preserve"> Alaska, Arizona, Arkansas, Colorado, Connecticut, District of Columbia, Florida, Guam, Hawaii, Idaho, Illinois, Iowa, Kentucky, Maine, Maryland, Michigan, Minnesota, Mississippi, Missouri, Montana, Nevada, New Hampshire, New Mexico, North Carolina, North Dakota, Ohio, Oregon, Pennsylvania, Puerto Rico, Rhode Island, South Dakota, Tennessee, Utah, Vermont, Virginia, Washington, West Virginia</w:t>
      </w:r>
      <w:r w:rsidR="001F5305">
        <w:rPr>
          <w:sz w:val="20"/>
        </w:rPr>
        <w:t>, and Wyoming</w:t>
      </w:r>
      <w:r w:rsidR="00EF51E4">
        <w:rPr>
          <w:sz w:val="20"/>
        </w:rPr>
        <w:t>)</w:t>
      </w:r>
      <w:r w:rsidRPr="00231A59">
        <w:rPr>
          <w:sz w:val="20"/>
        </w:rPr>
        <w:t>.</w:t>
      </w:r>
    </w:p>
  </w:footnote>
  <w:footnote w:id="3">
    <w:p w:rsidR="00894CBD" w:rsidRDefault="00894CBD">
      <w:pPr>
        <w:pStyle w:val="FootnoteText"/>
      </w:pPr>
      <w:r>
        <w:rPr>
          <w:rStyle w:val="FootnoteReference"/>
        </w:rPr>
        <w:footnoteRef/>
      </w:r>
      <w:r w:rsidRPr="00137F0B">
        <w:rPr>
          <w:sz w:val="20"/>
        </w:rPr>
        <w:t xml:space="preserve"> </w:t>
      </w:r>
      <w:r w:rsidR="007662DC" w:rsidRPr="007662DC">
        <w:rPr>
          <w:i/>
          <w:sz w:val="20"/>
        </w:rPr>
        <w:t>Id</w:t>
      </w:r>
      <w:r w:rsidR="007662DC">
        <w:rPr>
          <w:sz w:val="20"/>
        </w:rPr>
        <w:t>.</w:t>
      </w:r>
      <w:r w:rsidR="007662DC" w:rsidRPr="007509D8">
        <w:rPr>
          <w:sz w:val="20"/>
        </w:rPr>
        <w:t xml:space="preserve"> </w:t>
      </w:r>
      <w:r w:rsidRPr="007509D8">
        <w:rPr>
          <w:sz w:val="20"/>
        </w:rPr>
        <w:t>at 2-3.</w:t>
      </w:r>
    </w:p>
  </w:footnote>
  <w:footnote w:id="4">
    <w:p w:rsidR="00082322" w:rsidRDefault="00082322" w:rsidP="00082322">
      <w:pPr>
        <w:pStyle w:val="FootnoteText"/>
      </w:pPr>
      <w:r>
        <w:rPr>
          <w:rStyle w:val="FootnoteReference"/>
        </w:rPr>
        <w:footnoteRef/>
      </w:r>
      <w:r w:rsidRPr="00082322">
        <w:rPr>
          <w:sz w:val="20"/>
        </w:rPr>
        <w:t xml:space="preserve"> </w:t>
      </w:r>
      <w:r w:rsidR="00B56F39">
        <w:rPr>
          <w:sz w:val="20"/>
        </w:rPr>
        <w:t>While the A</w:t>
      </w:r>
      <w:r>
        <w:rPr>
          <w:sz w:val="20"/>
        </w:rPr>
        <w:t xml:space="preserve">ttorneys </w:t>
      </w:r>
      <w:r w:rsidR="00B56F39">
        <w:rPr>
          <w:sz w:val="20"/>
        </w:rPr>
        <w:t>G</w:t>
      </w:r>
      <w:r>
        <w:rPr>
          <w:sz w:val="20"/>
        </w:rPr>
        <w:t xml:space="preserve">eneral use the term “telephone carriers,” we note that the Commission has determined that prohibition on call blocking </w:t>
      </w:r>
      <w:r w:rsidR="006C4B3A">
        <w:rPr>
          <w:sz w:val="20"/>
        </w:rPr>
        <w:t>also extends to</w:t>
      </w:r>
      <w:r>
        <w:rPr>
          <w:sz w:val="20"/>
        </w:rPr>
        <w:t xml:space="preserve"> VoIP service providers.  </w:t>
      </w:r>
      <w:r w:rsidRPr="00082322">
        <w:rPr>
          <w:i/>
          <w:sz w:val="20"/>
        </w:rPr>
        <w:t>See Rural Call Completion</w:t>
      </w:r>
      <w:r w:rsidRPr="00082322">
        <w:rPr>
          <w:sz w:val="20"/>
        </w:rPr>
        <w:t xml:space="preserve">, WC Docket No. 13-39, 28 FCC Rcd 16154, *6, para. 18 (2013) </w:t>
      </w:r>
      <w:r w:rsidR="006C4B3A">
        <w:rPr>
          <w:sz w:val="20"/>
        </w:rPr>
        <w:t>(</w:t>
      </w:r>
      <w:r w:rsidR="006C4B3A">
        <w:rPr>
          <w:i/>
          <w:sz w:val="20"/>
        </w:rPr>
        <w:t>citing</w:t>
      </w:r>
      <w:r w:rsidR="006C4B3A">
        <w:rPr>
          <w:sz w:val="20"/>
        </w:rPr>
        <w:t xml:space="preserve"> </w:t>
      </w:r>
      <w:r w:rsidR="006C4B3A" w:rsidRPr="009E1985">
        <w:rPr>
          <w:i/>
          <w:sz w:val="20"/>
        </w:rPr>
        <w:t>Connect America Fund</w:t>
      </w:r>
      <w:r w:rsidR="006C4B3A" w:rsidRPr="009E1985">
        <w:rPr>
          <w:sz w:val="20"/>
        </w:rPr>
        <w:t xml:space="preserve">, WC Docket Nos. 10-90, 07-135, 05-337, 03-109, Report and Order and Further Notice of Proposed Rulemaking, 26 FCC Rcd 17663, </w:t>
      </w:r>
      <w:r w:rsidR="006C4B3A">
        <w:rPr>
          <w:sz w:val="20"/>
        </w:rPr>
        <w:t>18028-29, para. 973-74</w:t>
      </w:r>
      <w:r w:rsidR="006C4B3A" w:rsidRPr="009E1985">
        <w:rPr>
          <w:sz w:val="20"/>
        </w:rPr>
        <w:t xml:space="preserve"> (2011)</w:t>
      </w:r>
      <w:r w:rsidR="006C4B3A">
        <w:rPr>
          <w:sz w:val="20"/>
        </w:rPr>
        <w:t xml:space="preserve"> (</w:t>
      </w:r>
      <w:r w:rsidR="006C4B3A">
        <w:rPr>
          <w:i/>
          <w:sz w:val="20"/>
        </w:rPr>
        <w:t>2011 Report and Order</w:t>
      </w:r>
      <w:r w:rsidR="006C4B3A">
        <w:rPr>
          <w:sz w:val="20"/>
        </w:rPr>
        <w:t xml:space="preserve">)) </w:t>
      </w:r>
      <w:r w:rsidRPr="00082322">
        <w:rPr>
          <w:sz w:val="20"/>
        </w:rPr>
        <w:t>(stating that interconnected and one-way VoIP service providers may violate the prohibition on call blocking).</w:t>
      </w:r>
    </w:p>
  </w:footnote>
  <w:footnote w:id="5">
    <w:p w:rsidR="00894CBD" w:rsidRDefault="00894CBD">
      <w:pPr>
        <w:pStyle w:val="FootnoteText"/>
      </w:pPr>
      <w:r>
        <w:rPr>
          <w:rStyle w:val="FootnoteReference"/>
        </w:rPr>
        <w:footnoteRef/>
      </w:r>
      <w:r w:rsidRPr="00137F0B">
        <w:rPr>
          <w:sz w:val="20"/>
        </w:rPr>
        <w:t xml:space="preserve"> </w:t>
      </w:r>
      <w:r w:rsidRPr="007509D8">
        <w:rPr>
          <w:sz w:val="20"/>
        </w:rPr>
        <w:t xml:space="preserve">The </w:t>
      </w:r>
      <w:r w:rsidR="00666729">
        <w:rPr>
          <w:sz w:val="20"/>
        </w:rPr>
        <w:t>A</w:t>
      </w:r>
      <w:r w:rsidRPr="007509D8">
        <w:rPr>
          <w:sz w:val="20"/>
        </w:rPr>
        <w:t xml:space="preserve">ttorneys </w:t>
      </w:r>
      <w:r w:rsidR="00666729">
        <w:rPr>
          <w:sz w:val="20"/>
        </w:rPr>
        <w:t>G</w:t>
      </w:r>
      <w:r w:rsidRPr="007509D8">
        <w:rPr>
          <w:sz w:val="20"/>
        </w:rPr>
        <w:t>eneral, in their let</w:t>
      </w:r>
      <w:r w:rsidRPr="00894CBD">
        <w:rPr>
          <w:sz w:val="20"/>
        </w:rPr>
        <w:t>ter, list three particular call</w:t>
      </w:r>
      <w:r>
        <w:rPr>
          <w:sz w:val="20"/>
        </w:rPr>
        <w:t>-</w:t>
      </w:r>
      <w:r w:rsidRPr="007509D8">
        <w:rPr>
          <w:sz w:val="20"/>
        </w:rPr>
        <w:t xml:space="preserve">blocking technologies: </w:t>
      </w:r>
      <w:r w:rsidR="00021D5A" w:rsidRPr="007509D8">
        <w:rPr>
          <w:sz w:val="20"/>
        </w:rPr>
        <w:t>No</w:t>
      </w:r>
      <w:r w:rsidR="00021D5A">
        <w:rPr>
          <w:sz w:val="20"/>
        </w:rPr>
        <w:t>m</w:t>
      </w:r>
      <w:r w:rsidR="00021D5A" w:rsidRPr="007509D8">
        <w:rPr>
          <w:sz w:val="20"/>
        </w:rPr>
        <w:t>o</w:t>
      </w:r>
      <w:r w:rsidR="00021D5A">
        <w:rPr>
          <w:sz w:val="20"/>
        </w:rPr>
        <w:t>r</w:t>
      </w:r>
      <w:r w:rsidR="00021D5A" w:rsidRPr="007509D8">
        <w:rPr>
          <w:sz w:val="20"/>
        </w:rPr>
        <w:t>obo</w:t>
      </w:r>
      <w:r w:rsidRPr="007509D8">
        <w:rPr>
          <w:sz w:val="20"/>
        </w:rPr>
        <w:t xml:space="preserve">, Call Control, and Telemarketing Guard.  </w:t>
      </w:r>
      <w:r w:rsidR="007662DC" w:rsidRPr="007662DC">
        <w:rPr>
          <w:i/>
          <w:sz w:val="20"/>
        </w:rPr>
        <w:t>Id</w:t>
      </w:r>
      <w:r w:rsidR="007662DC">
        <w:rPr>
          <w:sz w:val="20"/>
        </w:rPr>
        <w:t>.</w:t>
      </w:r>
      <w:r w:rsidR="007662DC" w:rsidRPr="007509D8">
        <w:rPr>
          <w:sz w:val="20"/>
        </w:rPr>
        <w:t xml:space="preserve"> </w:t>
      </w:r>
      <w:r w:rsidRPr="007509D8">
        <w:rPr>
          <w:sz w:val="20"/>
        </w:rPr>
        <w:t>at 2.  We do not limit our inquiry to these technologies, however.</w:t>
      </w:r>
    </w:p>
  </w:footnote>
  <w:footnote w:id="6">
    <w:p w:rsidR="00B5547F" w:rsidRDefault="00B5547F">
      <w:pPr>
        <w:pStyle w:val="FootnoteText"/>
      </w:pPr>
      <w:r>
        <w:rPr>
          <w:rStyle w:val="FootnoteReference"/>
        </w:rPr>
        <w:footnoteRef/>
      </w:r>
      <w:r w:rsidRPr="00137F0B">
        <w:rPr>
          <w:sz w:val="20"/>
        </w:rPr>
        <w:t xml:space="preserve"> </w:t>
      </w:r>
      <w:r w:rsidRPr="00231A59">
        <w:rPr>
          <w:sz w:val="20"/>
        </w:rPr>
        <w:t>Letter at 1</w:t>
      </w:r>
      <w:r w:rsidRPr="00D218F3">
        <w:rPr>
          <w:sz w:val="20"/>
        </w:rPr>
        <w:t>.</w:t>
      </w:r>
      <w:r>
        <w:rPr>
          <w:sz w:val="20"/>
        </w:rPr>
        <w:t xml:space="preserve">  The </w:t>
      </w:r>
      <w:r w:rsidR="00666729">
        <w:rPr>
          <w:sz w:val="20"/>
        </w:rPr>
        <w:t>A</w:t>
      </w:r>
      <w:r>
        <w:rPr>
          <w:sz w:val="20"/>
        </w:rPr>
        <w:t xml:space="preserve">ttorneys </w:t>
      </w:r>
      <w:r w:rsidR="00666729">
        <w:rPr>
          <w:sz w:val="20"/>
        </w:rPr>
        <w:t>G</w:t>
      </w:r>
      <w:r>
        <w:rPr>
          <w:sz w:val="20"/>
        </w:rPr>
        <w:t>eneral</w:t>
      </w:r>
      <w:r w:rsidRPr="000263DD">
        <w:rPr>
          <w:sz w:val="20"/>
        </w:rPr>
        <w:t xml:space="preserve"> note that, subsequent to the hearing, Senator Claire McCaskill sent a letter to US Telecom and CTIA asking for a “‘complete analysis of the challenges your industry foresees in implementing’ call-blocking technologies.”  </w:t>
      </w:r>
      <w:r w:rsidRPr="000263DD">
        <w:rPr>
          <w:i/>
          <w:sz w:val="20"/>
        </w:rPr>
        <w:t>Id</w:t>
      </w:r>
      <w:r w:rsidRPr="000263DD">
        <w:rPr>
          <w:sz w:val="20"/>
        </w:rPr>
        <w:t xml:space="preserve">. at 2.  According to </w:t>
      </w:r>
      <w:r>
        <w:rPr>
          <w:sz w:val="20"/>
        </w:rPr>
        <w:t xml:space="preserve">the </w:t>
      </w:r>
      <w:r w:rsidR="00666729">
        <w:rPr>
          <w:sz w:val="20"/>
        </w:rPr>
        <w:t>A</w:t>
      </w:r>
      <w:r>
        <w:rPr>
          <w:sz w:val="20"/>
        </w:rPr>
        <w:t xml:space="preserve">ttorneys </w:t>
      </w:r>
      <w:r w:rsidR="00666729">
        <w:rPr>
          <w:sz w:val="20"/>
        </w:rPr>
        <w:t>G</w:t>
      </w:r>
      <w:r>
        <w:rPr>
          <w:sz w:val="20"/>
        </w:rPr>
        <w:t>eneral</w:t>
      </w:r>
      <w:r w:rsidRPr="000263DD">
        <w:rPr>
          <w:sz w:val="20"/>
        </w:rPr>
        <w:t xml:space="preserve">, US Telecom stated in its response to Senator McCaskill that “the [Commission] has concluded that call blocking is an unjust and unreasonable practice under section 201(b) of the Communications Act of 1934.”  </w:t>
      </w:r>
      <w:r w:rsidRPr="000263DD">
        <w:rPr>
          <w:i/>
          <w:sz w:val="20"/>
        </w:rPr>
        <w:t>Id</w:t>
      </w:r>
      <w:r w:rsidRPr="000263DD">
        <w:rPr>
          <w:sz w:val="20"/>
        </w:rPr>
        <w:t>.</w:t>
      </w:r>
    </w:p>
  </w:footnote>
  <w:footnote w:id="7">
    <w:p w:rsidR="00A56C82" w:rsidRDefault="00A56C82" w:rsidP="00A56C82">
      <w:pPr>
        <w:pStyle w:val="FootnoteText"/>
      </w:pPr>
      <w:r>
        <w:rPr>
          <w:rStyle w:val="FootnoteReference"/>
        </w:rPr>
        <w:footnoteRef/>
      </w:r>
      <w:r w:rsidRPr="00B56F39">
        <w:rPr>
          <w:sz w:val="20"/>
        </w:rPr>
        <w:t xml:space="preserve"> </w:t>
      </w:r>
      <w:r w:rsidRPr="00B5547F">
        <w:rPr>
          <w:i/>
          <w:sz w:val="20"/>
        </w:rPr>
        <w:t>See</w:t>
      </w:r>
      <w:r w:rsidRPr="001537EE">
        <w:rPr>
          <w:i/>
          <w:sz w:val="20"/>
        </w:rPr>
        <w:t xml:space="preserve"> </w:t>
      </w:r>
      <w:r>
        <w:rPr>
          <w:i/>
          <w:sz w:val="20"/>
        </w:rPr>
        <w:t>2011</w:t>
      </w:r>
      <w:r w:rsidRPr="00B56F39">
        <w:rPr>
          <w:i/>
          <w:sz w:val="20"/>
        </w:rPr>
        <w:t xml:space="preserve"> Report and Order</w:t>
      </w:r>
      <w:r w:rsidRPr="009E1985">
        <w:rPr>
          <w:sz w:val="20"/>
        </w:rPr>
        <w:t xml:space="preserve">, 26 FCC Rcd </w:t>
      </w:r>
      <w:r>
        <w:rPr>
          <w:sz w:val="20"/>
        </w:rPr>
        <w:t>at</w:t>
      </w:r>
      <w:r w:rsidRPr="009E1985">
        <w:rPr>
          <w:sz w:val="20"/>
        </w:rPr>
        <w:t xml:space="preserve"> 1</w:t>
      </w:r>
      <w:r>
        <w:rPr>
          <w:sz w:val="20"/>
        </w:rPr>
        <w:t>7903, para. 734 (reiterating that call blocking is impermissible in intercarrier compensation disputes)</w:t>
      </w:r>
      <w:r w:rsidRPr="00B5547F">
        <w:rPr>
          <w:sz w:val="20"/>
        </w:rPr>
        <w:t xml:space="preserve">; </w:t>
      </w:r>
      <w:r w:rsidRPr="00402716">
        <w:rPr>
          <w:i/>
          <w:sz w:val="20"/>
        </w:rPr>
        <w:t xml:space="preserve">Developing an Unified Intercarrier Compensation Regime, </w:t>
      </w:r>
      <w:r w:rsidRPr="00402716">
        <w:rPr>
          <w:sz w:val="20"/>
        </w:rPr>
        <w:t xml:space="preserve">CC Docket No. 01-92, </w:t>
      </w:r>
      <w:r w:rsidRPr="00402716">
        <w:rPr>
          <w:i/>
          <w:sz w:val="20"/>
        </w:rPr>
        <w:t>Establishing Just and Reasonable Rates for Local Exchange Carriers</w:t>
      </w:r>
      <w:r w:rsidRPr="00402716">
        <w:rPr>
          <w:sz w:val="20"/>
        </w:rPr>
        <w:t>, WC Docket No. 07-135, Declaratory Ruling, 27 FCC Rcd 1351</w:t>
      </w:r>
      <w:r>
        <w:rPr>
          <w:sz w:val="20"/>
        </w:rPr>
        <w:t>, 1354, para. 9</w:t>
      </w:r>
      <w:r w:rsidRPr="00402716">
        <w:rPr>
          <w:sz w:val="20"/>
        </w:rPr>
        <w:t xml:space="preserve"> (WCB 2012)</w:t>
      </w:r>
      <w:r>
        <w:rPr>
          <w:sz w:val="20"/>
        </w:rPr>
        <w:t xml:space="preserve"> (</w:t>
      </w:r>
      <w:r>
        <w:rPr>
          <w:i/>
          <w:sz w:val="20"/>
        </w:rPr>
        <w:t>2012 Declaratory Ruling</w:t>
      </w:r>
      <w:r>
        <w:rPr>
          <w:sz w:val="20"/>
        </w:rPr>
        <w:t xml:space="preserve">) (discussing call blocking in rural call completion context); </w:t>
      </w:r>
      <w:r w:rsidRPr="00B5547F">
        <w:rPr>
          <w:i/>
          <w:sz w:val="20"/>
        </w:rPr>
        <w:t>Establishing Just and Reasonable Rates for Local Exchange Carriers; Call Blocking by Carriers</w:t>
      </w:r>
      <w:r w:rsidRPr="00B5547F">
        <w:rPr>
          <w:sz w:val="20"/>
        </w:rPr>
        <w:t xml:space="preserve">, WC Docket No. 07-135, </w:t>
      </w:r>
      <w:r>
        <w:rPr>
          <w:sz w:val="20"/>
        </w:rPr>
        <w:t xml:space="preserve">Declaratory Ruling and Order, </w:t>
      </w:r>
      <w:r w:rsidRPr="00B5547F">
        <w:rPr>
          <w:sz w:val="20"/>
        </w:rPr>
        <w:t>22 FCC Rcd 11629</w:t>
      </w:r>
      <w:r>
        <w:rPr>
          <w:sz w:val="20"/>
        </w:rPr>
        <w:t>, 11629-31, paras. 1, 6</w:t>
      </w:r>
      <w:r w:rsidRPr="00B5547F">
        <w:rPr>
          <w:sz w:val="20"/>
        </w:rPr>
        <w:t xml:space="preserve"> (</w:t>
      </w:r>
      <w:r>
        <w:rPr>
          <w:sz w:val="20"/>
        </w:rPr>
        <w:t xml:space="preserve">WCB </w:t>
      </w:r>
      <w:r w:rsidRPr="00B5547F">
        <w:rPr>
          <w:sz w:val="20"/>
        </w:rPr>
        <w:t>2007)</w:t>
      </w:r>
      <w:r>
        <w:rPr>
          <w:sz w:val="20"/>
        </w:rPr>
        <w:t xml:space="preserve"> (</w:t>
      </w:r>
      <w:r>
        <w:rPr>
          <w:i/>
          <w:sz w:val="20"/>
        </w:rPr>
        <w:t>2007 Declaratory Ruling</w:t>
      </w:r>
      <w:r>
        <w:rPr>
          <w:sz w:val="20"/>
        </w:rPr>
        <w:t>)</w:t>
      </w:r>
      <w:r w:rsidRPr="00CD0A3D">
        <w:rPr>
          <w:sz w:val="20"/>
        </w:rPr>
        <w:t xml:space="preserve"> </w:t>
      </w:r>
      <w:r>
        <w:rPr>
          <w:sz w:val="20"/>
        </w:rPr>
        <w:t>(reiterating that call blocking is impermissible as a self-help measure to address intercarrier compensation dispute)</w:t>
      </w:r>
      <w:r w:rsidRPr="00B5547F">
        <w:rPr>
          <w:sz w:val="20"/>
        </w:rPr>
        <w:t xml:space="preserve">; </w:t>
      </w:r>
      <w:r w:rsidRPr="00B5547F">
        <w:rPr>
          <w:i/>
          <w:sz w:val="20"/>
        </w:rPr>
        <w:t>see also</w:t>
      </w:r>
      <w:r w:rsidRPr="00B5547F">
        <w:rPr>
          <w:sz w:val="20"/>
        </w:rPr>
        <w:t xml:space="preserve"> </w:t>
      </w:r>
      <w:r w:rsidRPr="00B5547F">
        <w:rPr>
          <w:i/>
          <w:sz w:val="20"/>
        </w:rPr>
        <w:t>Blocking Interstate Traffic in Iowa</w:t>
      </w:r>
      <w:r w:rsidRPr="00B5547F">
        <w:rPr>
          <w:sz w:val="20"/>
        </w:rPr>
        <w:t>, Memorandum Opinion and Order, 2 FCC Rcd 2692 (1987) (denying application for review of Bureau order, which required petitioners to interconnect their facilities with those of an interexchange carrier in order to permit the completion of interstate calls over certain facilities).</w:t>
      </w:r>
    </w:p>
  </w:footnote>
  <w:footnote w:id="8">
    <w:p w:rsidR="00137F0B" w:rsidRDefault="00137F0B">
      <w:pPr>
        <w:pStyle w:val="FootnoteText"/>
      </w:pPr>
      <w:r>
        <w:rPr>
          <w:rStyle w:val="FootnoteReference"/>
        </w:rPr>
        <w:footnoteRef/>
      </w:r>
      <w:r>
        <w:t xml:space="preserve"> </w:t>
      </w:r>
      <w:r>
        <w:rPr>
          <w:i/>
          <w:sz w:val="20"/>
        </w:rPr>
        <w:t>2011 Report and Order</w:t>
      </w:r>
      <w:r w:rsidRPr="009E1985">
        <w:rPr>
          <w:sz w:val="20"/>
        </w:rPr>
        <w:t xml:space="preserve">, 26 FCC Rcd </w:t>
      </w:r>
      <w:r>
        <w:rPr>
          <w:sz w:val="20"/>
        </w:rPr>
        <w:t>at</w:t>
      </w:r>
      <w:r w:rsidRPr="009E1985">
        <w:rPr>
          <w:sz w:val="20"/>
        </w:rPr>
        <w:t xml:space="preserve"> 18029</w:t>
      </w:r>
      <w:r>
        <w:rPr>
          <w:sz w:val="20"/>
        </w:rPr>
        <w:t>, para. 973</w:t>
      </w:r>
      <w:r w:rsidRPr="009E1985">
        <w:rPr>
          <w:sz w:val="20"/>
        </w:rPr>
        <w:t xml:space="preserve"> n.2038 (2011)</w:t>
      </w:r>
      <w:r>
        <w:rPr>
          <w:sz w:val="20"/>
        </w:rPr>
        <w:t xml:space="preserve"> (quoting </w:t>
      </w:r>
      <w:r>
        <w:rPr>
          <w:i/>
          <w:sz w:val="20"/>
        </w:rPr>
        <w:t>2007 Declaratory Ruling</w:t>
      </w:r>
      <w:r>
        <w:rPr>
          <w:sz w:val="20"/>
        </w:rPr>
        <w:t>, 22 FCC Rcd at 11632, para. 7 &amp; n.21)</w:t>
      </w:r>
      <w:r w:rsidRPr="009E1985">
        <w:rPr>
          <w:sz w:val="20"/>
        </w:rPr>
        <w:t>.</w:t>
      </w:r>
    </w:p>
  </w:footnote>
  <w:footnote w:id="9">
    <w:p w:rsidR="00AA795C" w:rsidRPr="009E1985" w:rsidRDefault="00AA795C">
      <w:pPr>
        <w:pStyle w:val="FootnoteText"/>
        <w:rPr>
          <w:sz w:val="20"/>
        </w:rPr>
      </w:pPr>
      <w:r>
        <w:rPr>
          <w:rStyle w:val="FootnoteReference"/>
        </w:rPr>
        <w:footnoteRef/>
      </w:r>
      <w:r w:rsidRPr="00137F0B">
        <w:rPr>
          <w:sz w:val="20"/>
        </w:rPr>
        <w:t xml:space="preserve"> </w:t>
      </w:r>
      <w:r w:rsidR="005401B2">
        <w:rPr>
          <w:i/>
          <w:sz w:val="20"/>
        </w:rPr>
        <w:t>2007 Declaratory Ruling</w:t>
      </w:r>
      <w:r w:rsidR="005401B2">
        <w:rPr>
          <w:sz w:val="20"/>
        </w:rPr>
        <w:t>, 22 FCC Rcd at 11632, para. 7 n.21</w:t>
      </w:r>
      <w:r w:rsidR="009E1985" w:rsidRPr="009E1985">
        <w:rPr>
          <w:sz w:val="20"/>
        </w:rPr>
        <w:t>.</w:t>
      </w:r>
    </w:p>
  </w:footnote>
  <w:footnote w:id="10">
    <w:p w:rsidR="00A02D28" w:rsidRPr="00A02D28" w:rsidRDefault="00A02D28">
      <w:pPr>
        <w:pStyle w:val="FootnoteText"/>
        <w:rPr>
          <w:sz w:val="20"/>
        </w:rPr>
      </w:pPr>
      <w:r>
        <w:rPr>
          <w:rStyle w:val="FootnoteReference"/>
        </w:rPr>
        <w:footnoteRef/>
      </w:r>
      <w:r w:rsidRPr="00137F0B">
        <w:rPr>
          <w:sz w:val="20"/>
        </w:rPr>
        <w:t xml:space="preserve"> </w:t>
      </w:r>
      <w:r w:rsidRPr="00A02D28">
        <w:rPr>
          <w:i/>
          <w:sz w:val="20"/>
        </w:rPr>
        <w:t>Telecommunications Relay Services and Speech-to-Speech Services for Individuals with Hearing and Speech Disabilities</w:t>
      </w:r>
      <w:r w:rsidRPr="00A02D28">
        <w:rPr>
          <w:sz w:val="20"/>
        </w:rPr>
        <w:t>, CG Docket Nos. 90-571, 98-67, 03-123, Report and Order, Order on Reconsideration, and Further Notice of Proposed Rulemaking, 19 FCC Rcd 12475, 12508</w:t>
      </w:r>
      <w:r w:rsidR="00904A61">
        <w:rPr>
          <w:sz w:val="20"/>
        </w:rPr>
        <w:t>, para. 74</w:t>
      </w:r>
      <w:r w:rsidRPr="00A02D28">
        <w:rPr>
          <w:sz w:val="20"/>
        </w:rPr>
        <w:t xml:space="preserve"> (2004).</w:t>
      </w:r>
    </w:p>
  </w:footnote>
  <w:footnote w:id="11">
    <w:p w:rsidR="008016EF" w:rsidRPr="008016EF" w:rsidRDefault="008016EF">
      <w:pPr>
        <w:pStyle w:val="FootnoteText"/>
        <w:rPr>
          <w:sz w:val="20"/>
        </w:rPr>
      </w:pPr>
      <w:r>
        <w:rPr>
          <w:rStyle w:val="FootnoteReference"/>
        </w:rPr>
        <w:footnoteRef/>
      </w:r>
      <w:r w:rsidRPr="00137F0B">
        <w:rPr>
          <w:sz w:val="20"/>
        </w:rPr>
        <w:t xml:space="preserve"> </w:t>
      </w:r>
      <w:r>
        <w:rPr>
          <w:sz w:val="20"/>
        </w:rPr>
        <w:t xml:space="preserve">For a detailed description of the problem, </w:t>
      </w:r>
      <w:r w:rsidRPr="001537EE">
        <w:rPr>
          <w:i/>
          <w:sz w:val="20"/>
        </w:rPr>
        <w:t>see</w:t>
      </w:r>
      <w:r>
        <w:rPr>
          <w:sz w:val="20"/>
        </w:rPr>
        <w:t xml:space="preserve"> </w:t>
      </w:r>
      <w:r>
        <w:rPr>
          <w:i/>
          <w:sz w:val="20"/>
        </w:rPr>
        <w:t>Policies and Rules Concerning Operator Service Access and Pay Telephone Compensation</w:t>
      </w:r>
      <w:r>
        <w:rPr>
          <w:sz w:val="20"/>
        </w:rPr>
        <w:t>, CG Docket No. 91-35, Third Report and Order, 11 FCC Rcd 17021, 17023-24, para. 3</w:t>
      </w:r>
      <w:r w:rsidR="00A6447E">
        <w:rPr>
          <w:sz w:val="20"/>
        </w:rPr>
        <w:t xml:space="preserve"> (</w:t>
      </w:r>
      <w:r w:rsidR="001F5305">
        <w:rPr>
          <w:sz w:val="20"/>
        </w:rPr>
        <w:t>1996</w:t>
      </w:r>
      <w:r w:rsidR="00A6447E">
        <w:rPr>
          <w:sz w:val="20"/>
        </w:rPr>
        <w:t>)</w:t>
      </w:r>
      <w:r w:rsidR="001A75DD">
        <w:rPr>
          <w:sz w:val="20"/>
        </w:rPr>
        <w:t xml:space="preserve"> (</w:t>
      </w:r>
      <w:r w:rsidR="001A75DD">
        <w:rPr>
          <w:i/>
          <w:sz w:val="20"/>
        </w:rPr>
        <w:t>1996 Report and Order</w:t>
      </w:r>
      <w:r w:rsidR="001A75DD">
        <w:rPr>
          <w:sz w:val="20"/>
        </w:rPr>
        <w:t>)</w:t>
      </w:r>
      <w:r>
        <w:rPr>
          <w:sz w:val="20"/>
        </w:rPr>
        <w:t>.</w:t>
      </w:r>
    </w:p>
  </w:footnote>
  <w:footnote w:id="12">
    <w:p w:rsidR="00B90DD1" w:rsidRPr="004B7F6F" w:rsidRDefault="00B90DD1">
      <w:pPr>
        <w:pStyle w:val="FootnoteText"/>
        <w:rPr>
          <w:sz w:val="20"/>
        </w:rPr>
      </w:pPr>
      <w:r>
        <w:rPr>
          <w:rStyle w:val="FootnoteReference"/>
        </w:rPr>
        <w:footnoteRef/>
      </w:r>
      <w:r w:rsidRPr="00137F0B">
        <w:rPr>
          <w:sz w:val="20"/>
        </w:rPr>
        <w:t xml:space="preserve"> </w:t>
      </w:r>
      <w:r w:rsidR="008016EF">
        <w:rPr>
          <w:i/>
          <w:sz w:val="20"/>
        </w:rPr>
        <w:t>Id.</w:t>
      </w:r>
      <w:r w:rsidR="008016EF">
        <w:rPr>
          <w:sz w:val="20"/>
        </w:rPr>
        <w:t xml:space="preserve"> at</w:t>
      </w:r>
      <w:r>
        <w:rPr>
          <w:sz w:val="20"/>
        </w:rPr>
        <w:t xml:space="preserve"> 17045, para. 44; </w:t>
      </w:r>
      <w:r>
        <w:rPr>
          <w:i/>
          <w:sz w:val="20"/>
        </w:rPr>
        <w:t xml:space="preserve">see also </w:t>
      </w:r>
      <w:r w:rsidR="004B7F6F">
        <w:rPr>
          <w:i/>
          <w:sz w:val="20"/>
        </w:rPr>
        <w:t>Application by Verizon New Jersey Inc., Bell Atlantic Communications, Inc. (D/B/A Verizon Long Distance), NYNEX Long Distance Company (D/B/A Verizon Enterprise Solutions), Verizon Global Networks Inc., and Verizon Select Services Inc., for Authorization to Provide In-Region, Interlata Services in New Jersey</w:t>
      </w:r>
      <w:r w:rsidR="004B7F6F">
        <w:rPr>
          <w:sz w:val="20"/>
        </w:rPr>
        <w:t>, WC Docket No. 02-67, Memorandum Opinion and Order, 17 FCC Rcd 12275, 12355-56, paras. 161-163 (2002)</w:t>
      </w:r>
      <w:r w:rsidR="005C7864">
        <w:rPr>
          <w:sz w:val="20"/>
        </w:rPr>
        <w:t xml:space="preserve">; </w:t>
      </w:r>
      <w:r w:rsidR="005C7864">
        <w:rPr>
          <w:i/>
          <w:sz w:val="20"/>
        </w:rPr>
        <w:t>Policies and Rules Concerning Operator Service Access and Pay Telephone Compensation</w:t>
      </w:r>
      <w:r w:rsidR="005C7864">
        <w:rPr>
          <w:sz w:val="20"/>
        </w:rPr>
        <w:t>, CG Docket No. 91-35, Report and Order and Further Notice of Proposed Rule Making, 6 FCC Rcd 4736, 4741, para. 15 (1991)</w:t>
      </w:r>
      <w:r w:rsidR="004B7F6F">
        <w:rPr>
          <w:sz w:val="20"/>
        </w:rPr>
        <w:t>.</w:t>
      </w:r>
    </w:p>
  </w:footnote>
  <w:footnote w:id="13">
    <w:p w:rsidR="001A75DD" w:rsidRPr="001A75DD" w:rsidRDefault="001A75DD">
      <w:pPr>
        <w:pStyle w:val="FootnoteText"/>
        <w:rPr>
          <w:sz w:val="20"/>
        </w:rPr>
      </w:pPr>
      <w:r>
        <w:rPr>
          <w:rStyle w:val="FootnoteReference"/>
        </w:rPr>
        <w:footnoteRef/>
      </w:r>
      <w:r w:rsidRPr="00402716">
        <w:rPr>
          <w:sz w:val="20"/>
        </w:rPr>
        <w:t xml:space="preserve"> </w:t>
      </w:r>
      <w:r w:rsidRPr="001A75DD">
        <w:rPr>
          <w:i/>
          <w:sz w:val="20"/>
        </w:rPr>
        <w:t>1996 Report and Order</w:t>
      </w:r>
      <w:r w:rsidRPr="001A75DD">
        <w:rPr>
          <w:sz w:val="20"/>
        </w:rPr>
        <w:t>, 11 FCC Rcd at 17044, para. 41.</w:t>
      </w:r>
    </w:p>
  </w:footnote>
  <w:footnote w:id="14">
    <w:p w:rsidR="008E338A" w:rsidRPr="008E338A" w:rsidRDefault="008E338A">
      <w:pPr>
        <w:pStyle w:val="FootnoteText"/>
      </w:pPr>
      <w:r>
        <w:rPr>
          <w:rStyle w:val="FootnoteReference"/>
        </w:rPr>
        <w:footnoteRef/>
      </w:r>
      <w:r w:rsidRPr="00102E17">
        <w:rPr>
          <w:sz w:val="20"/>
        </w:rPr>
        <w:t xml:space="preserve"> </w:t>
      </w:r>
      <w:r w:rsidRPr="007D339A">
        <w:rPr>
          <w:sz w:val="20"/>
        </w:rPr>
        <w:t xml:space="preserve">North American Number Plan Administration, Vertical Service Codes: Code Definitions, </w:t>
      </w:r>
      <w:r w:rsidRPr="007D339A">
        <w:rPr>
          <w:i/>
          <w:sz w:val="20"/>
        </w:rPr>
        <w:t>available at</w:t>
      </w:r>
      <w:r w:rsidRPr="007D339A">
        <w:rPr>
          <w:sz w:val="20"/>
        </w:rPr>
        <w:t xml:space="preserve"> </w:t>
      </w:r>
      <w:hyperlink r:id="rId1" w:history="1">
        <w:r w:rsidR="00102E17" w:rsidRPr="007D339A">
          <w:rPr>
            <w:rStyle w:val="Hyperlink"/>
            <w:sz w:val="20"/>
          </w:rPr>
          <w:t>http://www.nanpa.com/number_resource_info/vsc_definitions.html</w:t>
        </w:r>
      </w:hyperlink>
      <w:r w:rsidR="00102E17" w:rsidRPr="007D339A">
        <w:rPr>
          <w:sz w:val="20"/>
        </w:rPr>
        <w:t xml:space="preserve"> (last visited Oct. 20, 2014).</w:t>
      </w:r>
    </w:p>
  </w:footnote>
  <w:footnote w:id="15">
    <w:p w:rsidR="00021D5A" w:rsidRPr="00137F0B" w:rsidRDefault="00021D5A">
      <w:pPr>
        <w:pStyle w:val="FootnoteText"/>
        <w:rPr>
          <w:sz w:val="20"/>
        </w:rPr>
      </w:pPr>
      <w:r>
        <w:rPr>
          <w:rStyle w:val="FootnoteReference"/>
        </w:rPr>
        <w:footnoteRef/>
      </w:r>
      <w:r w:rsidRPr="00137F0B">
        <w:rPr>
          <w:sz w:val="20"/>
        </w:rPr>
        <w:t xml:space="preserve"> </w:t>
      </w:r>
      <w:r w:rsidRPr="007D339A">
        <w:rPr>
          <w:i/>
          <w:sz w:val="20"/>
        </w:rPr>
        <w:t>See</w:t>
      </w:r>
      <w:r w:rsidRPr="007D339A">
        <w:rPr>
          <w:sz w:val="20"/>
        </w:rPr>
        <w:t xml:space="preserve"> Nomorobo,</w:t>
      </w:r>
      <w:r w:rsidRPr="007D339A">
        <w:rPr>
          <w:i/>
          <w:sz w:val="20"/>
        </w:rPr>
        <w:t xml:space="preserve"> available at</w:t>
      </w:r>
      <w:r w:rsidRPr="007D339A">
        <w:rPr>
          <w:sz w:val="20"/>
        </w:rPr>
        <w:t xml:space="preserve"> </w:t>
      </w:r>
      <w:hyperlink r:id="rId2" w:history="1">
        <w:r w:rsidRPr="007D339A">
          <w:rPr>
            <w:rStyle w:val="Hyperlink"/>
            <w:sz w:val="20"/>
          </w:rPr>
          <w:t>https://www.nomorobo.com/</w:t>
        </w:r>
      </w:hyperlink>
      <w:r w:rsidRPr="007D339A">
        <w:rPr>
          <w:sz w:val="20"/>
        </w:rPr>
        <w:t xml:space="preserve"> (last visited Oct. 8, 2014).</w:t>
      </w:r>
    </w:p>
  </w:footnote>
  <w:footnote w:id="16">
    <w:p w:rsidR="003307AF" w:rsidRPr="003307AF" w:rsidRDefault="003307AF">
      <w:pPr>
        <w:pStyle w:val="FootnoteText"/>
      </w:pPr>
      <w:r>
        <w:rPr>
          <w:rStyle w:val="FootnoteReference"/>
        </w:rPr>
        <w:footnoteRef/>
      </w:r>
      <w:r w:rsidRPr="003307AF">
        <w:rPr>
          <w:sz w:val="20"/>
        </w:rPr>
        <w:t xml:space="preserve"> Nomorobo describes its service as allowing unwanted robocalls to ring the subscriber’s telephone number once.</w:t>
      </w:r>
      <w:r>
        <w:rPr>
          <w:sz w:val="20"/>
        </w:rPr>
        <w:t xml:space="preserve">  </w:t>
      </w:r>
      <w:r>
        <w:rPr>
          <w:i/>
          <w:sz w:val="20"/>
        </w:rPr>
        <w:t>See id.</w:t>
      </w:r>
    </w:p>
  </w:footnote>
  <w:footnote w:id="17">
    <w:p w:rsidR="004D600A" w:rsidRPr="00402716" w:rsidRDefault="004D600A">
      <w:pPr>
        <w:pStyle w:val="FootnoteText"/>
      </w:pPr>
      <w:r>
        <w:rPr>
          <w:rStyle w:val="FootnoteReference"/>
        </w:rPr>
        <w:footnoteRef/>
      </w:r>
      <w:r w:rsidRPr="00402716">
        <w:rPr>
          <w:sz w:val="20"/>
        </w:rPr>
        <w:t xml:space="preserve"> 47 U.S.C. </w:t>
      </w:r>
      <w:r w:rsidR="007D339A" w:rsidRPr="00351541">
        <w:rPr>
          <w:sz w:val="20"/>
        </w:rPr>
        <w:t>§</w:t>
      </w:r>
      <w:r w:rsidR="007D339A">
        <w:rPr>
          <w:sz w:val="20"/>
        </w:rPr>
        <w:t xml:space="preserve"> </w:t>
      </w:r>
      <w:r w:rsidRPr="00402716">
        <w:rPr>
          <w:sz w:val="20"/>
        </w:rPr>
        <w:t xml:space="preserve">201(b); </w:t>
      </w:r>
      <w:r w:rsidRPr="00402716">
        <w:rPr>
          <w:i/>
          <w:sz w:val="20"/>
        </w:rPr>
        <w:t>see, e.g.</w:t>
      </w:r>
      <w:r w:rsidRPr="00402716">
        <w:rPr>
          <w:sz w:val="20"/>
        </w:rPr>
        <w:t xml:space="preserve">, </w:t>
      </w:r>
      <w:r w:rsidR="00676EB4">
        <w:rPr>
          <w:i/>
          <w:sz w:val="20"/>
        </w:rPr>
        <w:t>2011 Report and Order</w:t>
      </w:r>
      <w:r w:rsidR="00676EB4" w:rsidRPr="009E1985">
        <w:rPr>
          <w:sz w:val="20"/>
        </w:rPr>
        <w:t xml:space="preserve">, 26 FCC Rcd </w:t>
      </w:r>
      <w:r w:rsidR="00676EB4">
        <w:rPr>
          <w:sz w:val="20"/>
        </w:rPr>
        <w:t>at</w:t>
      </w:r>
      <w:r w:rsidR="00676EB4" w:rsidRPr="009E1985">
        <w:rPr>
          <w:sz w:val="20"/>
        </w:rPr>
        <w:t xml:space="preserve"> 18029</w:t>
      </w:r>
      <w:r w:rsidR="00676EB4">
        <w:rPr>
          <w:sz w:val="20"/>
        </w:rPr>
        <w:t xml:space="preserve">, para. 973 (“As the Commission has long recognized, . . . the refusal to deliver voice telephone traffic . . . risks ‘degradation of the country’s telecommunications network.’”); </w:t>
      </w:r>
      <w:r w:rsidR="00492F81" w:rsidRPr="00492F81">
        <w:rPr>
          <w:i/>
          <w:sz w:val="20"/>
        </w:rPr>
        <w:t>2012</w:t>
      </w:r>
      <w:r w:rsidRPr="00492F81">
        <w:rPr>
          <w:i/>
          <w:sz w:val="20"/>
        </w:rPr>
        <w:t xml:space="preserve"> Declaratory Ruling</w:t>
      </w:r>
      <w:r w:rsidRPr="00402716">
        <w:rPr>
          <w:sz w:val="20"/>
        </w:rPr>
        <w:t>, 27 FCC Rcd 1351 (determining that certain practices negatively affecting call completion in rural areas may constitute an unjust practice prohibited by section 201(b))</w:t>
      </w:r>
      <w:r w:rsidR="00402716" w:rsidRPr="00402716">
        <w:rPr>
          <w:sz w:val="20"/>
        </w:rPr>
        <w:t xml:space="preserve">; </w:t>
      </w:r>
      <w:r w:rsidR="00402716" w:rsidRPr="00402716">
        <w:rPr>
          <w:i/>
          <w:sz w:val="20"/>
        </w:rPr>
        <w:t>2007 Declaratory Ruling</w:t>
      </w:r>
      <w:r w:rsidR="00402716" w:rsidRPr="00402716">
        <w:rPr>
          <w:sz w:val="20"/>
        </w:rPr>
        <w:t>, 22 FCC Rcd at 11631, para. 6 (</w:t>
      </w:r>
      <w:r w:rsidR="00676EB4">
        <w:rPr>
          <w:sz w:val="20"/>
        </w:rPr>
        <w:t>stating that “</w:t>
      </w:r>
      <w:r w:rsidR="00676EB4" w:rsidRPr="00676EB4">
        <w:rPr>
          <w:sz w:val="20"/>
        </w:rPr>
        <w:t>the Commission has previously held that alternative operator service providers</w:t>
      </w:r>
      <w:r w:rsidR="00676EB4">
        <w:rPr>
          <w:sz w:val="20"/>
        </w:rPr>
        <w:t>’</w:t>
      </w:r>
      <w:r w:rsidR="00676EB4" w:rsidRPr="00676EB4">
        <w:rPr>
          <w:sz w:val="20"/>
        </w:rPr>
        <w:t xml:space="preserve"> blocking of their customers</w:t>
      </w:r>
      <w:r w:rsidR="00676EB4">
        <w:rPr>
          <w:sz w:val="20"/>
        </w:rPr>
        <w:t>’</w:t>
      </w:r>
      <w:r w:rsidR="00676EB4" w:rsidRPr="00676EB4">
        <w:rPr>
          <w:sz w:val="20"/>
        </w:rPr>
        <w:t xml:space="preserve"> attempts to dial around to their preferred long distance provider violated the Act</w:t>
      </w:r>
      <w:r w:rsidR="00676EB4">
        <w:rPr>
          <w:sz w:val="20"/>
        </w:rPr>
        <w:t>”).</w:t>
      </w:r>
    </w:p>
  </w:footnote>
  <w:footnote w:id="18">
    <w:p w:rsidR="00D56B7E" w:rsidRPr="00D56B7E" w:rsidRDefault="00D56B7E">
      <w:pPr>
        <w:pStyle w:val="FootnoteText"/>
        <w:rPr>
          <w:sz w:val="20"/>
        </w:rPr>
      </w:pPr>
      <w:r>
        <w:rPr>
          <w:rStyle w:val="FootnoteReference"/>
        </w:rPr>
        <w:footnoteRef/>
      </w:r>
      <w:r w:rsidRPr="00137F0B">
        <w:rPr>
          <w:sz w:val="20"/>
        </w:rPr>
        <w:t xml:space="preserve"> </w:t>
      </w:r>
      <w:r w:rsidRPr="00D56B7E">
        <w:rPr>
          <w:i/>
          <w:sz w:val="20"/>
        </w:rPr>
        <w:t>See</w:t>
      </w:r>
      <w:r w:rsidRPr="00D56B7E">
        <w:rPr>
          <w:sz w:val="20"/>
        </w:rPr>
        <w:t xml:space="preserve"> 47 U.S.C. § 227.</w:t>
      </w:r>
    </w:p>
  </w:footnote>
  <w:footnote w:id="19">
    <w:p w:rsidR="00E73DA8" w:rsidRDefault="00E73DA8">
      <w:pPr>
        <w:pStyle w:val="FootnoteText"/>
      </w:pPr>
      <w:r>
        <w:rPr>
          <w:rStyle w:val="FootnoteReference"/>
        </w:rPr>
        <w:footnoteRef/>
      </w:r>
      <w:r w:rsidRPr="00E73DA8">
        <w:rPr>
          <w:sz w:val="20"/>
        </w:rPr>
        <w:t xml:space="preserve"> “Emergency purposes” means “calls made necessary in any situation affecting the health and safety of consumers.”  47 C.F.R. § 64.1200(f)(4</w:t>
      </w:r>
      <w:r w:rsidRPr="00EE11D9">
        <w:rPr>
          <w:sz w:val="20"/>
        </w:rPr>
        <w:t xml:space="preserve">); </w:t>
      </w:r>
      <w:r w:rsidRPr="00EE11D9">
        <w:rPr>
          <w:i/>
          <w:sz w:val="20"/>
        </w:rPr>
        <w:t>see also</w:t>
      </w:r>
      <w:r w:rsidRPr="00EE11D9">
        <w:rPr>
          <w:sz w:val="20"/>
        </w:rPr>
        <w:t xml:space="preserve"> </w:t>
      </w:r>
      <w:r w:rsidR="00EE11D9" w:rsidRPr="00EE11D9">
        <w:rPr>
          <w:i/>
          <w:sz w:val="20"/>
        </w:rPr>
        <w:t>Rules and Regulations Implementing the Telephone Consumer Protection Act of 1991</w:t>
      </w:r>
      <w:r w:rsidR="00EE11D9" w:rsidRPr="00EE11D9">
        <w:rPr>
          <w:sz w:val="20"/>
        </w:rPr>
        <w:t>, CG Docket No. 92-90, Report and Order, 7 FCC Rcd 8752, 8777-78, paras. 49-51 (1992)</w:t>
      </w:r>
      <w:r w:rsidRPr="00EE11D9">
        <w:rPr>
          <w:sz w:val="20"/>
        </w:rPr>
        <w:t>.</w:t>
      </w:r>
    </w:p>
  </w:footnote>
  <w:footnote w:id="20">
    <w:p w:rsidR="00D56B7E" w:rsidRPr="00D56B7E" w:rsidRDefault="00D56B7E">
      <w:pPr>
        <w:pStyle w:val="FootnoteText"/>
        <w:rPr>
          <w:sz w:val="20"/>
        </w:rPr>
      </w:pPr>
      <w:r>
        <w:rPr>
          <w:rStyle w:val="FootnoteReference"/>
        </w:rPr>
        <w:footnoteRef/>
      </w:r>
      <w:r w:rsidRPr="00137F0B">
        <w:rPr>
          <w:sz w:val="20"/>
        </w:rPr>
        <w:t xml:space="preserve"> </w:t>
      </w:r>
      <w:r w:rsidRPr="00D56B7E">
        <w:rPr>
          <w:i/>
          <w:sz w:val="20"/>
        </w:rPr>
        <w:t>See</w:t>
      </w:r>
      <w:r w:rsidRPr="00D56B7E">
        <w:rPr>
          <w:sz w:val="20"/>
        </w:rPr>
        <w:t xml:space="preserve"> 47 U.S.C. § 227(b)(1)(A); 47 C.F.R. §§ 64.1200(a)(1), (a)(2), (a)(3).</w:t>
      </w:r>
    </w:p>
  </w:footnote>
  <w:footnote w:id="21">
    <w:p w:rsidR="00B478FA" w:rsidRDefault="00B478FA">
      <w:pPr>
        <w:pStyle w:val="FootnoteText"/>
      </w:pPr>
      <w:r>
        <w:rPr>
          <w:rStyle w:val="FootnoteReference"/>
        </w:rPr>
        <w:footnoteRef/>
      </w:r>
      <w:r w:rsidRPr="00137F0B">
        <w:rPr>
          <w:sz w:val="20"/>
        </w:rPr>
        <w:t xml:space="preserve"> </w:t>
      </w:r>
      <w:r w:rsidRPr="00351541">
        <w:rPr>
          <w:sz w:val="20"/>
        </w:rPr>
        <w:t>47 C.F.R. §§ 1.415, 1.419</w:t>
      </w:r>
      <w:r>
        <w:rPr>
          <w:sz w:val="20"/>
        </w:rPr>
        <w:t>.</w:t>
      </w:r>
    </w:p>
  </w:footnote>
  <w:footnote w:id="22">
    <w:p w:rsidR="00B478FA" w:rsidRDefault="00B478FA" w:rsidP="00DC033E">
      <w:pPr>
        <w:pStyle w:val="FootnoteText"/>
        <w:rPr>
          <w:iCs/>
          <w:sz w:val="20"/>
        </w:rPr>
      </w:pPr>
      <w:r w:rsidRPr="00575C6F">
        <w:rPr>
          <w:rStyle w:val="FootnoteReference"/>
          <w:sz w:val="20"/>
        </w:rPr>
        <w:footnoteRef/>
      </w:r>
      <w:r w:rsidRPr="00575C6F">
        <w:rPr>
          <w:sz w:val="20"/>
        </w:rPr>
        <w:t xml:space="preserve"> 47 C.F.R. §§ 1.1200 </w:t>
      </w:r>
      <w:r w:rsidRPr="00575C6F">
        <w:rPr>
          <w:i/>
          <w:iCs/>
          <w:sz w:val="20"/>
        </w:rPr>
        <w:t>et seq</w:t>
      </w:r>
      <w:r w:rsidRPr="00575C6F">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D" w:rsidRDefault="00737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D" w:rsidRDefault="00737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A" w:rsidRPr="0070741D" w:rsidRDefault="00FD5C22">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Arial" w:hAnsi="Arial" w:cs="Arial"/>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B478FA" w:rsidRDefault="00B478FA">
                <w:pPr>
                  <w:rPr>
                    <w:rFonts w:ascii="Arial" w:hAnsi="Arial"/>
                    <w:b/>
                  </w:rPr>
                </w:pPr>
                <w:r>
                  <w:rPr>
                    <w:rFonts w:ascii="Arial" w:hAnsi="Arial"/>
                    <w:b/>
                  </w:rPr>
                  <w:t>Federal Communications Commission</w:t>
                </w:r>
              </w:p>
              <w:p w:rsidR="00B478FA" w:rsidRDefault="00B478F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478FA" w:rsidRDefault="00B478FA">
                <w:pPr>
                  <w:rPr>
                    <w:rFonts w:ascii="Arial" w:hAnsi="Arial"/>
                    <w:sz w:val="24"/>
                  </w:rPr>
                </w:pPr>
                <w:r>
                  <w:rPr>
                    <w:rFonts w:ascii="Arial" w:hAnsi="Arial"/>
                    <w:b/>
                  </w:rPr>
                  <w:t>Washington, D.C. 20554</w:t>
                </w:r>
              </w:p>
            </w:txbxContent>
          </v:textbox>
        </v:shape>
      </w:pict>
    </w:r>
    <w:r w:rsidR="00B478FA" w:rsidRPr="0070741D">
      <w:rPr>
        <w:rFonts w:ascii="Arial" w:hAnsi="Arial" w:cs="Arial"/>
        <w:b/>
        <w:kern w:val="28"/>
        <w:sz w:val="96"/>
      </w:rPr>
      <w:t>PUBLIC NOTICE</w:t>
    </w:r>
  </w:p>
  <w:p w:rsidR="00B478FA" w:rsidRDefault="00FD5C2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92.05pt;margin-top:6pt;width:180.6pt;height:47.45pt;z-index:251658240" stroked="f">
          <v:textbox style="mso-next-textbox:#_x0000_s2051" inset=",0,,0">
            <w:txbxContent>
              <w:p w:rsidR="00B478FA" w:rsidRDefault="00B478FA">
                <w:pPr>
                  <w:spacing w:before="40"/>
                  <w:jc w:val="right"/>
                  <w:rPr>
                    <w:rFonts w:ascii="Arial" w:hAnsi="Arial"/>
                    <w:b/>
                    <w:sz w:val="16"/>
                  </w:rPr>
                </w:pPr>
                <w:r>
                  <w:rPr>
                    <w:rFonts w:ascii="Arial" w:hAnsi="Arial"/>
                    <w:b/>
                    <w:sz w:val="16"/>
                  </w:rPr>
                  <w:t>News Media Information 202 / 418-0500</w:t>
                </w:r>
              </w:p>
              <w:p w:rsidR="00B478FA" w:rsidRDefault="00B478F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478FA" w:rsidRDefault="00B478FA">
                <w:pPr>
                  <w:jc w:val="right"/>
                  <w:rPr>
                    <w:rFonts w:ascii="Arial" w:hAnsi="Arial"/>
                    <w:b/>
                    <w:sz w:val="16"/>
                  </w:rPr>
                </w:pPr>
                <w:r>
                  <w:rPr>
                    <w:rFonts w:ascii="Arial" w:hAnsi="Arial"/>
                    <w:b/>
                    <w:sz w:val="16"/>
                  </w:rPr>
                  <w:t>TTY: 1-888-835-5322</w:t>
                </w:r>
              </w:p>
              <w:p w:rsidR="00B478FA" w:rsidRDefault="00B478FA">
                <w:pPr>
                  <w:jc w:val="right"/>
                </w:pPr>
              </w:p>
            </w:txbxContent>
          </v:textbox>
        </v:shape>
      </w:pict>
    </w:r>
  </w:p>
  <w:p w:rsidR="00B478FA" w:rsidRDefault="00FD5C22">
    <w:pPr>
      <w:pStyle w:val="Header"/>
      <w:tabs>
        <w:tab w:val="clear" w:pos="4320"/>
        <w:tab w:val="clear" w:pos="8640"/>
        <w:tab w:val="left" w:pos="1080"/>
      </w:tabs>
      <w:ind w:left="720"/>
      <w:rPr>
        <w:rFonts w:ascii="Arial" w:hAnsi="Arial"/>
        <w:b/>
        <w:sz w:val="24"/>
      </w:rPr>
    </w:pPr>
    <w:r>
      <w:rPr>
        <w:rFonts w:ascii="Arial" w:hAnsi="Arial"/>
        <w:b/>
        <w:noProof/>
      </w:rPr>
      <w:pict>
        <v:line id="_x0000_s2050" style="position:absolute;left:0;text-align:left;z-index:251657216" from="4.05pt,4pt" to="472.05pt,4.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5E7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EFE153C"/>
    <w:multiLevelType w:val="hybridMultilevel"/>
    <w:tmpl w:val="A9325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155E3B"/>
    <w:multiLevelType w:val="hybridMultilevel"/>
    <w:tmpl w:val="6E6CB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7AA43CFE"/>
    <w:multiLevelType w:val="hybridMultilevel"/>
    <w:tmpl w:val="133C6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1"/>
  </w:num>
  <w:num w:numId="3">
    <w:abstractNumId w:val="7"/>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033E"/>
    <w:rsid w:val="00010597"/>
    <w:rsid w:val="00015C4B"/>
    <w:rsid w:val="00021D5A"/>
    <w:rsid w:val="00022CCF"/>
    <w:rsid w:val="000263DD"/>
    <w:rsid w:val="000324EF"/>
    <w:rsid w:val="00032D17"/>
    <w:rsid w:val="00036DE2"/>
    <w:rsid w:val="00082322"/>
    <w:rsid w:val="0008519D"/>
    <w:rsid w:val="000B52F1"/>
    <w:rsid w:val="000C2703"/>
    <w:rsid w:val="000C43DB"/>
    <w:rsid w:val="000E2DE0"/>
    <w:rsid w:val="000E5A90"/>
    <w:rsid w:val="000F09F5"/>
    <w:rsid w:val="000F6156"/>
    <w:rsid w:val="0010186F"/>
    <w:rsid w:val="00102E17"/>
    <w:rsid w:val="00112784"/>
    <w:rsid w:val="00113D9F"/>
    <w:rsid w:val="00114CC9"/>
    <w:rsid w:val="0012027C"/>
    <w:rsid w:val="00126016"/>
    <w:rsid w:val="00136114"/>
    <w:rsid w:val="00137F0B"/>
    <w:rsid w:val="001405A2"/>
    <w:rsid w:val="00142893"/>
    <w:rsid w:val="001469A5"/>
    <w:rsid w:val="00150DB5"/>
    <w:rsid w:val="001521AE"/>
    <w:rsid w:val="001537EE"/>
    <w:rsid w:val="001622B0"/>
    <w:rsid w:val="00165137"/>
    <w:rsid w:val="00166D4A"/>
    <w:rsid w:val="001819B2"/>
    <w:rsid w:val="001A1055"/>
    <w:rsid w:val="001A75DD"/>
    <w:rsid w:val="001B68CA"/>
    <w:rsid w:val="001C24A6"/>
    <w:rsid w:val="001D2AF3"/>
    <w:rsid w:val="001E31F9"/>
    <w:rsid w:val="001F5305"/>
    <w:rsid w:val="001F64CD"/>
    <w:rsid w:val="001F7E0D"/>
    <w:rsid w:val="00202D99"/>
    <w:rsid w:val="00213FB1"/>
    <w:rsid w:val="00220612"/>
    <w:rsid w:val="00226998"/>
    <w:rsid w:val="00230C91"/>
    <w:rsid w:val="00231A59"/>
    <w:rsid w:val="00231BA8"/>
    <w:rsid w:val="00233397"/>
    <w:rsid w:val="00235F8E"/>
    <w:rsid w:val="00237D2B"/>
    <w:rsid w:val="0024471E"/>
    <w:rsid w:val="002476AA"/>
    <w:rsid w:val="0025088E"/>
    <w:rsid w:val="00273654"/>
    <w:rsid w:val="0027587F"/>
    <w:rsid w:val="002A021B"/>
    <w:rsid w:val="002C1B99"/>
    <w:rsid w:val="002C1E82"/>
    <w:rsid w:val="002D697F"/>
    <w:rsid w:val="002E6CCA"/>
    <w:rsid w:val="002F240D"/>
    <w:rsid w:val="002F4E82"/>
    <w:rsid w:val="0030170B"/>
    <w:rsid w:val="00302842"/>
    <w:rsid w:val="00305D7E"/>
    <w:rsid w:val="003143C5"/>
    <w:rsid w:val="00314950"/>
    <w:rsid w:val="00316D31"/>
    <w:rsid w:val="003304D1"/>
    <w:rsid w:val="003307AF"/>
    <w:rsid w:val="00331B7A"/>
    <w:rsid w:val="00335ED8"/>
    <w:rsid w:val="00340B95"/>
    <w:rsid w:val="00341C66"/>
    <w:rsid w:val="00351541"/>
    <w:rsid w:val="00355A26"/>
    <w:rsid w:val="00362B02"/>
    <w:rsid w:val="00376BD3"/>
    <w:rsid w:val="00381B30"/>
    <w:rsid w:val="00391F67"/>
    <w:rsid w:val="0039231F"/>
    <w:rsid w:val="003C12D9"/>
    <w:rsid w:val="003D3F34"/>
    <w:rsid w:val="00402716"/>
    <w:rsid w:val="004166DD"/>
    <w:rsid w:val="004240AA"/>
    <w:rsid w:val="00430A0B"/>
    <w:rsid w:val="00433FA1"/>
    <w:rsid w:val="00442F37"/>
    <w:rsid w:val="00443CFD"/>
    <w:rsid w:val="00455141"/>
    <w:rsid w:val="00477001"/>
    <w:rsid w:val="00492F3E"/>
    <w:rsid w:val="00492F81"/>
    <w:rsid w:val="004A7542"/>
    <w:rsid w:val="004B2BAD"/>
    <w:rsid w:val="004B7F6F"/>
    <w:rsid w:val="004C2FFF"/>
    <w:rsid w:val="004D0C90"/>
    <w:rsid w:val="004D600A"/>
    <w:rsid w:val="004D7C23"/>
    <w:rsid w:val="00505B8F"/>
    <w:rsid w:val="005156A2"/>
    <w:rsid w:val="00520647"/>
    <w:rsid w:val="00523733"/>
    <w:rsid w:val="00524B90"/>
    <w:rsid w:val="005362A7"/>
    <w:rsid w:val="005401B2"/>
    <w:rsid w:val="00544DAF"/>
    <w:rsid w:val="00546340"/>
    <w:rsid w:val="00552965"/>
    <w:rsid w:val="00553FF4"/>
    <w:rsid w:val="00557DB3"/>
    <w:rsid w:val="0057195D"/>
    <w:rsid w:val="00575180"/>
    <w:rsid w:val="00575960"/>
    <w:rsid w:val="00575C6F"/>
    <w:rsid w:val="00577B15"/>
    <w:rsid w:val="00581EC0"/>
    <w:rsid w:val="0058582C"/>
    <w:rsid w:val="00590F8F"/>
    <w:rsid w:val="005A0F24"/>
    <w:rsid w:val="005B3A08"/>
    <w:rsid w:val="005C7864"/>
    <w:rsid w:val="005D790A"/>
    <w:rsid w:val="005E4140"/>
    <w:rsid w:val="005E5508"/>
    <w:rsid w:val="005E76A2"/>
    <w:rsid w:val="00601740"/>
    <w:rsid w:val="00604287"/>
    <w:rsid w:val="00626042"/>
    <w:rsid w:val="00641E02"/>
    <w:rsid w:val="0066236B"/>
    <w:rsid w:val="0066438F"/>
    <w:rsid w:val="00666729"/>
    <w:rsid w:val="00667854"/>
    <w:rsid w:val="00670D94"/>
    <w:rsid w:val="006719CF"/>
    <w:rsid w:val="00672624"/>
    <w:rsid w:val="00675528"/>
    <w:rsid w:val="00676EB4"/>
    <w:rsid w:val="006829B1"/>
    <w:rsid w:val="00683676"/>
    <w:rsid w:val="00683EE3"/>
    <w:rsid w:val="00690F87"/>
    <w:rsid w:val="0069767C"/>
    <w:rsid w:val="006A0B29"/>
    <w:rsid w:val="006A0D0D"/>
    <w:rsid w:val="006A1E96"/>
    <w:rsid w:val="006C4B3A"/>
    <w:rsid w:val="006D6140"/>
    <w:rsid w:val="006D781E"/>
    <w:rsid w:val="006E1C74"/>
    <w:rsid w:val="006F013E"/>
    <w:rsid w:val="006F2E4B"/>
    <w:rsid w:val="006F7739"/>
    <w:rsid w:val="00703D76"/>
    <w:rsid w:val="0070741D"/>
    <w:rsid w:val="00712710"/>
    <w:rsid w:val="00715B50"/>
    <w:rsid w:val="00723A1A"/>
    <w:rsid w:val="00727AB2"/>
    <w:rsid w:val="00730086"/>
    <w:rsid w:val="00731F75"/>
    <w:rsid w:val="00737A1D"/>
    <w:rsid w:val="0074291E"/>
    <w:rsid w:val="00746A19"/>
    <w:rsid w:val="007509D8"/>
    <w:rsid w:val="00762AE5"/>
    <w:rsid w:val="007639C9"/>
    <w:rsid w:val="007662DC"/>
    <w:rsid w:val="00771491"/>
    <w:rsid w:val="0078230A"/>
    <w:rsid w:val="007B14C1"/>
    <w:rsid w:val="007B74AF"/>
    <w:rsid w:val="007B7CC4"/>
    <w:rsid w:val="007C3368"/>
    <w:rsid w:val="007C4C88"/>
    <w:rsid w:val="007D02A4"/>
    <w:rsid w:val="007D339A"/>
    <w:rsid w:val="007D69FD"/>
    <w:rsid w:val="007F0F0E"/>
    <w:rsid w:val="007F6293"/>
    <w:rsid w:val="008016EF"/>
    <w:rsid w:val="00804AA3"/>
    <w:rsid w:val="00824BD6"/>
    <w:rsid w:val="008257ED"/>
    <w:rsid w:val="00837B9F"/>
    <w:rsid w:val="0084074E"/>
    <w:rsid w:val="00847046"/>
    <w:rsid w:val="00854458"/>
    <w:rsid w:val="00884D9F"/>
    <w:rsid w:val="00894CBD"/>
    <w:rsid w:val="008B15C3"/>
    <w:rsid w:val="008C3531"/>
    <w:rsid w:val="008D09B3"/>
    <w:rsid w:val="008E338A"/>
    <w:rsid w:val="008E68AD"/>
    <w:rsid w:val="008F0C9D"/>
    <w:rsid w:val="00903B82"/>
    <w:rsid w:val="00903D0D"/>
    <w:rsid w:val="009040D7"/>
    <w:rsid w:val="00904A61"/>
    <w:rsid w:val="009068B0"/>
    <w:rsid w:val="0090734B"/>
    <w:rsid w:val="00907450"/>
    <w:rsid w:val="00922327"/>
    <w:rsid w:val="00922F7D"/>
    <w:rsid w:val="00923B45"/>
    <w:rsid w:val="00930B06"/>
    <w:rsid w:val="00941D76"/>
    <w:rsid w:val="00944A2C"/>
    <w:rsid w:val="0094517C"/>
    <w:rsid w:val="009524D3"/>
    <w:rsid w:val="00953CA8"/>
    <w:rsid w:val="00974E24"/>
    <w:rsid w:val="009D5857"/>
    <w:rsid w:val="009D75CF"/>
    <w:rsid w:val="009E1985"/>
    <w:rsid w:val="009E2031"/>
    <w:rsid w:val="009E4A0E"/>
    <w:rsid w:val="009F6C56"/>
    <w:rsid w:val="00A02782"/>
    <w:rsid w:val="00A02D28"/>
    <w:rsid w:val="00A0609D"/>
    <w:rsid w:val="00A06BD3"/>
    <w:rsid w:val="00A14707"/>
    <w:rsid w:val="00A14937"/>
    <w:rsid w:val="00A14A88"/>
    <w:rsid w:val="00A15654"/>
    <w:rsid w:val="00A27EFA"/>
    <w:rsid w:val="00A3680F"/>
    <w:rsid w:val="00A36BEE"/>
    <w:rsid w:val="00A44AA8"/>
    <w:rsid w:val="00A502CA"/>
    <w:rsid w:val="00A5439E"/>
    <w:rsid w:val="00A55F0D"/>
    <w:rsid w:val="00A56C82"/>
    <w:rsid w:val="00A60131"/>
    <w:rsid w:val="00A6447E"/>
    <w:rsid w:val="00A722A2"/>
    <w:rsid w:val="00A74F52"/>
    <w:rsid w:val="00A81F26"/>
    <w:rsid w:val="00A8732F"/>
    <w:rsid w:val="00A90993"/>
    <w:rsid w:val="00A9455C"/>
    <w:rsid w:val="00A972EC"/>
    <w:rsid w:val="00AA795C"/>
    <w:rsid w:val="00AD673E"/>
    <w:rsid w:val="00AE461A"/>
    <w:rsid w:val="00AE714B"/>
    <w:rsid w:val="00B253E0"/>
    <w:rsid w:val="00B26E66"/>
    <w:rsid w:val="00B478FA"/>
    <w:rsid w:val="00B5547F"/>
    <w:rsid w:val="00B55E21"/>
    <w:rsid w:val="00B56F39"/>
    <w:rsid w:val="00B62F31"/>
    <w:rsid w:val="00B648B8"/>
    <w:rsid w:val="00B67338"/>
    <w:rsid w:val="00B6761B"/>
    <w:rsid w:val="00B73D64"/>
    <w:rsid w:val="00B90DD1"/>
    <w:rsid w:val="00BA62AA"/>
    <w:rsid w:val="00BB27BA"/>
    <w:rsid w:val="00BC4FD3"/>
    <w:rsid w:val="00BD2556"/>
    <w:rsid w:val="00BE5D9C"/>
    <w:rsid w:val="00BE7922"/>
    <w:rsid w:val="00BF7B74"/>
    <w:rsid w:val="00C00296"/>
    <w:rsid w:val="00C040B5"/>
    <w:rsid w:val="00C102D0"/>
    <w:rsid w:val="00C40487"/>
    <w:rsid w:val="00C73011"/>
    <w:rsid w:val="00C74E56"/>
    <w:rsid w:val="00C810FD"/>
    <w:rsid w:val="00C8700C"/>
    <w:rsid w:val="00C92CC1"/>
    <w:rsid w:val="00CA1DAE"/>
    <w:rsid w:val="00CA328B"/>
    <w:rsid w:val="00CC37AD"/>
    <w:rsid w:val="00CD0A3D"/>
    <w:rsid w:val="00CE139A"/>
    <w:rsid w:val="00CE53F7"/>
    <w:rsid w:val="00CF01C0"/>
    <w:rsid w:val="00D043BB"/>
    <w:rsid w:val="00D0720A"/>
    <w:rsid w:val="00D072C4"/>
    <w:rsid w:val="00D218F3"/>
    <w:rsid w:val="00D314A5"/>
    <w:rsid w:val="00D44D17"/>
    <w:rsid w:val="00D5296B"/>
    <w:rsid w:val="00D52B97"/>
    <w:rsid w:val="00D55B5C"/>
    <w:rsid w:val="00D56B7E"/>
    <w:rsid w:val="00D65635"/>
    <w:rsid w:val="00D7484B"/>
    <w:rsid w:val="00D75081"/>
    <w:rsid w:val="00D76C77"/>
    <w:rsid w:val="00D87C9E"/>
    <w:rsid w:val="00D90003"/>
    <w:rsid w:val="00DA2703"/>
    <w:rsid w:val="00DA59A2"/>
    <w:rsid w:val="00DB2E57"/>
    <w:rsid w:val="00DB5A2F"/>
    <w:rsid w:val="00DC033E"/>
    <w:rsid w:val="00DD1085"/>
    <w:rsid w:val="00DD257A"/>
    <w:rsid w:val="00DE48C8"/>
    <w:rsid w:val="00DF625B"/>
    <w:rsid w:val="00E035F9"/>
    <w:rsid w:val="00E14010"/>
    <w:rsid w:val="00E26C3E"/>
    <w:rsid w:val="00E31001"/>
    <w:rsid w:val="00E47053"/>
    <w:rsid w:val="00E537B8"/>
    <w:rsid w:val="00E6230A"/>
    <w:rsid w:val="00E635BB"/>
    <w:rsid w:val="00E6388F"/>
    <w:rsid w:val="00E63D21"/>
    <w:rsid w:val="00E73DA8"/>
    <w:rsid w:val="00E745BE"/>
    <w:rsid w:val="00E83297"/>
    <w:rsid w:val="00E9208D"/>
    <w:rsid w:val="00ED4602"/>
    <w:rsid w:val="00EE11D9"/>
    <w:rsid w:val="00EE53AF"/>
    <w:rsid w:val="00EF51E4"/>
    <w:rsid w:val="00F14A51"/>
    <w:rsid w:val="00F15016"/>
    <w:rsid w:val="00F250F1"/>
    <w:rsid w:val="00F52B99"/>
    <w:rsid w:val="00F55471"/>
    <w:rsid w:val="00F56D44"/>
    <w:rsid w:val="00F60812"/>
    <w:rsid w:val="00F61CF9"/>
    <w:rsid w:val="00F76F51"/>
    <w:rsid w:val="00F7742E"/>
    <w:rsid w:val="00F943FC"/>
    <w:rsid w:val="00F94766"/>
    <w:rsid w:val="00FA6A7D"/>
    <w:rsid w:val="00FB34DF"/>
    <w:rsid w:val="00FD5C22"/>
    <w:rsid w:val="00FE1FA1"/>
    <w:rsid w:val="00FE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33E"/>
    <w:rPr>
      <w:sz w:val="22"/>
    </w:rPr>
  </w:style>
  <w:style w:type="paragraph" w:styleId="Heading1">
    <w:name w:val="heading 1"/>
    <w:basedOn w:val="Normal"/>
    <w:next w:val="Normal"/>
    <w:qFormat/>
    <w:rsid w:val="00DC033E"/>
    <w:pPr>
      <w:keepNext/>
      <w:widowControl w:val="0"/>
      <w:numPr>
        <w:numId w:val="1"/>
      </w:numPr>
      <w:suppressAutoHyphens/>
      <w:spacing w:after="220"/>
      <w:jc w:val="both"/>
      <w:outlineLvl w:val="0"/>
    </w:pPr>
    <w:rPr>
      <w:b/>
      <w:caps/>
    </w:rPr>
  </w:style>
  <w:style w:type="paragraph" w:styleId="Heading2">
    <w:name w:val="heading 2"/>
    <w:basedOn w:val="Normal"/>
    <w:next w:val="Normal"/>
    <w:qFormat/>
    <w:rsid w:val="00DC033E"/>
    <w:pPr>
      <w:keepNext/>
      <w:widowControl w:val="0"/>
      <w:numPr>
        <w:ilvl w:val="1"/>
        <w:numId w:val="1"/>
      </w:numPr>
      <w:spacing w:after="220"/>
      <w:jc w:val="both"/>
      <w:outlineLvl w:val="1"/>
    </w:pPr>
    <w:rPr>
      <w:b/>
    </w:rPr>
  </w:style>
  <w:style w:type="paragraph" w:styleId="Heading3">
    <w:name w:val="heading 3"/>
    <w:basedOn w:val="Normal"/>
    <w:next w:val="Normal"/>
    <w:qFormat/>
    <w:rsid w:val="00DC033E"/>
    <w:pPr>
      <w:keepNext/>
      <w:widowControl w:val="0"/>
      <w:numPr>
        <w:ilvl w:val="2"/>
        <w:numId w:val="1"/>
      </w:numPr>
      <w:spacing w:after="220"/>
      <w:jc w:val="both"/>
      <w:outlineLvl w:val="2"/>
    </w:pPr>
    <w:rPr>
      <w:b/>
    </w:rPr>
  </w:style>
  <w:style w:type="paragraph" w:styleId="Heading4">
    <w:name w:val="heading 4"/>
    <w:basedOn w:val="Normal"/>
    <w:next w:val="Normal"/>
    <w:qFormat/>
    <w:rsid w:val="00DC033E"/>
    <w:pPr>
      <w:keepNext/>
      <w:widowControl w:val="0"/>
      <w:numPr>
        <w:ilvl w:val="3"/>
        <w:numId w:val="1"/>
      </w:numPr>
      <w:spacing w:after="220"/>
      <w:jc w:val="both"/>
      <w:outlineLvl w:val="3"/>
    </w:pPr>
    <w:rPr>
      <w:b/>
    </w:rPr>
  </w:style>
  <w:style w:type="paragraph" w:styleId="Heading5">
    <w:name w:val="heading 5"/>
    <w:basedOn w:val="Normal"/>
    <w:next w:val="Normal"/>
    <w:qFormat/>
    <w:rsid w:val="00DC033E"/>
    <w:pPr>
      <w:keepNext/>
      <w:widowControl w:val="0"/>
      <w:numPr>
        <w:ilvl w:val="4"/>
        <w:numId w:val="1"/>
      </w:numPr>
      <w:suppressAutoHyphens/>
      <w:spacing w:after="220"/>
      <w:jc w:val="both"/>
      <w:outlineLvl w:val="4"/>
    </w:pPr>
    <w:rPr>
      <w:b/>
    </w:rPr>
  </w:style>
  <w:style w:type="paragraph" w:styleId="Heading6">
    <w:name w:val="heading 6"/>
    <w:basedOn w:val="Normal"/>
    <w:next w:val="Normal"/>
    <w:qFormat/>
    <w:rsid w:val="00DC033E"/>
    <w:pPr>
      <w:widowControl w:val="0"/>
      <w:numPr>
        <w:ilvl w:val="5"/>
        <w:numId w:val="1"/>
      </w:numPr>
      <w:spacing w:after="220"/>
      <w:jc w:val="both"/>
      <w:outlineLvl w:val="5"/>
    </w:pPr>
    <w:rPr>
      <w:b/>
    </w:rPr>
  </w:style>
  <w:style w:type="paragraph" w:styleId="Heading7">
    <w:name w:val="heading 7"/>
    <w:basedOn w:val="Normal"/>
    <w:next w:val="Normal"/>
    <w:qFormat/>
    <w:rsid w:val="00DC033E"/>
    <w:pPr>
      <w:widowControl w:val="0"/>
      <w:numPr>
        <w:ilvl w:val="7"/>
        <w:numId w:val="1"/>
      </w:numPr>
      <w:spacing w:after="220"/>
      <w:jc w:val="both"/>
      <w:outlineLvl w:val="6"/>
    </w:pPr>
    <w:rPr>
      <w:b/>
    </w:rPr>
  </w:style>
  <w:style w:type="paragraph" w:styleId="Heading9">
    <w:name w:val="heading 9"/>
    <w:basedOn w:val="Normal"/>
    <w:next w:val="Normal"/>
    <w:qFormat/>
    <w:rsid w:val="00DC033E"/>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033E"/>
    <w:pPr>
      <w:tabs>
        <w:tab w:val="center" w:pos="4320"/>
        <w:tab w:val="right" w:pos="8640"/>
      </w:tabs>
    </w:pPr>
  </w:style>
  <w:style w:type="paragraph" w:styleId="Footer">
    <w:name w:val="footer"/>
    <w:basedOn w:val="Normal"/>
    <w:rsid w:val="00DC033E"/>
    <w:pPr>
      <w:tabs>
        <w:tab w:val="center" w:pos="4320"/>
        <w:tab w:val="right" w:pos="8640"/>
      </w:tabs>
    </w:pPr>
  </w:style>
  <w:style w:type="character" w:styleId="Hyperlink">
    <w:name w:val="Hyperlink"/>
    <w:rsid w:val="00DC033E"/>
    <w:rPr>
      <w:color w:val="0000FF"/>
      <w:u w:val="single"/>
    </w:rPr>
  </w:style>
  <w:style w:type="character" w:styleId="FootnoteReference">
    <w:name w:val="footnote reference"/>
    <w:aliases w:val="Appel note de bas de p,Style 12,(NECG) Footnote Reference,Style 124,o,fr,Style 3,Style 13,FR,Style 17,Style 6,Footnote Reference/"/>
    <w:rsid w:val="00DC033E"/>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rsid w:val="00DC033E"/>
    <w:pPr>
      <w:tabs>
        <w:tab w:val="left" w:pos="720"/>
      </w:tabs>
      <w:spacing w:after="200"/>
    </w:pPr>
  </w:style>
  <w:style w:type="character" w:styleId="PageNumber">
    <w:name w:val="page number"/>
    <w:basedOn w:val="DefaultParagraphFont"/>
    <w:rsid w:val="00DC033E"/>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DC033E"/>
    <w:rPr>
      <w:sz w:val="22"/>
      <w:lang w:val="en-US" w:eastAsia="en-US" w:bidi="ar-SA"/>
    </w:rPr>
  </w:style>
  <w:style w:type="paragraph" w:styleId="BalloonText">
    <w:name w:val="Balloon Text"/>
    <w:basedOn w:val="Normal"/>
    <w:semiHidden/>
    <w:rsid w:val="00305D7E"/>
    <w:rPr>
      <w:rFonts w:ascii="Tahoma" w:hAnsi="Tahoma" w:cs="Tahoma"/>
      <w:sz w:val="16"/>
      <w:szCs w:val="16"/>
    </w:rPr>
  </w:style>
  <w:style w:type="character" w:styleId="CommentReference">
    <w:name w:val="annotation reference"/>
    <w:semiHidden/>
    <w:rsid w:val="00523733"/>
    <w:rPr>
      <w:sz w:val="16"/>
      <w:szCs w:val="16"/>
    </w:rPr>
  </w:style>
  <w:style w:type="paragraph" w:styleId="CommentText">
    <w:name w:val="annotation text"/>
    <w:basedOn w:val="Normal"/>
    <w:link w:val="CommentTextChar"/>
    <w:semiHidden/>
    <w:rsid w:val="00523733"/>
    <w:rPr>
      <w:sz w:val="20"/>
    </w:rPr>
  </w:style>
  <w:style w:type="paragraph" w:styleId="CommentSubject">
    <w:name w:val="annotation subject"/>
    <w:basedOn w:val="CommentText"/>
    <w:next w:val="CommentText"/>
    <w:semiHidden/>
    <w:rsid w:val="00523733"/>
    <w:rPr>
      <w:b/>
      <w:bCs/>
    </w:rPr>
  </w:style>
  <w:style w:type="paragraph" w:styleId="Revision">
    <w:name w:val="Revision"/>
    <w:hidden/>
    <w:uiPriority w:val="99"/>
    <w:semiHidden/>
    <w:rsid w:val="00A36BEE"/>
    <w:rPr>
      <w:sz w:val="22"/>
    </w:rPr>
  </w:style>
  <w:style w:type="paragraph" w:customStyle="1" w:styleId="Default">
    <w:name w:val="Default"/>
    <w:rsid w:val="00894CBD"/>
    <w:pPr>
      <w:autoSpaceDE w:val="0"/>
      <w:autoSpaceDN w:val="0"/>
      <w:adjustRightInd w:val="0"/>
    </w:pPr>
    <w:rPr>
      <w:rFonts w:ascii="Century Schoolbook" w:hAnsi="Century Schoolbook" w:cs="Century Schoolbook"/>
      <w:color w:val="000000"/>
      <w:sz w:val="24"/>
      <w:szCs w:val="24"/>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1F64CD"/>
    <w:rPr>
      <w:sz w:val="20"/>
      <w:szCs w:val="20"/>
    </w:rPr>
  </w:style>
  <w:style w:type="character" w:customStyle="1" w:styleId="CommentTextChar">
    <w:name w:val="Comment Text Char"/>
    <w:link w:val="CommentText"/>
    <w:semiHidden/>
    <w:rsid w:val="001F6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33E"/>
    <w:rPr>
      <w:sz w:val="22"/>
    </w:rPr>
  </w:style>
  <w:style w:type="paragraph" w:styleId="Heading1">
    <w:name w:val="heading 1"/>
    <w:basedOn w:val="Normal"/>
    <w:next w:val="Normal"/>
    <w:qFormat/>
    <w:rsid w:val="00DC033E"/>
    <w:pPr>
      <w:keepNext/>
      <w:widowControl w:val="0"/>
      <w:numPr>
        <w:numId w:val="1"/>
      </w:numPr>
      <w:suppressAutoHyphens/>
      <w:spacing w:after="220"/>
      <w:jc w:val="both"/>
      <w:outlineLvl w:val="0"/>
    </w:pPr>
    <w:rPr>
      <w:b/>
      <w:caps/>
    </w:rPr>
  </w:style>
  <w:style w:type="paragraph" w:styleId="Heading2">
    <w:name w:val="heading 2"/>
    <w:basedOn w:val="Normal"/>
    <w:next w:val="Normal"/>
    <w:qFormat/>
    <w:rsid w:val="00DC033E"/>
    <w:pPr>
      <w:keepNext/>
      <w:widowControl w:val="0"/>
      <w:numPr>
        <w:ilvl w:val="1"/>
        <w:numId w:val="1"/>
      </w:numPr>
      <w:spacing w:after="220"/>
      <w:jc w:val="both"/>
      <w:outlineLvl w:val="1"/>
    </w:pPr>
    <w:rPr>
      <w:b/>
    </w:rPr>
  </w:style>
  <w:style w:type="paragraph" w:styleId="Heading3">
    <w:name w:val="heading 3"/>
    <w:basedOn w:val="Normal"/>
    <w:next w:val="Normal"/>
    <w:qFormat/>
    <w:rsid w:val="00DC033E"/>
    <w:pPr>
      <w:keepNext/>
      <w:widowControl w:val="0"/>
      <w:numPr>
        <w:ilvl w:val="2"/>
        <w:numId w:val="1"/>
      </w:numPr>
      <w:spacing w:after="220"/>
      <w:jc w:val="both"/>
      <w:outlineLvl w:val="2"/>
    </w:pPr>
    <w:rPr>
      <w:b/>
    </w:rPr>
  </w:style>
  <w:style w:type="paragraph" w:styleId="Heading4">
    <w:name w:val="heading 4"/>
    <w:basedOn w:val="Normal"/>
    <w:next w:val="Normal"/>
    <w:qFormat/>
    <w:rsid w:val="00DC033E"/>
    <w:pPr>
      <w:keepNext/>
      <w:widowControl w:val="0"/>
      <w:numPr>
        <w:ilvl w:val="3"/>
        <w:numId w:val="1"/>
      </w:numPr>
      <w:spacing w:after="220"/>
      <w:jc w:val="both"/>
      <w:outlineLvl w:val="3"/>
    </w:pPr>
    <w:rPr>
      <w:b/>
    </w:rPr>
  </w:style>
  <w:style w:type="paragraph" w:styleId="Heading5">
    <w:name w:val="heading 5"/>
    <w:basedOn w:val="Normal"/>
    <w:next w:val="Normal"/>
    <w:qFormat/>
    <w:rsid w:val="00DC033E"/>
    <w:pPr>
      <w:keepNext/>
      <w:widowControl w:val="0"/>
      <w:numPr>
        <w:ilvl w:val="4"/>
        <w:numId w:val="1"/>
      </w:numPr>
      <w:suppressAutoHyphens/>
      <w:spacing w:after="220"/>
      <w:jc w:val="both"/>
      <w:outlineLvl w:val="4"/>
    </w:pPr>
    <w:rPr>
      <w:b/>
    </w:rPr>
  </w:style>
  <w:style w:type="paragraph" w:styleId="Heading6">
    <w:name w:val="heading 6"/>
    <w:basedOn w:val="Normal"/>
    <w:next w:val="Normal"/>
    <w:qFormat/>
    <w:rsid w:val="00DC033E"/>
    <w:pPr>
      <w:widowControl w:val="0"/>
      <w:numPr>
        <w:ilvl w:val="5"/>
        <w:numId w:val="1"/>
      </w:numPr>
      <w:spacing w:after="220"/>
      <w:jc w:val="both"/>
      <w:outlineLvl w:val="5"/>
    </w:pPr>
    <w:rPr>
      <w:b/>
    </w:rPr>
  </w:style>
  <w:style w:type="paragraph" w:styleId="Heading7">
    <w:name w:val="heading 7"/>
    <w:basedOn w:val="Normal"/>
    <w:next w:val="Normal"/>
    <w:qFormat/>
    <w:rsid w:val="00DC033E"/>
    <w:pPr>
      <w:widowControl w:val="0"/>
      <w:numPr>
        <w:ilvl w:val="7"/>
        <w:numId w:val="1"/>
      </w:numPr>
      <w:spacing w:after="220"/>
      <w:jc w:val="both"/>
      <w:outlineLvl w:val="6"/>
    </w:pPr>
    <w:rPr>
      <w:b/>
    </w:rPr>
  </w:style>
  <w:style w:type="paragraph" w:styleId="Heading9">
    <w:name w:val="heading 9"/>
    <w:basedOn w:val="Normal"/>
    <w:next w:val="Normal"/>
    <w:qFormat/>
    <w:rsid w:val="00DC033E"/>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033E"/>
    <w:pPr>
      <w:tabs>
        <w:tab w:val="center" w:pos="4320"/>
        <w:tab w:val="right" w:pos="8640"/>
      </w:tabs>
    </w:pPr>
  </w:style>
  <w:style w:type="paragraph" w:styleId="Footer">
    <w:name w:val="footer"/>
    <w:basedOn w:val="Normal"/>
    <w:rsid w:val="00DC033E"/>
    <w:pPr>
      <w:tabs>
        <w:tab w:val="center" w:pos="4320"/>
        <w:tab w:val="right" w:pos="8640"/>
      </w:tabs>
    </w:pPr>
  </w:style>
  <w:style w:type="character" w:styleId="Hyperlink">
    <w:name w:val="Hyperlink"/>
    <w:rsid w:val="00DC033E"/>
    <w:rPr>
      <w:color w:val="0000FF"/>
      <w:u w:val="single"/>
    </w:rPr>
  </w:style>
  <w:style w:type="character" w:styleId="FootnoteReference">
    <w:name w:val="footnote reference"/>
    <w:aliases w:val="Appel note de bas de p,Style 12,(NECG) Footnote Reference,Style 124,o,fr,Style 3,Style 13,FR,Style 17,Style 6,Footnote Reference/"/>
    <w:rsid w:val="00DC033E"/>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rsid w:val="00DC033E"/>
    <w:pPr>
      <w:tabs>
        <w:tab w:val="left" w:pos="720"/>
      </w:tabs>
      <w:spacing w:after="200"/>
    </w:pPr>
  </w:style>
  <w:style w:type="character" w:styleId="PageNumber">
    <w:name w:val="page number"/>
    <w:basedOn w:val="DefaultParagraphFont"/>
    <w:rsid w:val="00DC033E"/>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DC033E"/>
    <w:rPr>
      <w:sz w:val="22"/>
      <w:lang w:val="en-US" w:eastAsia="en-US" w:bidi="ar-SA"/>
    </w:rPr>
  </w:style>
  <w:style w:type="paragraph" w:styleId="BalloonText">
    <w:name w:val="Balloon Text"/>
    <w:basedOn w:val="Normal"/>
    <w:semiHidden/>
    <w:rsid w:val="00305D7E"/>
    <w:rPr>
      <w:rFonts w:ascii="Tahoma" w:hAnsi="Tahoma" w:cs="Tahoma"/>
      <w:sz w:val="16"/>
      <w:szCs w:val="16"/>
    </w:rPr>
  </w:style>
  <w:style w:type="character" w:styleId="CommentReference">
    <w:name w:val="annotation reference"/>
    <w:semiHidden/>
    <w:rsid w:val="00523733"/>
    <w:rPr>
      <w:sz w:val="16"/>
      <w:szCs w:val="16"/>
    </w:rPr>
  </w:style>
  <w:style w:type="paragraph" w:styleId="CommentText">
    <w:name w:val="annotation text"/>
    <w:basedOn w:val="Normal"/>
    <w:link w:val="CommentTextChar"/>
    <w:semiHidden/>
    <w:rsid w:val="00523733"/>
    <w:rPr>
      <w:sz w:val="20"/>
    </w:rPr>
  </w:style>
  <w:style w:type="paragraph" w:styleId="CommentSubject">
    <w:name w:val="annotation subject"/>
    <w:basedOn w:val="CommentText"/>
    <w:next w:val="CommentText"/>
    <w:semiHidden/>
    <w:rsid w:val="00523733"/>
    <w:rPr>
      <w:b/>
      <w:bCs/>
    </w:rPr>
  </w:style>
  <w:style w:type="paragraph" w:styleId="Revision">
    <w:name w:val="Revision"/>
    <w:hidden/>
    <w:uiPriority w:val="99"/>
    <w:semiHidden/>
    <w:rsid w:val="00A36BEE"/>
    <w:rPr>
      <w:sz w:val="22"/>
    </w:rPr>
  </w:style>
  <w:style w:type="paragraph" w:customStyle="1" w:styleId="Default">
    <w:name w:val="Default"/>
    <w:rsid w:val="00894CBD"/>
    <w:pPr>
      <w:autoSpaceDE w:val="0"/>
      <w:autoSpaceDN w:val="0"/>
      <w:adjustRightInd w:val="0"/>
    </w:pPr>
    <w:rPr>
      <w:rFonts w:ascii="Century Schoolbook" w:hAnsi="Century Schoolbook" w:cs="Century Schoolbook"/>
      <w:color w:val="000000"/>
      <w:sz w:val="24"/>
      <w:szCs w:val="24"/>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1F64CD"/>
    <w:rPr>
      <w:sz w:val="20"/>
      <w:szCs w:val="20"/>
    </w:rPr>
  </w:style>
  <w:style w:type="character" w:customStyle="1" w:styleId="CommentTextChar">
    <w:name w:val="Comment Text Char"/>
    <w:link w:val="CommentText"/>
    <w:semiHidden/>
    <w:rsid w:val="001F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ynn.follansbee@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nomorobo.com/" TargetMode="External"/><Relationship Id="rId1" Type="http://schemas.openxmlformats.org/officeDocument/2006/relationships/hyperlink" Target="http://www.nanpa.com/number_resource_info/vsc_definition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1700</Words>
  <Characters>9598</Characters>
  <Application>Microsoft Office Word</Application>
  <DocSecurity>0</DocSecurity>
  <Lines>157</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11333</CharactersWithSpaces>
  <SharedDoc>false</SharedDoc>
  <HyperlinkBase> </HyperlinkBase>
  <HLinks>
    <vt:vector size="24" baseType="variant">
      <vt:variant>
        <vt:i4>3145794</vt:i4>
      </vt:variant>
      <vt:variant>
        <vt:i4>6</vt:i4>
      </vt:variant>
      <vt:variant>
        <vt:i4>0</vt:i4>
      </vt:variant>
      <vt:variant>
        <vt:i4>5</vt:i4>
      </vt:variant>
      <vt:variant>
        <vt:lpwstr>mailto:lynn.follansbee@fcc.gov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4587538</vt:i4>
      </vt:variant>
      <vt:variant>
        <vt:i4>0</vt:i4>
      </vt:variant>
      <vt:variant>
        <vt:i4>0</vt:i4>
      </vt:variant>
      <vt:variant>
        <vt:i4>5</vt:i4>
      </vt:variant>
      <vt:variant>
        <vt:lpwstr>https://www.nomorobo.com/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2014-11-03T18:46:00Z</cp:lastPrinted>
  <dcterms:created xsi:type="dcterms:W3CDTF">2014-11-24T19:27:00Z</dcterms:created>
  <dcterms:modified xsi:type="dcterms:W3CDTF">2014-11-24T19:27:00Z</dcterms:modified>
  <cp:category> </cp:category>
  <cp:contentStatus> </cp:contentStatus>
</cp:coreProperties>
</file>