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9023BB">
      <w:pPr>
        <w:jc w:val="center"/>
        <w:rPr>
          <w:b/>
        </w:rPr>
      </w:pPr>
      <w:bookmarkStart w:id="0" w:name="_GoBack"/>
      <w:bookmarkEnd w:id="0"/>
      <w:r>
        <w:rPr>
          <w:rFonts w:ascii="Times New Roman Bold" w:hAnsi="Times New Roman Bold"/>
          <w:b/>
          <w:kern w:val="0"/>
          <w:szCs w:val="22"/>
        </w:rPr>
        <w:t xml:space="preserve"> </w:t>
      </w:r>
      <w:r w:rsidR="004C2EE3" w:rsidRPr="0070224F">
        <w:rPr>
          <w:rFonts w:ascii="Times New Roman Bold" w:hAnsi="Times New Roman Bold"/>
          <w:b/>
          <w:kern w:val="0"/>
          <w:szCs w:val="22"/>
        </w:rPr>
        <w:t>Before</w:t>
      </w:r>
      <w:r w:rsidR="004C2EE3">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581E53" w:rsidRDefault="00581E53" w:rsidP="00581E53">
            <w:pPr>
              <w:tabs>
                <w:tab w:val="center" w:pos="4680"/>
              </w:tabs>
              <w:suppressAutoHyphens/>
              <w:rPr>
                <w:spacing w:val="-2"/>
              </w:rPr>
            </w:pPr>
            <w:r>
              <w:rPr>
                <w:spacing w:val="-2"/>
              </w:rPr>
              <w:t>Special Access for Pr</w:t>
            </w:r>
            <w:r w:rsidR="00B82E2B">
              <w:rPr>
                <w:spacing w:val="-2"/>
              </w:rPr>
              <w:t>ice Cap Local Exchange Carriers</w:t>
            </w:r>
          </w:p>
          <w:p w:rsidR="00581E53" w:rsidRDefault="00581E53" w:rsidP="00581E53">
            <w:pPr>
              <w:tabs>
                <w:tab w:val="center" w:pos="4680"/>
              </w:tabs>
              <w:suppressAutoHyphens/>
              <w:rPr>
                <w:spacing w:val="-2"/>
              </w:rPr>
            </w:pPr>
          </w:p>
          <w:p w:rsidR="00581E53" w:rsidRDefault="00581E53" w:rsidP="00581E53">
            <w:pPr>
              <w:tabs>
                <w:tab w:val="center" w:pos="4680"/>
              </w:tabs>
              <w:suppressAutoHyphens/>
              <w:rPr>
                <w:spacing w:val="-2"/>
              </w:rPr>
            </w:pPr>
            <w:r>
              <w:rPr>
                <w:spacing w:val="-2"/>
              </w:rPr>
              <w:t xml:space="preserve">AT&amp;T Corporation Petition for Rulemaking to Reform Regulation of Incumbent Local Exchange Carrier Rates for Interstate Special Access </w:t>
            </w:r>
          </w:p>
          <w:p w:rsidR="00581E53" w:rsidRDefault="0094414F" w:rsidP="00581E53">
            <w:pPr>
              <w:tabs>
                <w:tab w:val="center" w:pos="4680"/>
              </w:tabs>
              <w:suppressAutoHyphens/>
              <w:rPr>
                <w:spacing w:val="-2"/>
              </w:rPr>
            </w:pPr>
            <w:r>
              <w:rPr>
                <w:spacing w:val="-2"/>
              </w:rPr>
              <w:t>Services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581E53" w:rsidRDefault="00581E53" w:rsidP="00581E53">
            <w:pPr>
              <w:tabs>
                <w:tab w:val="center" w:pos="4680"/>
              </w:tabs>
              <w:suppressAutoHyphens/>
              <w:rPr>
                <w:spacing w:val="-2"/>
              </w:rPr>
            </w:pPr>
            <w:r>
              <w:rPr>
                <w:spacing w:val="-2"/>
              </w:rPr>
              <w:t>WC Docket No. 05-25</w:t>
            </w:r>
          </w:p>
          <w:p w:rsidR="00581E53" w:rsidRDefault="00581E53" w:rsidP="00581E53">
            <w:pPr>
              <w:tabs>
                <w:tab w:val="center" w:pos="4680"/>
              </w:tabs>
              <w:suppressAutoHyphens/>
              <w:rPr>
                <w:spacing w:val="-2"/>
              </w:rPr>
            </w:pPr>
          </w:p>
          <w:p w:rsidR="00581E53" w:rsidRDefault="00581E53" w:rsidP="00581E53">
            <w:pPr>
              <w:tabs>
                <w:tab w:val="center" w:pos="4680"/>
              </w:tabs>
              <w:suppressAutoHyphens/>
              <w:rPr>
                <w:spacing w:val="-2"/>
              </w:rPr>
            </w:pPr>
          </w:p>
          <w:p w:rsidR="00581E53" w:rsidRDefault="00581E53" w:rsidP="00581E53">
            <w:pPr>
              <w:tabs>
                <w:tab w:val="center" w:pos="4680"/>
              </w:tabs>
              <w:suppressAutoHyphens/>
              <w:rPr>
                <w:spacing w:val="-2"/>
              </w:rPr>
            </w:pPr>
            <w:r>
              <w:rPr>
                <w:spacing w:val="-2"/>
              </w:rPr>
              <w:t>RM-10593</w:t>
            </w:r>
          </w:p>
          <w:p w:rsidR="004C2EE3" w:rsidRDefault="004C2EE3">
            <w:pPr>
              <w:tabs>
                <w:tab w:val="center" w:pos="4680"/>
              </w:tabs>
              <w:suppressAutoHyphens/>
              <w:rPr>
                <w:spacing w:val="-2"/>
              </w:rPr>
            </w:pPr>
          </w:p>
        </w:tc>
      </w:tr>
    </w:tbl>
    <w:p w:rsidR="004C2EE3" w:rsidRDefault="004C2EE3" w:rsidP="0070224F"/>
    <w:p w:rsidR="0022449D" w:rsidRDefault="0004310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sidRPr="0022449D">
        <w:rPr>
          <w:b/>
          <w:spacing w:val="-2"/>
        </w:rPr>
        <w:t xml:space="preserve">Adopted:  </w:t>
      </w:r>
      <w:r w:rsidR="00E7776B">
        <w:rPr>
          <w:b/>
          <w:spacing w:val="-2"/>
        </w:rPr>
        <w:t>November 2</w:t>
      </w:r>
      <w:r w:rsidR="009903E7">
        <w:rPr>
          <w:b/>
          <w:spacing w:val="-2"/>
        </w:rPr>
        <w:t>6</w:t>
      </w:r>
      <w:r w:rsidR="00E7776B">
        <w:rPr>
          <w:b/>
          <w:spacing w:val="-2"/>
        </w:rPr>
        <w:t>, 2014</w:t>
      </w:r>
      <w:r>
        <w:rPr>
          <w:b/>
          <w:spacing w:val="-2"/>
        </w:rPr>
        <w:tab/>
      </w:r>
      <w:r w:rsidR="00822CE0" w:rsidRPr="0022449D">
        <w:rPr>
          <w:b/>
          <w:spacing w:val="-2"/>
        </w:rPr>
        <w:t>Released</w:t>
      </w:r>
      <w:r w:rsidRPr="0022449D">
        <w:rPr>
          <w:b/>
          <w:spacing w:val="-2"/>
        </w:rPr>
        <w:t>:</w:t>
      </w:r>
      <w:r w:rsidR="00822CE0" w:rsidRPr="0022449D">
        <w:rPr>
          <w:b/>
          <w:spacing w:val="-2"/>
        </w:rPr>
        <w:t xml:space="preserve"> </w:t>
      </w:r>
      <w:r w:rsidRPr="0022449D">
        <w:rPr>
          <w:b/>
          <w:spacing w:val="-2"/>
        </w:rPr>
        <w:t xml:space="preserve"> </w:t>
      </w:r>
      <w:r w:rsidR="009903E7">
        <w:rPr>
          <w:b/>
          <w:spacing w:val="-2"/>
        </w:rPr>
        <w:t>November 26</w:t>
      </w:r>
      <w:r w:rsidR="00E7776B">
        <w:rPr>
          <w:b/>
          <w:spacing w:val="-2"/>
        </w:rPr>
        <w:t>, 2014</w:t>
      </w:r>
    </w:p>
    <w:p w:rsidR="00822CE0" w:rsidRDefault="00822CE0"/>
    <w:p w:rsidR="00822CE0" w:rsidRDefault="004C2EE3">
      <w:pPr>
        <w:rPr>
          <w:spacing w:val="-2"/>
        </w:rPr>
      </w:pPr>
      <w:r>
        <w:t xml:space="preserve">By </w:t>
      </w:r>
      <w:r w:rsidR="004E4A22">
        <w:t>the</w:t>
      </w:r>
      <w:r w:rsidR="002A2D2E">
        <w:t xml:space="preserve"> </w:t>
      </w:r>
      <w:r w:rsidR="00581E53">
        <w:rPr>
          <w:spacing w:val="-2"/>
        </w:rPr>
        <w:t>Chief, Wireline Competition Bureau</w:t>
      </w:r>
      <w:r>
        <w:rPr>
          <w:spacing w:val="-2"/>
        </w:rPr>
        <w:t>:</w:t>
      </w:r>
    </w:p>
    <w:p w:rsidR="0022449D" w:rsidRDefault="0022449D">
      <w:pPr>
        <w:rPr>
          <w:spacing w:val="-2"/>
        </w:rPr>
      </w:pPr>
    </w:p>
    <w:p w:rsidR="005E6C56" w:rsidRPr="00C2034F" w:rsidRDefault="005E6C56" w:rsidP="005E6C56">
      <w:pPr>
        <w:rPr>
          <w:b/>
        </w:rPr>
      </w:pPr>
      <w:r w:rsidRPr="00C2034F">
        <w:rPr>
          <w:b/>
        </w:rPr>
        <w:t>Deadline</w:t>
      </w:r>
      <w:r w:rsidR="009C21F8">
        <w:rPr>
          <w:b/>
        </w:rPr>
        <w:t xml:space="preserve"> for Filing Streamlined Certifications</w:t>
      </w:r>
      <w:r w:rsidRPr="00C2034F">
        <w:rPr>
          <w:b/>
        </w:rPr>
        <w:t xml:space="preserve">: </w:t>
      </w:r>
      <w:r w:rsidR="006207B8">
        <w:rPr>
          <w:b/>
        </w:rPr>
        <w:t xml:space="preserve"> </w:t>
      </w:r>
      <w:r w:rsidRPr="00C2034F">
        <w:rPr>
          <w:b/>
        </w:rPr>
        <w:t>December 15, 2014</w:t>
      </w:r>
      <w:r>
        <w:rPr>
          <w:b/>
        </w:rPr>
        <w:t xml:space="preserve"> </w:t>
      </w:r>
      <w:r w:rsidR="000D5D59">
        <w:rPr>
          <w:b/>
        </w:rPr>
        <w:t>(no change)</w:t>
      </w:r>
    </w:p>
    <w:p w:rsidR="005E6C56" w:rsidRPr="00C2034F" w:rsidRDefault="005E6C56" w:rsidP="005E6C56">
      <w:pPr>
        <w:rPr>
          <w:b/>
        </w:rPr>
      </w:pPr>
    </w:p>
    <w:p w:rsidR="003743DA" w:rsidRDefault="003743DA" w:rsidP="003743DA">
      <w:pPr>
        <w:rPr>
          <w:b/>
        </w:rPr>
      </w:pPr>
      <w:r w:rsidRPr="004F7288">
        <w:rPr>
          <w:b/>
        </w:rPr>
        <w:t>Filing Deadline</w:t>
      </w:r>
      <w:r w:rsidR="009C21F8">
        <w:rPr>
          <w:b/>
        </w:rPr>
        <w:t xml:space="preserve"> for Large Businesses</w:t>
      </w:r>
      <w:r w:rsidRPr="004F7288">
        <w:rPr>
          <w:b/>
        </w:rPr>
        <w:t>:</w:t>
      </w:r>
      <w:r w:rsidRPr="00E35732">
        <w:rPr>
          <w:b/>
        </w:rPr>
        <w:t xml:space="preserve"> </w:t>
      </w:r>
      <w:r w:rsidR="006207B8">
        <w:rPr>
          <w:b/>
        </w:rPr>
        <w:t xml:space="preserve"> </w:t>
      </w:r>
      <w:r w:rsidR="009C21F8">
        <w:rPr>
          <w:b/>
        </w:rPr>
        <w:t xml:space="preserve">January </w:t>
      </w:r>
      <w:r w:rsidR="00B340E2">
        <w:rPr>
          <w:b/>
        </w:rPr>
        <w:t>29</w:t>
      </w:r>
      <w:r w:rsidRPr="004F7288">
        <w:rPr>
          <w:b/>
        </w:rPr>
        <w:t>, 2015</w:t>
      </w:r>
      <w:r>
        <w:rPr>
          <w:b/>
        </w:rPr>
        <w:t xml:space="preserve"> </w:t>
      </w:r>
    </w:p>
    <w:p w:rsidR="003743DA" w:rsidRPr="004F7288" w:rsidRDefault="003743DA" w:rsidP="003743DA">
      <w:pPr>
        <w:rPr>
          <w:b/>
        </w:rPr>
      </w:pPr>
    </w:p>
    <w:p w:rsidR="005E6C56" w:rsidRPr="00C2034F" w:rsidRDefault="005E6C56" w:rsidP="005E6C56">
      <w:pPr>
        <w:rPr>
          <w:b/>
        </w:rPr>
      </w:pPr>
      <w:r w:rsidRPr="00C2034F">
        <w:rPr>
          <w:b/>
        </w:rPr>
        <w:t>Filing Deadline</w:t>
      </w:r>
      <w:r w:rsidR="009C21F8">
        <w:rPr>
          <w:b/>
        </w:rPr>
        <w:t xml:space="preserve"> for Other Respondents</w:t>
      </w:r>
      <w:r w:rsidRPr="00C2034F">
        <w:rPr>
          <w:b/>
        </w:rPr>
        <w:t xml:space="preserve">: </w:t>
      </w:r>
      <w:r w:rsidR="006207B8">
        <w:rPr>
          <w:b/>
        </w:rPr>
        <w:t xml:space="preserve"> </w:t>
      </w:r>
      <w:r w:rsidR="00544116">
        <w:rPr>
          <w:b/>
        </w:rPr>
        <w:t xml:space="preserve">February 27, </w:t>
      </w:r>
      <w:r w:rsidRPr="00C2034F">
        <w:rPr>
          <w:b/>
        </w:rPr>
        <w:t>2015</w:t>
      </w:r>
      <w:r>
        <w:rPr>
          <w:b/>
        </w:rPr>
        <w:t xml:space="preserve"> </w:t>
      </w:r>
    </w:p>
    <w:p w:rsidR="00412FC5" w:rsidRDefault="00412FC5" w:rsidP="00412FC5"/>
    <w:p w:rsidR="002C00E8" w:rsidRDefault="00581E53" w:rsidP="002C00E8">
      <w:pPr>
        <w:pStyle w:val="Heading1"/>
      </w:pPr>
      <w:r>
        <w:t>INTRODUCTION</w:t>
      </w:r>
    </w:p>
    <w:p w:rsidR="00165BBC" w:rsidRDefault="008717EE" w:rsidP="006D6C03">
      <w:pPr>
        <w:pStyle w:val="ParaNum"/>
        <w:widowControl/>
        <w:numPr>
          <w:ilvl w:val="0"/>
          <w:numId w:val="5"/>
        </w:numPr>
        <w:tabs>
          <w:tab w:val="clear" w:pos="1080"/>
          <w:tab w:val="num" w:pos="1440"/>
        </w:tabs>
      </w:pPr>
      <w:r w:rsidRPr="007B3607">
        <w:t xml:space="preserve">In this </w:t>
      </w:r>
      <w:r w:rsidR="00D100B5">
        <w:t xml:space="preserve">Order, the Wireline Competition Bureau (Bureau) </w:t>
      </w:r>
      <w:r w:rsidR="009C21F8">
        <w:t xml:space="preserve">extends </w:t>
      </w:r>
      <w:r w:rsidR="00D100B5">
        <w:t xml:space="preserve">the deadline </w:t>
      </w:r>
      <w:r w:rsidR="009C21F8">
        <w:t>for</w:t>
      </w:r>
      <w:r w:rsidR="00D100B5">
        <w:t xml:space="preserve"> respond</w:t>
      </w:r>
      <w:r w:rsidR="009C21F8">
        <w:t>ing</w:t>
      </w:r>
      <w:r w:rsidR="00D100B5">
        <w:t xml:space="preserve"> to the Commission’s data collection in the special access proceeding.</w:t>
      </w:r>
      <w:r w:rsidR="00B42157">
        <w:rPr>
          <w:rStyle w:val="FootnoteReference"/>
        </w:rPr>
        <w:footnoteReference w:id="2"/>
      </w:r>
      <w:r w:rsidR="00D100B5">
        <w:t xml:space="preserve"> </w:t>
      </w:r>
      <w:r w:rsidR="00CA719F">
        <w:t xml:space="preserve"> W</w:t>
      </w:r>
      <w:r w:rsidR="00ED3EFD">
        <w:t xml:space="preserve">e extend the deadline for large businesses with more than 1,500 employees that are required to provide data in response to the collection to January 29, 2015.  For small businesses with 1,500 or </w:t>
      </w:r>
      <w:r w:rsidR="007C1612">
        <w:t xml:space="preserve">fewer </w:t>
      </w:r>
      <w:r w:rsidR="00ED3EFD">
        <w:t xml:space="preserve">employees that are required to provide data in response to the collection, the deadline is extended to </w:t>
      </w:r>
      <w:r w:rsidR="00544116">
        <w:t>February 27</w:t>
      </w:r>
      <w:r w:rsidR="00ED3EFD">
        <w:t>, 2015.</w:t>
      </w:r>
      <w:r w:rsidR="00ED3EFD" w:rsidRPr="00ED3EFD">
        <w:t xml:space="preserve"> </w:t>
      </w:r>
      <w:r w:rsidR="00ED3EFD">
        <w:t xml:space="preserve"> </w:t>
      </w:r>
      <w:r w:rsidR="00ED3EFD">
        <w:rPr>
          <w:szCs w:val="22"/>
        </w:rPr>
        <w:t>F</w:t>
      </w:r>
      <w:r w:rsidR="00ED3EFD" w:rsidRPr="00ED3EFD">
        <w:rPr>
          <w:szCs w:val="22"/>
        </w:rPr>
        <w:t xml:space="preserve">or those required only to certify that they are not required to provide data and information because they are not a covered </w:t>
      </w:r>
      <w:r w:rsidR="00ED3EFD" w:rsidRPr="00BE44CC">
        <w:rPr>
          <w:i/>
          <w:szCs w:val="22"/>
        </w:rPr>
        <w:t>Provider</w:t>
      </w:r>
      <w:r w:rsidR="00ED3EFD" w:rsidRPr="00ED3EFD">
        <w:rPr>
          <w:szCs w:val="22"/>
        </w:rPr>
        <w:t xml:space="preserve">, </w:t>
      </w:r>
      <w:r w:rsidR="00ED3EFD" w:rsidRPr="00E71720">
        <w:rPr>
          <w:i/>
          <w:szCs w:val="22"/>
        </w:rPr>
        <w:t>Purchase</w:t>
      </w:r>
      <w:r w:rsidR="00ED3EFD" w:rsidRPr="00B74F56">
        <w:rPr>
          <w:i/>
          <w:szCs w:val="22"/>
        </w:rPr>
        <w:t>r</w:t>
      </w:r>
      <w:r w:rsidR="00ED3EFD" w:rsidRPr="00ED3EFD">
        <w:rPr>
          <w:szCs w:val="22"/>
        </w:rPr>
        <w:t xml:space="preserve">, or entities providing </w:t>
      </w:r>
      <w:r w:rsidR="00ED3EFD" w:rsidRPr="00BE44CC">
        <w:rPr>
          <w:i/>
          <w:szCs w:val="22"/>
        </w:rPr>
        <w:t>Best Efforts Business Broadband Internet Access Service</w:t>
      </w:r>
      <w:r w:rsidR="00ED3EFD" w:rsidRPr="00ED3EFD">
        <w:rPr>
          <w:szCs w:val="22"/>
        </w:rPr>
        <w:t>, the deadline remains December 15, 2014.</w:t>
      </w:r>
      <w:r w:rsidR="00CA719F">
        <w:rPr>
          <w:rStyle w:val="FootnoteReference"/>
          <w:szCs w:val="22"/>
        </w:rPr>
        <w:footnoteReference w:id="3"/>
      </w:r>
      <w:r w:rsidR="00D100B5">
        <w:t xml:space="preserve"> </w:t>
      </w:r>
      <w:r w:rsidR="00FD7370">
        <w:t xml:space="preserve">  </w:t>
      </w:r>
    </w:p>
    <w:p w:rsidR="00581E53" w:rsidRDefault="00581E53" w:rsidP="00F85BEB">
      <w:pPr>
        <w:pStyle w:val="Heading1"/>
        <w:tabs>
          <w:tab w:val="left" w:pos="720"/>
        </w:tabs>
      </w:pPr>
      <w:r>
        <w:t>BACKGROUND</w:t>
      </w:r>
    </w:p>
    <w:p w:rsidR="0094414F" w:rsidRDefault="0094414F" w:rsidP="003B161C">
      <w:pPr>
        <w:pStyle w:val="ParaNum"/>
        <w:widowControl/>
        <w:tabs>
          <w:tab w:val="clear" w:pos="1080"/>
          <w:tab w:val="num" w:pos="1440"/>
        </w:tabs>
      </w:pPr>
      <w:r>
        <w:t xml:space="preserve">On December 18, 2012, the Commission released the </w:t>
      </w:r>
      <w:r w:rsidRPr="00431935">
        <w:rPr>
          <w:i/>
        </w:rPr>
        <w:t>Data Collection Order</w:t>
      </w:r>
      <w:r>
        <w:t>, adopting a mandatory, one-time data collection to support a comprehensive analysis of the special access market.</w:t>
      </w:r>
      <w:r>
        <w:rPr>
          <w:rStyle w:val="FootnoteReference"/>
        </w:rPr>
        <w:footnoteReference w:id="4"/>
      </w:r>
      <w:r>
        <w:t xml:space="preserve">  </w:t>
      </w:r>
      <w:r>
        <w:lastRenderedPageBreak/>
        <w:t xml:space="preserve">The Commission attached an initial version of the data collection questions and definitions to the </w:t>
      </w:r>
      <w:r w:rsidRPr="00431935">
        <w:rPr>
          <w:i/>
        </w:rPr>
        <w:t>Data Collection Order</w:t>
      </w:r>
      <w:r w:rsidR="001B5777">
        <w:t>,</w:t>
      </w:r>
      <w:r>
        <w:t xml:space="preserve"> and </w:t>
      </w:r>
      <w:r w:rsidRPr="00541338">
        <w:t>delegated authority to the Bureau to</w:t>
      </w:r>
      <w:r>
        <w:t xml:space="preserve"> implement the data collection.</w:t>
      </w:r>
      <w:r>
        <w:rPr>
          <w:rStyle w:val="FootnoteReference"/>
        </w:rPr>
        <w:footnoteReference w:id="5"/>
      </w:r>
      <w:r>
        <w:t xml:space="preserve">  The Commission’s delegation gave the Bureau authority to</w:t>
      </w:r>
      <w:r w:rsidRPr="00541338">
        <w:t xml:space="preserve">: “(a) draft instructions to the data collection and modify the data collection based on public feedback; (b) amend the data collection based on feedback received through the </w:t>
      </w:r>
      <w:r>
        <w:t>[Paperwork Reduction Act (PRA)]</w:t>
      </w:r>
      <w:r w:rsidRPr="00541338">
        <w:t xml:space="preserve"> process; (c) make corrections to the data collection to ensure it reflects the Commission’s needs as expressed in [the </w:t>
      </w:r>
      <w:r w:rsidRPr="00431935">
        <w:rPr>
          <w:i/>
        </w:rPr>
        <w:t>Data Collection Order</w:t>
      </w:r>
      <w:r w:rsidRPr="00541338">
        <w:t xml:space="preserve">]; </w:t>
      </w:r>
      <w:r>
        <w:t>. . .</w:t>
      </w:r>
      <w:r w:rsidRPr="00541338">
        <w:t xml:space="preserve"> (d) issue Bureau-level orders and Public Notices specifying the production of specific types of data, specifying a collection mechanism (including necessary forms or formats), and set</w:t>
      </w:r>
      <w:r w:rsidR="001B5777">
        <w:t>ting</w:t>
      </w:r>
      <w:r w:rsidRPr="00541338">
        <w:t xml:space="preserve"> deadlines for response to ensure that data collections are complied with in a timely manner; and (e) take other such actions as are necessary to implement </w:t>
      </w:r>
      <w:r>
        <w:t xml:space="preserve">[the </w:t>
      </w:r>
      <w:r w:rsidRPr="00431935">
        <w:rPr>
          <w:i/>
        </w:rPr>
        <w:t>Data Collection Order</w:t>
      </w:r>
      <w:r>
        <w:t>]</w:t>
      </w:r>
      <w:r w:rsidRPr="00541338">
        <w:t xml:space="preserve">. . . consistent with </w:t>
      </w:r>
      <w:r>
        <w:t xml:space="preserve">[its] </w:t>
      </w:r>
      <w:r w:rsidRPr="00541338">
        <w:t>terms.”</w:t>
      </w:r>
      <w:r w:rsidRPr="0014029E">
        <w:rPr>
          <w:rStyle w:val="FootnoteReference"/>
          <w:color w:val="000000"/>
        </w:rPr>
        <w:footnoteReference w:id="6"/>
      </w:r>
      <w:r>
        <w:t xml:space="preserve">  </w:t>
      </w:r>
      <w:r w:rsidR="00006025">
        <w:t>In addition, the Commission cautioned that “</w:t>
      </w:r>
      <w:r w:rsidR="00006025" w:rsidRPr="00006025">
        <w:t>although the Bureau may employ the existing waiver process under Commission rule 1.3 to waive some or all of the</w:t>
      </w:r>
      <w:r w:rsidR="00006025">
        <w:t xml:space="preserve"> </w:t>
      </w:r>
      <w:r w:rsidR="00006025" w:rsidRPr="00006025">
        <w:t xml:space="preserve">requirements of this </w:t>
      </w:r>
      <w:r w:rsidR="00006025">
        <w:t>[</w:t>
      </w:r>
      <w:r w:rsidR="00006025" w:rsidRPr="007C3363">
        <w:rPr>
          <w:i/>
        </w:rPr>
        <w:t>Data Collection Order</w:t>
      </w:r>
      <w:r w:rsidR="00006025">
        <w:t>]</w:t>
      </w:r>
      <w:r w:rsidR="00006025" w:rsidRPr="00006025">
        <w:t xml:space="preserve"> for individual respondents where good cause is shown, </w:t>
      </w:r>
      <w:r w:rsidR="00006025" w:rsidRPr="00431935">
        <w:rPr>
          <w:i/>
          <w:iCs/>
        </w:rPr>
        <w:t xml:space="preserve">see </w:t>
      </w:r>
      <w:r w:rsidR="00006025" w:rsidRPr="00006025">
        <w:t>47 C.F.R. § 1.3, such waivers</w:t>
      </w:r>
      <w:r w:rsidR="00006025">
        <w:t xml:space="preserve"> </w:t>
      </w:r>
      <w:r w:rsidR="00006025" w:rsidRPr="00006025">
        <w:t>must be narrowly tailored to the applicable circumstances.</w:t>
      </w:r>
      <w:r w:rsidR="00006025">
        <w:t>”</w:t>
      </w:r>
      <w:r w:rsidR="00006025">
        <w:rPr>
          <w:rStyle w:val="FootnoteReference"/>
        </w:rPr>
        <w:footnoteReference w:id="7"/>
      </w:r>
    </w:p>
    <w:p w:rsidR="00581E53" w:rsidRDefault="00DA2141" w:rsidP="006207B8">
      <w:pPr>
        <w:pStyle w:val="ParaNum"/>
        <w:widowControl/>
        <w:tabs>
          <w:tab w:val="clear" w:pos="1080"/>
          <w:tab w:val="num" w:pos="1440"/>
        </w:tabs>
      </w:pPr>
      <w:r>
        <w:t xml:space="preserve">On August 15, 2014, </w:t>
      </w:r>
      <w:r w:rsidRPr="00DA2141">
        <w:t xml:space="preserve">the Office of Management and Budget (OMB) </w:t>
      </w:r>
      <w:r w:rsidR="003A5E17">
        <w:t xml:space="preserve">approved the collection </w:t>
      </w:r>
      <w:r>
        <w:t xml:space="preserve">pursuant to </w:t>
      </w:r>
      <w:r w:rsidRPr="00DA2141">
        <w:t xml:space="preserve">the </w:t>
      </w:r>
      <w:r w:rsidR="003A5E17">
        <w:t xml:space="preserve">PRA </w:t>
      </w:r>
      <w:r w:rsidR="0094414F">
        <w:t xml:space="preserve">subject to </w:t>
      </w:r>
      <w:r w:rsidR="00C40A8C">
        <w:t>changes</w:t>
      </w:r>
      <w:r w:rsidR="00CA719F">
        <w:t>, and</w:t>
      </w:r>
      <w:r w:rsidR="0094414F">
        <w:t xml:space="preserve"> </w:t>
      </w:r>
      <w:r w:rsidR="007C1612">
        <w:t>the Bureau</w:t>
      </w:r>
      <w:r w:rsidR="0094414F">
        <w:t xml:space="preserve"> </w:t>
      </w:r>
      <w:r>
        <w:t>amended the collection to reflect this approval</w:t>
      </w:r>
      <w:r w:rsidR="00CA719F">
        <w:t xml:space="preserve"> </w:t>
      </w:r>
      <w:r>
        <w:t xml:space="preserve">and </w:t>
      </w:r>
      <w:r w:rsidR="0094414F">
        <w:t>announc</w:t>
      </w:r>
      <w:r>
        <w:t xml:space="preserve">ed </w:t>
      </w:r>
      <w:r w:rsidR="00C40A8C">
        <w:t xml:space="preserve">a </w:t>
      </w:r>
      <w:r>
        <w:t xml:space="preserve">December 15, 2014 deadline </w:t>
      </w:r>
      <w:r w:rsidR="00E705CC">
        <w:t xml:space="preserve">for </w:t>
      </w:r>
      <w:r w:rsidR="00C40A8C">
        <w:t>collection responses</w:t>
      </w:r>
      <w:r w:rsidR="0094414F">
        <w:t>.</w:t>
      </w:r>
      <w:r w:rsidR="0094414F" w:rsidRPr="00444980">
        <w:rPr>
          <w:rStyle w:val="FootnoteTextChar2"/>
          <w:vertAlign w:val="superscript"/>
        </w:rPr>
        <w:footnoteReference w:id="8"/>
      </w:r>
      <w:r w:rsidR="0094414F" w:rsidRPr="00CA719F">
        <w:rPr>
          <w:vertAlign w:val="superscript"/>
        </w:rPr>
        <w:t xml:space="preserve"> </w:t>
      </w:r>
      <w:r w:rsidR="007C7EF2">
        <w:t xml:space="preserve">  The Bureau launched the secure web portal for receiving responses on October 1, 2014</w:t>
      </w:r>
      <w:r w:rsidR="001B5777">
        <w:t>,</w:t>
      </w:r>
      <w:r w:rsidR="007C7EF2">
        <w:t xml:space="preserve"> and has conducted a series of outreach events to provide the public </w:t>
      </w:r>
      <w:r w:rsidR="007C1612">
        <w:t xml:space="preserve">with </w:t>
      </w:r>
      <w:r w:rsidR="007C7EF2">
        <w:t xml:space="preserve">information </w:t>
      </w:r>
      <w:r w:rsidR="007C1612">
        <w:t xml:space="preserve">to </w:t>
      </w:r>
      <w:r w:rsidR="007C7EF2">
        <w:t>address questions regarding the collection.</w:t>
      </w:r>
      <w:r w:rsidR="007C7EF2">
        <w:rPr>
          <w:rStyle w:val="FootnoteReference"/>
        </w:rPr>
        <w:footnoteReference w:id="9"/>
      </w:r>
      <w:r w:rsidR="003E0377">
        <w:t xml:space="preserve">  </w:t>
      </w:r>
      <w:r w:rsidR="007411CF">
        <w:t xml:space="preserve">We did not, however, make </w:t>
      </w:r>
      <w:r w:rsidR="006207B8">
        <w:t xml:space="preserve">the </w:t>
      </w:r>
      <w:r w:rsidR="003E0377">
        <w:t xml:space="preserve">database container </w:t>
      </w:r>
      <w:r w:rsidR="00EB5370">
        <w:t xml:space="preserve">available </w:t>
      </w:r>
      <w:r w:rsidR="007411CF">
        <w:t xml:space="preserve">when </w:t>
      </w:r>
      <w:r w:rsidR="006207B8">
        <w:t>activating</w:t>
      </w:r>
      <w:r w:rsidR="007411CF">
        <w:t xml:space="preserve"> the secure web portal.</w:t>
      </w:r>
      <w:r w:rsidR="009F51E3">
        <w:rPr>
          <w:rStyle w:val="FootnoteReference"/>
        </w:rPr>
        <w:footnoteReference w:id="10"/>
      </w:r>
      <w:r w:rsidR="003E0377">
        <w:t xml:space="preserve">  The container is necessary for respondents to provide much of the numerical-type </w:t>
      </w:r>
      <w:r w:rsidR="00BF187E">
        <w:t>data</w:t>
      </w:r>
      <w:r w:rsidR="00EB5370">
        <w:t xml:space="preserve"> sought</w:t>
      </w:r>
      <w:r w:rsidR="003E0377">
        <w:t xml:space="preserve">, e.g., </w:t>
      </w:r>
      <w:r w:rsidR="00EB5370">
        <w:t>facilities</w:t>
      </w:r>
      <w:r w:rsidR="003E0377">
        <w:t xml:space="preserve"> and billing information.</w:t>
      </w:r>
      <w:r w:rsidR="00CA719F">
        <w:t xml:space="preserve">  </w:t>
      </w:r>
      <w:r w:rsidR="007411CF">
        <w:t xml:space="preserve">The Bureau continues to test the container internally and with certain companies.  Both </w:t>
      </w:r>
      <w:r w:rsidR="006207B8">
        <w:t xml:space="preserve">COMPTEL—The </w:t>
      </w:r>
      <w:r w:rsidR="007411CF">
        <w:t>Competitive Communications Association (COMPTEL) and the U</w:t>
      </w:r>
      <w:r w:rsidR="004864C8">
        <w:t xml:space="preserve">nited </w:t>
      </w:r>
      <w:r w:rsidR="007411CF">
        <w:t>S</w:t>
      </w:r>
      <w:r w:rsidR="004864C8">
        <w:t xml:space="preserve">tates </w:t>
      </w:r>
      <w:r w:rsidR="007411CF">
        <w:t>Telecom Association (USTelecom) have filed letters with the Commission stressing the importance of making the database container available to its members so they can timely respond to the data collection.</w:t>
      </w:r>
      <w:r w:rsidR="007411CF">
        <w:rPr>
          <w:rStyle w:val="FootnoteReference"/>
        </w:rPr>
        <w:footnoteReference w:id="11"/>
      </w:r>
      <w:r w:rsidR="007411CF">
        <w:t xml:space="preserve">  </w:t>
      </w:r>
      <w:r w:rsidR="007C7EF2">
        <w:t xml:space="preserve">FairPoint </w:t>
      </w:r>
      <w:r w:rsidR="007C7EF2" w:rsidRPr="003A5E17">
        <w:t xml:space="preserve">Communications, Inc. (FairPoint) </w:t>
      </w:r>
      <w:r w:rsidR="007411CF">
        <w:t xml:space="preserve">also </w:t>
      </w:r>
      <w:r w:rsidR="007C7EF2">
        <w:t xml:space="preserve">filed a petition </w:t>
      </w:r>
      <w:r w:rsidR="00EB5370">
        <w:t xml:space="preserve">for limited waiver on </w:t>
      </w:r>
      <w:r w:rsidR="00EB5370">
        <w:lastRenderedPageBreak/>
        <w:t xml:space="preserve">November 5, 2014, </w:t>
      </w:r>
      <w:r w:rsidR="007C7EF2">
        <w:t xml:space="preserve">seeking a 90-day extension </w:t>
      </w:r>
      <w:r w:rsidR="007C7EF2" w:rsidRPr="003A5E17">
        <w:t xml:space="preserve">of the deadline </w:t>
      </w:r>
      <w:r w:rsidR="007C7EF2">
        <w:t xml:space="preserve">to </w:t>
      </w:r>
      <w:r w:rsidR="007C7EF2" w:rsidRPr="003A5E17">
        <w:t>March 16, 2015</w:t>
      </w:r>
      <w:r w:rsidR="007411CF">
        <w:t>, and NTCA—The Rural Broadband Association (NTCA) supports extending the deadline by 90 days</w:t>
      </w:r>
      <w:r w:rsidR="007C7EF2">
        <w:t>.</w:t>
      </w:r>
      <w:r w:rsidR="007C7EF2" w:rsidRPr="003A5E17">
        <w:rPr>
          <w:sz w:val="20"/>
          <w:vertAlign w:val="superscript"/>
        </w:rPr>
        <w:footnoteReference w:id="12"/>
      </w:r>
      <w:r w:rsidR="007411CF">
        <w:t xml:space="preserve">  </w:t>
      </w:r>
    </w:p>
    <w:p w:rsidR="00A20D81" w:rsidRDefault="00A20D81" w:rsidP="00A20D81">
      <w:pPr>
        <w:pStyle w:val="Heading1"/>
      </w:pPr>
      <w:r>
        <w:t>Discussion</w:t>
      </w:r>
    </w:p>
    <w:p w:rsidR="00B409E6" w:rsidRDefault="0062412D" w:rsidP="00A80CBE">
      <w:pPr>
        <w:pStyle w:val="ParaNum"/>
        <w:tabs>
          <w:tab w:val="clear" w:pos="1080"/>
          <w:tab w:val="num" w:pos="1440"/>
        </w:tabs>
      </w:pPr>
      <w:r>
        <w:t>W</w:t>
      </w:r>
      <w:r w:rsidR="009F51E3">
        <w:t>e</w:t>
      </w:r>
      <w:r w:rsidR="00B409E6">
        <w:t xml:space="preserve"> </w:t>
      </w:r>
      <w:r w:rsidR="00AB1B2A">
        <w:t xml:space="preserve">extend </w:t>
      </w:r>
      <w:r w:rsidR="00B409E6">
        <w:t>the</w:t>
      </w:r>
      <w:r w:rsidR="005A170A">
        <w:t xml:space="preserve"> </w:t>
      </w:r>
      <w:r w:rsidR="00B409E6">
        <w:t xml:space="preserve">deadline </w:t>
      </w:r>
      <w:r w:rsidR="00A80CBE">
        <w:t xml:space="preserve">by which certain </w:t>
      </w:r>
      <w:r w:rsidR="00B340E2">
        <w:t>filers</w:t>
      </w:r>
      <w:r w:rsidR="00AB1B2A">
        <w:t xml:space="preserve"> </w:t>
      </w:r>
      <w:r w:rsidR="00A80CBE">
        <w:t>are required to respond to the collection</w:t>
      </w:r>
      <w:r>
        <w:t>,</w:t>
      </w:r>
      <w:r w:rsidR="00AB1B2A">
        <w:t xml:space="preserve"> and </w:t>
      </w:r>
      <w:r w:rsidR="00B409E6" w:rsidRPr="00B349AC">
        <w:t>grant FairPoint</w:t>
      </w:r>
      <w:r w:rsidR="00B409E6">
        <w:t xml:space="preserve">’s petition </w:t>
      </w:r>
      <w:r w:rsidR="00444980">
        <w:t xml:space="preserve">to the extent it is consistent with this </w:t>
      </w:r>
      <w:r>
        <w:t>O</w:t>
      </w:r>
      <w:r w:rsidR="00444980">
        <w:t>rder.</w:t>
      </w:r>
      <w:r w:rsidR="00B409E6">
        <w:t xml:space="preserve">  </w:t>
      </w:r>
      <w:r w:rsidR="00B340E2">
        <w:t>For larger businesses with more than 1,500 employees,</w:t>
      </w:r>
      <w:r w:rsidR="00B340E2" w:rsidRPr="00B340E2">
        <w:t xml:space="preserve"> </w:t>
      </w:r>
      <w:r w:rsidR="00B340E2">
        <w:t>as measured at the parent company level, that are required provide data and information in response to the data collection questions, we extend the deadline by 45</w:t>
      </w:r>
      <w:r w:rsidR="005B413D">
        <w:t xml:space="preserve"> </w:t>
      </w:r>
      <w:r w:rsidR="00B340E2">
        <w:t xml:space="preserve">days to </w:t>
      </w:r>
      <w:r w:rsidR="00B340E2" w:rsidRPr="007C3363">
        <w:rPr>
          <w:b/>
          <w:u w:val="single"/>
        </w:rPr>
        <w:t>January 29, 2015</w:t>
      </w:r>
      <w:r w:rsidR="00B340E2">
        <w:t xml:space="preserve">.  The deadline for other respondents that are required to provide data and information in response to the collection is extended to </w:t>
      </w:r>
      <w:r w:rsidR="00544116">
        <w:rPr>
          <w:b/>
          <w:u w:val="single"/>
        </w:rPr>
        <w:t>February 27, 2015</w:t>
      </w:r>
      <w:r w:rsidR="00B340E2">
        <w:t>.</w:t>
      </w:r>
      <w:r w:rsidR="009F51E3">
        <w:t xml:space="preserve">  Lastly, for those required </w:t>
      </w:r>
      <w:r w:rsidR="00E80A40">
        <w:t xml:space="preserve">only </w:t>
      </w:r>
      <w:r w:rsidR="009F51E3">
        <w:t xml:space="preserve">to certify that they are not required to provide data and information because they are not a covered </w:t>
      </w:r>
      <w:r w:rsidR="009F51E3" w:rsidRPr="007C3363">
        <w:rPr>
          <w:i/>
        </w:rPr>
        <w:t>Provider</w:t>
      </w:r>
      <w:r w:rsidR="009F51E3">
        <w:t xml:space="preserve">, </w:t>
      </w:r>
      <w:r w:rsidR="009F51E3" w:rsidRPr="007C3363">
        <w:rPr>
          <w:i/>
        </w:rPr>
        <w:t>Purchaser</w:t>
      </w:r>
      <w:r w:rsidR="009F51E3">
        <w:t>, or entit</w:t>
      </w:r>
      <w:r w:rsidR="00E80A40">
        <w:t>ies</w:t>
      </w:r>
      <w:r w:rsidR="009F51E3">
        <w:t xml:space="preserve"> providing </w:t>
      </w:r>
      <w:r w:rsidR="009F51E3" w:rsidRPr="007C3363">
        <w:rPr>
          <w:i/>
        </w:rPr>
        <w:t xml:space="preserve">Best Efforts Business </w:t>
      </w:r>
      <w:r w:rsidR="007B49D5">
        <w:rPr>
          <w:i/>
        </w:rPr>
        <w:t xml:space="preserve">Broadband </w:t>
      </w:r>
      <w:r w:rsidR="009F51E3" w:rsidRPr="007C3363">
        <w:rPr>
          <w:i/>
        </w:rPr>
        <w:t>Internet Access Service</w:t>
      </w:r>
      <w:r w:rsidR="009F51E3">
        <w:t xml:space="preserve">, the deadline remains </w:t>
      </w:r>
      <w:r w:rsidR="009F51E3" w:rsidRPr="007C3363">
        <w:rPr>
          <w:b/>
          <w:u w:val="single"/>
        </w:rPr>
        <w:t>December 15, 2014</w:t>
      </w:r>
      <w:r w:rsidR="009F51E3">
        <w:t>.</w:t>
      </w:r>
    </w:p>
    <w:p w:rsidR="00AC2FBA" w:rsidRDefault="00B409E6" w:rsidP="0075231E">
      <w:pPr>
        <w:pStyle w:val="ParaNum"/>
        <w:tabs>
          <w:tab w:val="clear" w:pos="1080"/>
          <w:tab w:val="num" w:pos="1440"/>
        </w:tabs>
      </w:pPr>
      <w:r>
        <w:t xml:space="preserve">When </w:t>
      </w:r>
      <w:r w:rsidR="00C94027">
        <w:t>announcing</w:t>
      </w:r>
      <w:r>
        <w:t xml:space="preserve"> the </w:t>
      </w:r>
      <w:r w:rsidRPr="00172ECE">
        <w:t>deadline for responding to the collection</w:t>
      </w:r>
      <w:r>
        <w:t>,</w:t>
      </w:r>
      <w:r w:rsidRPr="00081DC6">
        <w:rPr>
          <w:rStyle w:val="FootnoteReference"/>
        </w:rPr>
        <w:t xml:space="preserve"> </w:t>
      </w:r>
      <w:r w:rsidR="00B340E2">
        <w:t xml:space="preserve">the Bureau </w:t>
      </w:r>
      <w:r>
        <w:t xml:space="preserve">anticipated the database container </w:t>
      </w:r>
      <w:r w:rsidR="00B340E2">
        <w:t xml:space="preserve">would have </w:t>
      </w:r>
      <w:r w:rsidR="00C94027">
        <w:t>completed</w:t>
      </w:r>
      <w:r w:rsidR="00B340E2">
        <w:t xml:space="preserve"> testing and been </w:t>
      </w:r>
      <w:r w:rsidR="00E80A40">
        <w:t>released</w:t>
      </w:r>
      <w:r w:rsidR="00B340E2">
        <w:t xml:space="preserve"> to the public </w:t>
      </w:r>
      <w:r w:rsidR="009F51E3">
        <w:t>by mid- to late-October</w:t>
      </w:r>
      <w:r w:rsidR="00941111">
        <w:t>.</w:t>
      </w:r>
      <w:r>
        <w:rPr>
          <w:rStyle w:val="FootnoteReference"/>
        </w:rPr>
        <w:footnoteReference w:id="13"/>
      </w:r>
      <w:r>
        <w:t xml:space="preserve">  </w:t>
      </w:r>
      <w:r w:rsidR="00B340E2">
        <w:t xml:space="preserve">We </w:t>
      </w:r>
      <w:r w:rsidR="00AC2FBA">
        <w:t xml:space="preserve">expected </w:t>
      </w:r>
      <w:r w:rsidR="009F51E3">
        <w:t>respondents would need sufficient time in advance of the deadline to work with the database container.</w:t>
      </w:r>
      <w:r w:rsidRPr="005345DE">
        <w:t xml:space="preserve">  </w:t>
      </w:r>
      <w:r w:rsidR="009F51E3">
        <w:t>Testing</w:t>
      </w:r>
      <w:r w:rsidR="00EC2CB3">
        <w:t>, however,</w:t>
      </w:r>
      <w:r w:rsidR="009F51E3">
        <w:t xml:space="preserve"> revealed the need for improvements and further testing, delaying the </w:t>
      </w:r>
      <w:r w:rsidR="00DC6785">
        <w:t xml:space="preserve">database </w:t>
      </w:r>
      <w:r w:rsidR="00F6399D">
        <w:t xml:space="preserve">container’s </w:t>
      </w:r>
      <w:r w:rsidR="009F51E3">
        <w:t xml:space="preserve">release to the public.  </w:t>
      </w:r>
    </w:p>
    <w:p w:rsidR="00556489" w:rsidRDefault="00F6399D" w:rsidP="00F6399D">
      <w:pPr>
        <w:pStyle w:val="ParaNum"/>
        <w:tabs>
          <w:tab w:val="clear" w:pos="1080"/>
          <w:tab w:val="num" w:pos="1440"/>
        </w:tabs>
      </w:pPr>
      <w:r>
        <w:t>R</w:t>
      </w:r>
      <w:r w:rsidR="00AC2FBA">
        <w:t>espondents are limited in their ability to respond</w:t>
      </w:r>
      <w:r>
        <w:t xml:space="preserve"> </w:t>
      </w:r>
      <w:r w:rsidR="00D074A7">
        <w:t xml:space="preserve">to the collection </w:t>
      </w:r>
      <w:r>
        <w:t xml:space="preserve">without the </w:t>
      </w:r>
      <w:r w:rsidR="00D074A7">
        <w:t xml:space="preserve">database </w:t>
      </w:r>
      <w:r>
        <w:t>container</w:t>
      </w:r>
      <w:r w:rsidR="00AC2FBA">
        <w:t>.  Respondents can still organize their data into files for loading based on the table format specifications contained in the instructions</w:t>
      </w:r>
      <w:r w:rsidR="0062412D">
        <w:t>,</w:t>
      </w:r>
      <w:r w:rsidR="00AC2FBA">
        <w:t xml:space="preserve"> but will still need time to understand and fully navigate the necessary procedures to successfully load the container.  </w:t>
      </w:r>
      <w:r w:rsidR="001F0496">
        <w:t xml:space="preserve">USTelecom </w:t>
      </w:r>
      <w:r w:rsidR="00AB32D6">
        <w:t>acknowledges</w:t>
      </w:r>
      <w:r w:rsidR="001F0496">
        <w:t xml:space="preserve"> </w:t>
      </w:r>
      <w:r w:rsidR="00AB32D6">
        <w:t xml:space="preserve">that without having </w:t>
      </w:r>
      <w:r w:rsidR="001F0496">
        <w:t xml:space="preserve">a fully-tested database container file </w:t>
      </w:r>
      <w:r w:rsidR="00AB32D6">
        <w:t>available, the ability of its members to comply with the quickly approaching deadline is jeopardized.</w:t>
      </w:r>
      <w:r w:rsidR="001F0496">
        <w:rPr>
          <w:rStyle w:val="FootnoteReference"/>
        </w:rPr>
        <w:footnoteReference w:id="14"/>
      </w:r>
      <w:r w:rsidR="001F0496">
        <w:t xml:space="preserve">  </w:t>
      </w:r>
      <w:r w:rsidR="00AB32D6">
        <w:t xml:space="preserve">Similarly, </w:t>
      </w:r>
      <w:r w:rsidR="00C640C6">
        <w:t>COMPTEL</w:t>
      </w:r>
      <w:r w:rsidR="00AC2FBA">
        <w:t xml:space="preserve"> states </w:t>
      </w:r>
      <w:r w:rsidR="00C640C6">
        <w:t xml:space="preserve">a limited extension </w:t>
      </w:r>
      <w:r w:rsidR="007411CF">
        <w:t>is prudent</w:t>
      </w:r>
      <w:r w:rsidR="00AB32D6">
        <w:t xml:space="preserve"> given the circumstances</w:t>
      </w:r>
      <w:r w:rsidR="0062412D">
        <w:t>,</w:t>
      </w:r>
      <w:r w:rsidR="00AC2FBA">
        <w:t xml:space="preserve"> so its members will have sufficient time to work with the </w:t>
      </w:r>
      <w:r w:rsidR="00645186">
        <w:t xml:space="preserve">database </w:t>
      </w:r>
      <w:r w:rsidR="00AC2FBA">
        <w:t>container</w:t>
      </w:r>
      <w:r w:rsidR="00C640C6">
        <w:t>.</w:t>
      </w:r>
      <w:r w:rsidR="00C640C6">
        <w:rPr>
          <w:rStyle w:val="FootnoteReference"/>
        </w:rPr>
        <w:footnoteReference w:id="15"/>
      </w:r>
      <w:r w:rsidR="00C640C6">
        <w:t xml:space="preserve">  </w:t>
      </w:r>
      <w:r w:rsidR="00327428">
        <w:t xml:space="preserve">We </w:t>
      </w:r>
      <w:r w:rsidR="00AB32D6">
        <w:t xml:space="preserve">agree and </w:t>
      </w:r>
      <w:r w:rsidR="00327428">
        <w:t>find a</w:t>
      </w:r>
      <w:r w:rsidR="009F51E3">
        <w:t>n</w:t>
      </w:r>
      <w:r w:rsidR="00556489">
        <w:t xml:space="preserve"> extension</w:t>
      </w:r>
      <w:r w:rsidR="00297CA2">
        <w:t xml:space="preserve"> of the deadline</w:t>
      </w:r>
      <w:r w:rsidR="00556489">
        <w:t xml:space="preserve"> is </w:t>
      </w:r>
      <w:r w:rsidR="00297CA2">
        <w:t>warranted</w:t>
      </w:r>
      <w:r w:rsidR="00AC2FBA">
        <w:t>.</w:t>
      </w:r>
      <w:r w:rsidR="00297CA2">
        <w:t xml:space="preserve"> </w:t>
      </w:r>
      <w:r w:rsidR="00556489">
        <w:t xml:space="preserve"> </w:t>
      </w:r>
    </w:p>
    <w:p w:rsidR="0068512F" w:rsidRDefault="00F6399D">
      <w:pPr>
        <w:pStyle w:val="ParaNum"/>
        <w:widowControl/>
        <w:tabs>
          <w:tab w:val="clear" w:pos="1080"/>
          <w:tab w:val="num" w:pos="1440"/>
        </w:tabs>
      </w:pPr>
      <w:r>
        <w:t>W</w:t>
      </w:r>
      <w:r w:rsidR="00AC2FBA">
        <w:t xml:space="preserve">e </w:t>
      </w:r>
      <w:r>
        <w:t>will give smaller businesses more time to respond than larger business.  During our outreach efforts, m</w:t>
      </w:r>
      <w:r w:rsidR="00541DD0">
        <w:t xml:space="preserve">any smaller businesses </w:t>
      </w:r>
      <w:r w:rsidR="00E80A40">
        <w:t xml:space="preserve">explained </w:t>
      </w:r>
      <w:r w:rsidR="00541DD0">
        <w:t xml:space="preserve">they lack sufficient employees </w:t>
      </w:r>
      <w:r w:rsidR="00006025">
        <w:t xml:space="preserve">to </w:t>
      </w:r>
      <w:r w:rsidR="00991349">
        <w:t xml:space="preserve">dedicate to </w:t>
      </w:r>
      <w:r w:rsidR="00541DD0">
        <w:t>the task at hand while still devoting resources necessary for the proper function</w:t>
      </w:r>
      <w:r w:rsidR="00C94027">
        <w:t>ing</w:t>
      </w:r>
      <w:r w:rsidR="00541DD0">
        <w:t xml:space="preserve"> of </w:t>
      </w:r>
      <w:r w:rsidR="00C94027">
        <w:t xml:space="preserve">their </w:t>
      </w:r>
      <w:r w:rsidR="00541DD0">
        <w:t>business.</w:t>
      </w:r>
      <w:r w:rsidR="00541DD0">
        <w:rPr>
          <w:rStyle w:val="FootnoteReference"/>
        </w:rPr>
        <w:footnoteReference w:id="16"/>
      </w:r>
      <w:r w:rsidR="00541DD0">
        <w:t xml:space="preserve">  </w:t>
      </w:r>
      <w:r>
        <w:t xml:space="preserve">We will therefore give small entities additional time based on this feedback and the </w:t>
      </w:r>
      <w:r w:rsidR="00C94027">
        <w:t>Commission</w:t>
      </w:r>
      <w:r w:rsidR="00227A4B">
        <w:t>’s</w:t>
      </w:r>
      <w:r w:rsidR="00C94027">
        <w:t xml:space="preserve"> statutory obligation to </w:t>
      </w:r>
      <w:r w:rsidR="00991349">
        <w:t>“minimize the significant economic impact on small entities” when promulgating record keeping requirements.</w:t>
      </w:r>
      <w:r w:rsidR="004F72FD">
        <w:rPr>
          <w:rStyle w:val="FootnoteReference"/>
        </w:rPr>
        <w:footnoteReference w:id="17"/>
      </w:r>
      <w:r w:rsidR="00991349">
        <w:t xml:space="preserve">  This approach also gives the Commission the opportunity to address any unforeseen technical issues with a smaller group of respondents during the initial wave of submissions.</w:t>
      </w:r>
    </w:p>
    <w:p w:rsidR="00B409E6" w:rsidRDefault="00991349" w:rsidP="00431935">
      <w:pPr>
        <w:pStyle w:val="ParaNum"/>
        <w:widowControl/>
        <w:tabs>
          <w:tab w:val="clear" w:pos="1080"/>
          <w:tab w:val="num" w:pos="1440"/>
        </w:tabs>
      </w:pPr>
      <w:r>
        <w:lastRenderedPageBreak/>
        <w:t>The standard we adopt to divide large from small businesses for purposes of the applicable filing deadline</w:t>
      </w:r>
      <w:r w:rsidR="008D63C9">
        <w:t>s</w:t>
      </w:r>
      <w:r>
        <w:t xml:space="preserve"> is </w:t>
      </w:r>
      <w:r w:rsidR="00BC3923">
        <w:t>based on size standards established by</w:t>
      </w:r>
      <w:r>
        <w:t xml:space="preserve"> the </w:t>
      </w:r>
      <w:r w:rsidR="00B409E6">
        <w:t>Small Business Administration</w:t>
      </w:r>
      <w:r>
        <w:t>.</w:t>
      </w:r>
      <w:r w:rsidR="008D63C9">
        <w:rPr>
          <w:rStyle w:val="FootnoteReference"/>
        </w:rPr>
        <w:footnoteReference w:id="18"/>
      </w:r>
      <w:r>
        <w:t xml:space="preserve">  Specifically, </w:t>
      </w:r>
      <w:r w:rsidR="00E00D4A">
        <w:t xml:space="preserve">companies </w:t>
      </w:r>
      <w:r w:rsidR="008D63C9">
        <w:t>with</w:t>
      </w:r>
      <w:r w:rsidR="00E00D4A">
        <w:t xml:space="preserve"> more than 1,500 employees are considered large and must respond to the data collection by January 29, 2015.  Other respondents with </w:t>
      </w:r>
      <w:r w:rsidR="00B409E6">
        <w:t>1,500 or fewer employees</w:t>
      </w:r>
      <w:r w:rsidR="00E00D4A">
        <w:t xml:space="preserve"> are considered small </w:t>
      </w:r>
      <w:r w:rsidR="008D63C9">
        <w:t xml:space="preserve">for purposes of the collection </w:t>
      </w:r>
      <w:r w:rsidR="00E00D4A">
        <w:t xml:space="preserve">and must file their responses by </w:t>
      </w:r>
      <w:r w:rsidR="009829D2">
        <w:t>February 27</w:t>
      </w:r>
      <w:r w:rsidR="00E00D4A">
        <w:t>, 20</w:t>
      </w:r>
      <w:r w:rsidR="00A53771">
        <w:t>1</w:t>
      </w:r>
      <w:r w:rsidR="00E00D4A">
        <w:t>5</w:t>
      </w:r>
      <w:r w:rsidR="00B409E6">
        <w:t>.  For</w:t>
      </w:r>
      <w:r w:rsidR="00B409E6" w:rsidRPr="00CD5858">
        <w:t xml:space="preserve"> a holding company consisting of subsidiaries, the </w:t>
      </w:r>
      <w:r w:rsidR="008D63C9">
        <w:t xml:space="preserve">dividing </w:t>
      </w:r>
      <w:r w:rsidR="00B409E6" w:rsidRPr="00CD5858">
        <w:t xml:space="preserve">threshold is calculated </w:t>
      </w:r>
      <w:r w:rsidR="00550398">
        <w:t xml:space="preserve">on a </w:t>
      </w:r>
      <w:r w:rsidR="008D63C9">
        <w:t>company-wide</w:t>
      </w:r>
      <w:r w:rsidR="00550398">
        <w:t xml:space="preserve"> basis</w:t>
      </w:r>
      <w:r w:rsidR="008D63C9">
        <w:t xml:space="preserve">, e.g., </w:t>
      </w:r>
      <w:r w:rsidR="00006025">
        <w:t xml:space="preserve">employees of </w:t>
      </w:r>
      <w:r w:rsidR="008D63C9">
        <w:t>the parent company and its subsidiaries</w:t>
      </w:r>
      <w:r w:rsidR="00006025">
        <w:t xml:space="preserve"> are counted</w:t>
      </w:r>
      <w:r w:rsidR="008D63C9">
        <w:t xml:space="preserve">, </w:t>
      </w:r>
      <w:r w:rsidR="00B409E6" w:rsidRPr="00CD5858">
        <w:t xml:space="preserve">even if the parent decides to file separate responses for each subsidiary or operating unit.  </w:t>
      </w:r>
    </w:p>
    <w:p w:rsidR="0068512F" w:rsidRDefault="008D63C9" w:rsidP="003B161C">
      <w:pPr>
        <w:pStyle w:val="ParaNum"/>
        <w:widowControl/>
        <w:tabs>
          <w:tab w:val="clear" w:pos="1080"/>
          <w:tab w:val="num" w:pos="1440"/>
        </w:tabs>
      </w:pPr>
      <w:r>
        <w:t>For those</w:t>
      </w:r>
      <w:r w:rsidR="00EC2CB3">
        <w:t xml:space="preserve"> e</w:t>
      </w:r>
      <w:r w:rsidR="00EC2CB3" w:rsidRPr="00CD2EB7">
        <w:t>ntities</w:t>
      </w:r>
      <w:r>
        <w:t xml:space="preserve"> not providing data and information in response to the collection but that are otherwise required to certify that they are not </w:t>
      </w:r>
      <w:r w:rsidR="00EC2CB3" w:rsidRPr="00CD2EB7">
        <w:t xml:space="preserve">a </w:t>
      </w:r>
      <w:r>
        <w:t xml:space="preserve">covered </w:t>
      </w:r>
      <w:r w:rsidR="00EC2CB3" w:rsidRPr="0068512F">
        <w:rPr>
          <w:i/>
        </w:rPr>
        <w:t>Provider</w:t>
      </w:r>
      <w:r w:rsidR="00EC2CB3" w:rsidRPr="00CD2EB7">
        <w:t xml:space="preserve">, </w:t>
      </w:r>
      <w:r w:rsidR="00EC2CB3" w:rsidRPr="0068512F">
        <w:rPr>
          <w:i/>
        </w:rPr>
        <w:t>Purchaser</w:t>
      </w:r>
      <w:r w:rsidR="00EC2CB3" w:rsidRPr="00CD2EB7">
        <w:t xml:space="preserve"> or an entity that provides </w:t>
      </w:r>
      <w:r w:rsidR="00EC2CB3" w:rsidRPr="0068512F">
        <w:rPr>
          <w:i/>
        </w:rPr>
        <w:t>Best Efforts Business Broadband Internet Access Services</w:t>
      </w:r>
      <w:r>
        <w:t>, the filing deadline remains December 15, 2014 regardless of the entity’s size.</w:t>
      </w:r>
      <w:r w:rsidR="00AD3A7F">
        <w:rPr>
          <w:rStyle w:val="FootnoteReference"/>
        </w:rPr>
        <w:footnoteReference w:id="19"/>
      </w:r>
      <w:r w:rsidR="00EC2CB3" w:rsidRPr="00CD2EB7">
        <w:t xml:space="preserve"> </w:t>
      </w:r>
      <w:r>
        <w:t xml:space="preserve"> These entities have had access to the necessary electronic tools since the launch of the secure web portal on October 1, 2014.</w:t>
      </w:r>
      <w:r w:rsidR="00AD3A7F">
        <w:rPr>
          <w:rStyle w:val="FootnoteReference"/>
        </w:rPr>
        <w:footnoteReference w:id="20"/>
      </w:r>
      <w:r>
        <w:t xml:space="preserve"> </w:t>
      </w:r>
      <w:r w:rsidR="00AD3A7F">
        <w:t xml:space="preserve"> </w:t>
      </w:r>
      <w:r>
        <w:t>In addition, the burden associated with filing this certification is minimal</w:t>
      </w:r>
      <w:r w:rsidR="00AD3A7F">
        <w:t xml:space="preserve"> and more than </w:t>
      </w:r>
      <w:r w:rsidR="00D555A4">
        <w:t>250</w:t>
      </w:r>
      <w:r w:rsidR="00AD3A7F">
        <w:t xml:space="preserve"> streamlined certifications have already been filed</w:t>
      </w:r>
      <w:r>
        <w:t xml:space="preserve">.  Therefore, </w:t>
      </w:r>
      <w:r w:rsidR="00997ED9">
        <w:t>there is</w:t>
      </w:r>
      <w:r>
        <w:t xml:space="preserve"> no reason </w:t>
      </w:r>
      <w:r w:rsidR="00EC2CB3" w:rsidRPr="00CD2EB7">
        <w:t xml:space="preserve">to </w:t>
      </w:r>
      <w:r>
        <w:t xml:space="preserve">change </w:t>
      </w:r>
      <w:r w:rsidR="00997ED9">
        <w:t xml:space="preserve">this </w:t>
      </w:r>
      <w:r>
        <w:t>deadline.</w:t>
      </w:r>
      <w:r w:rsidR="00EC2CB3" w:rsidRPr="00CD2EB7">
        <w:t xml:space="preserve"> </w:t>
      </w:r>
      <w:r w:rsidR="00EC2CB3">
        <w:t xml:space="preserve"> </w:t>
      </w:r>
    </w:p>
    <w:p w:rsidR="0027387C" w:rsidRDefault="00E5463D" w:rsidP="00E71720">
      <w:pPr>
        <w:pStyle w:val="ParaNum"/>
        <w:widowControl/>
        <w:tabs>
          <w:tab w:val="clear" w:pos="1080"/>
          <w:tab w:val="num" w:pos="1440"/>
        </w:tabs>
        <w:rPr>
          <w:szCs w:val="22"/>
        </w:rPr>
      </w:pPr>
      <w:r>
        <w:t>Finally, w</w:t>
      </w:r>
      <w:r w:rsidR="00006025">
        <w:t xml:space="preserve">e grant </w:t>
      </w:r>
      <w:r w:rsidR="002E0009">
        <w:t xml:space="preserve">FairPoint’s </w:t>
      </w:r>
      <w:r w:rsidR="0068512F">
        <w:t xml:space="preserve">request </w:t>
      </w:r>
      <w:r w:rsidR="00AD3A7F">
        <w:t>for limited</w:t>
      </w:r>
      <w:r w:rsidR="0068512F">
        <w:t xml:space="preserve"> waiver </w:t>
      </w:r>
      <w:r w:rsidR="00AD3A7F">
        <w:t xml:space="preserve">to the extent stated herein.  FairPoint has more than 1,500 employees and sought a 90-day extension </w:t>
      </w:r>
      <w:r w:rsidR="0068512F">
        <w:t>due to an employee strike and storm damage to its network</w:t>
      </w:r>
      <w:r w:rsidR="00AD3A7F">
        <w:t>,</w:t>
      </w:r>
      <w:r w:rsidR="0068512F">
        <w:t xml:space="preserve"> which occurred </w:t>
      </w:r>
      <w:r w:rsidR="00AD3A7F">
        <w:t xml:space="preserve">in </w:t>
      </w:r>
      <w:r w:rsidR="0068512F">
        <w:t>October 2014.</w:t>
      </w:r>
      <w:r w:rsidR="0068512F">
        <w:rPr>
          <w:rStyle w:val="FootnoteReference"/>
        </w:rPr>
        <w:footnoteReference w:id="21"/>
      </w:r>
      <w:r w:rsidR="0068512F">
        <w:t xml:space="preserve">  </w:t>
      </w:r>
      <w:r w:rsidR="00AD3A7F">
        <w:t xml:space="preserve">Consistent with the actions taken above, FairPoint will have </w:t>
      </w:r>
      <w:r>
        <w:t>45</w:t>
      </w:r>
      <w:r w:rsidR="00AD3A7F">
        <w:t xml:space="preserve"> additional days to respond to the collection, as </w:t>
      </w:r>
      <w:r>
        <w:t xml:space="preserve">will </w:t>
      </w:r>
      <w:r w:rsidR="00AD3A7F">
        <w:t xml:space="preserve">other large businesses as defined herein.  </w:t>
      </w:r>
      <w:r w:rsidR="00BF32A8">
        <w:t xml:space="preserve">While citing company-specific concerns that might justify </w:t>
      </w:r>
      <w:r w:rsidR="005658F3">
        <w:t xml:space="preserve">some </w:t>
      </w:r>
      <w:r w:rsidR="00BF32A8">
        <w:t>additional time to respond to the collection, FairPoint’s waiver request does not demonstrate why the company as a whole</w:t>
      </w:r>
      <w:r w:rsidR="005658F3">
        <w:t xml:space="preserve"> </w:t>
      </w:r>
      <w:r w:rsidR="00BF32A8">
        <w:t xml:space="preserve">needs an extension longer than the </w:t>
      </w:r>
      <w:r w:rsidR="005149C9">
        <w:t>45</w:t>
      </w:r>
      <w:r w:rsidR="00BF32A8">
        <w:t xml:space="preserve"> </w:t>
      </w:r>
      <w:r w:rsidR="005658F3">
        <w:t xml:space="preserve">additional days </w:t>
      </w:r>
      <w:r w:rsidR="00BF32A8">
        <w:t>granted</w:t>
      </w:r>
      <w:r w:rsidR="000C4BC5">
        <w:t xml:space="preserve"> in this Order</w:t>
      </w:r>
      <w:r w:rsidR="00BF32A8">
        <w:t xml:space="preserve">.  </w:t>
      </w:r>
      <w:r w:rsidR="00006025">
        <w:t>As the January 29, 2015 deadline approaches, i</w:t>
      </w:r>
      <w:r w:rsidR="00AD3A7F">
        <w:t xml:space="preserve">f FairPoint finds it needs </w:t>
      </w:r>
      <w:r w:rsidR="00832871">
        <w:t>additional</w:t>
      </w:r>
      <w:r w:rsidR="00AD3A7F">
        <w:t xml:space="preserve"> time</w:t>
      </w:r>
      <w:r w:rsidR="00006025">
        <w:t xml:space="preserve"> than what is </w:t>
      </w:r>
      <w:r w:rsidR="00832871">
        <w:t>provided herein</w:t>
      </w:r>
      <w:r w:rsidR="00AD3A7F">
        <w:t>, we will entertain requests related to specific subsidiaries</w:t>
      </w:r>
      <w:r w:rsidR="00006025">
        <w:t xml:space="preserve"> impacted by the strike and weather-related disruptions</w:t>
      </w:r>
      <w:r w:rsidR="0068512F">
        <w:t>.</w:t>
      </w:r>
      <w:r w:rsidR="0068512F">
        <w:rPr>
          <w:rStyle w:val="FootnoteReference"/>
        </w:rPr>
        <w:footnoteReference w:id="22"/>
      </w:r>
      <w:r w:rsidR="0068512F">
        <w:t xml:space="preserve">  </w:t>
      </w:r>
      <w:r w:rsidR="00EC2CB3">
        <w:t xml:space="preserve"> </w:t>
      </w:r>
      <w:bookmarkStart w:id="1" w:name="SR;378"/>
      <w:bookmarkStart w:id="2" w:name="SearchTerm"/>
      <w:bookmarkEnd w:id="1"/>
      <w:bookmarkEnd w:id="2"/>
    </w:p>
    <w:p w:rsidR="003E6DEE" w:rsidRPr="003E6DEE" w:rsidRDefault="003E6DEE" w:rsidP="003E6DEE">
      <w:pPr>
        <w:pStyle w:val="Heading1"/>
      </w:pPr>
      <w:r w:rsidRPr="003E6DEE">
        <w:t>Ordering clauses</w:t>
      </w:r>
    </w:p>
    <w:p w:rsidR="00EA33BC" w:rsidRDefault="00EA33BC" w:rsidP="00EA33BC">
      <w:pPr>
        <w:pStyle w:val="ParaNum"/>
        <w:tabs>
          <w:tab w:val="clear" w:pos="1080"/>
          <w:tab w:val="num" w:pos="1440"/>
        </w:tabs>
      </w:pPr>
      <w:r>
        <w:t xml:space="preserve">Accordingly, IT IS ORDERED pursuant to sections 1, 4(i), 4(j), 5, 201-205, 211, 215, 218, 219, 303(r), 332, 403, and 503 of the Communications Act of 1934, as amended, </w:t>
      </w:r>
      <w:r w:rsidR="00DD60C0">
        <w:t xml:space="preserve">and section 706 of the Telecommunications Act of 1996, </w:t>
      </w:r>
      <w:r>
        <w:t xml:space="preserve">47 U.S.C. §§ 151, 154(i), 154(j), 155, 201, 202, 203, 204, 205, 211, 215, 218, 219, 303(r), 332, 403, 503, </w:t>
      </w:r>
      <w:r w:rsidR="00C642E2">
        <w:t xml:space="preserve">1302, sections 0.91 and 0.291 </w:t>
      </w:r>
      <w:r>
        <w:t>of the Commission’s rules, 47 C.F.R. §§ 0.</w:t>
      </w:r>
      <w:r w:rsidR="00C642E2">
        <w:t xml:space="preserve">91 and </w:t>
      </w:r>
      <w:r>
        <w:t>0.291</w:t>
      </w:r>
      <w:r w:rsidR="00DD60C0">
        <w:t>,</w:t>
      </w:r>
      <w:r w:rsidR="00C642E2">
        <w:t xml:space="preserve"> </w:t>
      </w:r>
      <w:r>
        <w:t xml:space="preserve">and the authority delegated to the Bureau in the </w:t>
      </w:r>
      <w:r w:rsidRPr="00B74F56">
        <w:rPr>
          <w:i/>
        </w:rPr>
        <w:t>Data Collection Order</w:t>
      </w:r>
      <w:r>
        <w:t xml:space="preserve">, </w:t>
      </w:r>
      <w:r w:rsidR="00C642E2">
        <w:t xml:space="preserve">27 FCC Rcd at 16340, para. 52, </w:t>
      </w:r>
      <w:r>
        <w:t xml:space="preserve">that </w:t>
      </w:r>
      <w:r w:rsidR="00CA719F" w:rsidRPr="00E9049B">
        <w:t xml:space="preserve">the deadline for </w:t>
      </w:r>
      <w:r w:rsidR="00CA719F">
        <w:t xml:space="preserve">businesses with more than 1,500 employees that are required to respond to the data collection </w:t>
      </w:r>
      <w:r w:rsidR="00DD60C0">
        <w:t>IS EXTENDED</w:t>
      </w:r>
      <w:r w:rsidR="007B136D">
        <w:t xml:space="preserve"> to </w:t>
      </w:r>
      <w:r w:rsidR="00CA719F">
        <w:t>January 29, 2015</w:t>
      </w:r>
      <w:r w:rsidR="00832871">
        <w:t>,</w:t>
      </w:r>
      <w:r w:rsidR="00CA719F">
        <w:t xml:space="preserve"> and the deadline for businesses with 1,500 or </w:t>
      </w:r>
      <w:r w:rsidR="009829D2">
        <w:t>fewer</w:t>
      </w:r>
      <w:r w:rsidR="00CA719F">
        <w:t xml:space="preserve"> employees that are required to respond to the data collection </w:t>
      </w:r>
      <w:r w:rsidR="00DD60C0">
        <w:t xml:space="preserve">IS EXTENDED </w:t>
      </w:r>
      <w:r w:rsidR="007B136D">
        <w:t xml:space="preserve">to </w:t>
      </w:r>
      <w:r w:rsidR="009829D2">
        <w:t>February 27</w:t>
      </w:r>
      <w:r w:rsidR="00CA719F">
        <w:t>, 2015.</w:t>
      </w:r>
    </w:p>
    <w:p w:rsidR="008C351F" w:rsidRDefault="000C1269" w:rsidP="00C22237">
      <w:pPr>
        <w:pStyle w:val="ParaNum"/>
        <w:tabs>
          <w:tab w:val="clear" w:pos="1080"/>
          <w:tab w:val="num" w:pos="1440"/>
        </w:tabs>
      </w:pPr>
      <w:r w:rsidRPr="00DF0461">
        <w:t xml:space="preserve">IT IS </w:t>
      </w:r>
      <w:r w:rsidR="00AD5129">
        <w:t xml:space="preserve">FURTHER </w:t>
      </w:r>
      <w:r>
        <w:t>O</w:t>
      </w:r>
      <w:r w:rsidRPr="00DF0461">
        <w:t xml:space="preserve">RDERED, pursuant to sections 1, 4(i), </w:t>
      </w:r>
      <w:r w:rsidR="008C351F">
        <w:t xml:space="preserve">and </w:t>
      </w:r>
      <w:r w:rsidRPr="00DF0461">
        <w:t>5</w:t>
      </w:r>
      <w:r>
        <w:t xml:space="preserve">(c) </w:t>
      </w:r>
      <w:r w:rsidRPr="00DF0461">
        <w:t xml:space="preserve">of the Communications Act of 1934, as amended, 47 U.S.C. §§ 151, 154(i), </w:t>
      </w:r>
      <w:r>
        <w:t xml:space="preserve">and </w:t>
      </w:r>
      <w:r w:rsidRPr="00DF0461">
        <w:t>155(c)</w:t>
      </w:r>
      <w:r w:rsidR="008C351F">
        <w:t>,</w:t>
      </w:r>
      <w:r w:rsidRPr="00DF0461">
        <w:t xml:space="preserve"> and sections 0.91, 0</w:t>
      </w:r>
      <w:r>
        <w:t>.291, and 1.3 of the Commission’</w:t>
      </w:r>
      <w:r w:rsidRPr="00DF0461">
        <w:t xml:space="preserve">s rules, 47 C.F.R. §§ 0.91, 0.291, and 1.3, that the petition for waiver of the </w:t>
      </w:r>
      <w:r>
        <w:t>December 15, 2014</w:t>
      </w:r>
      <w:r w:rsidRPr="00DF0461">
        <w:t xml:space="preserve"> </w:t>
      </w:r>
      <w:r>
        <w:t>collection</w:t>
      </w:r>
      <w:r w:rsidRPr="00DF0461">
        <w:t xml:space="preserve"> deadline filed by </w:t>
      </w:r>
      <w:r>
        <w:t>FairPoint Communications, Inc.</w:t>
      </w:r>
      <w:r w:rsidRPr="00DF0461">
        <w:t xml:space="preserve"> on </w:t>
      </w:r>
      <w:r>
        <w:t xml:space="preserve">November </w:t>
      </w:r>
      <w:r w:rsidRPr="00DF0461">
        <w:t xml:space="preserve"> </w:t>
      </w:r>
      <w:r>
        <w:t>5, 201</w:t>
      </w:r>
      <w:r w:rsidR="008C1E67">
        <w:t>4</w:t>
      </w:r>
      <w:r w:rsidRPr="00DF0461">
        <w:t xml:space="preserve">, IS </w:t>
      </w:r>
      <w:r>
        <w:t xml:space="preserve">GRANTED </w:t>
      </w:r>
      <w:r w:rsidR="008C351F">
        <w:t xml:space="preserve">IN PART </w:t>
      </w:r>
      <w:r>
        <w:t xml:space="preserve">to the extent consistent with this </w:t>
      </w:r>
      <w:r w:rsidR="008C351F">
        <w:t>O</w:t>
      </w:r>
      <w:r>
        <w:t>rder</w:t>
      </w:r>
      <w:r w:rsidR="008C351F">
        <w:t>,</w:t>
      </w:r>
      <w:r>
        <w:t xml:space="preserve"> and </w:t>
      </w:r>
      <w:r w:rsidR="008C351F">
        <w:t>IS OTHERWISE</w:t>
      </w:r>
      <w:r>
        <w:t xml:space="preserve"> DENIED</w:t>
      </w:r>
      <w:r w:rsidRPr="00DF0461">
        <w:t>.</w:t>
      </w:r>
    </w:p>
    <w:p w:rsidR="00B92BF9" w:rsidRDefault="008C351F" w:rsidP="008C351F">
      <w:pPr>
        <w:widowControl/>
      </w:pPr>
      <w:r>
        <w:br w:type="page"/>
      </w:r>
    </w:p>
    <w:p w:rsidR="003E6DEE" w:rsidRPr="00E12908" w:rsidRDefault="00CA719F" w:rsidP="008C351F">
      <w:pPr>
        <w:pStyle w:val="ParaNum"/>
        <w:widowControl/>
        <w:tabs>
          <w:tab w:val="clear" w:pos="1080"/>
          <w:tab w:val="num" w:pos="1440"/>
        </w:tabs>
        <w:spacing w:after="360"/>
      </w:pPr>
      <w:r w:rsidRPr="00CA719F">
        <w:t>IT IS FURTHER ORDERED that, pursuant to section 1.102(b)(1) of the Commission</w:t>
      </w:r>
      <w:r w:rsidR="00832871">
        <w:t>’</w:t>
      </w:r>
      <w:r w:rsidRPr="00CA719F">
        <w:t xml:space="preserve">s rules, </w:t>
      </w:r>
      <w:r w:rsidRPr="003B161C">
        <w:t>47 C.F.R. § 1.102(b)(1)</w:t>
      </w:r>
      <w:r w:rsidRPr="00CA719F">
        <w:t>, this Order SHALL BE EFFECTIVE upon release.</w:t>
      </w:r>
    </w:p>
    <w:p w:rsidR="00C7515B" w:rsidRDefault="00C7515B" w:rsidP="00C22237">
      <w:pPr>
        <w:pStyle w:val="ParaNum"/>
        <w:widowControl/>
        <w:numPr>
          <w:ilvl w:val="0"/>
          <w:numId w:val="0"/>
        </w:numPr>
        <w:spacing w:after="0"/>
        <w:ind w:left="4320"/>
        <w:rPr>
          <w:szCs w:val="22"/>
        </w:rPr>
      </w:pPr>
      <w:r>
        <w:rPr>
          <w:szCs w:val="22"/>
        </w:rPr>
        <w:t>FEDERAL COMMUNICATIONS COMMISSION</w:t>
      </w:r>
    </w:p>
    <w:p w:rsidR="00C7515B" w:rsidRDefault="00C7515B" w:rsidP="00B74F56">
      <w:pPr>
        <w:pStyle w:val="ParaNum"/>
        <w:numPr>
          <w:ilvl w:val="0"/>
          <w:numId w:val="0"/>
        </w:numPr>
        <w:spacing w:after="0"/>
        <w:rPr>
          <w:szCs w:val="22"/>
        </w:rPr>
      </w:pPr>
    </w:p>
    <w:p w:rsidR="00E12908" w:rsidRDefault="00E12908" w:rsidP="00B74F56">
      <w:pPr>
        <w:pStyle w:val="ParaNum"/>
        <w:numPr>
          <w:ilvl w:val="0"/>
          <w:numId w:val="0"/>
        </w:numPr>
        <w:spacing w:after="0"/>
        <w:rPr>
          <w:szCs w:val="22"/>
        </w:rPr>
      </w:pPr>
    </w:p>
    <w:p w:rsidR="00C7515B" w:rsidRDefault="00C7515B" w:rsidP="00B74F56">
      <w:pPr>
        <w:pStyle w:val="ParaNum"/>
        <w:numPr>
          <w:ilvl w:val="0"/>
          <w:numId w:val="0"/>
        </w:numPr>
        <w:spacing w:after="0"/>
        <w:rPr>
          <w:szCs w:val="22"/>
        </w:rPr>
      </w:pPr>
    </w:p>
    <w:p w:rsidR="008C351F" w:rsidRDefault="008C351F" w:rsidP="00B74F56">
      <w:pPr>
        <w:pStyle w:val="ParaNum"/>
        <w:numPr>
          <w:ilvl w:val="0"/>
          <w:numId w:val="0"/>
        </w:numPr>
        <w:spacing w:after="0"/>
        <w:rPr>
          <w:szCs w:val="22"/>
        </w:rPr>
      </w:pPr>
    </w:p>
    <w:p w:rsidR="00C7515B" w:rsidRDefault="00B3139D" w:rsidP="00B74F56">
      <w:pPr>
        <w:pStyle w:val="ParaNum"/>
        <w:numPr>
          <w:ilvl w:val="0"/>
          <w:numId w:val="0"/>
        </w:numPr>
        <w:spacing w:after="0"/>
        <w:ind w:left="4320"/>
        <w:rPr>
          <w:szCs w:val="22"/>
        </w:rPr>
      </w:pPr>
      <w:r>
        <w:rPr>
          <w:szCs w:val="22"/>
        </w:rPr>
        <w:t xml:space="preserve">Julie </w:t>
      </w:r>
      <w:r w:rsidR="00C93BBF">
        <w:rPr>
          <w:szCs w:val="22"/>
        </w:rPr>
        <w:t xml:space="preserve">A. </w:t>
      </w:r>
      <w:r>
        <w:rPr>
          <w:szCs w:val="22"/>
        </w:rPr>
        <w:t>Veach</w:t>
      </w:r>
      <w:r w:rsidR="00243D18">
        <w:rPr>
          <w:szCs w:val="22"/>
        </w:rPr>
        <w:tab/>
      </w:r>
    </w:p>
    <w:p w:rsidR="00C7515B" w:rsidRDefault="00C7515B" w:rsidP="00B74F56">
      <w:pPr>
        <w:pStyle w:val="ParaNum"/>
        <w:numPr>
          <w:ilvl w:val="0"/>
          <w:numId w:val="0"/>
        </w:numPr>
        <w:spacing w:after="0"/>
        <w:ind w:left="4320"/>
        <w:rPr>
          <w:szCs w:val="22"/>
        </w:rPr>
      </w:pPr>
      <w:r>
        <w:rPr>
          <w:szCs w:val="22"/>
        </w:rPr>
        <w:t>Chief</w:t>
      </w:r>
    </w:p>
    <w:p w:rsidR="00C7515B" w:rsidRPr="003E6DEE" w:rsidRDefault="00C7515B" w:rsidP="00B74F56">
      <w:pPr>
        <w:pStyle w:val="ParaNum"/>
        <w:numPr>
          <w:ilvl w:val="0"/>
          <w:numId w:val="0"/>
        </w:numPr>
        <w:spacing w:after="0"/>
        <w:ind w:left="4320"/>
        <w:rPr>
          <w:szCs w:val="22"/>
        </w:rPr>
      </w:pPr>
      <w:r>
        <w:rPr>
          <w:szCs w:val="22"/>
        </w:rPr>
        <w:t>Wireline Competition Bureau</w:t>
      </w:r>
    </w:p>
    <w:sectPr w:rsidR="00C7515B" w:rsidRPr="003E6DE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38" w:rsidRDefault="00B51838">
      <w:pPr>
        <w:spacing w:line="20" w:lineRule="exact"/>
      </w:pPr>
    </w:p>
  </w:endnote>
  <w:endnote w:type="continuationSeparator" w:id="0">
    <w:p w:rsidR="00B51838" w:rsidRDefault="00B51838">
      <w:r>
        <w:t xml:space="preserve"> </w:t>
      </w:r>
    </w:p>
  </w:endnote>
  <w:endnote w:type="continuationNotice" w:id="1">
    <w:p w:rsidR="00B51838" w:rsidRDefault="00B518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55614C">
    <w:pPr>
      <w:pStyle w:val="Footer"/>
      <w:framePr w:wrap="around" w:vAnchor="text" w:hAnchor="margin" w:xAlign="center" w:y="1"/>
    </w:pPr>
    <w:r>
      <w:fldChar w:fldCharType="begin"/>
    </w:r>
    <w:r>
      <w:instrText xml:space="preserve">PAGE  </w:instrText>
    </w:r>
    <w:r>
      <w:fldChar w:fldCharType="end"/>
    </w:r>
  </w:p>
  <w:p w:rsidR="001A5B86" w:rsidRDefault="001A5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55614C">
    <w:pPr>
      <w:pStyle w:val="Footer"/>
      <w:framePr w:wrap="around" w:vAnchor="text" w:hAnchor="margin" w:xAlign="center" w:y="1"/>
    </w:pPr>
    <w:r>
      <w:fldChar w:fldCharType="begin"/>
    </w:r>
    <w:r>
      <w:instrText xml:space="preserve">PAGE  </w:instrText>
    </w:r>
    <w:r>
      <w:fldChar w:fldCharType="separate"/>
    </w:r>
    <w:r w:rsidR="00823D7D">
      <w:rPr>
        <w:noProof/>
      </w:rPr>
      <w:t>3</w:t>
    </w:r>
    <w:r>
      <w:fldChar w:fldCharType="end"/>
    </w:r>
  </w:p>
  <w:p w:rsidR="001A5B86" w:rsidRDefault="001A5B8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38" w:rsidRDefault="00B51838">
      <w:r>
        <w:separator/>
      </w:r>
    </w:p>
  </w:footnote>
  <w:footnote w:type="continuationSeparator" w:id="0">
    <w:p w:rsidR="00B51838" w:rsidRDefault="00B51838" w:rsidP="00C721AC">
      <w:pPr>
        <w:spacing w:before="120"/>
        <w:rPr>
          <w:sz w:val="20"/>
        </w:rPr>
      </w:pPr>
      <w:r>
        <w:rPr>
          <w:sz w:val="20"/>
        </w:rPr>
        <w:t xml:space="preserve">(Continued from previous page)  </w:t>
      </w:r>
      <w:r>
        <w:rPr>
          <w:sz w:val="20"/>
        </w:rPr>
        <w:separator/>
      </w:r>
    </w:p>
  </w:footnote>
  <w:footnote w:type="continuationNotice" w:id="1">
    <w:p w:rsidR="00B51838" w:rsidRDefault="00B51838" w:rsidP="00C721AC">
      <w:pPr>
        <w:jc w:val="right"/>
        <w:rPr>
          <w:sz w:val="20"/>
        </w:rPr>
      </w:pPr>
      <w:r>
        <w:rPr>
          <w:sz w:val="20"/>
        </w:rPr>
        <w:t>(continued….)</w:t>
      </w:r>
    </w:p>
  </w:footnote>
  <w:footnote w:id="2">
    <w:p w:rsidR="00B42157" w:rsidRDefault="00B42157" w:rsidP="008D5EA9">
      <w:pPr>
        <w:pStyle w:val="FootnoteText"/>
      </w:pPr>
      <w:r>
        <w:rPr>
          <w:rStyle w:val="FootnoteReference"/>
        </w:rPr>
        <w:footnoteRef/>
      </w:r>
      <w:r>
        <w:t xml:space="preserve"> </w:t>
      </w:r>
      <w:r w:rsidRPr="00FF437B">
        <w:rPr>
          <w:i/>
        </w:rPr>
        <w:t>See Special Access for Price Cap Local Exchange Carriers; AT&amp;T Corporation Petition for Rulemaking to Reform Regulation of Incumbent Local Exchange Carrier Rates for Interstate Special Access Services</w:t>
      </w:r>
      <w:r>
        <w:t>, WC Docket No. 05- 25, RM-10593, Report and Order and Further Notice of Proposed Rulemaking, 27 FCC Rcd 16318 (2012) (</w:t>
      </w:r>
      <w:r w:rsidRPr="00FF437B">
        <w:rPr>
          <w:i/>
        </w:rPr>
        <w:t>Data Collection Order</w:t>
      </w:r>
      <w:r>
        <w:t>); Order on Reconsideration, 29 FCC Rcd 10</w:t>
      </w:r>
      <w:r w:rsidR="00EB5D01">
        <w:t>8</w:t>
      </w:r>
      <w:r>
        <w:t>9</w:t>
      </w:r>
      <w:r w:rsidR="00EB5D01">
        <w:t>9</w:t>
      </w:r>
      <w:r>
        <w:t xml:space="preserve"> (Wireline Comp. Bur. 2014) (</w:t>
      </w:r>
      <w:r>
        <w:rPr>
          <w:i/>
        </w:rPr>
        <w:t>Reconsideration Order</w:t>
      </w:r>
      <w:r>
        <w:t>)</w:t>
      </w:r>
      <w:r w:rsidR="008D5EA9">
        <w:t xml:space="preserve"> (announcing the </w:t>
      </w:r>
      <w:r w:rsidR="00752108">
        <w:t xml:space="preserve">filing deadline for the </w:t>
      </w:r>
      <w:r w:rsidR="008D5EA9">
        <w:t>data collection</w:t>
      </w:r>
      <w:r w:rsidR="00752108">
        <w:t>)</w:t>
      </w:r>
      <w:r>
        <w:t>.</w:t>
      </w:r>
    </w:p>
  </w:footnote>
  <w:footnote w:id="3">
    <w:p w:rsidR="00CA719F" w:rsidRDefault="00CA719F" w:rsidP="00825EF2">
      <w:pPr>
        <w:pStyle w:val="FootnoteText"/>
      </w:pPr>
      <w:r>
        <w:rPr>
          <w:rStyle w:val="FootnoteReference"/>
        </w:rPr>
        <w:footnoteRef/>
      </w:r>
      <w:r>
        <w:t xml:space="preserve"> </w:t>
      </w:r>
      <w:r w:rsidR="00825EF2">
        <w:t xml:space="preserve">Unless referring to items previously released by the Commission or Bureau, capitalized and italicized terms used in this Order refer to the defined terms in the data collection. </w:t>
      </w:r>
      <w:r w:rsidR="00717CA0">
        <w:t xml:space="preserve"> </w:t>
      </w:r>
      <w:r w:rsidR="00825EF2" w:rsidRPr="003B161C">
        <w:rPr>
          <w:i/>
        </w:rPr>
        <w:t>See Reconsideration Order</w:t>
      </w:r>
      <w:r w:rsidR="00825EF2">
        <w:t>, 29 FCC Rcd at 10908-11, App</w:t>
      </w:r>
      <w:r w:rsidR="00B82E2B">
        <w:t>x</w:t>
      </w:r>
      <w:r w:rsidR="00825EF2">
        <w:t>. A.</w:t>
      </w:r>
    </w:p>
  </w:footnote>
  <w:footnote w:id="4">
    <w:p w:rsidR="001A5B86" w:rsidRDefault="001A5B86" w:rsidP="002A2934">
      <w:pPr>
        <w:pStyle w:val="FootnoteText"/>
      </w:pPr>
      <w:r>
        <w:rPr>
          <w:rStyle w:val="FootnoteReference"/>
        </w:rPr>
        <w:footnoteRef/>
      </w:r>
      <w:r>
        <w:t xml:space="preserve"> </w:t>
      </w:r>
      <w:r w:rsidRPr="00FF437B">
        <w:rPr>
          <w:i/>
        </w:rPr>
        <w:t xml:space="preserve">See </w:t>
      </w:r>
      <w:r w:rsidR="001B5777">
        <w:rPr>
          <w:i/>
        </w:rPr>
        <w:t xml:space="preserve">generally </w:t>
      </w:r>
      <w:r w:rsidR="00B42157" w:rsidRPr="00FF437B">
        <w:rPr>
          <w:i/>
        </w:rPr>
        <w:t>Data Collection Order</w:t>
      </w:r>
      <w:r>
        <w:t>, 27 FCC Rcd 16318</w:t>
      </w:r>
      <w:r w:rsidR="00B42157">
        <w:t>.</w:t>
      </w:r>
    </w:p>
  </w:footnote>
  <w:footnote w:id="5">
    <w:p w:rsidR="001A5B86" w:rsidRDefault="001A5B86" w:rsidP="0094414F">
      <w:pPr>
        <w:pStyle w:val="FootnoteText"/>
      </w:pPr>
      <w:r>
        <w:rPr>
          <w:rStyle w:val="FootnoteReference"/>
        </w:rPr>
        <w:footnoteRef/>
      </w:r>
      <w:r>
        <w:t xml:space="preserve"> </w:t>
      </w:r>
      <w:r w:rsidR="00B0126B">
        <w:rPr>
          <w:i/>
        </w:rPr>
        <w:t>Id.</w:t>
      </w:r>
      <w:r>
        <w:t xml:space="preserve"> at 16340, </w:t>
      </w:r>
      <w:r w:rsidR="001B5777">
        <w:t xml:space="preserve">para. 52, </w:t>
      </w:r>
      <w:r w:rsidR="00B0126B">
        <w:t>16364-82, App</w:t>
      </w:r>
      <w:r w:rsidR="001B5777">
        <w:t>x</w:t>
      </w:r>
      <w:r w:rsidR="00B0126B">
        <w:t>. A.</w:t>
      </w:r>
    </w:p>
  </w:footnote>
  <w:footnote w:id="6">
    <w:p w:rsidR="001A5B86" w:rsidRDefault="001A5B86" w:rsidP="0094414F">
      <w:pPr>
        <w:pStyle w:val="FootnoteText"/>
      </w:pPr>
      <w:r>
        <w:rPr>
          <w:rStyle w:val="FootnoteReference"/>
        </w:rPr>
        <w:footnoteRef/>
      </w:r>
      <w:r>
        <w:t xml:space="preserve"> </w:t>
      </w:r>
      <w:r w:rsidRPr="00B924D3">
        <w:rPr>
          <w:i/>
        </w:rPr>
        <w:t>Id</w:t>
      </w:r>
      <w:r>
        <w:t xml:space="preserve">. at 16340, para. 52.  </w:t>
      </w:r>
    </w:p>
  </w:footnote>
  <w:footnote w:id="7">
    <w:p w:rsidR="00006025" w:rsidRDefault="00006025">
      <w:pPr>
        <w:pStyle w:val="FootnoteText"/>
      </w:pPr>
      <w:r>
        <w:rPr>
          <w:rStyle w:val="FootnoteReference"/>
        </w:rPr>
        <w:footnoteRef/>
      </w:r>
      <w:r>
        <w:t xml:space="preserve"> </w:t>
      </w:r>
      <w:r w:rsidRPr="00B924D3">
        <w:rPr>
          <w:i/>
        </w:rPr>
        <w:t>Id</w:t>
      </w:r>
      <w:r>
        <w:t>. a</w:t>
      </w:r>
      <w:r w:rsidR="00CA0470">
        <w:t>t n.</w:t>
      </w:r>
      <w:r>
        <w:t>111.</w:t>
      </w:r>
    </w:p>
  </w:footnote>
  <w:footnote w:id="8">
    <w:p w:rsidR="001A5B86" w:rsidRDefault="001A5B86" w:rsidP="0094414F">
      <w:pPr>
        <w:pStyle w:val="FootnoteText"/>
      </w:pPr>
      <w:r>
        <w:rPr>
          <w:rStyle w:val="FootnoteReference"/>
        </w:rPr>
        <w:footnoteRef/>
      </w:r>
      <w:r>
        <w:t xml:space="preserve"> </w:t>
      </w:r>
      <w:r w:rsidR="00CA719F" w:rsidRPr="009B5F52">
        <w:rPr>
          <w:i/>
        </w:rPr>
        <w:t>See</w:t>
      </w:r>
      <w:r w:rsidR="00CA719F">
        <w:t xml:space="preserve"> Notice of Office of Management and Budget Action, OMB Control No. 3060-1197 (Aug. 15, 2014), </w:t>
      </w:r>
      <w:r w:rsidR="00CA719F" w:rsidRPr="00C11CBE">
        <w:rPr>
          <w:i/>
        </w:rPr>
        <w:t>available at</w:t>
      </w:r>
      <w:r w:rsidR="00CA719F">
        <w:t xml:space="preserve"> </w:t>
      </w:r>
      <w:hyperlink r:id="rId1" w:history="1">
        <w:r w:rsidR="00CA719F" w:rsidRPr="003B161C">
          <w:rPr>
            <w:rStyle w:val="Hyperlink"/>
            <w:color w:val="auto"/>
            <w:u w:val="none"/>
          </w:rPr>
          <w:t>http://www.reginfo.gov/public/do/PRAViewICR?ref_nbr=201311-3060-001#</w:t>
        </w:r>
      </w:hyperlink>
      <w:r w:rsidR="00CA719F" w:rsidRPr="005B7D47">
        <w:t xml:space="preserve">; </w:t>
      </w:r>
      <w:r w:rsidR="00AD778F">
        <w:rPr>
          <w:i/>
        </w:rPr>
        <w:t>Reconsideration Order</w:t>
      </w:r>
      <w:r w:rsidR="00FA133D">
        <w:t xml:space="preserve">, </w:t>
      </w:r>
      <w:r w:rsidR="00AD778F">
        <w:t xml:space="preserve">29 FCC Rcd at 10899-10900, </w:t>
      </w:r>
      <w:r w:rsidR="0062412D">
        <w:t xml:space="preserve">para. 1, </w:t>
      </w:r>
      <w:r w:rsidR="00AD778F">
        <w:t xml:space="preserve">10905, </w:t>
      </w:r>
      <w:r w:rsidR="00FA133D">
        <w:t>para. 13</w:t>
      </w:r>
      <w:r>
        <w:t xml:space="preserve">; </w:t>
      </w:r>
      <w:r w:rsidRPr="00A96887">
        <w:rPr>
          <w:i/>
        </w:rPr>
        <w:t>Special Access Proceeding; Data Collection Amended to Reflect OMB Approval; Filing Deadline Announced; Petitions for Reconsideration Addressed</w:t>
      </w:r>
      <w:r>
        <w:t xml:space="preserve">, 79 Fed. Reg. 57811 (Sept. 26, 2014); </w:t>
      </w:r>
      <w:r w:rsidRPr="00A96887">
        <w:rPr>
          <w:i/>
        </w:rPr>
        <w:t>Special A</w:t>
      </w:r>
      <w:r>
        <w:rPr>
          <w:i/>
        </w:rPr>
        <w:t>ccess Proceeding; Effective Date</w:t>
      </w:r>
      <w:r w:rsidRPr="00A96887">
        <w:rPr>
          <w:i/>
        </w:rPr>
        <w:t xml:space="preserve"> for Data Collection</w:t>
      </w:r>
      <w:r>
        <w:t>, 79 Fed. Reg. 57810 (Sept. 26, 2014).</w:t>
      </w:r>
      <w:r w:rsidRPr="00620FE2">
        <w:t xml:space="preserve"> </w:t>
      </w:r>
    </w:p>
  </w:footnote>
  <w:footnote w:id="9">
    <w:p w:rsidR="007C7EF2" w:rsidRDefault="007C7EF2">
      <w:pPr>
        <w:pStyle w:val="FootnoteText"/>
      </w:pPr>
      <w:r>
        <w:rPr>
          <w:rStyle w:val="FootnoteReference"/>
        </w:rPr>
        <w:footnoteRef/>
      </w:r>
      <w:r>
        <w:t xml:space="preserve"> </w:t>
      </w:r>
      <w:r w:rsidR="009F51E3">
        <w:rPr>
          <w:i/>
        </w:rPr>
        <w:t xml:space="preserve">See </w:t>
      </w:r>
      <w:r w:rsidR="009F51E3" w:rsidRPr="00E42A07">
        <w:rPr>
          <w:i/>
        </w:rPr>
        <w:t>Wireline Competition Bureau Launches Secure Web Portal for Special Access Data Collection</w:t>
      </w:r>
      <w:r w:rsidR="009F51E3" w:rsidRPr="004216BA">
        <w:t>,</w:t>
      </w:r>
      <w:r w:rsidR="001204AA">
        <w:t xml:space="preserve"> WC Docket No. 05-24, RM-10593, Public Notice, 29 FCC Rcd 11691</w:t>
      </w:r>
      <w:r w:rsidR="009F51E3" w:rsidRPr="004216BA">
        <w:t xml:space="preserve"> (</w:t>
      </w:r>
      <w:r w:rsidR="009F51E3">
        <w:t xml:space="preserve">Wireline Comp. Bur. </w:t>
      </w:r>
      <w:r w:rsidR="009F51E3" w:rsidRPr="004216BA">
        <w:t>2014)</w:t>
      </w:r>
      <w:r w:rsidR="009F51E3">
        <w:t xml:space="preserve"> (</w:t>
      </w:r>
      <w:r w:rsidR="009F51E3" w:rsidRPr="00E42A07">
        <w:rPr>
          <w:i/>
        </w:rPr>
        <w:t>Web Portal Public Notice</w:t>
      </w:r>
      <w:r w:rsidR="009F51E3">
        <w:t xml:space="preserve">); </w:t>
      </w:r>
      <w:r w:rsidR="001204AA" w:rsidRPr="00B74F56">
        <w:rPr>
          <w:i/>
        </w:rPr>
        <w:t>Wireline Competition Bureau to Host Public Webinar October 30, 2014 To Discuss Special Access Data Collection</w:t>
      </w:r>
      <w:r w:rsidR="001204AA">
        <w:t>, WC Docket No. 05-24, RM-10593, Public Notice, DA 14-1531 (Wireline Comp. Bur. rel. Oct. 23, 2014).</w:t>
      </w:r>
    </w:p>
  </w:footnote>
  <w:footnote w:id="10">
    <w:p w:rsidR="009F51E3" w:rsidRDefault="009F51E3" w:rsidP="00B05DB4">
      <w:pPr>
        <w:pStyle w:val="FootnoteText"/>
      </w:pPr>
      <w:r>
        <w:rPr>
          <w:rStyle w:val="FootnoteReference"/>
        </w:rPr>
        <w:footnoteRef/>
      </w:r>
      <w:r>
        <w:t xml:space="preserve"> When the Bureau launched the secure web portal on October 1, 2014, the database container was undergoing testing and </w:t>
      </w:r>
      <w:r w:rsidRPr="005345DE">
        <w:t>not yet available</w:t>
      </w:r>
      <w:r>
        <w:t xml:space="preserve">; therefore, the Bureau </w:t>
      </w:r>
      <w:r w:rsidRPr="005345DE">
        <w:t xml:space="preserve">deactivated certain </w:t>
      </w:r>
      <w:r>
        <w:t xml:space="preserve">web portal </w:t>
      </w:r>
      <w:r w:rsidRPr="005345DE">
        <w:t xml:space="preserve">functionality </w:t>
      </w:r>
      <w:r>
        <w:t xml:space="preserve">related to the database container </w:t>
      </w:r>
      <w:r w:rsidRPr="005345DE">
        <w:t xml:space="preserve">pending </w:t>
      </w:r>
      <w:r w:rsidR="00B05DB4">
        <w:t xml:space="preserve">the completion of </w:t>
      </w:r>
      <w:r>
        <w:t>testing</w:t>
      </w:r>
      <w:r w:rsidRPr="005345DE">
        <w:t>.</w:t>
      </w:r>
      <w:r w:rsidR="001204AA">
        <w:t xml:space="preserve"> </w:t>
      </w:r>
      <w:r w:rsidR="001204AA" w:rsidRPr="00B74F56">
        <w:rPr>
          <w:i/>
        </w:rPr>
        <w:t>See Web Portal Public Notice</w:t>
      </w:r>
      <w:r w:rsidR="001204AA">
        <w:t>, 29 FCC Rcd at 11692.</w:t>
      </w:r>
    </w:p>
  </w:footnote>
  <w:footnote w:id="11">
    <w:p w:rsidR="007411CF" w:rsidRDefault="007411CF">
      <w:pPr>
        <w:pStyle w:val="FootnoteText"/>
      </w:pPr>
      <w:r>
        <w:rPr>
          <w:rStyle w:val="FootnoteReference"/>
        </w:rPr>
        <w:footnoteRef/>
      </w:r>
      <w:r>
        <w:t xml:space="preserve"> </w:t>
      </w:r>
      <w:r w:rsidR="00DF54CC" w:rsidRPr="00C22237">
        <w:rPr>
          <w:i/>
        </w:rPr>
        <w:t xml:space="preserve">See </w:t>
      </w:r>
      <w:r w:rsidR="00DF54CC">
        <w:t xml:space="preserve">Letter from Angie Kronenberg, COMPTEL, to Marlene H. Dortch, Secretary, FCC, WC Docket No. 05-25, RM-10593, at 1 (filed  Nov. 25, 2014) (COMPTEL </w:t>
      </w:r>
      <w:r w:rsidR="00DF54CC" w:rsidRPr="00C22237">
        <w:rPr>
          <w:i/>
        </w:rPr>
        <w:t>Ex Parte</w:t>
      </w:r>
      <w:r w:rsidR="00DF54CC">
        <w:t xml:space="preserve">); </w:t>
      </w:r>
      <w:r w:rsidR="00DF54CC" w:rsidRPr="00DF54CC">
        <w:t>Letter from Robert H. Mayer, Vice President – Industry and State Affairs, USTelecom, to Marlene H. Dortch, Secretary, FCC, WC Docket No. 05-25, at 1 (filed Nov. 25, 2014)</w:t>
      </w:r>
      <w:r w:rsidR="00DF54CC">
        <w:t xml:space="preserve"> (USTelecom </w:t>
      </w:r>
      <w:r w:rsidR="00DF54CC" w:rsidRPr="00C22237">
        <w:rPr>
          <w:i/>
        </w:rPr>
        <w:t>Ex Parte</w:t>
      </w:r>
      <w:r w:rsidR="00DF54CC">
        <w:t>).</w:t>
      </w:r>
    </w:p>
  </w:footnote>
  <w:footnote w:id="12">
    <w:p w:rsidR="007C7EF2" w:rsidRDefault="007C7EF2" w:rsidP="007C7EF2">
      <w:pPr>
        <w:pStyle w:val="FootnoteText"/>
      </w:pPr>
      <w:r>
        <w:rPr>
          <w:rStyle w:val="FootnoteReference"/>
        </w:rPr>
        <w:footnoteRef/>
      </w:r>
      <w:r>
        <w:t xml:space="preserve"> FairPoint Communications, Inc. Petition for Limited Waiver of Deadline for Data Submission, WC Docket No. 05-25, RM</w:t>
      </w:r>
      <w:r w:rsidR="008C1E67">
        <w:t>-10593, at 1 (filed Nov. 5, 2014</w:t>
      </w:r>
      <w:r>
        <w:t xml:space="preserve">) (FairPoint Petition); </w:t>
      </w:r>
      <w:r w:rsidRPr="00C2034F">
        <w:rPr>
          <w:i/>
        </w:rPr>
        <w:t>see</w:t>
      </w:r>
      <w:r>
        <w:rPr>
          <w:i/>
        </w:rPr>
        <w:t xml:space="preserve"> also</w:t>
      </w:r>
      <w:r>
        <w:t xml:space="preserve"> Letter from Michael R. Romano, Senior Vice President – Policy, NTCA, to Marlene H. Dortch, Secretary, FCC, WC Docket No. 05-25, at 1, 3 (filed Nov. 14, 2014)</w:t>
      </w:r>
      <w:r w:rsidR="00A142D9">
        <w:t xml:space="preserve"> (NTCA </w:t>
      </w:r>
      <w:r w:rsidR="00A142D9" w:rsidRPr="00B74F56">
        <w:rPr>
          <w:i/>
        </w:rPr>
        <w:t>Ex Parte</w:t>
      </w:r>
      <w:r w:rsidR="00A142D9">
        <w:t>)</w:t>
      </w:r>
      <w:r>
        <w:t xml:space="preserve"> (proposing a 90-day extension of the December 15, 2014 filing deadline</w:t>
      </w:r>
      <w:r w:rsidR="0062412D">
        <w:t>,</w:t>
      </w:r>
      <w:r>
        <w:t xml:space="preserve"> in a letter supporting in part, </w:t>
      </w:r>
      <w:r w:rsidR="0062412D">
        <w:t xml:space="preserve">and </w:t>
      </w:r>
      <w:r>
        <w:t xml:space="preserve">objecting in part, to an application for review filed by </w:t>
      </w:r>
      <w:r w:rsidR="004F568A">
        <w:t>USTelecom</w:t>
      </w:r>
      <w:r>
        <w:t>).</w:t>
      </w:r>
    </w:p>
  </w:footnote>
  <w:footnote w:id="13">
    <w:p w:rsidR="00B409E6" w:rsidRDefault="00B409E6" w:rsidP="00B409E6">
      <w:pPr>
        <w:pStyle w:val="FootnoteText"/>
      </w:pPr>
      <w:r>
        <w:rPr>
          <w:rStyle w:val="FootnoteReference"/>
        </w:rPr>
        <w:footnoteRef/>
      </w:r>
      <w:r>
        <w:t xml:space="preserve"> </w:t>
      </w:r>
      <w:r w:rsidR="00227A4B" w:rsidRPr="00C22237">
        <w:rPr>
          <w:i/>
        </w:rPr>
        <w:t xml:space="preserve">See </w:t>
      </w:r>
      <w:r w:rsidRPr="00B4075D">
        <w:rPr>
          <w:i/>
        </w:rPr>
        <w:t>Reconsideration Order</w:t>
      </w:r>
      <w:r>
        <w:t xml:space="preserve">, </w:t>
      </w:r>
      <w:r w:rsidR="00653222">
        <w:t>29 FCC Rcd 10899-10900</w:t>
      </w:r>
      <w:r>
        <w:t xml:space="preserve">, </w:t>
      </w:r>
      <w:r w:rsidR="0062412D">
        <w:t xml:space="preserve">para. 1, </w:t>
      </w:r>
      <w:r w:rsidR="00653222">
        <w:t xml:space="preserve">10905-07, </w:t>
      </w:r>
      <w:r>
        <w:t xml:space="preserve">paras. 13-14, 22; </w:t>
      </w:r>
      <w:r w:rsidRPr="007A2739">
        <w:rPr>
          <w:i/>
        </w:rPr>
        <w:t>see also Web Portal</w:t>
      </w:r>
      <w:r>
        <w:rPr>
          <w:i/>
        </w:rPr>
        <w:t xml:space="preserve"> Public Notice</w:t>
      </w:r>
      <w:r>
        <w:t>.</w:t>
      </w:r>
    </w:p>
  </w:footnote>
  <w:footnote w:id="14">
    <w:p w:rsidR="001F0496" w:rsidRDefault="001F0496">
      <w:pPr>
        <w:pStyle w:val="FootnoteText"/>
      </w:pPr>
      <w:r>
        <w:rPr>
          <w:rStyle w:val="FootnoteReference"/>
        </w:rPr>
        <w:footnoteRef/>
      </w:r>
      <w:r>
        <w:t xml:space="preserve"> </w:t>
      </w:r>
      <w:r w:rsidRPr="00C22237">
        <w:rPr>
          <w:i/>
        </w:rPr>
        <w:t>See</w:t>
      </w:r>
      <w:r>
        <w:t xml:space="preserve"> </w:t>
      </w:r>
      <w:r w:rsidR="00DF54CC">
        <w:t xml:space="preserve">USTelecom </w:t>
      </w:r>
      <w:r w:rsidR="00DF54CC" w:rsidRPr="00C22237">
        <w:rPr>
          <w:i/>
        </w:rPr>
        <w:t>Ex Parte</w:t>
      </w:r>
      <w:r w:rsidR="00DF54CC">
        <w:t>.</w:t>
      </w:r>
    </w:p>
  </w:footnote>
  <w:footnote w:id="15">
    <w:p w:rsidR="00C640C6" w:rsidRDefault="00C640C6">
      <w:pPr>
        <w:pStyle w:val="FootnoteText"/>
      </w:pPr>
      <w:r>
        <w:rPr>
          <w:rStyle w:val="FootnoteReference"/>
        </w:rPr>
        <w:footnoteRef/>
      </w:r>
      <w:r w:rsidR="00DF54CC">
        <w:t xml:space="preserve"> </w:t>
      </w:r>
      <w:r w:rsidR="00DF54CC" w:rsidRPr="00C22237">
        <w:rPr>
          <w:i/>
        </w:rPr>
        <w:t>See</w:t>
      </w:r>
      <w:r w:rsidR="00DF54CC">
        <w:t xml:space="preserve"> COMPTEL </w:t>
      </w:r>
      <w:r w:rsidR="00DF54CC" w:rsidRPr="00C22237">
        <w:rPr>
          <w:i/>
        </w:rPr>
        <w:t>Ex Parte</w:t>
      </w:r>
      <w:r>
        <w:t xml:space="preserve">.  </w:t>
      </w:r>
    </w:p>
  </w:footnote>
  <w:footnote w:id="16">
    <w:p w:rsidR="00541DD0" w:rsidRDefault="00541DD0">
      <w:pPr>
        <w:pStyle w:val="FootnoteText"/>
      </w:pPr>
      <w:r w:rsidRPr="004F72FD">
        <w:rPr>
          <w:rStyle w:val="FootnoteReference"/>
        </w:rPr>
        <w:footnoteRef/>
      </w:r>
      <w:r w:rsidRPr="004F72FD">
        <w:t xml:space="preserve"> </w:t>
      </w:r>
      <w:r w:rsidR="00A142D9" w:rsidRPr="00B74F56">
        <w:rPr>
          <w:i/>
        </w:rPr>
        <w:t>See</w:t>
      </w:r>
      <w:r w:rsidR="00A142D9">
        <w:t xml:space="preserve"> </w:t>
      </w:r>
      <w:r w:rsidR="00A142D9" w:rsidRPr="004F72FD">
        <w:t xml:space="preserve">NTCA </w:t>
      </w:r>
      <w:r w:rsidR="00A142D9" w:rsidRPr="004F72FD">
        <w:rPr>
          <w:i/>
        </w:rPr>
        <w:t>Ex Parte</w:t>
      </w:r>
      <w:r w:rsidR="00A142D9" w:rsidRPr="00B74F56" w:rsidDel="00A142D9">
        <w:t xml:space="preserve"> </w:t>
      </w:r>
      <w:r w:rsidR="00A142D9">
        <w:t>at 2-3</w:t>
      </w:r>
      <w:r w:rsidR="0068512F" w:rsidRPr="004F72FD">
        <w:t>.</w:t>
      </w:r>
    </w:p>
  </w:footnote>
  <w:footnote w:id="17">
    <w:p w:rsidR="004F72FD" w:rsidRDefault="004F72FD">
      <w:pPr>
        <w:pStyle w:val="FootnoteText"/>
      </w:pPr>
      <w:r>
        <w:rPr>
          <w:rStyle w:val="FootnoteReference"/>
        </w:rPr>
        <w:footnoteRef/>
      </w:r>
      <w:r>
        <w:t xml:space="preserve"> </w:t>
      </w:r>
      <w:r w:rsidRPr="00B74F56">
        <w:rPr>
          <w:i/>
        </w:rPr>
        <w:t>See</w:t>
      </w:r>
      <w:r>
        <w:t xml:space="preserve"> 5 U.S.C. §</w:t>
      </w:r>
      <w:r w:rsidR="00D64AC2">
        <w:t>§</w:t>
      </w:r>
      <w:r>
        <w:t xml:space="preserve"> </w:t>
      </w:r>
      <w:r w:rsidR="00D64AC2">
        <w:t>604(a)(6), 605(b)</w:t>
      </w:r>
      <w:r>
        <w:t xml:space="preserve">; </w:t>
      </w:r>
      <w:r w:rsidR="004C0BC3" w:rsidRPr="00B74F56">
        <w:rPr>
          <w:i/>
        </w:rPr>
        <w:t>s</w:t>
      </w:r>
      <w:r w:rsidR="00D64AC2" w:rsidRPr="00B74F56">
        <w:rPr>
          <w:i/>
        </w:rPr>
        <w:t>ee Data Collection Order</w:t>
      </w:r>
      <w:r w:rsidR="00D64AC2">
        <w:t>, 27 FCC Rcd at 16384-164</w:t>
      </w:r>
      <w:r w:rsidR="008C351F">
        <w:t>1</w:t>
      </w:r>
      <w:r w:rsidR="00D64AC2">
        <w:t>0, App</w:t>
      </w:r>
      <w:r w:rsidR="008C351F">
        <w:t>x</w:t>
      </w:r>
      <w:r w:rsidR="00D64AC2">
        <w:t>. B (Final Regulatory Flexibility Analysis).</w:t>
      </w:r>
    </w:p>
  </w:footnote>
  <w:footnote w:id="18">
    <w:p w:rsidR="008D63C9" w:rsidRDefault="008D63C9" w:rsidP="008D63C9">
      <w:pPr>
        <w:pStyle w:val="FootnoteText"/>
      </w:pPr>
      <w:r>
        <w:rPr>
          <w:rStyle w:val="FootnoteReference"/>
        </w:rPr>
        <w:footnoteRef/>
      </w:r>
      <w:r>
        <w:t xml:space="preserve"> </w:t>
      </w:r>
      <w:r w:rsidR="008042D8" w:rsidRPr="00C22237">
        <w:rPr>
          <w:i/>
        </w:rPr>
        <w:t xml:space="preserve">See </w:t>
      </w:r>
      <w:r>
        <w:t>13 C.F.R. § 121.201 (NAICS code 517110).</w:t>
      </w:r>
    </w:p>
  </w:footnote>
  <w:footnote w:id="19">
    <w:p w:rsidR="00AD3A7F" w:rsidRDefault="00AD3A7F" w:rsidP="00AD3A7F">
      <w:pPr>
        <w:pStyle w:val="FootnoteText"/>
      </w:pPr>
      <w:r>
        <w:rPr>
          <w:rStyle w:val="FootnoteReference"/>
        </w:rPr>
        <w:footnoteRef/>
      </w:r>
      <w:r>
        <w:t xml:space="preserve"> </w:t>
      </w:r>
      <w:r w:rsidRPr="00C2034F">
        <w:rPr>
          <w:i/>
        </w:rPr>
        <w:t>See Reconsideration Order</w:t>
      </w:r>
      <w:r>
        <w:t xml:space="preserve">, </w:t>
      </w:r>
      <w:r w:rsidR="00674E74">
        <w:t xml:space="preserve">29 FCC Rcd at 10905, </w:t>
      </w:r>
      <w:r w:rsidR="008C351F">
        <w:t xml:space="preserve">para. 13, </w:t>
      </w:r>
      <w:r w:rsidR="00674E74">
        <w:t xml:space="preserve">10935, </w:t>
      </w:r>
      <w:r w:rsidR="008C351F">
        <w:t xml:space="preserve">Appx. A, </w:t>
      </w:r>
      <w:r w:rsidR="00674E74">
        <w:t>10941,</w:t>
      </w:r>
      <w:r w:rsidR="00487641">
        <w:t xml:space="preserve"> 11010,</w:t>
      </w:r>
      <w:r w:rsidR="00674E74">
        <w:t xml:space="preserve"> App</w:t>
      </w:r>
      <w:r w:rsidR="008C351F">
        <w:t>x</w:t>
      </w:r>
      <w:r w:rsidR="00674E74">
        <w:t>. B.</w:t>
      </w:r>
    </w:p>
  </w:footnote>
  <w:footnote w:id="20">
    <w:p w:rsidR="00AD3A7F" w:rsidRDefault="00AD3A7F" w:rsidP="00AD3A7F">
      <w:pPr>
        <w:pStyle w:val="FootnoteText"/>
      </w:pPr>
      <w:r>
        <w:rPr>
          <w:rStyle w:val="FootnoteReference"/>
        </w:rPr>
        <w:footnoteRef/>
      </w:r>
      <w:r>
        <w:t xml:space="preserve"> </w:t>
      </w:r>
      <w:r w:rsidR="008C351F">
        <w:rPr>
          <w:i/>
        </w:rPr>
        <w:t xml:space="preserve">See </w:t>
      </w:r>
      <w:r w:rsidRPr="00C2034F">
        <w:rPr>
          <w:i/>
        </w:rPr>
        <w:t>Web Portal Public Notice</w:t>
      </w:r>
      <w:r>
        <w:t>.</w:t>
      </w:r>
    </w:p>
  </w:footnote>
  <w:footnote w:id="21">
    <w:p w:rsidR="0068512F" w:rsidRDefault="0068512F" w:rsidP="0068512F">
      <w:pPr>
        <w:pStyle w:val="FootnoteText"/>
      </w:pPr>
      <w:r>
        <w:rPr>
          <w:rStyle w:val="FootnoteReference"/>
        </w:rPr>
        <w:footnoteRef/>
      </w:r>
      <w:r>
        <w:t xml:space="preserve"> FairPoint Petition at 1, 5-6. </w:t>
      </w:r>
    </w:p>
  </w:footnote>
  <w:footnote w:id="22">
    <w:p w:rsidR="0068512F" w:rsidRDefault="0068512F" w:rsidP="0068512F">
      <w:pPr>
        <w:pStyle w:val="FootnoteText"/>
      </w:pPr>
      <w:r>
        <w:rPr>
          <w:rStyle w:val="FootnoteReference"/>
        </w:rPr>
        <w:footnoteRef/>
      </w:r>
      <w:r>
        <w:t xml:space="preserve"> </w:t>
      </w:r>
      <w:r w:rsidR="00490F43">
        <w:rPr>
          <w:i/>
        </w:rPr>
        <w:t>See i</w:t>
      </w:r>
      <w:r w:rsidRPr="00C2034F">
        <w:rPr>
          <w:i/>
        </w:rPr>
        <w:t>d</w:t>
      </w:r>
      <w:r>
        <w:t>.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40" w:rsidRDefault="003B4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810B6F">
    <w:pPr>
      <w:pStyle w:val="Header"/>
      <w:rPr>
        <w:b w:val="0"/>
      </w:rPr>
    </w:pPr>
    <w:r>
      <w:tab/>
      <w:t>Federal Communications Commission</w:t>
    </w:r>
    <w:r>
      <w:tab/>
    </w:r>
    <w:r w:rsidR="00C7515B">
      <w:t>DA 14-</w:t>
    </w:r>
    <w:r w:rsidR="006D708E">
      <w:t>1706</w:t>
    </w:r>
  </w:p>
  <w:p w:rsidR="001A5B86" w:rsidRDefault="001A5B8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558A44C" wp14:editId="64A3EDC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A5B86" w:rsidRDefault="001A5B8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6" w:rsidRDefault="001A5B8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A80C0AD" wp14:editId="286C7C8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8078BE">
      <w:rPr>
        <w:spacing w:val="-2"/>
      </w:rPr>
      <w:t>DA 14-</w:t>
    </w:r>
    <w:r w:rsidR="003A6DCB">
      <w:rPr>
        <w:spacing w:val="-2"/>
      </w:rPr>
      <w:t>1706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 w:numId="17">
    <w:abstractNumId w:val="1"/>
  </w:num>
  <w:num w:numId="18">
    <w:abstractNumId w:val="1"/>
  </w:num>
  <w:num w:numId="19">
    <w:abstractNumId w:val="1"/>
  </w:num>
  <w:num w:numId="20">
    <w:abstractNumId w:val="2"/>
  </w:num>
  <w:num w:numId="21">
    <w:abstractNumId w:val="2"/>
    <w:lvlOverride w:ilvl="0">
      <w:startOverride w:val="1"/>
    </w:lvlOverride>
  </w:num>
  <w:num w:numId="22">
    <w:abstractNumId w:val="0"/>
  </w:num>
  <w:num w:numId="23">
    <w:abstractNumId w:val="2"/>
    <w:lvlOverride w:ilvl="0">
      <w:startOverride w:val="1"/>
    </w:lvlOverride>
  </w:num>
  <w:num w:numId="24">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A2"/>
    <w:rsid w:val="00002188"/>
    <w:rsid w:val="00004E64"/>
    <w:rsid w:val="00006025"/>
    <w:rsid w:val="00025F78"/>
    <w:rsid w:val="00027D09"/>
    <w:rsid w:val="00031A79"/>
    <w:rsid w:val="000356FB"/>
    <w:rsid w:val="00036039"/>
    <w:rsid w:val="00037F90"/>
    <w:rsid w:val="000400EF"/>
    <w:rsid w:val="00043107"/>
    <w:rsid w:val="00047EB0"/>
    <w:rsid w:val="00047FD5"/>
    <w:rsid w:val="00065BE4"/>
    <w:rsid w:val="00071FEE"/>
    <w:rsid w:val="0007351B"/>
    <w:rsid w:val="00081172"/>
    <w:rsid w:val="00081862"/>
    <w:rsid w:val="00083335"/>
    <w:rsid w:val="000875BF"/>
    <w:rsid w:val="00093C6C"/>
    <w:rsid w:val="00096D8C"/>
    <w:rsid w:val="000A7DCC"/>
    <w:rsid w:val="000A7E61"/>
    <w:rsid w:val="000C0B65"/>
    <w:rsid w:val="000C1269"/>
    <w:rsid w:val="000C1B3A"/>
    <w:rsid w:val="000C3606"/>
    <w:rsid w:val="000C4BC5"/>
    <w:rsid w:val="000C7784"/>
    <w:rsid w:val="000D0AC8"/>
    <w:rsid w:val="000D5D59"/>
    <w:rsid w:val="000E00D6"/>
    <w:rsid w:val="000E05FE"/>
    <w:rsid w:val="000E06EA"/>
    <w:rsid w:val="000E3D42"/>
    <w:rsid w:val="000E65E2"/>
    <w:rsid w:val="000F1D2C"/>
    <w:rsid w:val="000F234E"/>
    <w:rsid w:val="00103D09"/>
    <w:rsid w:val="001048CA"/>
    <w:rsid w:val="00112D74"/>
    <w:rsid w:val="001173BF"/>
    <w:rsid w:val="001204AA"/>
    <w:rsid w:val="00122BD5"/>
    <w:rsid w:val="00127120"/>
    <w:rsid w:val="00127B8A"/>
    <w:rsid w:val="00130EE8"/>
    <w:rsid w:val="00133A0C"/>
    <w:rsid w:val="00133F79"/>
    <w:rsid w:val="00135709"/>
    <w:rsid w:val="00136193"/>
    <w:rsid w:val="001365DE"/>
    <w:rsid w:val="001409B7"/>
    <w:rsid w:val="00141AE1"/>
    <w:rsid w:val="00141DB9"/>
    <w:rsid w:val="00154426"/>
    <w:rsid w:val="00155257"/>
    <w:rsid w:val="001573CE"/>
    <w:rsid w:val="00160878"/>
    <w:rsid w:val="00163F44"/>
    <w:rsid w:val="00165BBC"/>
    <w:rsid w:val="00172EAD"/>
    <w:rsid w:val="00176550"/>
    <w:rsid w:val="00184D59"/>
    <w:rsid w:val="0018536B"/>
    <w:rsid w:val="00186896"/>
    <w:rsid w:val="00194A66"/>
    <w:rsid w:val="001A14D8"/>
    <w:rsid w:val="001A271F"/>
    <w:rsid w:val="001A4ED3"/>
    <w:rsid w:val="001A5B86"/>
    <w:rsid w:val="001B1F9B"/>
    <w:rsid w:val="001B453E"/>
    <w:rsid w:val="001B5777"/>
    <w:rsid w:val="001B7743"/>
    <w:rsid w:val="001C5344"/>
    <w:rsid w:val="001C583B"/>
    <w:rsid w:val="001C7162"/>
    <w:rsid w:val="001D5611"/>
    <w:rsid w:val="001D6BCF"/>
    <w:rsid w:val="001E01CA"/>
    <w:rsid w:val="001E313D"/>
    <w:rsid w:val="001E48E8"/>
    <w:rsid w:val="001F0496"/>
    <w:rsid w:val="001F10CC"/>
    <w:rsid w:val="001F1908"/>
    <w:rsid w:val="001F244A"/>
    <w:rsid w:val="001F3522"/>
    <w:rsid w:val="001F6477"/>
    <w:rsid w:val="00202D43"/>
    <w:rsid w:val="0020357A"/>
    <w:rsid w:val="002074DE"/>
    <w:rsid w:val="002168BD"/>
    <w:rsid w:val="0022449D"/>
    <w:rsid w:val="00227A4B"/>
    <w:rsid w:val="00237CF6"/>
    <w:rsid w:val="00243D18"/>
    <w:rsid w:val="0025779D"/>
    <w:rsid w:val="002637E0"/>
    <w:rsid w:val="00270C06"/>
    <w:rsid w:val="0027215B"/>
    <w:rsid w:val="0027387C"/>
    <w:rsid w:val="00275CF5"/>
    <w:rsid w:val="0028133B"/>
    <w:rsid w:val="00282195"/>
    <w:rsid w:val="0028301F"/>
    <w:rsid w:val="00285017"/>
    <w:rsid w:val="00292ECE"/>
    <w:rsid w:val="00297CA2"/>
    <w:rsid w:val="002A2934"/>
    <w:rsid w:val="002A2D2E"/>
    <w:rsid w:val="002A40A3"/>
    <w:rsid w:val="002A4926"/>
    <w:rsid w:val="002C00E8"/>
    <w:rsid w:val="002C5485"/>
    <w:rsid w:val="002D1956"/>
    <w:rsid w:val="002D2BAD"/>
    <w:rsid w:val="002D391B"/>
    <w:rsid w:val="002E0009"/>
    <w:rsid w:val="002E4674"/>
    <w:rsid w:val="002F2DE1"/>
    <w:rsid w:val="00300140"/>
    <w:rsid w:val="003078DE"/>
    <w:rsid w:val="00327428"/>
    <w:rsid w:val="003300F2"/>
    <w:rsid w:val="00331A49"/>
    <w:rsid w:val="00332557"/>
    <w:rsid w:val="00340129"/>
    <w:rsid w:val="00343749"/>
    <w:rsid w:val="00344A6E"/>
    <w:rsid w:val="00346B06"/>
    <w:rsid w:val="00351CFA"/>
    <w:rsid w:val="003529B4"/>
    <w:rsid w:val="00355616"/>
    <w:rsid w:val="00357892"/>
    <w:rsid w:val="0036539C"/>
    <w:rsid w:val="003653CF"/>
    <w:rsid w:val="003660ED"/>
    <w:rsid w:val="003709C6"/>
    <w:rsid w:val="003743DA"/>
    <w:rsid w:val="0038159A"/>
    <w:rsid w:val="00382578"/>
    <w:rsid w:val="00382E6F"/>
    <w:rsid w:val="003A2171"/>
    <w:rsid w:val="003A5BAA"/>
    <w:rsid w:val="003A5E17"/>
    <w:rsid w:val="003A6DCB"/>
    <w:rsid w:val="003B0550"/>
    <w:rsid w:val="003B161C"/>
    <w:rsid w:val="003B4540"/>
    <w:rsid w:val="003B47BD"/>
    <w:rsid w:val="003B56D8"/>
    <w:rsid w:val="003B62AF"/>
    <w:rsid w:val="003B694F"/>
    <w:rsid w:val="003B7B65"/>
    <w:rsid w:val="003C3963"/>
    <w:rsid w:val="003E0377"/>
    <w:rsid w:val="003E14D7"/>
    <w:rsid w:val="003E6DEE"/>
    <w:rsid w:val="003F171C"/>
    <w:rsid w:val="003F178F"/>
    <w:rsid w:val="003F5600"/>
    <w:rsid w:val="0040455F"/>
    <w:rsid w:val="00405C76"/>
    <w:rsid w:val="00411FD4"/>
    <w:rsid w:val="00412FC5"/>
    <w:rsid w:val="00422276"/>
    <w:rsid w:val="0042292F"/>
    <w:rsid w:val="004242F1"/>
    <w:rsid w:val="00427C8D"/>
    <w:rsid w:val="00431935"/>
    <w:rsid w:val="00433A88"/>
    <w:rsid w:val="0043404C"/>
    <w:rsid w:val="00435328"/>
    <w:rsid w:val="00440A83"/>
    <w:rsid w:val="00441460"/>
    <w:rsid w:val="00444980"/>
    <w:rsid w:val="00445A00"/>
    <w:rsid w:val="00446ADD"/>
    <w:rsid w:val="004470F4"/>
    <w:rsid w:val="00451B0F"/>
    <w:rsid w:val="004607DD"/>
    <w:rsid w:val="0046296C"/>
    <w:rsid w:val="0046461A"/>
    <w:rsid w:val="0046489D"/>
    <w:rsid w:val="004745F4"/>
    <w:rsid w:val="00482BCA"/>
    <w:rsid w:val="00484EB2"/>
    <w:rsid w:val="004864C8"/>
    <w:rsid w:val="004866E5"/>
    <w:rsid w:val="00487641"/>
    <w:rsid w:val="00490F43"/>
    <w:rsid w:val="00491101"/>
    <w:rsid w:val="00494D18"/>
    <w:rsid w:val="004A2F34"/>
    <w:rsid w:val="004A71C4"/>
    <w:rsid w:val="004C0BC3"/>
    <w:rsid w:val="004C20A7"/>
    <w:rsid w:val="004C2EE3"/>
    <w:rsid w:val="004D1790"/>
    <w:rsid w:val="004D55D1"/>
    <w:rsid w:val="004E378F"/>
    <w:rsid w:val="004E4047"/>
    <w:rsid w:val="004E4A22"/>
    <w:rsid w:val="004F568A"/>
    <w:rsid w:val="004F72FD"/>
    <w:rsid w:val="00501033"/>
    <w:rsid w:val="00510E74"/>
    <w:rsid w:val="00511968"/>
    <w:rsid w:val="00514751"/>
    <w:rsid w:val="005149C9"/>
    <w:rsid w:val="0052722C"/>
    <w:rsid w:val="00527D53"/>
    <w:rsid w:val="00533514"/>
    <w:rsid w:val="00534A7E"/>
    <w:rsid w:val="00541DD0"/>
    <w:rsid w:val="00542AEA"/>
    <w:rsid w:val="00544116"/>
    <w:rsid w:val="005448AE"/>
    <w:rsid w:val="00550398"/>
    <w:rsid w:val="005542C8"/>
    <w:rsid w:val="00554AF9"/>
    <w:rsid w:val="0055614C"/>
    <w:rsid w:val="00556489"/>
    <w:rsid w:val="005658F3"/>
    <w:rsid w:val="00566A57"/>
    <w:rsid w:val="0057256A"/>
    <w:rsid w:val="00572BD8"/>
    <w:rsid w:val="00573D9C"/>
    <w:rsid w:val="00574758"/>
    <w:rsid w:val="00580B28"/>
    <w:rsid w:val="00581B52"/>
    <w:rsid w:val="00581E53"/>
    <w:rsid w:val="005869C2"/>
    <w:rsid w:val="00596163"/>
    <w:rsid w:val="005A170A"/>
    <w:rsid w:val="005A616A"/>
    <w:rsid w:val="005B413D"/>
    <w:rsid w:val="005B7D47"/>
    <w:rsid w:val="005C0A20"/>
    <w:rsid w:val="005C1966"/>
    <w:rsid w:val="005C3EFA"/>
    <w:rsid w:val="005D0B8E"/>
    <w:rsid w:val="005D46D2"/>
    <w:rsid w:val="005E14C2"/>
    <w:rsid w:val="005E1FC6"/>
    <w:rsid w:val="005E6C56"/>
    <w:rsid w:val="00604B02"/>
    <w:rsid w:val="00604EF8"/>
    <w:rsid w:val="00607BA5"/>
    <w:rsid w:val="0061180A"/>
    <w:rsid w:val="00611E2E"/>
    <w:rsid w:val="006207B8"/>
    <w:rsid w:val="0062412D"/>
    <w:rsid w:val="006256AC"/>
    <w:rsid w:val="00626EB6"/>
    <w:rsid w:val="00636061"/>
    <w:rsid w:val="006400E9"/>
    <w:rsid w:val="00645186"/>
    <w:rsid w:val="00646126"/>
    <w:rsid w:val="006472E7"/>
    <w:rsid w:val="00653222"/>
    <w:rsid w:val="00655D03"/>
    <w:rsid w:val="00674E74"/>
    <w:rsid w:val="00680A89"/>
    <w:rsid w:val="00683388"/>
    <w:rsid w:val="00683F84"/>
    <w:rsid w:val="006842C2"/>
    <w:rsid w:val="0068512F"/>
    <w:rsid w:val="006918EA"/>
    <w:rsid w:val="006942D0"/>
    <w:rsid w:val="00694D50"/>
    <w:rsid w:val="00695C33"/>
    <w:rsid w:val="006A14BF"/>
    <w:rsid w:val="006A6797"/>
    <w:rsid w:val="006A6A81"/>
    <w:rsid w:val="006B1165"/>
    <w:rsid w:val="006B4B8C"/>
    <w:rsid w:val="006B52C6"/>
    <w:rsid w:val="006C07E3"/>
    <w:rsid w:val="006C2FAF"/>
    <w:rsid w:val="006C31BC"/>
    <w:rsid w:val="006C3ECC"/>
    <w:rsid w:val="006D115C"/>
    <w:rsid w:val="006D224D"/>
    <w:rsid w:val="006D3BFC"/>
    <w:rsid w:val="006D6C03"/>
    <w:rsid w:val="006D6FEA"/>
    <w:rsid w:val="006D708E"/>
    <w:rsid w:val="006F5445"/>
    <w:rsid w:val="006F7393"/>
    <w:rsid w:val="0070224F"/>
    <w:rsid w:val="007042FE"/>
    <w:rsid w:val="007058F4"/>
    <w:rsid w:val="00707372"/>
    <w:rsid w:val="007111ED"/>
    <w:rsid w:val="007115F7"/>
    <w:rsid w:val="00716A6C"/>
    <w:rsid w:val="00716E5C"/>
    <w:rsid w:val="00717CA0"/>
    <w:rsid w:val="0072165D"/>
    <w:rsid w:val="00734732"/>
    <w:rsid w:val="007374E6"/>
    <w:rsid w:val="007411CF"/>
    <w:rsid w:val="0074199D"/>
    <w:rsid w:val="00741C0B"/>
    <w:rsid w:val="0074630B"/>
    <w:rsid w:val="00752108"/>
    <w:rsid w:val="0075231E"/>
    <w:rsid w:val="007577E8"/>
    <w:rsid w:val="00757933"/>
    <w:rsid w:val="00761763"/>
    <w:rsid w:val="00766A9C"/>
    <w:rsid w:val="00771347"/>
    <w:rsid w:val="0078102D"/>
    <w:rsid w:val="00785689"/>
    <w:rsid w:val="0079754B"/>
    <w:rsid w:val="007A1E6D"/>
    <w:rsid w:val="007A3A8F"/>
    <w:rsid w:val="007A60A1"/>
    <w:rsid w:val="007A6865"/>
    <w:rsid w:val="007B0577"/>
    <w:rsid w:val="007B0EB2"/>
    <w:rsid w:val="007B136D"/>
    <w:rsid w:val="007B13DD"/>
    <w:rsid w:val="007B399E"/>
    <w:rsid w:val="007B49D5"/>
    <w:rsid w:val="007C1612"/>
    <w:rsid w:val="007C3363"/>
    <w:rsid w:val="007C4AAB"/>
    <w:rsid w:val="007C584B"/>
    <w:rsid w:val="007C5F91"/>
    <w:rsid w:val="007C620B"/>
    <w:rsid w:val="007C7EF2"/>
    <w:rsid w:val="007C7F8C"/>
    <w:rsid w:val="007D5D32"/>
    <w:rsid w:val="007F44D9"/>
    <w:rsid w:val="007F4B3B"/>
    <w:rsid w:val="00804296"/>
    <w:rsid w:val="008042D8"/>
    <w:rsid w:val="00804A8B"/>
    <w:rsid w:val="008078BE"/>
    <w:rsid w:val="00810B6F"/>
    <w:rsid w:val="00812CC2"/>
    <w:rsid w:val="00822CE0"/>
    <w:rsid w:val="00823D7D"/>
    <w:rsid w:val="00825033"/>
    <w:rsid w:val="00825EF2"/>
    <w:rsid w:val="00832871"/>
    <w:rsid w:val="00841AB1"/>
    <w:rsid w:val="0084242D"/>
    <w:rsid w:val="00843B92"/>
    <w:rsid w:val="008466E0"/>
    <w:rsid w:val="0086699D"/>
    <w:rsid w:val="00866E9D"/>
    <w:rsid w:val="008678E5"/>
    <w:rsid w:val="00870224"/>
    <w:rsid w:val="008717EE"/>
    <w:rsid w:val="00890084"/>
    <w:rsid w:val="00895CED"/>
    <w:rsid w:val="008A18EF"/>
    <w:rsid w:val="008A31F3"/>
    <w:rsid w:val="008A51B7"/>
    <w:rsid w:val="008A5F81"/>
    <w:rsid w:val="008B1649"/>
    <w:rsid w:val="008B4747"/>
    <w:rsid w:val="008B737D"/>
    <w:rsid w:val="008C1E67"/>
    <w:rsid w:val="008C1F5C"/>
    <w:rsid w:val="008C351F"/>
    <w:rsid w:val="008C515D"/>
    <w:rsid w:val="008C590C"/>
    <w:rsid w:val="008C68F1"/>
    <w:rsid w:val="008D5EA9"/>
    <w:rsid w:val="008D63C9"/>
    <w:rsid w:val="008D7475"/>
    <w:rsid w:val="00901337"/>
    <w:rsid w:val="009023BB"/>
    <w:rsid w:val="00913D72"/>
    <w:rsid w:val="00915A6B"/>
    <w:rsid w:val="00920DE3"/>
    <w:rsid w:val="00921803"/>
    <w:rsid w:val="00926503"/>
    <w:rsid w:val="0093386B"/>
    <w:rsid w:val="00941111"/>
    <w:rsid w:val="009416CA"/>
    <w:rsid w:val="00942C05"/>
    <w:rsid w:val="0094414F"/>
    <w:rsid w:val="00954B98"/>
    <w:rsid w:val="009604FA"/>
    <w:rsid w:val="00970953"/>
    <w:rsid w:val="009726D8"/>
    <w:rsid w:val="0097322F"/>
    <w:rsid w:val="0097597F"/>
    <w:rsid w:val="0097749D"/>
    <w:rsid w:val="00981C65"/>
    <w:rsid w:val="009829D2"/>
    <w:rsid w:val="00985805"/>
    <w:rsid w:val="009903E7"/>
    <w:rsid w:val="00991349"/>
    <w:rsid w:val="00997ED9"/>
    <w:rsid w:val="009A27A8"/>
    <w:rsid w:val="009A510A"/>
    <w:rsid w:val="009A6B3B"/>
    <w:rsid w:val="009C21F8"/>
    <w:rsid w:val="009C513C"/>
    <w:rsid w:val="009C757D"/>
    <w:rsid w:val="009D453D"/>
    <w:rsid w:val="009F51E3"/>
    <w:rsid w:val="009F76DB"/>
    <w:rsid w:val="00A00889"/>
    <w:rsid w:val="00A0512E"/>
    <w:rsid w:val="00A07AF6"/>
    <w:rsid w:val="00A142D9"/>
    <w:rsid w:val="00A20D81"/>
    <w:rsid w:val="00A24B54"/>
    <w:rsid w:val="00A27231"/>
    <w:rsid w:val="00A30A60"/>
    <w:rsid w:val="00A32C3B"/>
    <w:rsid w:val="00A41D2E"/>
    <w:rsid w:val="00A4469B"/>
    <w:rsid w:val="00A45248"/>
    <w:rsid w:val="00A45F4F"/>
    <w:rsid w:val="00A51347"/>
    <w:rsid w:val="00A51921"/>
    <w:rsid w:val="00A53771"/>
    <w:rsid w:val="00A57586"/>
    <w:rsid w:val="00A600A9"/>
    <w:rsid w:val="00A63F7B"/>
    <w:rsid w:val="00A70795"/>
    <w:rsid w:val="00A80CBE"/>
    <w:rsid w:val="00A82249"/>
    <w:rsid w:val="00A87321"/>
    <w:rsid w:val="00A9361E"/>
    <w:rsid w:val="00AA1530"/>
    <w:rsid w:val="00AA2136"/>
    <w:rsid w:val="00AA55B7"/>
    <w:rsid w:val="00AA5B9E"/>
    <w:rsid w:val="00AA7B1F"/>
    <w:rsid w:val="00AB1B2A"/>
    <w:rsid w:val="00AB2407"/>
    <w:rsid w:val="00AB32D6"/>
    <w:rsid w:val="00AB53DF"/>
    <w:rsid w:val="00AB64C5"/>
    <w:rsid w:val="00AC0EA7"/>
    <w:rsid w:val="00AC21C5"/>
    <w:rsid w:val="00AC2FBA"/>
    <w:rsid w:val="00AD16D9"/>
    <w:rsid w:val="00AD3A7F"/>
    <w:rsid w:val="00AD5129"/>
    <w:rsid w:val="00AD778F"/>
    <w:rsid w:val="00AE57A6"/>
    <w:rsid w:val="00AF38E5"/>
    <w:rsid w:val="00AF6D49"/>
    <w:rsid w:val="00B00154"/>
    <w:rsid w:val="00B0126B"/>
    <w:rsid w:val="00B01AB4"/>
    <w:rsid w:val="00B04127"/>
    <w:rsid w:val="00B04E91"/>
    <w:rsid w:val="00B05485"/>
    <w:rsid w:val="00B05AB1"/>
    <w:rsid w:val="00B05DB4"/>
    <w:rsid w:val="00B07E5C"/>
    <w:rsid w:val="00B124C5"/>
    <w:rsid w:val="00B15A4F"/>
    <w:rsid w:val="00B23109"/>
    <w:rsid w:val="00B236F3"/>
    <w:rsid w:val="00B26721"/>
    <w:rsid w:val="00B27286"/>
    <w:rsid w:val="00B2760F"/>
    <w:rsid w:val="00B3139D"/>
    <w:rsid w:val="00B325C1"/>
    <w:rsid w:val="00B340E2"/>
    <w:rsid w:val="00B409E6"/>
    <w:rsid w:val="00B42157"/>
    <w:rsid w:val="00B51838"/>
    <w:rsid w:val="00B52AA7"/>
    <w:rsid w:val="00B6677A"/>
    <w:rsid w:val="00B74F56"/>
    <w:rsid w:val="00B80629"/>
    <w:rsid w:val="00B811F7"/>
    <w:rsid w:val="00B82E2B"/>
    <w:rsid w:val="00B85396"/>
    <w:rsid w:val="00B87E55"/>
    <w:rsid w:val="00B92BF9"/>
    <w:rsid w:val="00B94F13"/>
    <w:rsid w:val="00B965FC"/>
    <w:rsid w:val="00BA30D0"/>
    <w:rsid w:val="00BA5DC6"/>
    <w:rsid w:val="00BA6196"/>
    <w:rsid w:val="00BA78B3"/>
    <w:rsid w:val="00BA7F7B"/>
    <w:rsid w:val="00BC3923"/>
    <w:rsid w:val="00BC3B03"/>
    <w:rsid w:val="00BC6D8C"/>
    <w:rsid w:val="00BC6FF0"/>
    <w:rsid w:val="00BD2D4B"/>
    <w:rsid w:val="00BE13B5"/>
    <w:rsid w:val="00BE2164"/>
    <w:rsid w:val="00BE2E52"/>
    <w:rsid w:val="00BE4B46"/>
    <w:rsid w:val="00BE4C4F"/>
    <w:rsid w:val="00BF187E"/>
    <w:rsid w:val="00BF32A8"/>
    <w:rsid w:val="00BF38A7"/>
    <w:rsid w:val="00BF6FC2"/>
    <w:rsid w:val="00BF7F8A"/>
    <w:rsid w:val="00C04BA0"/>
    <w:rsid w:val="00C07C8C"/>
    <w:rsid w:val="00C14105"/>
    <w:rsid w:val="00C171D3"/>
    <w:rsid w:val="00C22237"/>
    <w:rsid w:val="00C22B30"/>
    <w:rsid w:val="00C23FAA"/>
    <w:rsid w:val="00C241B6"/>
    <w:rsid w:val="00C24855"/>
    <w:rsid w:val="00C34006"/>
    <w:rsid w:val="00C35740"/>
    <w:rsid w:val="00C3663E"/>
    <w:rsid w:val="00C37136"/>
    <w:rsid w:val="00C40A8C"/>
    <w:rsid w:val="00C41FB1"/>
    <w:rsid w:val="00C426B1"/>
    <w:rsid w:val="00C45745"/>
    <w:rsid w:val="00C57A10"/>
    <w:rsid w:val="00C60B8C"/>
    <w:rsid w:val="00C640C6"/>
    <w:rsid w:val="00C642E2"/>
    <w:rsid w:val="00C66160"/>
    <w:rsid w:val="00C721AC"/>
    <w:rsid w:val="00C74C43"/>
    <w:rsid w:val="00C7515B"/>
    <w:rsid w:val="00C75F02"/>
    <w:rsid w:val="00C90D6A"/>
    <w:rsid w:val="00C9269F"/>
    <w:rsid w:val="00C93BBF"/>
    <w:rsid w:val="00C94027"/>
    <w:rsid w:val="00C94E3B"/>
    <w:rsid w:val="00CA0470"/>
    <w:rsid w:val="00CA247E"/>
    <w:rsid w:val="00CA2B73"/>
    <w:rsid w:val="00CA36EE"/>
    <w:rsid w:val="00CA45AE"/>
    <w:rsid w:val="00CA719F"/>
    <w:rsid w:val="00CB2DA9"/>
    <w:rsid w:val="00CB7037"/>
    <w:rsid w:val="00CC4FBE"/>
    <w:rsid w:val="00CC6A92"/>
    <w:rsid w:val="00CC72B6"/>
    <w:rsid w:val="00CD248C"/>
    <w:rsid w:val="00CD2B49"/>
    <w:rsid w:val="00CD6C85"/>
    <w:rsid w:val="00CE367E"/>
    <w:rsid w:val="00CF1B03"/>
    <w:rsid w:val="00D0002E"/>
    <w:rsid w:val="00D0218D"/>
    <w:rsid w:val="00D03970"/>
    <w:rsid w:val="00D052E5"/>
    <w:rsid w:val="00D059D3"/>
    <w:rsid w:val="00D074A7"/>
    <w:rsid w:val="00D100B5"/>
    <w:rsid w:val="00D10DA8"/>
    <w:rsid w:val="00D114CB"/>
    <w:rsid w:val="00D11CA2"/>
    <w:rsid w:val="00D1346A"/>
    <w:rsid w:val="00D222A5"/>
    <w:rsid w:val="00D24AC9"/>
    <w:rsid w:val="00D25FB5"/>
    <w:rsid w:val="00D3639B"/>
    <w:rsid w:val="00D44223"/>
    <w:rsid w:val="00D44F6E"/>
    <w:rsid w:val="00D45337"/>
    <w:rsid w:val="00D47671"/>
    <w:rsid w:val="00D51CEA"/>
    <w:rsid w:val="00D555A4"/>
    <w:rsid w:val="00D60890"/>
    <w:rsid w:val="00D629B1"/>
    <w:rsid w:val="00D64AC2"/>
    <w:rsid w:val="00D70CE9"/>
    <w:rsid w:val="00D75927"/>
    <w:rsid w:val="00D77118"/>
    <w:rsid w:val="00D867EC"/>
    <w:rsid w:val="00D86F21"/>
    <w:rsid w:val="00D87C69"/>
    <w:rsid w:val="00D901D8"/>
    <w:rsid w:val="00D931C4"/>
    <w:rsid w:val="00D977CB"/>
    <w:rsid w:val="00DA2141"/>
    <w:rsid w:val="00DA2529"/>
    <w:rsid w:val="00DB128F"/>
    <w:rsid w:val="00DB130A"/>
    <w:rsid w:val="00DB2614"/>
    <w:rsid w:val="00DB2EBB"/>
    <w:rsid w:val="00DB468A"/>
    <w:rsid w:val="00DC10A1"/>
    <w:rsid w:val="00DC1629"/>
    <w:rsid w:val="00DC655F"/>
    <w:rsid w:val="00DC6785"/>
    <w:rsid w:val="00DC7776"/>
    <w:rsid w:val="00DD0B59"/>
    <w:rsid w:val="00DD60C0"/>
    <w:rsid w:val="00DD7EBD"/>
    <w:rsid w:val="00DE0170"/>
    <w:rsid w:val="00DE066C"/>
    <w:rsid w:val="00DE6990"/>
    <w:rsid w:val="00DF54CC"/>
    <w:rsid w:val="00DF62B6"/>
    <w:rsid w:val="00DF63B9"/>
    <w:rsid w:val="00E00D4A"/>
    <w:rsid w:val="00E020BE"/>
    <w:rsid w:val="00E03F66"/>
    <w:rsid w:val="00E04368"/>
    <w:rsid w:val="00E07225"/>
    <w:rsid w:val="00E11D65"/>
    <w:rsid w:val="00E12908"/>
    <w:rsid w:val="00E130FB"/>
    <w:rsid w:val="00E162C8"/>
    <w:rsid w:val="00E23226"/>
    <w:rsid w:val="00E30FB7"/>
    <w:rsid w:val="00E3629A"/>
    <w:rsid w:val="00E42130"/>
    <w:rsid w:val="00E5409F"/>
    <w:rsid w:val="00E5463D"/>
    <w:rsid w:val="00E54846"/>
    <w:rsid w:val="00E57C0D"/>
    <w:rsid w:val="00E60A77"/>
    <w:rsid w:val="00E6673D"/>
    <w:rsid w:val="00E705CC"/>
    <w:rsid w:val="00E71720"/>
    <w:rsid w:val="00E7776B"/>
    <w:rsid w:val="00E80A40"/>
    <w:rsid w:val="00E83ECB"/>
    <w:rsid w:val="00E84878"/>
    <w:rsid w:val="00E84A00"/>
    <w:rsid w:val="00E853D8"/>
    <w:rsid w:val="00E865FC"/>
    <w:rsid w:val="00E86679"/>
    <w:rsid w:val="00E87649"/>
    <w:rsid w:val="00E9049B"/>
    <w:rsid w:val="00E917A3"/>
    <w:rsid w:val="00E91E26"/>
    <w:rsid w:val="00EA33BC"/>
    <w:rsid w:val="00EA43B6"/>
    <w:rsid w:val="00EA7B8C"/>
    <w:rsid w:val="00EB31D1"/>
    <w:rsid w:val="00EB345D"/>
    <w:rsid w:val="00EB412B"/>
    <w:rsid w:val="00EB5370"/>
    <w:rsid w:val="00EB5D01"/>
    <w:rsid w:val="00EC1F0F"/>
    <w:rsid w:val="00EC2CB3"/>
    <w:rsid w:val="00EC34C2"/>
    <w:rsid w:val="00EC3602"/>
    <w:rsid w:val="00EC3AB7"/>
    <w:rsid w:val="00EC7CD2"/>
    <w:rsid w:val="00ED30C4"/>
    <w:rsid w:val="00ED3EFD"/>
    <w:rsid w:val="00EE32D9"/>
    <w:rsid w:val="00EE63C3"/>
    <w:rsid w:val="00EE6488"/>
    <w:rsid w:val="00EF2CD5"/>
    <w:rsid w:val="00EF38A1"/>
    <w:rsid w:val="00F021FA"/>
    <w:rsid w:val="00F046D9"/>
    <w:rsid w:val="00F05821"/>
    <w:rsid w:val="00F17EED"/>
    <w:rsid w:val="00F31397"/>
    <w:rsid w:val="00F36B16"/>
    <w:rsid w:val="00F425D9"/>
    <w:rsid w:val="00F42CB9"/>
    <w:rsid w:val="00F526B5"/>
    <w:rsid w:val="00F52AD3"/>
    <w:rsid w:val="00F55390"/>
    <w:rsid w:val="00F56B34"/>
    <w:rsid w:val="00F56B5E"/>
    <w:rsid w:val="00F57BD2"/>
    <w:rsid w:val="00F61BAD"/>
    <w:rsid w:val="00F62E97"/>
    <w:rsid w:val="00F6399D"/>
    <w:rsid w:val="00F64209"/>
    <w:rsid w:val="00F65A94"/>
    <w:rsid w:val="00F66E0E"/>
    <w:rsid w:val="00F67C5B"/>
    <w:rsid w:val="00F715D0"/>
    <w:rsid w:val="00F75011"/>
    <w:rsid w:val="00F83494"/>
    <w:rsid w:val="00F85BEB"/>
    <w:rsid w:val="00F93BF5"/>
    <w:rsid w:val="00FA075E"/>
    <w:rsid w:val="00FA133D"/>
    <w:rsid w:val="00FA794D"/>
    <w:rsid w:val="00FB1787"/>
    <w:rsid w:val="00FB5694"/>
    <w:rsid w:val="00FC3E4F"/>
    <w:rsid w:val="00FD01C9"/>
    <w:rsid w:val="00FD7370"/>
    <w:rsid w:val="00FE4E39"/>
    <w:rsid w:val="00FE79A1"/>
    <w:rsid w:val="00FF0659"/>
    <w:rsid w:val="00FF4548"/>
    <w:rsid w:val="00FF7771"/>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8717EE"/>
  </w:style>
  <w:style w:type="character" w:customStyle="1" w:styleId="ParaNumCharChar1">
    <w:name w:val="ParaNum Char Char1"/>
    <w:link w:val="ParaNum"/>
    <w:rsid w:val="008717EE"/>
    <w:rPr>
      <w:snapToGrid w:val="0"/>
      <w:kern w:val="28"/>
      <w:sz w:val="22"/>
    </w:rPr>
  </w:style>
  <w:style w:type="paragraph" w:styleId="ListParagraph">
    <w:name w:val="List Paragraph"/>
    <w:basedOn w:val="Normal"/>
    <w:uiPriority w:val="34"/>
    <w:qFormat/>
    <w:rsid w:val="00E42130"/>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8B737D"/>
  </w:style>
  <w:style w:type="character" w:customStyle="1" w:styleId="ParaNumChar">
    <w:name w:val="ParaNum Char"/>
    <w:locked/>
    <w:rsid w:val="008B737D"/>
    <w:rPr>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locked/>
    <w:rsid w:val="0094414F"/>
  </w:style>
  <w:style w:type="paragraph" w:styleId="BalloonText">
    <w:name w:val="Balloon Text"/>
    <w:basedOn w:val="Normal"/>
    <w:link w:val="BalloonTextChar"/>
    <w:rsid w:val="006A14BF"/>
    <w:rPr>
      <w:rFonts w:ascii="Tahoma" w:hAnsi="Tahoma" w:cs="Tahoma"/>
      <w:sz w:val="16"/>
      <w:szCs w:val="16"/>
    </w:rPr>
  </w:style>
  <w:style w:type="character" w:customStyle="1" w:styleId="BalloonTextChar">
    <w:name w:val="Balloon Text Char"/>
    <w:basedOn w:val="DefaultParagraphFont"/>
    <w:link w:val="BalloonText"/>
    <w:rsid w:val="006A14BF"/>
    <w:rPr>
      <w:rFonts w:ascii="Tahoma" w:hAnsi="Tahoma" w:cs="Tahoma"/>
      <w:snapToGrid w:val="0"/>
      <w:kern w:val="28"/>
      <w:sz w:val="16"/>
      <w:szCs w:val="16"/>
    </w:rPr>
  </w:style>
  <w:style w:type="character" w:customStyle="1" w:styleId="ParaNumChar2">
    <w:name w:val="ParaNum Char2"/>
    <w:rsid w:val="00494D18"/>
    <w:rPr>
      <w:snapToGrid w:val="0"/>
      <w:kern w:val="28"/>
      <w:sz w:val="22"/>
    </w:rPr>
  </w:style>
  <w:style w:type="character" w:customStyle="1" w:styleId="FootnoteCharacters">
    <w:name w:val="Footnote Characters"/>
    <w:rsid w:val="00494D18"/>
    <w:rPr>
      <w:vertAlign w:val="superscript"/>
    </w:rPr>
  </w:style>
  <w:style w:type="character" w:styleId="CommentReference">
    <w:name w:val="annotation reference"/>
    <w:basedOn w:val="DefaultParagraphFont"/>
    <w:rsid w:val="00B409E6"/>
    <w:rPr>
      <w:sz w:val="16"/>
      <w:szCs w:val="16"/>
    </w:rPr>
  </w:style>
  <w:style w:type="paragraph" w:styleId="CommentText">
    <w:name w:val="annotation text"/>
    <w:basedOn w:val="Normal"/>
    <w:link w:val="CommentTextChar"/>
    <w:rsid w:val="00B409E6"/>
    <w:rPr>
      <w:sz w:val="20"/>
    </w:rPr>
  </w:style>
  <w:style w:type="character" w:customStyle="1" w:styleId="CommentTextChar">
    <w:name w:val="Comment Text Char"/>
    <w:basedOn w:val="DefaultParagraphFont"/>
    <w:link w:val="CommentText"/>
    <w:rsid w:val="00B409E6"/>
    <w:rPr>
      <w:snapToGrid w:val="0"/>
      <w:kern w:val="28"/>
    </w:rPr>
  </w:style>
  <w:style w:type="paragraph" w:styleId="CommentSubject">
    <w:name w:val="annotation subject"/>
    <w:basedOn w:val="CommentText"/>
    <w:next w:val="CommentText"/>
    <w:link w:val="CommentSubjectChar"/>
    <w:rsid w:val="0084242D"/>
    <w:rPr>
      <w:b/>
      <w:bCs/>
    </w:rPr>
  </w:style>
  <w:style w:type="character" w:customStyle="1" w:styleId="CommentSubjectChar">
    <w:name w:val="Comment Subject Char"/>
    <w:basedOn w:val="CommentTextChar"/>
    <w:link w:val="CommentSubject"/>
    <w:rsid w:val="0084242D"/>
    <w:rPr>
      <w:b/>
      <w:bCs/>
      <w:snapToGrid w:val="0"/>
      <w:kern w:val="28"/>
    </w:rPr>
  </w:style>
  <w:style w:type="paragraph" w:styleId="Revision">
    <w:name w:val="Revision"/>
    <w:hidden/>
    <w:uiPriority w:val="99"/>
    <w:semiHidden/>
    <w:rsid w:val="0043193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8717EE"/>
  </w:style>
  <w:style w:type="character" w:customStyle="1" w:styleId="ParaNumCharChar1">
    <w:name w:val="ParaNum Char Char1"/>
    <w:link w:val="ParaNum"/>
    <w:rsid w:val="008717EE"/>
    <w:rPr>
      <w:snapToGrid w:val="0"/>
      <w:kern w:val="28"/>
      <w:sz w:val="22"/>
    </w:rPr>
  </w:style>
  <w:style w:type="paragraph" w:styleId="ListParagraph">
    <w:name w:val="List Paragraph"/>
    <w:basedOn w:val="Normal"/>
    <w:uiPriority w:val="34"/>
    <w:qFormat/>
    <w:rsid w:val="00E42130"/>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8B737D"/>
  </w:style>
  <w:style w:type="character" w:customStyle="1" w:styleId="ParaNumChar">
    <w:name w:val="ParaNum Char"/>
    <w:locked/>
    <w:rsid w:val="008B737D"/>
    <w:rPr>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locked/>
    <w:rsid w:val="0094414F"/>
  </w:style>
  <w:style w:type="paragraph" w:styleId="BalloonText">
    <w:name w:val="Balloon Text"/>
    <w:basedOn w:val="Normal"/>
    <w:link w:val="BalloonTextChar"/>
    <w:rsid w:val="006A14BF"/>
    <w:rPr>
      <w:rFonts w:ascii="Tahoma" w:hAnsi="Tahoma" w:cs="Tahoma"/>
      <w:sz w:val="16"/>
      <w:szCs w:val="16"/>
    </w:rPr>
  </w:style>
  <w:style w:type="character" w:customStyle="1" w:styleId="BalloonTextChar">
    <w:name w:val="Balloon Text Char"/>
    <w:basedOn w:val="DefaultParagraphFont"/>
    <w:link w:val="BalloonText"/>
    <w:rsid w:val="006A14BF"/>
    <w:rPr>
      <w:rFonts w:ascii="Tahoma" w:hAnsi="Tahoma" w:cs="Tahoma"/>
      <w:snapToGrid w:val="0"/>
      <w:kern w:val="28"/>
      <w:sz w:val="16"/>
      <w:szCs w:val="16"/>
    </w:rPr>
  </w:style>
  <w:style w:type="character" w:customStyle="1" w:styleId="ParaNumChar2">
    <w:name w:val="ParaNum Char2"/>
    <w:rsid w:val="00494D18"/>
    <w:rPr>
      <w:snapToGrid w:val="0"/>
      <w:kern w:val="28"/>
      <w:sz w:val="22"/>
    </w:rPr>
  </w:style>
  <w:style w:type="character" w:customStyle="1" w:styleId="FootnoteCharacters">
    <w:name w:val="Footnote Characters"/>
    <w:rsid w:val="00494D18"/>
    <w:rPr>
      <w:vertAlign w:val="superscript"/>
    </w:rPr>
  </w:style>
  <w:style w:type="character" w:styleId="CommentReference">
    <w:name w:val="annotation reference"/>
    <w:basedOn w:val="DefaultParagraphFont"/>
    <w:rsid w:val="00B409E6"/>
    <w:rPr>
      <w:sz w:val="16"/>
      <w:szCs w:val="16"/>
    </w:rPr>
  </w:style>
  <w:style w:type="paragraph" w:styleId="CommentText">
    <w:name w:val="annotation text"/>
    <w:basedOn w:val="Normal"/>
    <w:link w:val="CommentTextChar"/>
    <w:rsid w:val="00B409E6"/>
    <w:rPr>
      <w:sz w:val="20"/>
    </w:rPr>
  </w:style>
  <w:style w:type="character" w:customStyle="1" w:styleId="CommentTextChar">
    <w:name w:val="Comment Text Char"/>
    <w:basedOn w:val="DefaultParagraphFont"/>
    <w:link w:val="CommentText"/>
    <w:rsid w:val="00B409E6"/>
    <w:rPr>
      <w:snapToGrid w:val="0"/>
      <w:kern w:val="28"/>
    </w:rPr>
  </w:style>
  <w:style w:type="paragraph" w:styleId="CommentSubject">
    <w:name w:val="annotation subject"/>
    <w:basedOn w:val="CommentText"/>
    <w:next w:val="CommentText"/>
    <w:link w:val="CommentSubjectChar"/>
    <w:rsid w:val="0084242D"/>
    <w:rPr>
      <w:b/>
      <w:bCs/>
    </w:rPr>
  </w:style>
  <w:style w:type="character" w:customStyle="1" w:styleId="CommentSubjectChar">
    <w:name w:val="Comment Subject Char"/>
    <w:basedOn w:val="CommentTextChar"/>
    <w:link w:val="CommentSubject"/>
    <w:rsid w:val="0084242D"/>
    <w:rPr>
      <w:b/>
      <w:bCs/>
      <w:snapToGrid w:val="0"/>
      <w:kern w:val="28"/>
    </w:rPr>
  </w:style>
  <w:style w:type="paragraph" w:styleId="Revision">
    <w:name w:val="Revision"/>
    <w:hidden/>
    <w:uiPriority w:val="99"/>
    <w:semiHidden/>
    <w:rsid w:val="0043193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0645">
      <w:bodyDiv w:val="1"/>
      <w:marLeft w:val="0"/>
      <w:marRight w:val="0"/>
      <w:marTop w:val="0"/>
      <w:marBottom w:val="0"/>
      <w:divBdr>
        <w:top w:val="none" w:sz="0" w:space="0" w:color="auto"/>
        <w:left w:val="none" w:sz="0" w:space="0" w:color="auto"/>
        <w:bottom w:val="none" w:sz="0" w:space="0" w:color="auto"/>
        <w:right w:val="none" w:sz="0" w:space="0" w:color="auto"/>
      </w:divBdr>
      <w:divsChild>
        <w:div w:id="1162040327">
          <w:marLeft w:val="0"/>
          <w:marRight w:val="0"/>
          <w:marTop w:val="0"/>
          <w:marBottom w:val="0"/>
          <w:divBdr>
            <w:top w:val="none" w:sz="0" w:space="0" w:color="auto"/>
            <w:left w:val="single" w:sz="6" w:space="0" w:color="BBBBBB"/>
            <w:bottom w:val="single" w:sz="6" w:space="0" w:color="BBBBBB"/>
            <w:right w:val="single" w:sz="6" w:space="0" w:color="BBBBBB"/>
          </w:divBdr>
          <w:divsChild>
            <w:div w:id="895510514">
              <w:marLeft w:val="0"/>
              <w:marRight w:val="0"/>
              <w:marTop w:val="0"/>
              <w:marBottom w:val="0"/>
              <w:divBdr>
                <w:top w:val="none" w:sz="0" w:space="0" w:color="auto"/>
                <w:left w:val="none" w:sz="0" w:space="0" w:color="auto"/>
                <w:bottom w:val="none" w:sz="0" w:space="0" w:color="auto"/>
                <w:right w:val="none" w:sz="0" w:space="0" w:color="auto"/>
              </w:divBdr>
              <w:divsChild>
                <w:div w:id="375128986">
                  <w:marLeft w:val="0"/>
                  <w:marRight w:val="0"/>
                  <w:marTop w:val="0"/>
                  <w:marBottom w:val="0"/>
                  <w:divBdr>
                    <w:top w:val="none" w:sz="0" w:space="0" w:color="auto"/>
                    <w:left w:val="none" w:sz="0" w:space="0" w:color="auto"/>
                    <w:bottom w:val="none" w:sz="0" w:space="0" w:color="auto"/>
                    <w:right w:val="none" w:sz="0" w:space="0" w:color="auto"/>
                  </w:divBdr>
                  <w:divsChild>
                    <w:div w:id="661742803">
                      <w:marLeft w:val="0"/>
                      <w:marRight w:val="0"/>
                      <w:marTop w:val="0"/>
                      <w:marBottom w:val="0"/>
                      <w:divBdr>
                        <w:top w:val="none" w:sz="0" w:space="0" w:color="auto"/>
                        <w:left w:val="none" w:sz="0" w:space="0" w:color="auto"/>
                        <w:bottom w:val="none" w:sz="0" w:space="0" w:color="auto"/>
                        <w:right w:val="none" w:sz="0" w:space="0" w:color="auto"/>
                      </w:divBdr>
                      <w:divsChild>
                        <w:div w:id="576476597">
                          <w:marLeft w:val="0"/>
                          <w:marRight w:val="0"/>
                          <w:marTop w:val="0"/>
                          <w:marBottom w:val="0"/>
                          <w:divBdr>
                            <w:top w:val="none" w:sz="0" w:space="0" w:color="auto"/>
                            <w:left w:val="none" w:sz="0" w:space="0" w:color="auto"/>
                            <w:bottom w:val="none" w:sz="0" w:space="0" w:color="auto"/>
                            <w:right w:val="none" w:sz="0" w:space="0" w:color="auto"/>
                          </w:divBdr>
                          <w:divsChild>
                            <w:div w:id="90245388">
                              <w:marLeft w:val="0"/>
                              <w:marRight w:val="0"/>
                              <w:marTop w:val="0"/>
                              <w:marBottom w:val="0"/>
                              <w:divBdr>
                                <w:top w:val="none" w:sz="0" w:space="0" w:color="auto"/>
                                <w:left w:val="none" w:sz="0" w:space="0" w:color="auto"/>
                                <w:bottom w:val="none" w:sz="0" w:space="0" w:color="auto"/>
                                <w:right w:val="none" w:sz="0" w:space="0" w:color="auto"/>
                              </w:divBdr>
                              <w:divsChild>
                                <w:div w:id="930965858">
                                  <w:marLeft w:val="0"/>
                                  <w:marRight w:val="0"/>
                                  <w:marTop w:val="0"/>
                                  <w:marBottom w:val="0"/>
                                  <w:divBdr>
                                    <w:top w:val="none" w:sz="0" w:space="0" w:color="auto"/>
                                    <w:left w:val="none" w:sz="0" w:space="0" w:color="auto"/>
                                    <w:bottom w:val="none" w:sz="0" w:space="0" w:color="auto"/>
                                    <w:right w:val="none" w:sz="0" w:space="0" w:color="auto"/>
                                  </w:divBdr>
                                  <w:divsChild>
                                    <w:div w:id="1537698278">
                                      <w:marLeft w:val="0"/>
                                      <w:marRight w:val="0"/>
                                      <w:marTop w:val="0"/>
                                      <w:marBottom w:val="0"/>
                                      <w:divBdr>
                                        <w:top w:val="none" w:sz="0" w:space="0" w:color="auto"/>
                                        <w:left w:val="none" w:sz="0" w:space="0" w:color="auto"/>
                                        <w:bottom w:val="none" w:sz="0" w:space="0" w:color="auto"/>
                                        <w:right w:val="none" w:sz="0" w:space="0" w:color="auto"/>
                                      </w:divBdr>
                                      <w:divsChild>
                                        <w:div w:id="557975398">
                                          <w:marLeft w:val="1200"/>
                                          <w:marRight w:val="1200"/>
                                          <w:marTop w:val="0"/>
                                          <w:marBottom w:val="0"/>
                                          <w:divBdr>
                                            <w:top w:val="none" w:sz="0" w:space="0" w:color="auto"/>
                                            <w:left w:val="none" w:sz="0" w:space="0" w:color="auto"/>
                                            <w:bottom w:val="none" w:sz="0" w:space="0" w:color="auto"/>
                                            <w:right w:val="none" w:sz="0" w:space="0" w:color="auto"/>
                                          </w:divBdr>
                                          <w:divsChild>
                                            <w:div w:id="284430641">
                                              <w:marLeft w:val="0"/>
                                              <w:marRight w:val="0"/>
                                              <w:marTop w:val="0"/>
                                              <w:marBottom w:val="0"/>
                                              <w:divBdr>
                                                <w:top w:val="none" w:sz="0" w:space="0" w:color="auto"/>
                                                <w:left w:val="none" w:sz="0" w:space="0" w:color="auto"/>
                                                <w:bottom w:val="none" w:sz="0" w:space="0" w:color="auto"/>
                                                <w:right w:val="none" w:sz="0" w:space="0" w:color="auto"/>
                                              </w:divBdr>
                                              <w:divsChild>
                                                <w:div w:id="1029915636">
                                                  <w:marLeft w:val="0"/>
                                                  <w:marRight w:val="0"/>
                                                  <w:marTop w:val="0"/>
                                                  <w:marBottom w:val="0"/>
                                                  <w:divBdr>
                                                    <w:top w:val="none" w:sz="0" w:space="0" w:color="auto"/>
                                                    <w:left w:val="none" w:sz="0" w:space="0" w:color="auto"/>
                                                    <w:bottom w:val="none" w:sz="0" w:space="0" w:color="auto"/>
                                                    <w:right w:val="none" w:sz="0" w:space="0" w:color="auto"/>
                                                  </w:divBdr>
                                                  <w:divsChild>
                                                    <w:div w:id="713963916">
                                                      <w:marLeft w:val="0"/>
                                                      <w:marRight w:val="0"/>
                                                      <w:marTop w:val="0"/>
                                                      <w:marBottom w:val="0"/>
                                                      <w:divBdr>
                                                        <w:top w:val="none" w:sz="0" w:space="0" w:color="auto"/>
                                                        <w:left w:val="none" w:sz="0" w:space="0" w:color="auto"/>
                                                        <w:bottom w:val="none" w:sz="0" w:space="0" w:color="auto"/>
                                                        <w:right w:val="none" w:sz="0" w:space="0" w:color="auto"/>
                                                      </w:divBdr>
                                                      <w:divsChild>
                                                        <w:div w:id="9704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4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ICR?ref_nbr=201311-306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1696</Words>
  <Characters>9274</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10985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2014-11-26T14:47:00Z</cp:lastPrinted>
  <dcterms:created xsi:type="dcterms:W3CDTF">2014-11-26T17:53:00Z</dcterms:created>
  <dcterms:modified xsi:type="dcterms:W3CDTF">2014-11-26T17:53:00Z</dcterms:modified>
  <cp:category> </cp:category>
  <cp:contentStatus> </cp:contentStatus>
</cp:coreProperties>
</file>