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D" w:rsidRPr="00720071" w:rsidRDefault="00DA414D" w:rsidP="006D5616">
      <w:pPr>
        <w:spacing w:after="120"/>
        <w:jc w:val="right"/>
        <w:rPr>
          <w:b/>
          <w:sz w:val="22"/>
          <w:szCs w:val="22"/>
        </w:rPr>
      </w:pPr>
      <w:bookmarkStart w:id="0" w:name="_GoBack"/>
      <w:bookmarkEnd w:id="0"/>
      <w:r w:rsidRPr="00720071">
        <w:rPr>
          <w:b/>
          <w:sz w:val="22"/>
          <w:szCs w:val="22"/>
        </w:rPr>
        <w:t>DA 1</w:t>
      </w:r>
      <w:r w:rsidR="00D1689A" w:rsidRPr="00720071">
        <w:rPr>
          <w:b/>
          <w:sz w:val="22"/>
          <w:szCs w:val="22"/>
        </w:rPr>
        <w:t>4</w:t>
      </w:r>
      <w:r w:rsidRPr="00720071">
        <w:rPr>
          <w:b/>
          <w:sz w:val="22"/>
          <w:szCs w:val="22"/>
        </w:rPr>
        <w:t>-</w:t>
      </w:r>
      <w:r w:rsidR="000A1CC2">
        <w:rPr>
          <w:b/>
          <w:sz w:val="22"/>
          <w:szCs w:val="22"/>
        </w:rPr>
        <w:t>1710</w:t>
      </w:r>
    </w:p>
    <w:p w:rsidR="00DA414D" w:rsidRPr="00720071" w:rsidRDefault="00DA414D" w:rsidP="00D26D4B">
      <w:pPr>
        <w:jc w:val="right"/>
        <w:rPr>
          <w:b/>
          <w:sz w:val="22"/>
          <w:szCs w:val="22"/>
        </w:rPr>
      </w:pPr>
      <w:r w:rsidRPr="00720071">
        <w:rPr>
          <w:b/>
          <w:sz w:val="22"/>
          <w:szCs w:val="22"/>
        </w:rPr>
        <w:t xml:space="preserve">Released: </w:t>
      </w:r>
      <w:r w:rsidR="008279DC">
        <w:rPr>
          <w:b/>
          <w:sz w:val="22"/>
          <w:szCs w:val="22"/>
        </w:rPr>
        <w:t>November</w:t>
      </w:r>
      <w:r w:rsidR="00862A8A">
        <w:rPr>
          <w:b/>
          <w:sz w:val="22"/>
          <w:szCs w:val="22"/>
        </w:rPr>
        <w:t xml:space="preserve"> 25</w:t>
      </w:r>
      <w:r w:rsidRPr="00720071">
        <w:rPr>
          <w:b/>
          <w:sz w:val="22"/>
          <w:szCs w:val="22"/>
        </w:rPr>
        <w:t>, 201</w:t>
      </w:r>
      <w:r w:rsidR="00D1689A" w:rsidRPr="00720071">
        <w:rPr>
          <w:b/>
          <w:sz w:val="22"/>
          <w:szCs w:val="22"/>
        </w:rPr>
        <w:t>4</w:t>
      </w:r>
    </w:p>
    <w:p w:rsidR="00DA414D" w:rsidRPr="00720071" w:rsidRDefault="00DA414D" w:rsidP="00D26D4B">
      <w:pPr>
        <w:jc w:val="right"/>
        <w:rPr>
          <w:sz w:val="22"/>
          <w:szCs w:val="22"/>
        </w:rPr>
      </w:pPr>
    </w:p>
    <w:p w:rsidR="00DA414D" w:rsidRPr="00720071" w:rsidRDefault="00A168BA" w:rsidP="00D26D4B">
      <w:pPr>
        <w:pStyle w:val="Caption"/>
        <w:contextualSpacing/>
        <w:jc w:val="center"/>
        <w:rPr>
          <w:szCs w:val="22"/>
        </w:rPr>
      </w:pPr>
      <w:r>
        <w:rPr>
          <w:szCs w:val="22"/>
        </w:rPr>
        <w:t xml:space="preserve">WIRELINE COMPETITION BUREAU </w:t>
      </w:r>
      <w:r w:rsidR="00197CCC">
        <w:rPr>
          <w:szCs w:val="22"/>
        </w:rPr>
        <w:t xml:space="preserve">EXTENDS </w:t>
      </w:r>
      <w:r>
        <w:rPr>
          <w:szCs w:val="22"/>
        </w:rPr>
        <w:t xml:space="preserve">DEADLINE FOR FILING </w:t>
      </w:r>
      <w:r w:rsidR="00CB3FDF">
        <w:rPr>
          <w:szCs w:val="22"/>
        </w:rPr>
        <w:t xml:space="preserve">REPLY </w:t>
      </w:r>
      <w:r w:rsidR="004F3EDD" w:rsidRPr="00720071">
        <w:rPr>
          <w:szCs w:val="22"/>
        </w:rPr>
        <w:t>COMMENT</w:t>
      </w:r>
      <w:r>
        <w:rPr>
          <w:szCs w:val="22"/>
        </w:rPr>
        <w:t>S</w:t>
      </w:r>
      <w:r w:rsidR="004F3EDD" w:rsidRPr="00720071">
        <w:rPr>
          <w:szCs w:val="22"/>
        </w:rPr>
        <w:t xml:space="preserve"> </w:t>
      </w:r>
      <w:r>
        <w:rPr>
          <w:szCs w:val="22"/>
        </w:rPr>
        <w:t xml:space="preserve">REGARDING NEUSTAR, INC.’S </w:t>
      </w:r>
      <w:r w:rsidR="00F54E34">
        <w:rPr>
          <w:szCs w:val="22"/>
        </w:rPr>
        <w:t>PETITIONS FOR DECLARATORY</w:t>
      </w:r>
      <w:r>
        <w:rPr>
          <w:szCs w:val="22"/>
        </w:rPr>
        <w:t xml:space="preserve"> RULING</w:t>
      </w:r>
    </w:p>
    <w:p w:rsidR="00E7391B" w:rsidRPr="00720071" w:rsidRDefault="00E7391B" w:rsidP="00D26D4B">
      <w:pPr>
        <w:rPr>
          <w:sz w:val="22"/>
          <w:szCs w:val="22"/>
        </w:rPr>
      </w:pPr>
    </w:p>
    <w:p w:rsidR="009A229A" w:rsidRDefault="0069365C" w:rsidP="00D26D4B">
      <w:pPr>
        <w:jc w:val="center"/>
      </w:pPr>
      <w:r w:rsidRPr="00720071">
        <w:rPr>
          <w:b/>
          <w:sz w:val="22"/>
          <w:szCs w:val="22"/>
        </w:rPr>
        <w:t>WC</w:t>
      </w:r>
      <w:r w:rsidR="00A71787" w:rsidRPr="00720071">
        <w:rPr>
          <w:b/>
          <w:sz w:val="22"/>
          <w:szCs w:val="22"/>
        </w:rPr>
        <w:t xml:space="preserve"> Docket No.</w:t>
      </w:r>
      <w:r w:rsidRPr="00720071">
        <w:rPr>
          <w:b/>
          <w:sz w:val="22"/>
          <w:szCs w:val="22"/>
        </w:rPr>
        <w:t xml:space="preserve"> 09-109</w:t>
      </w:r>
    </w:p>
    <w:p w:rsidR="00612D4D" w:rsidRPr="00720071" w:rsidRDefault="009A229A" w:rsidP="00D26D4B">
      <w:pPr>
        <w:jc w:val="center"/>
        <w:rPr>
          <w:b/>
          <w:sz w:val="22"/>
          <w:szCs w:val="22"/>
        </w:rPr>
      </w:pPr>
      <w:r w:rsidRPr="009A229A">
        <w:rPr>
          <w:b/>
          <w:sz w:val="22"/>
          <w:szCs w:val="22"/>
        </w:rPr>
        <w:t>CC Docket No. 95-116</w:t>
      </w:r>
    </w:p>
    <w:p w:rsidR="00716AB0" w:rsidRPr="00720071" w:rsidRDefault="00716AB0" w:rsidP="00D26D4B">
      <w:pPr>
        <w:jc w:val="center"/>
        <w:rPr>
          <w:b/>
          <w:sz w:val="22"/>
          <w:szCs w:val="22"/>
        </w:rPr>
      </w:pPr>
    </w:p>
    <w:p w:rsidR="00716AB0" w:rsidRPr="00720071" w:rsidRDefault="00861D98" w:rsidP="00D26D4B">
      <w:pPr>
        <w:rPr>
          <w:b/>
          <w:sz w:val="22"/>
          <w:szCs w:val="22"/>
        </w:rPr>
      </w:pPr>
      <w:r w:rsidRPr="00720071">
        <w:rPr>
          <w:b/>
          <w:sz w:val="22"/>
          <w:szCs w:val="22"/>
        </w:rPr>
        <w:t xml:space="preserve">Reply </w:t>
      </w:r>
      <w:r w:rsidR="003C7AF3">
        <w:rPr>
          <w:b/>
          <w:sz w:val="22"/>
          <w:szCs w:val="22"/>
        </w:rPr>
        <w:t xml:space="preserve">Comment </w:t>
      </w:r>
      <w:r w:rsidRPr="00720071">
        <w:rPr>
          <w:b/>
          <w:sz w:val="22"/>
          <w:szCs w:val="22"/>
        </w:rPr>
        <w:t>Date:</w:t>
      </w:r>
      <w:r w:rsidR="00243985">
        <w:rPr>
          <w:b/>
          <w:sz w:val="22"/>
          <w:szCs w:val="22"/>
        </w:rPr>
        <w:t xml:space="preserve">  </w:t>
      </w:r>
      <w:r w:rsidR="00F54E34">
        <w:rPr>
          <w:b/>
          <w:sz w:val="22"/>
          <w:szCs w:val="22"/>
        </w:rPr>
        <w:t>December 3</w:t>
      </w:r>
      <w:r w:rsidRPr="00720071">
        <w:rPr>
          <w:b/>
          <w:sz w:val="22"/>
          <w:szCs w:val="22"/>
        </w:rPr>
        <w:t>, 2014</w:t>
      </w:r>
    </w:p>
    <w:p w:rsidR="00161046" w:rsidRPr="00720071" w:rsidRDefault="00BD4A65" w:rsidP="00D26D4B">
      <w:pPr>
        <w:jc w:val="center"/>
        <w:rPr>
          <w:b/>
          <w:sz w:val="22"/>
          <w:szCs w:val="22"/>
        </w:rPr>
      </w:pPr>
      <w:r w:rsidRPr="00720071">
        <w:rPr>
          <w:b/>
          <w:sz w:val="22"/>
          <w:szCs w:val="22"/>
        </w:rPr>
        <w:t xml:space="preserve"> </w:t>
      </w:r>
      <w:r w:rsidR="00DA414D" w:rsidRPr="00720071">
        <w:rPr>
          <w:b/>
          <w:sz w:val="22"/>
          <w:szCs w:val="22"/>
        </w:rPr>
        <w:t xml:space="preserve"> </w:t>
      </w:r>
    </w:p>
    <w:p w:rsidR="0086326B" w:rsidRDefault="0086326B" w:rsidP="00732542">
      <w:pPr>
        <w:ind w:firstLine="720"/>
        <w:rPr>
          <w:iCs/>
          <w:sz w:val="22"/>
          <w:szCs w:val="22"/>
        </w:rPr>
      </w:pPr>
      <w:r>
        <w:rPr>
          <w:sz w:val="22"/>
          <w:szCs w:val="22"/>
        </w:rPr>
        <w:t xml:space="preserve">By this </w:t>
      </w:r>
      <w:r w:rsidRPr="002620FE">
        <w:rPr>
          <w:sz w:val="22"/>
          <w:szCs w:val="22"/>
        </w:rPr>
        <w:t>Public Notice</w:t>
      </w:r>
      <w:r>
        <w:rPr>
          <w:sz w:val="22"/>
          <w:szCs w:val="22"/>
        </w:rPr>
        <w:t xml:space="preserve">, the </w:t>
      </w:r>
      <w:r w:rsidR="00A168BA">
        <w:rPr>
          <w:sz w:val="22"/>
          <w:szCs w:val="22"/>
        </w:rPr>
        <w:t>Wireline Competition Bureau, on its own motion,</w:t>
      </w:r>
      <w:r>
        <w:rPr>
          <w:sz w:val="22"/>
          <w:szCs w:val="22"/>
        </w:rPr>
        <w:t xml:space="preserve"> extends the </w:t>
      </w:r>
      <w:r w:rsidR="00CB3FDF">
        <w:rPr>
          <w:sz w:val="22"/>
          <w:szCs w:val="22"/>
        </w:rPr>
        <w:t>reply comment filing deadline</w:t>
      </w:r>
      <w:r>
        <w:rPr>
          <w:sz w:val="22"/>
          <w:szCs w:val="22"/>
        </w:rPr>
        <w:t xml:space="preserve"> on the </w:t>
      </w:r>
      <w:r w:rsidR="00F54E34">
        <w:rPr>
          <w:sz w:val="22"/>
          <w:szCs w:val="22"/>
        </w:rPr>
        <w:t>petitions for declaratory ruling filed by Neustar, Inc. (Neustar) in</w:t>
      </w:r>
      <w:r>
        <w:rPr>
          <w:sz w:val="22"/>
          <w:szCs w:val="22"/>
        </w:rPr>
        <w:t xml:space="preserve"> </w:t>
      </w:r>
      <w:r w:rsidR="002620FE" w:rsidRPr="00D37B7E">
        <w:rPr>
          <w:sz w:val="22"/>
          <w:szCs w:val="22"/>
        </w:rPr>
        <w:t>the above-</w:t>
      </w:r>
      <w:r w:rsidR="00A168BA">
        <w:rPr>
          <w:sz w:val="22"/>
          <w:szCs w:val="22"/>
        </w:rPr>
        <w:t>docketed</w:t>
      </w:r>
      <w:r w:rsidR="002620FE" w:rsidRPr="00D37B7E">
        <w:rPr>
          <w:sz w:val="22"/>
          <w:szCs w:val="22"/>
        </w:rPr>
        <w:t xml:space="preserve"> proceeding</w:t>
      </w:r>
      <w:r w:rsidR="00223F43">
        <w:rPr>
          <w:sz w:val="22"/>
          <w:szCs w:val="22"/>
        </w:rPr>
        <w:t>.  The extension will</w:t>
      </w:r>
      <w:r>
        <w:rPr>
          <w:sz w:val="22"/>
          <w:szCs w:val="22"/>
        </w:rPr>
        <w:t xml:space="preserve"> allow parties</w:t>
      </w:r>
      <w:r w:rsidR="00BA6A65">
        <w:rPr>
          <w:sz w:val="22"/>
          <w:szCs w:val="22"/>
        </w:rPr>
        <w:t xml:space="preserve"> </w:t>
      </w:r>
      <w:r w:rsidR="00F54E34">
        <w:rPr>
          <w:sz w:val="22"/>
          <w:szCs w:val="22"/>
        </w:rPr>
        <w:t>more time to re</w:t>
      </w:r>
      <w:r w:rsidR="00223F43">
        <w:rPr>
          <w:sz w:val="22"/>
          <w:szCs w:val="22"/>
        </w:rPr>
        <w:t>ply</w:t>
      </w:r>
      <w:r w:rsidR="00F54E34">
        <w:rPr>
          <w:sz w:val="22"/>
          <w:szCs w:val="22"/>
        </w:rPr>
        <w:t xml:space="preserve"> to </w:t>
      </w:r>
      <w:r w:rsidR="00223F43">
        <w:rPr>
          <w:sz w:val="22"/>
          <w:szCs w:val="22"/>
        </w:rPr>
        <w:t xml:space="preserve">comments </w:t>
      </w:r>
      <w:r w:rsidR="00F54E34">
        <w:rPr>
          <w:sz w:val="22"/>
          <w:szCs w:val="22"/>
        </w:rPr>
        <w:t>on Neustar’s petitions</w:t>
      </w:r>
      <w:r w:rsidR="00223F43">
        <w:rPr>
          <w:sz w:val="22"/>
          <w:szCs w:val="22"/>
        </w:rPr>
        <w:t>, and reflects the upcoming federal holiday</w:t>
      </w:r>
      <w:r w:rsidR="00D228EF" w:rsidRPr="00720071">
        <w:rPr>
          <w:iCs/>
          <w:sz w:val="22"/>
          <w:szCs w:val="22"/>
        </w:rPr>
        <w:t>.</w:t>
      </w:r>
      <w:r w:rsidR="002F1BEE" w:rsidRPr="00720071">
        <w:rPr>
          <w:rStyle w:val="FootnoteReference"/>
          <w:iCs/>
          <w:sz w:val="22"/>
          <w:szCs w:val="22"/>
        </w:rPr>
        <w:footnoteReference w:id="1"/>
      </w:r>
      <w:r w:rsidR="00DD7615">
        <w:rPr>
          <w:sz w:val="22"/>
          <w:szCs w:val="22"/>
        </w:rPr>
        <w:t xml:space="preserve"> </w:t>
      </w:r>
      <w:r w:rsidR="00696F5A">
        <w:rPr>
          <w:sz w:val="22"/>
          <w:szCs w:val="22"/>
        </w:rPr>
        <w:t xml:space="preserve"> </w:t>
      </w:r>
      <w:r w:rsidR="00732542">
        <w:rPr>
          <w:sz w:val="22"/>
          <w:szCs w:val="22"/>
        </w:rPr>
        <w:t>Interest</w:t>
      </w:r>
      <w:r w:rsidR="00687E8D">
        <w:rPr>
          <w:sz w:val="22"/>
          <w:szCs w:val="22"/>
        </w:rPr>
        <w:t xml:space="preserve">ed </w:t>
      </w:r>
      <w:r w:rsidR="00F54E34">
        <w:rPr>
          <w:sz w:val="22"/>
          <w:szCs w:val="22"/>
        </w:rPr>
        <w:t>parties now have until December 3</w:t>
      </w:r>
      <w:r w:rsidR="00732542">
        <w:rPr>
          <w:sz w:val="22"/>
          <w:szCs w:val="22"/>
        </w:rPr>
        <w:t>, 2014 to file reply comments.</w:t>
      </w:r>
    </w:p>
    <w:p w:rsidR="00E14A4F" w:rsidRPr="00720071" w:rsidRDefault="00E14A4F" w:rsidP="00732542">
      <w:pPr>
        <w:rPr>
          <w:sz w:val="22"/>
          <w:szCs w:val="22"/>
        </w:rPr>
      </w:pPr>
    </w:p>
    <w:p w:rsidR="00FB7826" w:rsidRPr="00720071" w:rsidRDefault="00FB7826" w:rsidP="00D26D4B">
      <w:pPr>
        <w:tabs>
          <w:tab w:val="num" w:pos="1440"/>
        </w:tabs>
        <w:rPr>
          <w:snapToGrid w:val="0"/>
          <w:kern w:val="28"/>
          <w:sz w:val="22"/>
          <w:szCs w:val="22"/>
        </w:rPr>
      </w:pPr>
      <w:r w:rsidRPr="00720071">
        <w:rPr>
          <w:kern w:val="28"/>
          <w:sz w:val="22"/>
          <w:szCs w:val="22"/>
          <w:u w:val="single"/>
        </w:rPr>
        <w:t>Filing Instructions</w:t>
      </w:r>
      <w:r w:rsidRPr="00720071">
        <w:rPr>
          <w:kern w:val="28"/>
          <w:sz w:val="22"/>
          <w:szCs w:val="22"/>
        </w:rPr>
        <w:t xml:space="preserve">.  </w:t>
      </w:r>
      <w:bookmarkStart w:id="1" w:name="_Ref378878508"/>
      <w:r w:rsidRPr="00720071">
        <w:rPr>
          <w:snapToGrid w:val="0"/>
          <w:kern w:val="28"/>
          <w:sz w:val="22"/>
          <w:szCs w:val="22"/>
        </w:rPr>
        <w:t>Pursuant to section</w:t>
      </w:r>
      <w:r w:rsidR="002620FE">
        <w:rPr>
          <w:snapToGrid w:val="0"/>
          <w:kern w:val="28"/>
          <w:sz w:val="22"/>
          <w:szCs w:val="22"/>
        </w:rPr>
        <w:t>s 1.415 and</w:t>
      </w:r>
      <w:r w:rsidRPr="00720071">
        <w:rPr>
          <w:snapToGrid w:val="0"/>
          <w:kern w:val="28"/>
          <w:sz w:val="22"/>
          <w:szCs w:val="22"/>
        </w:rPr>
        <w:t xml:space="preserve"> 1.419 of the Commission’s rules,</w:t>
      </w:r>
      <w:r w:rsidR="00CD479E">
        <w:rPr>
          <w:rStyle w:val="FootnoteReference"/>
          <w:snapToGrid w:val="0"/>
          <w:kern w:val="28"/>
          <w:sz w:val="22"/>
          <w:szCs w:val="22"/>
        </w:rPr>
        <w:footnoteReference w:id="2"/>
      </w:r>
      <w:r w:rsidRPr="00720071">
        <w:rPr>
          <w:snapToGrid w:val="0"/>
          <w:kern w:val="28"/>
          <w:sz w:val="22"/>
          <w:szCs w:val="22"/>
        </w:rPr>
        <w:t xml:space="preserve"> interested parties may file reply comments on or before the date</w:t>
      </w:r>
      <w:r w:rsidR="00141292">
        <w:rPr>
          <w:snapToGrid w:val="0"/>
          <w:kern w:val="28"/>
          <w:sz w:val="22"/>
          <w:szCs w:val="22"/>
        </w:rPr>
        <w:t>s</w:t>
      </w:r>
      <w:r w:rsidRPr="00720071">
        <w:rPr>
          <w:snapToGrid w:val="0"/>
          <w:kern w:val="28"/>
          <w:sz w:val="22"/>
          <w:szCs w:val="22"/>
        </w:rPr>
        <w:t xml:space="preserve"> indicated above.  </w:t>
      </w:r>
      <w:r w:rsidR="009D2D65">
        <w:rPr>
          <w:snapToGrid w:val="0"/>
          <w:kern w:val="28"/>
          <w:sz w:val="22"/>
          <w:szCs w:val="22"/>
        </w:rPr>
        <w:t>Reply c</w:t>
      </w:r>
      <w:r w:rsidRPr="00720071">
        <w:rPr>
          <w:snapToGrid w:val="0"/>
          <w:kern w:val="28"/>
          <w:sz w:val="22"/>
          <w:szCs w:val="22"/>
        </w:rPr>
        <w:t>omments may be filed using the Commission’s Electronic Comment Filing System (ECFS)</w:t>
      </w:r>
      <w:r w:rsidR="00CD479E">
        <w:rPr>
          <w:snapToGrid w:val="0"/>
          <w:kern w:val="28"/>
          <w:sz w:val="22"/>
          <w:szCs w:val="22"/>
        </w:rPr>
        <w:t>, or by filing paper copies</w:t>
      </w:r>
      <w:r w:rsidRPr="00720071">
        <w:rPr>
          <w:snapToGrid w:val="0"/>
          <w:kern w:val="28"/>
          <w:sz w:val="22"/>
          <w:szCs w:val="22"/>
        </w:rPr>
        <w:t>.</w:t>
      </w:r>
      <w:r w:rsidR="00CD479E">
        <w:rPr>
          <w:rStyle w:val="FootnoteReference"/>
          <w:snapToGrid w:val="0"/>
          <w:kern w:val="28"/>
          <w:sz w:val="22"/>
          <w:szCs w:val="22"/>
        </w:rPr>
        <w:footnoteReference w:id="3"/>
      </w:r>
      <w:r w:rsidRPr="00720071">
        <w:rPr>
          <w:snapToGrid w:val="0"/>
          <w:kern w:val="28"/>
          <w:sz w:val="22"/>
          <w:szCs w:val="22"/>
        </w:rPr>
        <w:t xml:space="preserve">  </w:t>
      </w:r>
      <w:bookmarkEnd w:id="1"/>
    </w:p>
    <w:p w:rsidR="00FB7826" w:rsidRPr="00720071" w:rsidRDefault="00FB7826" w:rsidP="00D26D4B">
      <w:pPr>
        <w:tabs>
          <w:tab w:val="num" w:pos="1440"/>
        </w:tabs>
        <w:ind w:firstLine="720"/>
        <w:rPr>
          <w:snapToGrid w:val="0"/>
          <w:kern w:val="28"/>
          <w:sz w:val="22"/>
          <w:szCs w:val="22"/>
        </w:rPr>
      </w:pPr>
    </w:p>
    <w:p w:rsidR="001D06FC" w:rsidRPr="00720071" w:rsidRDefault="00FB7826" w:rsidP="001D06FC">
      <w:pPr>
        <w:numPr>
          <w:ilvl w:val="0"/>
          <w:numId w:val="18"/>
        </w:numPr>
        <w:spacing w:after="240"/>
        <w:rPr>
          <w:snapToGrid w:val="0"/>
          <w:kern w:val="28"/>
          <w:sz w:val="22"/>
          <w:szCs w:val="22"/>
        </w:rPr>
      </w:pPr>
      <w:r w:rsidRPr="00720071">
        <w:rPr>
          <w:snapToGrid w:val="0"/>
          <w:kern w:val="28"/>
          <w:sz w:val="22"/>
          <w:szCs w:val="22"/>
        </w:rPr>
        <w:t xml:space="preserve">Electronic Filers:  Comments may be filed electronically using the Internet by accessing the ECFS:  </w:t>
      </w:r>
      <w:hyperlink r:id="rId8" w:history="1">
        <w:r w:rsidRPr="00720071">
          <w:rPr>
            <w:snapToGrid w:val="0"/>
            <w:color w:val="0000FF"/>
            <w:kern w:val="28"/>
            <w:sz w:val="22"/>
            <w:szCs w:val="22"/>
            <w:u w:val="single"/>
          </w:rPr>
          <w:t>http://fjallfoss.fcc.gov/ecfs2/</w:t>
        </w:r>
      </w:hyperlink>
      <w:r w:rsidRPr="00720071">
        <w:rPr>
          <w:snapToGrid w:val="0"/>
          <w:kern w:val="28"/>
          <w:sz w:val="22"/>
          <w:szCs w:val="22"/>
        </w:rPr>
        <w:t>.</w:t>
      </w:r>
    </w:p>
    <w:p w:rsidR="00FB7826" w:rsidRPr="00E240AF" w:rsidRDefault="00FB7826" w:rsidP="00D26D4B">
      <w:pPr>
        <w:numPr>
          <w:ilvl w:val="0"/>
          <w:numId w:val="18"/>
        </w:numPr>
        <w:spacing w:after="240"/>
        <w:rPr>
          <w:snapToGrid w:val="0"/>
          <w:kern w:val="28"/>
          <w:sz w:val="22"/>
          <w:szCs w:val="22"/>
        </w:rPr>
      </w:pPr>
      <w:r w:rsidRPr="00E240AF">
        <w:rPr>
          <w:snapToGrid w:val="0"/>
          <w:kern w:val="28"/>
          <w:sz w:val="22"/>
          <w:szCs w:val="22"/>
        </w:rPr>
        <w:t xml:space="preserve">Paper Filers:  Parties who choose to file by paper </w:t>
      </w:r>
      <w:r w:rsidR="003F1005" w:rsidRPr="00E240AF">
        <w:rPr>
          <w:snapToGrid w:val="0"/>
          <w:kern w:val="28"/>
          <w:sz w:val="22"/>
          <w:szCs w:val="22"/>
        </w:rPr>
        <w:t xml:space="preserve">must file an original and </w:t>
      </w:r>
      <w:r w:rsidRPr="00E240AF">
        <w:rPr>
          <w:snapToGrid w:val="0"/>
          <w:kern w:val="28"/>
          <w:sz w:val="22"/>
          <w:szCs w:val="22"/>
        </w:rPr>
        <w:t xml:space="preserve">one copy of each filing.  </w:t>
      </w:r>
      <w:r w:rsidR="007E587C" w:rsidRPr="00E240AF">
        <w:rPr>
          <w:snapToGrid w:val="0"/>
          <w:kern w:val="28"/>
          <w:sz w:val="22"/>
          <w:szCs w:val="22"/>
        </w:rPr>
        <w:t>Because</w:t>
      </w:r>
      <w:r w:rsidRPr="00E240AF">
        <w:rPr>
          <w:snapToGrid w:val="0"/>
          <w:kern w:val="28"/>
          <w:sz w:val="22"/>
          <w:szCs w:val="22"/>
        </w:rPr>
        <w:t xml:space="preserve"> more than one docket number appears in the caption of this proceeding, filers must submit two additional copies for each additional docket number.</w:t>
      </w:r>
      <w:r w:rsidR="007E587C" w:rsidRPr="00E240AF">
        <w:rPr>
          <w:snapToGrid w:val="0"/>
          <w:kern w:val="28"/>
          <w:sz w:val="22"/>
          <w:szCs w:val="22"/>
        </w:rPr>
        <w:t xml:space="preserve">  </w:t>
      </w:r>
      <w:r w:rsidRPr="00E240AF">
        <w:rPr>
          <w:snapToGrid w:val="0"/>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lastRenderedPageBreak/>
        <w:t>All hand-delivered or messenger-delivered paper filings for the Commission’s Secretary must be delivered to FCC Headquarters at 445 12</w:t>
      </w:r>
      <w:r w:rsidRPr="00720071">
        <w:rPr>
          <w:snapToGrid w:val="0"/>
          <w:kern w:val="28"/>
          <w:sz w:val="22"/>
          <w:szCs w:val="22"/>
          <w:vertAlign w:val="superscript"/>
        </w:rPr>
        <w:t>th</w:t>
      </w:r>
      <w:r w:rsidRPr="00720071">
        <w:rPr>
          <w:snapToGrid w:val="0"/>
          <w:kern w:val="28"/>
          <w:sz w:val="22"/>
          <w:szCs w:val="22"/>
        </w:rPr>
        <w:t xml:space="preserve"> St., SW, Room TW-A325, Washington, DC 20554.  The filing hours are 8:00 a.m. to 7:00 p.m.   All hand deliveries must be held together with rubber bands or fasteners.  Any envelopes and boxes must be disposed of </w:t>
      </w:r>
      <w:r w:rsidRPr="00720071">
        <w:rPr>
          <w:snapToGrid w:val="0"/>
          <w:kern w:val="28"/>
          <w:sz w:val="22"/>
          <w:szCs w:val="22"/>
          <w:u w:val="single"/>
        </w:rPr>
        <w:t>before</w:t>
      </w:r>
      <w:r w:rsidRPr="00720071">
        <w:rPr>
          <w:snapToGrid w:val="0"/>
          <w:kern w:val="28"/>
          <w:sz w:val="22"/>
          <w:szCs w:val="22"/>
        </w:rPr>
        <w:t xml:space="preserve"> entering the building.  </w:t>
      </w:r>
    </w:p>
    <w:p w:rsidR="00FB7826" w:rsidRPr="00720071" w:rsidRDefault="00FB7826" w:rsidP="00D26D4B">
      <w:pPr>
        <w:ind w:left="1080"/>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Commercial overnight mail (other than U.S. Postal Service Express Mail and Priority Mail) must be sent to 9300 East Hampton Drive, Capitol Heights, MD  20743.</w:t>
      </w:r>
    </w:p>
    <w:p w:rsidR="00FB7826" w:rsidRPr="00720071" w:rsidRDefault="00FB7826" w:rsidP="00D26D4B">
      <w:pPr>
        <w:rPr>
          <w:snapToGrid w:val="0"/>
          <w:kern w:val="28"/>
          <w:sz w:val="22"/>
          <w:szCs w:val="22"/>
        </w:rPr>
      </w:pPr>
    </w:p>
    <w:p w:rsidR="00FB7826" w:rsidRPr="00720071" w:rsidRDefault="00FB7826" w:rsidP="00D26D4B">
      <w:pPr>
        <w:numPr>
          <w:ilvl w:val="0"/>
          <w:numId w:val="17"/>
        </w:numPr>
        <w:tabs>
          <w:tab w:val="num" w:pos="1440"/>
        </w:tabs>
        <w:ind w:left="1440"/>
        <w:rPr>
          <w:snapToGrid w:val="0"/>
          <w:kern w:val="28"/>
          <w:sz w:val="22"/>
          <w:szCs w:val="22"/>
        </w:rPr>
      </w:pPr>
      <w:r w:rsidRPr="00720071">
        <w:rPr>
          <w:snapToGrid w:val="0"/>
          <w:kern w:val="28"/>
          <w:sz w:val="22"/>
          <w:szCs w:val="22"/>
        </w:rPr>
        <w:t>U.S. Postal Service first-class, Express, and Priority mail must be addressed to 445 12</w:t>
      </w:r>
      <w:r w:rsidRPr="00720071">
        <w:rPr>
          <w:snapToGrid w:val="0"/>
          <w:kern w:val="28"/>
          <w:sz w:val="22"/>
          <w:szCs w:val="22"/>
          <w:vertAlign w:val="superscript"/>
        </w:rPr>
        <w:t>th</w:t>
      </w:r>
      <w:r w:rsidRPr="00720071">
        <w:rPr>
          <w:snapToGrid w:val="0"/>
          <w:kern w:val="28"/>
          <w:sz w:val="22"/>
          <w:szCs w:val="22"/>
        </w:rPr>
        <w:t xml:space="preserve"> Street, SW, Washington DC  20554.</w:t>
      </w:r>
    </w:p>
    <w:p w:rsidR="00FB7826" w:rsidRPr="00720071" w:rsidRDefault="00FB7826" w:rsidP="00D26D4B">
      <w:pPr>
        <w:rPr>
          <w:snapToGrid w:val="0"/>
          <w:kern w:val="28"/>
          <w:sz w:val="22"/>
          <w:szCs w:val="22"/>
        </w:rPr>
      </w:pPr>
    </w:p>
    <w:p w:rsidR="00FB7826" w:rsidRPr="00720071" w:rsidRDefault="00FB7826" w:rsidP="00D26D4B">
      <w:pPr>
        <w:ind w:firstLine="720"/>
        <w:rPr>
          <w:snapToGrid w:val="0"/>
          <w:kern w:val="28"/>
          <w:sz w:val="22"/>
          <w:szCs w:val="22"/>
        </w:rPr>
      </w:pPr>
      <w:r w:rsidRPr="00720071">
        <w:rPr>
          <w:snapToGrid w:val="0"/>
          <w:kern w:val="28"/>
          <w:sz w:val="22"/>
          <w:szCs w:val="22"/>
        </w:rPr>
        <w:t xml:space="preserve">People with Disabilities:  To request materials in accessible formats for people with disabilities (braille, large print, electronic files, audio format), send an e-mail to </w:t>
      </w:r>
      <w:r w:rsidRPr="00720071">
        <w:rPr>
          <w:snapToGrid w:val="0"/>
          <w:color w:val="0000FF"/>
          <w:kern w:val="28"/>
          <w:sz w:val="22"/>
          <w:szCs w:val="22"/>
          <w:u w:val="single"/>
        </w:rPr>
        <w:t>fcc504@fcc.gov</w:t>
      </w:r>
      <w:r w:rsidRPr="00720071">
        <w:rPr>
          <w:snapToGrid w:val="0"/>
          <w:kern w:val="28"/>
          <w:sz w:val="22"/>
          <w:szCs w:val="22"/>
        </w:rPr>
        <w:t xml:space="preserve"> or call the Consumer &amp; Governmental Affairs Bureau at 202-418-0530 (voice), 202-418-0432 (tty).</w:t>
      </w:r>
    </w:p>
    <w:p w:rsidR="00FB7826" w:rsidRPr="00720071" w:rsidRDefault="00FB7826" w:rsidP="00D26D4B">
      <w:pPr>
        <w:rPr>
          <w:snapToGrid w:val="0"/>
          <w:kern w:val="28"/>
          <w:sz w:val="22"/>
          <w:szCs w:val="22"/>
        </w:rPr>
      </w:pPr>
    </w:p>
    <w:p w:rsidR="00FB7826" w:rsidRPr="00720071" w:rsidRDefault="00963086" w:rsidP="00D26D4B">
      <w:pPr>
        <w:tabs>
          <w:tab w:val="num" w:pos="720"/>
        </w:tabs>
        <w:rPr>
          <w:rFonts w:eastAsiaTheme="majorEastAsia" w:cstheme="majorBidi"/>
          <w:sz w:val="22"/>
          <w:szCs w:val="22"/>
        </w:rPr>
      </w:pPr>
      <w:r w:rsidRPr="00720071">
        <w:rPr>
          <w:rFonts w:eastAsiaTheme="majorEastAsia" w:cstheme="majorBidi"/>
          <w:i/>
          <w:sz w:val="22"/>
          <w:szCs w:val="22"/>
        </w:rPr>
        <w:tab/>
      </w:r>
      <w:r w:rsidR="00FB7826" w:rsidRPr="00720071">
        <w:rPr>
          <w:rFonts w:eastAsiaTheme="majorEastAsia" w:cstheme="majorBidi"/>
          <w:i/>
          <w:sz w:val="22"/>
          <w:szCs w:val="22"/>
          <w:u w:val="single"/>
        </w:rPr>
        <w:t>Ex Parte</w:t>
      </w:r>
      <w:r w:rsidR="00FB7826" w:rsidRPr="00720071">
        <w:rPr>
          <w:rFonts w:eastAsiaTheme="majorEastAsia" w:cstheme="majorBidi"/>
          <w:sz w:val="22"/>
          <w:szCs w:val="22"/>
          <w:u w:val="single"/>
        </w:rPr>
        <w:t xml:space="preserve"> Presentations</w:t>
      </w:r>
      <w:r w:rsidR="00FB7826" w:rsidRPr="00720071">
        <w:rPr>
          <w:rFonts w:eastAsiaTheme="majorEastAsia" w:cstheme="majorBidi"/>
          <w:sz w:val="22"/>
          <w:szCs w:val="22"/>
        </w:rPr>
        <w:t xml:space="preserve">.  </w:t>
      </w:r>
      <w:r w:rsidR="000163F1" w:rsidRPr="00720071">
        <w:rPr>
          <w:color w:val="000000"/>
          <w:sz w:val="22"/>
          <w:szCs w:val="22"/>
        </w:rPr>
        <w:t>T</w:t>
      </w:r>
      <w:bookmarkStart w:id="2" w:name="_Ref378852213"/>
      <w:r w:rsidR="00FB7826" w:rsidRPr="00720071">
        <w:rPr>
          <w:rFonts w:eastAsiaTheme="majorEastAsia" w:cstheme="majorBidi"/>
          <w:sz w:val="22"/>
          <w:szCs w:val="22"/>
        </w:rPr>
        <w:t xml:space="preserve">his proceeding shall </w:t>
      </w:r>
      <w:r w:rsidR="00D97F69" w:rsidRPr="00720071">
        <w:rPr>
          <w:rFonts w:eastAsiaTheme="majorEastAsia" w:cstheme="majorBidi"/>
          <w:sz w:val="22"/>
          <w:szCs w:val="22"/>
        </w:rPr>
        <w:t xml:space="preserve">continue to </w:t>
      </w:r>
      <w:r w:rsidR="00FB7826" w:rsidRPr="00720071">
        <w:rPr>
          <w:rFonts w:eastAsiaTheme="majorEastAsia" w:cstheme="majorBidi"/>
          <w:sz w:val="22"/>
          <w:szCs w:val="22"/>
        </w:rPr>
        <w:t xml:space="preserve">be treated as a “permit-but-disclose” proceeding in accordance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r w:rsidR="00FB7826" w:rsidRPr="00720071">
        <w:rPr>
          <w:rFonts w:eastAsiaTheme="majorEastAsia" w:cstheme="majorBidi"/>
          <w:sz w:val="22"/>
          <w:szCs w:val="22"/>
          <w:vertAlign w:val="superscript"/>
        </w:rPr>
        <w:footnoteReference w:id="4"/>
      </w:r>
      <w:r w:rsidR="00FB7826" w:rsidRPr="00720071">
        <w:rPr>
          <w:rFonts w:eastAsiaTheme="majorEastAsia" w:cstheme="majorBidi"/>
          <w:sz w:val="22"/>
          <w:szCs w:val="22"/>
        </w:rPr>
        <w:t xml:space="preserve">  Persons making </w:t>
      </w:r>
      <w:r w:rsidR="00FB7826" w:rsidRPr="00720071">
        <w:rPr>
          <w:rFonts w:eastAsiaTheme="majorEastAsia" w:cstheme="majorBidi"/>
          <w:i/>
          <w:sz w:val="22"/>
          <w:szCs w:val="22"/>
        </w:rPr>
        <w:t xml:space="preserve">ex parte </w:t>
      </w:r>
      <w:r w:rsidR="00FB7826" w:rsidRPr="00720071">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meetings are deemed to be written </w:t>
      </w:r>
      <w:r w:rsidR="00FB7826" w:rsidRPr="00720071">
        <w:rPr>
          <w:rFonts w:eastAsiaTheme="majorEastAsia" w:cstheme="majorBidi"/>
          <w:i/>
          <w:iCs/>
          <w:sz w:val="22"/>
          <w:szCs w:val="22"/>
        </w:rPr>
        <w:t>ex parte</w:t>
      </w:r>
      <w:r w:rsidR="00FB7826" w:rsidRPr="00720071">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 xml:space="preserve">presentations and memoranda summarizing oral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presentations, and all attachments thereto, must be filed through the electronic comment filing system available for that proceeding, and must be filed in their native format (</w:t>
      </w:r>
      <w:r w:rsidR="00FB7826" w:rsidRPr="00720071">
        <w:rPr>
          <w:rFonts w:eastAsiaTheme="majorEastAsia" w:cstheme="majorBidi"/>
          <w:iCs/>
          <w:sz w:val="22"/>
          <w:szCs w:val="22"/>
        </w:rPr>
        <w:t>e.g.</w:t>
      </w:r>
      <w:r w:rsidR="00FB7826" w:rsidRPr="00720071">
        <w:rPr>
          <w:rFonts w:eastAsiaTheme="majorEastAsia" w:cstheme="majorBidi"/>
          <w:sz w:val="22"/>
          <w:szCs w:val="22"/>
        </w:rPr>
        <w:t xml:space="preserve">, .doc, .xml, .ppt, searchable .pdf).  Participants in this proceeding should familiarize themselves with the Commission’s </w:t>
      </w:r>
      <w:r w:rsidR="00FB7826" w:rsidRPr="00720071">
        <w:rPr>
          <w:rFonts w:eastAsiaTheme="majorEastAsia" w:cstheme="majorBidi"/>
          <w:i/>
          <w:iCs/>
          <w:sz w:val="22"/>
          <w:szCs w:val="22"/>
        </w:rPr>
        <w:t xml:space="preserve">ex parte </w:t>
      </w:r>
      <w:r w:rsidR="00FB7826" w:rsidRPr="00720071">
        <w:rPr>
          <w:rFonts w:eastAsiaTheme="majorEastAsia" w:cstheme="majorBidi"/>
          <w:sz w:val="22"/>
          <w:szCs w:val="22"/>
        </w:rPr>
        <w:t>rules.</w:t>
      </w:r>
      <w:bookmarkEnd w:id="2"/>
    </w:p>
    <w:p w:rsidR="00FB7826" w:rsidRPr="00720071" w:rsidRDefault="00FB7826" w:rsidP="00D26D4B">
      <w:pPr>
        <w:ind w:firstLine="720"/>
        <w:rPr>
          <w:rFonts w:eastAsiaTheme="majorEastAsia" w:cstheme="majorBidi"/>
          <w:sz w:val="22"/>
          <w:szCs w:val="22"/>
        </w:rPr>
      </w:pPr>
    </w:p>
    <w:p w:rsidR="0069365C" w:rsidRPr="00687E8D" w:rsidRDefault="00DA414D" w:rsidP="00687E8D">
      <w:pPr>
        <w:ind w:firstLine="720"/>
        <w:rPr>
          <w:sz w:val="22"/>
          <w:szCs w:val="22"/>
        </w:rPr>
      </w:pPr>
      <w:r w:rsidRPr="00720071">
        <w:rPr>
          <w:sz w:val="22"/>
          <w:szCs w:val="22"/>
        </w:rPr>
        <w:t xml:space="preserve">For further information, contact </w:t>
      </w:r>
      <w:r w:rsidR="006045DD">
        <w:rPr>
          <w:sz w:val="22"/>
          <w:szCs w:val="22"/>
        </w:rPr>
        <w:t>Michelle Sclater</w:t>
      </w:r>
      <w:r w:rsidR="00E6463C" w:rsidRPr="00720071">
        <w:rPr>
          <w:sz w:val="22"/>
          <w:szCs w:val="22"/>
        </w:rPr>
        <w:t xml:space="preserve">, Competition Policy </w:t>
      </w:r>
      <w:r w:rsidR="00595FBA" w:rsidRPr="00720071">
        <w:rPr>
          <w:sz w:val="22"/>
          <w:szCs w:val="22"/>
        </w:rPr>
        <w:t>Division, Wireline</w:t>
      </w:r>
      <w:r w:rsidR="00105673" w:rsidRPr="00720071">
        <w:rPr>
          <w:sz w:val="22"/>
          <w:szCs w:val="22"/>
        </w:rPr>
        <w:t xml:space="preserve"> Competit</w:t>
      </w:r>
      <w:r w:rsidR="00E6463C" w:rsidRPr="00720071">
        <w:rPr>
          <w:sz w:val="22"/>
          <w:szCs w:val="22"/>
        </w:rPr>
        <w:t>ion Bu</w:t>
      </w:r>
      <w:r w:rsidR="006045DD">
        <w:rPr>
          <w:sz w:val="22"/>
          <w:szCs w:val="22"/>
        </w:rPr>
        <w:t>reau at (202) 418-</w:t>
      </w:r>
      <w:r w:rsidR="00E6463C" w:rsidRPr="00720071">
        <w:rPr>
          <w:sz w:val="22"/>
          <w:szCs w:val="22"/>
        </w:rPr>
        <w:t>0</w:t>
      </w:r>
      <w:r w:rsidR="006045DD">
        <w:rPr>
          <w:sz w:val="22"/>
          <w:szCs w:val="22"/>
        </w:rPr>
        <w:t>38</w:t>
      </w:r>
      <w:r w:rsidR="00E6463C" w:rsidRPr="00720071">
        <w:rPr>
          <w:sz w:val="22"/>
          <w:szCs w:val="22"/>
        </w:rPr>
        <w:t>8</w:t>
      </w:r>
      <w:r w:rsidR="009947C7" w:rsidRPr="00720071">
        <w:rPr>
          <w:sz w:val="22"/>
          <w:szCs w:val="22"/>
        </w:rPr>
        <w:t xml:space="preserve"> or </w:t>
      </w:r>
      <w:hyperlink r:id="rId9" w:history="1">
        <w:r w:rsidR="0024199D" w:rsidRPr="00D9067B">
          <w:rPr>
            <w:rStyle w:val="Hyperlink"/>
            <w:sz w:val="22"/>
            <w:szCs w:val="22"/>
          </w:rPr>
          <w:t>michelle.sclater@fcc.gov</w:t>
        </w:r>
      </w:hyperlink>
      <w:r w:rsidR="00E6463C" w:rsidRPr="00720071">
        <w:rPr>
          <w:sz w:val="22"/>
          <w:szCs w:val="22"/>
        </w:rPr>
        <w:t xml:space="preserve">. </w:t>
      </w:r>
    </w:p>
    <w:sectPr w:rsidR="0069365C" w:rsidRPr="00687E8D" w:rsidSect="005170E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B9" w:rsidRDefault="007878B9">
      <w:r>
        <w:separator/>
      </w:r>
    </w:p>
  </w:endnote>
  <w:endnote w:type="continuationSeparator" w:id="0">
    <w:p w:rsidR="007878B9" w:rsidRDefault="0078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3A" w:rsidRDefault="00AD6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B03F5" w:rsidRDefault="00732542">
    <w:pPr>
      <w:pStyle w:val="Footer"/>
      <w:jc w:val="center"/>
      <w:rPr>
        <w:sz w:val="22"/>
        <w:szCs w:val="22"/>
      </w:rPr>
    </w:pPr>
    <w:r w:rsidRPr="002B03F5">
      <w:rPr>
        <w:sz w:val="22"/>
        <w:szCs w:val="22"/>
      </w:rPr>
      <w:fldChar w:fldCharType="begin"/>
    </w:r>
    <w:r w:rsidRPr="002B03F5">
      <w:rPr>
        <w:sz w:val="22"/>
        <w:szCs w:val="22"/>
      </w:rPr>
      <w:instrText xml:space="preserve"> PAGE   \* MERGEFORMAT </w:instrText>
    </w:r>
    <w:r w:rsidRPr="002B03F5">
      <w:rPr>
        <w:sz w:val="22"/>
        <w:szCs w:val="22"/>
      </w:rPr>
      <w:fldChar w:fldCharType="separate"/>
    </w:r>
    <w:r w:rsidR="00452ED3">
      <w:rPr>
        <w:noProof/>
        <w:sz w:val="22"/>
        <w:szCs w:val="22"/>
      </w:rPr>
      <w:t>2</w:t>
    </w:r>
    <w:r w:rsidRPr="002B03F5">
      <w:rPr>
        <w:sz w:val="22"/>
        <w:szCs w:val="22"/>
      </w:rPr>
      <w:fldChar w:fldCharType="end"/>
    </w:r>
  </w:p>
  <w:p w:rsidR="00732542" w:rsidRDefault="00732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3A" w:rsidRDefault="00AD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B9" w:rsidRDefault="007878B9">
      <w:r>
        <w:separator/>
      </w:r>
    </w:p>
  </w:footnote>
  <w:footnote w:type="continuationSeparator" w:id="0">
    <w:p w:rsidR="007878B9" w:rsidRDefault="007878B9">
      <w:r>
        <w:continuationSeparator/>
      </w:r>
    </w:p>
  </w:footnote>
  <w:footnote w:id="1">
    <w:p w:rsidR="00732542" w:rsidRPr="00687E8D" w:rsidRDefault="00732542" w:rsidP="001D06FC">
      <w:pPr>
        <w:widowControl w:val="0"/>
        <w:tabs>
          <w:tab w:val="center" w:pos="4680"/>
        </w:tabs>
        <w:suppressAutoHyphens/>
        <w:spacing w:after="120"/>
        <w:rPr>
          <w:b/>
        </w:rPr>
      </w:pPr>
      <w:r>
        <w:rPr>
          <w:rStyle w:val="FootnoteReference"/>
        </w:rPr>
        <w:footnoteRef/>
      </w:r>
      <w:r>
        <w:t xml:space="preserve"> </w:t>
      </w:r>
      <w:r>
        <w:rPr>
          <w:i/>
        </w:rPr>
        <w:t xml:space="preserve">See </w:t>
      </w:r>
      <w:r w:rsidR="00D05B03" w:rsidRPr="00D05B03">
        <w:rPr>
          <w:i/>
        </w:rPr>
        <w:t xml:space="preserve">Neustar Petition for Declaratory Ruling, </w:t>
      </w:r>
      <w:r w:rsidR="00D05B03" w:rsidRPr="00D05B03">
        <w:t>WC Docket No. 09-109, CC Docket No. 95-116, filed Oct. 22, 2014</w:t>
      </w:r>
      <w:r w:rsidR="00D05B03">
        <w:rPr>
          <w:i/>
        </w:rPr>
        <w:t xml:space="preserve">; </w:t>
      </w:r>
      <w:r w:rsidR="00D05B03" w:rsidRPr="00D05B03">
        <w:rPr>
          <w:i/>
        </w:rPr>
        <w:t xml:space="preserve">Petition of Neustar for Declaratory Ruling Concerning the Local Number Portability Administration Selection Process, </w:t>
      </w:r>
      <w:r w:rsidR="00D05B03" w:rsidRPr="00D05B03">
        <w:t>WC Docket No. 09-109, CC Docket No. 95-116, filed Feb. 12, 2014</w:t>
      </w:r>
      <w:r w:rsidR="00D05B03">
        <w:t xml:space="preserve">; </w:t>
      </w:r>
      <w:r w:rsidR="00B96FB7">
        <w:rPr>
          <w:i/>
        </w:rPr>
        <w:t xml:space="preserve">Wireline Competition Bureau Seeks Comment </w:t>
      </w:r>
      <w:r w:rsidR="00687E8D" w:rsidRPr="002620FE">
        <w:rPr>
          <w:i/>
        </w:rPr>
        <w:t xml:space="preserve">on </w:t>
      </w:r>
      <w:r w:rsidR="00B96FB7">
        <w:rPr>
          <w:i/>
        </w:rPr>
        <w:t>Petitions for Declaratory Ruling Filed by Neustar, Inc.,</w:t>
      </w:r>
      <w:r w:rsidR="00B96FB7">
        <w:t xml:space="preserve"> </w:t>
      </w:r>
      <w:r w:rsidR="00687E8D" w:rsidRPr="002F1BEE">
        <w:t xml:space="preserve">WC Docket No. 09-109, CC Docket </w:t>
      </w:r>
      <w:r w:rsidR="00687E8D">
        <w:t xml:space="preserve">No. 95-116, </w:t>
      </w:r>
      <w:r w:rsidR="00687E8D" w:rsidRPr="002620FE">
        <w:t>Public Notice</w:t>
      </w:r>
      <w:r w:rsidR="00B96FB7">
        <w:t>, DA 14-1629</w:t>
      </w:r>
      <w:r w:rsidR="00687E8D">
        <w:t xml:space="preserve"> (Wireline Comp</w:t>
      </w:r>
      <w:r w:rsidR="00B96FB7">
        <w:t xml:space="preserve">. Bur. rel. November </w:t>
      </w:r>
      <w:r w:rsidR="00687E8D">
        <w:t>7, 2014).</w:t>
      </w:r>
    </w:p>
  </w:footnote>
  <w:footnote w:id="2">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snapToGrid w:val="0"/>
          <w:kern w:val="28"/>
        </w:rPr>
        <w:t>47 C</w:t>
      </w:r>
      <w:r w:rsidRPr="00CD479E">
        <w:rPr>
          <w:snapToGrid w:val="0"/>
          <w:kern w:val="28"/>
          <w:lang w:val="en-US"/>
        </w:rPr>
        <w:t>.</w:t>
      </w:r>
      <w:r w:rsidRPr="00CD479E">
        <w:rPr>
          <w:snapToGrid w:val="0"/>
          <w:kern w:val="28"/>
        </w:rPr>
        <w:t>F</w:t>
      </w:r>
      <w:r w:rsidRPr="00CD479E">
        <w:rPr>
          <w:snapToGrid w:val="0"/>
          <w:kern w:val="28"/>
          <w:lang w:val="en-US"/>
        </w:rPr>
        <w:t>.</w:t>
      </w:r>
      <w:r w:rsidRPr="00CD479E">
        <w:rPr>
          <w:snapToGrid w:val="0"/>
          <w:kern w:val="28"/>
        </w:rPr>
        <w:t>R</w:t>
      </w:r>
      <w:r w:rsidRPr="00CD479E">
        <w:rPr>
          <w:snapToGrid w:val="0"/>
          <w:kern w:val="28"/>
          <w:lang w:val="en-US"/>
        </w:rPr>
        <w:t>.</w:t>
      </w:r>
      <w:r w:rsidRPr="00CD479E">
        <w:rPr>
          <w:snapToGrid w:val="0"/>
          <w:kern w:val="28"/>
        </w:rPr>
        <w:t xml:space="preserve"> §</w:t>
      </w:r>
      <w:r w:rsidR="002620FE" w:rsidRPr="00CD479E">
        <w:rPr>
          <w:snapToGrid w:val="0"/>
          <w:kern w:val="28"/>
        </w:rPr>
        <w:t>§</w:t>
      </w:r>
      <w:r w:rsidRPr="00CD479E">
        <w:rPr>
          <w:snapToGrid w:val="0"/>
          <w:kern w:val="28"/>
        </w:rPr>
        <w:t xml:space="preserve"> </w:t>
      </w:r>
      <w:r w:rsidR="002620FE">
        <w:rPr>
          <w:snapToGrid w:val="0"/>
          <w:kern w:val="28"/>
          <w:lang w:val="en-US"/>
        </w:rPr>
        <w:t xml:space="preserve">1.415, </w:t>
      </w:r>
      <w:r w:rsidRPr="00CD479E">
        <w:rPr>
          <w:snapToGrid w:val="0"/>
          <w:kern w:val="28"/>
        </w:rPr>
        <w:t>1.419</w:t>
      </w:r>
      <w:r w:rsidRPr="00CD479E">
        <w:rPr>
          <w:snapToGrid w:val="0"/>
          <w:kern w:val="28"/>
          <w:lang w:val="en-US"/>
        </w:rPr>
        <w:t>.</w:t>
      </w:r>
    </w:p>
  </w:footnote>
  <w:footnote w:id="3">
    <w:p w:rsidR="00732542" w:rsidRPr="00CD479E" w:rsidRDefault="00732542" w:rsidP="00CD479E">
      <w:pPr>
        <w:pStyle w:val="FootnoteText"/>
        <w:spacing w:after="120"/>
        <w:rPr>
          <w:lang w:val="en-US"/>
        </w:rPr>
      </w:pPr>
      <w:r w:rsidRPr="00CD479E">
        <w:rPr>
          <w:rStyle w:val="FootnoteReference"/>
        </w:rPr>
        <w:footnoteRef/>
      </w:r>
      <w:r w:rsidRPr="00CD479E">
        <w:t xml:space="preserve"> </w:t>
      </w:r>
      <w:r w:rsidRPr="00CD479E">
        <w:rPr>
          <w:i/>
          <w:snapToGrid w:val="0"/>
          <w:kern w:val="28"/>
        </w:rPr>
        <w:t>See Electronic Filing of Documents in Rulemaking Proceedings</w:t>
      </w:r>
      <w:r w:rsidRPr="00CD479E">
        <w:rPr>
          <w:snapToGrid w:val="0"/>
          <w:kern w:val="28"/>
        </w:rPr>
        <w:t>, 63 FR 24121 (1998).</w:t>
      </w:r>
    </w:p>
  </w:footnote>
  <w:footnote w:id="4">
    <w:p w:rsidR="00732542" w:rsidRPr="00E169D5" w:rsidRDefault="00732542" w:rsidP="008760EC">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3A" w:rsidRDefault="00AD6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3A" w:rsidRDefault="00AD6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42" w:rsidRPr="002075A8" w:rsidRDefault="0073254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401995B2" wp14:editId="3090AB53">
              <wp:simplePos x="0" y="0"/>
              <wp:positionH relativeFrom="column">
                <wp:posOffset>51435</wp:posOffset>
              </wp:positionH>
              <wp:positionV relativeFrom="paragraph">
                <wp:posOffset>688340</wp:posOffset>
              </wp:positionV>
              <wp:extent cx="32232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rsidR="00732542" w:rsidRDefault="00732542">
                    <w:pPr>
                      <w:rPr>
                        <w:rFonts w:ascii="Arial" w:hAnsi="Arial"/>
                        <w:b/>
                      </w:rPr>
                    </w:pPr>
                    <w:r>
                      <w:rPr>
                        <w:rFonts w:ascii="Arial" w:hAnsi="Arial"/>
                        <w:b/>
                      </w:rPr>
                      <w:t>Federal Communications Commission</w:t>
                    </w:r>
                  </w:p>
                  <w:p w:rsidR="00732542" w:rsidRDefault="0073254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2542" w:rsidRDefault="00732542">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14:anchorId="39096AF1" wp14:editId="3958669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2075A8">
      <w:rPr>
        <w:rFonts w:ascii="Arial" w:hAnsi="Arial" w:cs="Arial"/>
        <w:b/>
        <w:kern w:val="28"/>
        <w:sz w:val="96"/>
      </w:rPr>
      <w:t>PUBLIC NOTICE</w:t>
    </w:r>
  </w:p>
  <w:p w:rsidR="00732542" w:rsidRDefault="00732542">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14:anchorId="0F644377" wp14:editId="147CDDD6">
              <wp:simplePos x="0" y="0"/>
              <wp:positionH relativeFrom="column">
                <wp:posOffset>3271520</wp:posOffset>
              </wp:positionH>
              <wp:positionV relativeFrom="paragraph">
                <wp:posOffset>17145</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pt;margin-top:1.35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" stroked="f">
              <v:textbox inset=",0,,0">
                <w:txbxContent>
                  <w:p w:rsidR="00732542" w:rsidRDefault="00732542">
                    <w:pPr>
                      <w:spacing w:before="40"/>
                      <w:jc w:val="right"/>
                      <w:rPr>
                        <w:rFonts w:ascii="Arial" w:hAnsi="Arial"/>
                        <w:b/>
                        <w:sz w:val="16"/>
                      </w:rPr>
                    </w:pPr>
                    <w:r>
                      <w:rPr>
                        <w:rFonts w:ascii="Arial" w:hAnsi="Arial"/>
                        <w:b/>
                        <w:sz w:val="16"/>
                      </w:rPr>
                      <w:t>News Media Information 202 / 418-0500</w:t>
                    </w:r>
                  </w:p>
                  <w:p w:rsidR="00732542" w:rsidRDefault="0073254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732542" w:rsidRDefault="00732542">
                    <w:pPr>
                      <w:jc w:val="right"/>
                      <w:rPr>
                        <w:rFonts w:ascii="Arial" w:hAnsi="Arial"/>
                        <w:b/>
                        <w:sz w:val="16"/>
                      </w:rPr>
                    </w:pPr>
                    <w:r>
                      <w:rPr>
                        <w:rFonts w:ascii="Arial" w:hAnsi="Arial"/>
                        <w:b/>
                        <w:sz w:val="16"/>
                      </w:rPr>
                      <w:t>TTY: 1-888-835-5322</w:t>
                    </w:r>
                  </w:p>
                  <w:p w:rsidR="00732542" w:rsidRDefault="0073254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55717A9" wp14:editId="49337BB8">
              <wp:simplePos x="0" y="0"/>
              <wp:positionH relativeFrom="column">
                <wp:posOffset>0</wp:posOffset>
              </wp:positionH>
              <wp:positionV relativeFrom="paragraph">
                <wp:posOffset>699135</wp:posOffset>
              </wp:positionV>
              <wp:extent cx="5926455"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tFgIAACs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L4IgrRYCAAArBAAADgAAAAAAAAAAAAAAAAAuAgAAZHJzL2Uyb0RvYy54bWxQSwECLQAUAAYACAAA&#10;ACEAbTLd4dwAAAAIAQAADwAAAAAAAAAAAAAAAABwBAAAZHJzL2Rvd25yZXYueG1sUEsFBgAAAAAE&#10;AAQA8wAAAHkFAAAAAA==&#10;" o:allowincell="f"/>
          </w:pict>
        </mc:Fallback>
      </mc:AlternateContent>
    </w:r>
  </w:p>
  <w:p w:rsidR="00732542" w:rsidRDefault="0073254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8333CB5"/>
    <w:multiLevelType w:val="hybridMultilevel"/>
    <w:tmpl w:val="4FEC817E"/>
    <w:lvl w:ilvl="0" w:tplc="66D8DE1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4"/>
  </w:num>
  <w:num w:numId="14">
    <w:abstractNumId w:val="11"/>
  </w:num>
  <w:num w:numId="15">
    <w:abstractNumId w:val="2"/>
  </w:num>
  <w:num w:numId="16">
    <w:abstractNumId w:val="0"/>
  </w:num>
  <w:num w:numId="17">
    <w:abstractNumId w:val="1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03600"/>
    <w:rsid w:val="000057C4"/>
    <w:rsid w:val="00012043"/>
    <w:rsid w:val="000158A9"/>
    <w:rsid w:val="0001631A"/>
    <w:rsid w:val="000163F1"/>
    <w:rsid w:val="000210A1"/>
    <w:rsid w:val="00022447"/>
    <w:rsid w:val="00030139"/>
    <w:rsid w:val="000441DE"/>
    <w:rsid w:val="0004604B"/>
    <w:rsid w:val="000502DF"/>
    <w:rsid w:val="0005156E"/>
    <w:rsid w:val="00052D92"/>
    <w:rsid w:val="00072D99"/>
    <w:rsid w:val="000809DB"/>
    <w:rsid w:val="00084E2F"/>
    <w:rsid w:val="0009032F"/>
    <w:rsid w:val="00091885"/>
    <w:rsid w:val="000A1CC2"/>
    <w:rsid w:val="000A22C1"/>
    <w:rsid w:val="000A37C5"/>
    <w:rsid w:val="000A5FAB"/>
    <w:rsid w:val="000A6B0A"/>
    <w:rsid w:val="000C5E7A"/>
    <w:rsid w:val="000C5ECB"/>
    <w:rsid w:val="000D4C4A"/>
    <w:rsid w:val="000E3B5F"/>
    <w:rsid w:val="000E4E04"/>
    <w:rsid w:val="000F0308"/>
    <w:rsid w:val="000F129D"/>
    <w:rsid w:val="001039AA"/>
    <w:rsid w:val="00103FE2"/>
    <w:rsid w:val="00105673"/>
    <w:rsid w:val="001139B8"/>
    <w:rsid w:val="00115509"/>
    <w:rsid w:val="00115BCA"/>
    <w:rsid w:val="00126F1F"/>
    <w:rsid w:val="00127114"/>
    <w:rsid w:val="00130610"/>
    <w:rsid w:val="00133DE7"/>
    <w:rsid w:val="00134D0B"/>
    <w:rsid w:val="0013718D"/>
    <w:rsid w:val="00141292"/>
    <w:rsid w:val="001447D7"/>
    <w:rsid w:val="00146872"/>
    <w:rsid w:val="00151530"/>
    <w:rsid w:val="001546E3"/>
    <w:rsid w:val="00161046"/>
    <w:rsid w:val="00166F0C"/>
    <w:rsid w:val="001803B4"/>
    <w:rsid w:val="00182463"/>
    <w:rsid w:val="00187A8D"/>
    <w:rsid w:val="00192F99"/>
    <w:rsid w:val="00193740"/>
    <w:rsid w:val="00197CCC"/>
    <w:rsid w:val="001B3738"/>
    <w:rsid w:val="001C5455"/>
    <w:rsid w:val="001D06FC"/>
    <w:rsid w:val="001D0CE2"/>
    <w:rsid w:val="001D6368"/>
    <w:rsid w:val="001D65CD"/>
    <w:rsid w:val="00201344"/>
    <w:rsid w:val="002026BC"/>
    <w:rsid w:val="002075A8"/>
    <w:rsid w:val="002100C1"/>
    <w:rsid w:val="002119A3"/>
    <w:rsid w:val="00223F43"/>
    <w:rsid w:val="002272E5"/>
    <w:rsid w:val="00231180"/>
    <w:rsid w:val="0023244B"/>
    <w:rsid w:val="0024199D"/>
    <w:rsid w:val="00243985"/>
    <w:rsid w:val="00250D73"/>
    <w:rsid w:val="00251319"/>
    <w:rsid w:val="002620FE"/>
    <w:rsid w:val="00262D9F"/>
    <w:rsid w:val="00263FD7"/>
    <w:rsid w:val="00264C60"/>
    <w:rsid w:val="00292B54"/>
    <w:rsid w:val="002A1638"/>
    <w:rsid w:val="002A2CDC"/>
    <w:rsid w:val="002A59EA"/>
    <w:rsid w:val="002B03F5"/>
    <w:rsid w:val="002B0D54"/>
    <w:rsid w:val="002E07A0"/>
    <w:rsid w:val="002E3FFE"/>
    <w:rsid w:val="002F1BEE"/>
    <w:rsid w:val="002F5B3A"/>
    <w:rsid w:val="00305A89"/>
    <w:rsid w:val="00306B1A"/>
    <w:rsid w:val="0031093E"/>
    <w:rsid w:val="0031208A"/>
    <w:rsid w:val="003133EE"/>
    <w:rsid w:val="003207DA"/>
    <w:rsid w:val="00321064"/>
    <w:rsid w:val="0034061F"/>
    <w:rsid w:val="0034151B"/>
    <w:rsid w:val="00343672"/>
    <w:rsid w:val="00350D73"/>
    <w:rsid w:val="00351607"/>
    <w:rsid w:val="00352569"/>
    <w:rsid w:val="00371211"/>
    <w:rsid w:val="00375328"/>
    <w:rsid w:val="00393D75"/>
    <w:rsid w:val="00395900"/>
    <w:rsid w:val="003A358A"/>
    <w:rsid w:val="003B0454"/>
    <w:rsid w:val="003B25B4"/>
    <w:rsid w:val="003B56CC"/>
    <w:rsid w:val="003C7AF3"/>
    <w:rsid w:val="003D1648"/>
    <w:rsid w:val="003E254B"/>
    <w:rsid w:val="003E266A"/>
    <w:rsid w:val="003E5E98"/>
    <w:rsid w:val="003E6A06"/>
    <w:rsid w:val="003F1005"/>
    <w:rsid w:val="003F6858"/>
    <w:rsid w:val="004057F7"/>
    <w:rsid w:val="004157F7"/>
    <w:rsid w:val="00421363"/>
    <w:rsid w:val="004333DC"/>
    <w:rsid w:val="00444485"/>
    <w:rsid w:val="00452ED3"/>
    <w:rsid w:val="004706D3"/>
    <w:rsid w:val="0048455E"/>
    <w:rsid w:val="00490915"/>
    <w:rsid w:val="00490AF7"/>
    <w:rsid w:val="004933D5"/>
    <w:rsid w:val="004B5743"/>
    <w:rsid w:val="004B729D"/>
    <w:rsid w:val="004E5688"/>
    <w:rsid w:val="004E59CF"/>
    <w:rsid w:val="004F37E8"/>
    <w:rsid w:val="004F3EDD"/>
    <w:rsid w:val="00500184"/>
    <w:rsid w:val="00511CBB"/>
    <w:rsid w:val="005170E3"/>
    <w:rsid w:val="005213D9"/>
    <w:rsid w:val="0052208F"/>
    <w:rsid w:val="00526372"/>
    <w:rsid w:val="005437CB"/>
    <w:rsid w:val="005659AE"/>
    <w:rsid w:val="005745E5"/>
    <w:rsid w:val="00595FBA"/>
    <w:rsid w:val="005A03E1"/>
    <w:rsid w:val="005C225F"/>
    <w:rsid w:val="005C76F1"/>
    <w:rsid w:val="005E4211"/>
    <w:rsid w:val="005E4B46"/>
    <w:rsid w:val="005F56E2"/>
    <w:rsid w:val="005F5FC4"/>
    <w:rsid w:val="006045DD"/>
    <w:rsid w:val="006128BC"/>
    <w:rsid w:val="00612D4D"/>
    <w:rsid w:val="00613E65"/>
    <w:rsid w:val="00615D4B"/>
    <w:rsid w:val="00635A80"/>
    <w:rsid w:val="00636946"/>
    <w:rsid w:val="00641BD8"/>
    <w:rsid w:val="00645F18"/>
    <w:rsid w:val="0065091C"/>
    <w:rsid w:val="00660381"/>
    <w:rsid w:val="006613D7"/>
    <w:rsid w:val="00663991"/>
    <w:rsid w:val="00670C50"/>
    <w:rsid w:val="00687E8D"/>
    <w:rsid w:val="0069365C"/>
    <w:rsid w:val="00696F5A"/>
    <w:rsid w:val="006B216D"/>
    <w:rsid w:val="006B482B"/>
    <w:rsid w:val="006C1F62"/>
    <w:rsid w:val="006C620F"/>
    <w:rsid w:val="006D5616"/>
    <w:rsid w:val="006D5E3E"/>
    <w:rsid w:val="006D71FC"/>
    <w:rsid w:val="006E6C85"/>
    <w:rsid w:val="006E753A"/>
    <w:rsid w:val="006E75EE"/>
    <w:rsid w:val="006F3E40"/>
    <w:rsid w:val="00704FCD"/>
    <w:rsid w:val="007141D2"/>
    <w:rsid w:val="00716AB0"/>
    <w:rsid w:val="00720071"/>
    <w:rsid w:val="00732542"/>
    <w:rsid w:val="0075714C"/>
    <w:rsid w:val="0076140F"/>
    <w:rsid w:val="007822E8"/>
    <w:rsid w:val="00785409"/>
    <w:rsid w:val="007878B9"/>
    <w:rsid w:val="007879EA"/>
    <w:rsid w:val="0079167F"/>
    <w:rsid w:val="00793B6A"/>
    <w:rsid w:val="00796864"/>
    <w:rsid w:val="007A13C8"/>
    <w:rsid w:val="007A4048"/>
    <w:rsid w:val="007C216A"/>
    <w:rsid w:val="007C22F1"/>
    <w:rsid w:val="007E587C"/>
    <w:rsid w:val="007E6D52"/>
    <w:rsid w:val="00806FFF"/>
    <w:rsid w:val="008279DC"/>
    <w:rsid w:val="00836E42"/>
    <w:rsid w:val="00847D7C"/>
    <w:rsid w:val="00861D98"/>
    <w:rsid w:val="00862A8A"/>
    <w:rsid w:val="00863111"/>
    <w:rsid w:val="0086326B"/>
    <w:rsid w:val="00864CCD"/>
    <w:rsid w:val="008650A5"/>
    <w:rsid w:val="008760EC"/>
    <w:rsid w:val="00882FE5"/>
    <w:rsid w:val="00886AE5"/>
    <w:rsid w:val="008957FE"/>
    <w:rsid w:val="008A7322"/>
    <w:rsid w:val="008B3A7B"/>
    <w:rsid w:val="008C02B0"/>
    <w:rsid w:val="008C1998"/>
    <w:rsid w:val="008D4EA9"/>
    <w:rsid w:val="008E7FFE"/>
    <w:rsid w:val="008F1928"/>
    <w:rsid w:val="008F3567"/>
    <w:rsid w:val="00903E36"/>
    <w:rsid w:val="009232CC"/>
    <w:rsid w:val="00933F38"/>
    <w:rsid w:val="00945C45"/>
    <w:rsid w:val="009479B1"/>
    <w:rsid w:val="00963086"/>
    <w:rsid w:val="0096399B"/>
    <w:rsid w:val="00963CA4"/>
    <w:rsid w:val="00970292"/>
    <w:rsid w:val="00984404"/>
    <w:rsid w:val="0099124D"/>
    <w:rsid w:val="009947C7"/>
    <w:rsid w:val="009A229A"/>
    <w:rsid w:val="009D03AD"/>
    <w:rsid w:val="009D0E36"/>
    <w:rsid w:val="009D1DF5"/>
    <w:rsid w:val="009D2D65"/>
    <w:rsid w:val="009D53A4"/>
    <w:rsid w:val="009D541E"/>
    <w:rsid w:val="009D58CD"/>
    <w:rsid w:val="009E04D1"/>
    <w:rsid w:val="009E49F2"/>
    <w:rsid w:val="009F2E70"/>
    <w:rsid w:val="00A04FFC"/>
    <w:rsid w:val="00A12035"/>
    <w:rsid w:val="00A168BA"/>
    <w:rsid w:val="00A17848"/>
    <w:rsid w:val="00A26110"/>
    <w:rsid w:val="00A261FE"/>
    <w:rsid w:val="00A345F1"/>
    <w:rsid w:val="00A44EDB"/>
    <w:rsid w:val="00A50A90"/>
    <w:rsid w:val="00A52671"/>
    <w:rsid w:val="00A53863"/>
    <w:rsid w:val="00A71787"/>
    <w:rsid w:val="00AA137D"/>
    <w:rsid w:val="00AA243A"/>
    <w:rsid w:val="00AA4DED"/>
    <w:rsid w:val="00AA7D52"/>
    <w:rsid w:val="00AB02CF"/>
    <w:rsid w:val="00AC3027"/>
    <w:rsid w:val="00AC63FC"/>
    <w:rsid w:val="00AD6C3A"/>
    <w:rsid w:val="00AF3D88"/>
    <w:rsid w:val="00AF6193"/>
    <w:rsid w:val="00AF6BAD"/>
    <w:rsid w:val="00B0625C"/>
    <w:rsid w:val="00B172AF"/>
    <w:rsid w:val="00B26FD6"/>
    <w:rsid w:val="00B461C8"/>
    <w:rsid w:val="00B46346"/>
    <w:rsid w:val="00B559AA"/>
    <w:rsid w:val="00B632B9"/>
    <w:rsid w:val="00B63BD6"/>
    <w:rsid w:val="00B65AEC"/>
    <w:rsid w:val="00B676AE"/>
    <w:rsid w:val="00B8287A"/>
    <w:rsid w:val="00B846AC"/>
    <w:rsid w:val="00B86119"/>
    <w:rsid w:val="00B87A14"/>
    <w:rsid w:val="00B9518D"/>
    <w:rsid w:val="00B96FB7"/>
    <w:rsid w:val="00B970CE"/>
    <w:rsid w:val="00BA6A65"/>
    <w:rsid w:val="00BB43C0"/>
    <w:rsid w:val="00BC7C1B"/>
    <w:rsid w:val="00BD4A65"/>
    <w:rsid w:val="00BF2E54"/>
    <w:rsid w:val="00BF6C9A"/>
    <w:rsid w:val="00C07A48"/>
    <w:rsid w:val="00C2671A"/>
    <w:rsid w:val="00C26B4A"/>
    <w:rsid w:val="00C45D7A"/>
    <w:rsid w:val="00C55287"/>
    <w:rsid w:val="00C6045A"/>
    <w:rsid w:val="00C63BFE"/>
    <w:rsid w:val="00C85354"/>
    <w:rsid w:val="00C861C5"/>
    <w:rsid w:val="00C970B2"/>
    <w:rsid w:val="00CA5C96"/>
    <w:rsid w:val="00CA72BE"/>
    <w:rsid w:val="00CB078D"/>
    <w:rsid w:val="00CB1D87"/>
    <w:rsid w:val="00CB3FDF"/>
    <w:rsid w:val="00CB7189"/>
    <w:rsid w:val="00CC1ED1"/>
    <w:rsid w:val="00CC476E"/>
    <w:rsid w:val="00CC48A4"/>
    <w:rsid w:val="00CC64BF"/>
    <w:rsid w:val="00CD479E"/>
    <w:rsid w:val="00CD61B5"/>
    <w:rsid w:val="00CE58B4"/>
    <w:rsid w:val="00D02163"/>
    <w:rsid w:val="00D03A68"/>
    <w:rsid w:val="00D050A6"/>
    <w:rsid w:val="00D05B03"/>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C6790"/>
    <w:rsid w:val="00DD0FC9"/>
    <w:rsid w:val="00DD1B91"/>
    <w:rsid w:val="00DD7615"/>
    <w:rsid w:val="00DF4506"/>
    <w:rsid w:val="00E01667"/>
    <w:rsid w:val="00E1291A"/>
    <w:rsid w:val="00E14A4F"/>
    <w:rsid w:val="00E20360"/>
    <w:rsid w:val="00E22BCB"/>
    <w:rsid w:val="00E240AF"/>
    <w:rsid w:val="00E27BAA"/>
    <w:rsid w:val="00E30B19"/>
    <w:rsid w:val="00E62E28"/>
    <w:rsid w:val="00E6463C"/>
    <w:rsid w:val="00E704F7"/>
    <w:rsid w:val="00E70692"/>
    <w:rsid w:val="00E7218A"/>
    <w:rsid w:val="00E7391B"/>
    <w:rsid w:val="00E73E0A"/>
    <w:rsid w:val="00E73EED"/>
    <w:rsid w:val="00E84324"/>
    <w:rsid w:val="00E924EB"/>
    <w:rsid w:val="00E94886"/>
    <w:rsid w:val="00EA0A56"/>
    <w:rsid w:val="00EB1FE2"/>
    <w:rsid w:val="00EB285F"/>
    <w:rsid w:val="00EB5D19"/>
    <w:rsid w:val="00EB7FF8"/>
    <w:rsid w:val="00EE7D7C"/>
    <w:rsid w:val="00EF689E"/>
    <w:rsid w:val="00F03722"/>
    <w:rsid w:val="00F23097"/>
    <w:rsid w:val="00F31208"/>
    <w:rsid w:val="00F350E0"/>
    <w:rsid w:val="00F52306"/>
    <w:rsid w:val="00F548F7"/>
    <w:rsid w:val="00F54E34"/>
    <w:rsid w:val="00F73638"/>
    <w:rsid w:val="00F805FB"/>
    <w:rsid w:val="00FA06B6"/>
    <w:rsid w:val="00FA5535"/>
    <w:rsid w:val="00FB6FB8"/>
    <w:rsid w:val="00FB7826"/>
    <w:rsid w:val="00FC1B3B"/>
    <w:rsid w:val="00FD1B87"/>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D3"/>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452E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ED3"/>
  </w:style>
  <w:style w:type="paragraph" w:styleId="Header">
    <w:name w:val="header"/>
    <w:basedOn w:val="Normal"/>
    <w:rsid w:val="00452ED3"/>
    <w:pPr>
      <w:tabs>
        <w:tab w:val="center" w:pos="4320"/>
        <w:tab w:val="right" w:pos="8640"/>
      </w:tabs>
    </w:pPr>
  </w:style>
  <w:style w:type="paragraph" w:styleId="Footer">
    <w:name w:val="footer"/>
    <w:basedOn w:val="Normal"/>
    <w:link w:val="FooterChar"/>
    <w:rsid w:val="00452ED3"/>
    <w:pPr>
      <w:tabs>
        <w:tab w:val="center" w:pos="4320"/>
        <w:tab w:val="right" w:pos="8640"/>
      </w:tabs>
    </w:pPr>
  </w:style>
  <w:style w:type="character" w:styleId="Hyperlink">
    <w:name w:val="Hyperlink"/>
    <w:rsid w:val="00452ED3"/>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D3"/>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452E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2ED3"/>
  </w:style>
  <w:style w:type="paragraph" w:styleId="Header">
    <w:name w:val="header"/>
    <w:basedOn w:val="Normal"/>
    <w:rsid w:val="00452ED3"/>
    <w:pPr>
      <w:tabs>
        <w:tab w:val="center" w:pos="4320"/>
        <w:tab w:val="right" w:pos="8640"/>
      </w:tabs>
    </w:pPr>
  </w:style>
  <w:style w:type="paragraph" w:styleId="Footer">
    <w:name w:val="footer"/>
    <w:basedOn w:val="Normal"/>
    <w:link w:val="FooterChar"/>
    <w:rsid w:val="00452ED3"/>
    <w:pPr>
      <w:tabs>
        <w:tab w:val="center" w:pos="4320"/>
        <w:tab w:val="right" w:pos="8640"/>
      </w:tabs>
    </w:pPr>
  </w:style>
  <w:style w:type="character" w:styleId="Hyperlink">
    <w:name w:val="Hyperlink"/>
    <w:rsid w:val="00452ED3"/>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rsid w:val="0034061F"/>
    <w:rPr>
      <w:sz w:val="16"/>
      <w:szCs w:val="16"/>
    </w:rPr>
  </w:style>
  <w:style w:type="paragraph" w:styleId="CommentText">
    <w:name w:val="annotation text"/>
    <w:basedOn w:val="Normal"/>
    <w:link w:val="CommentTextChar"/>
    <w:rsid w:val="0034061F"/>
  </w:style>
  <w:style w:type="character" w:customStyle="1" w:styleId="CommentTextChar">
    <w:name w:val="Comment Text Char"/>
    <w:basedOn w:val="DefaultParagraphFont"/>
    <w:link w:val="CommentText"/>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paragraph" w:customStyle="1" w:styleId="ParaNumChar">
    <w:name w:val="ParaNum Char"/>
    <w:basedOn w:val="Normal"/>
    <w:rsid w:val="00141292"/>
    <w:pPr>
      <w:numPr>
        <w:numId w:val="19"/>
      </w:numPr>
    </w:pPr>
    <w:rPr>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41292"/>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412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sclater@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679</Words>
  <Characters>3889</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2014-11-25T21:50:00Z</dcterms:created>
  <dcterms:modified xsi:type="dcterms:W3CDTF">2014-11-25T21:50:00Z</dcterms:modified>
  <cp:category> </cp:category>
  <cp:contentStatus> </cp:contentStatus>
</cp:coreProperties>
</file>