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E24AD2" w:rsidRDefault="001F4295">
      <w:pPr>
        <w:jc w:val="center"/>
        <w:rPr>
          <w:b/>
          <w:szCs w:val="22"/>
        </w:rPr>
      </w:pPr>
      <w:bookmarkStart w:id="0" w:name="_GoBack"/>
      <w:bookmarkEnd w:id="0"/>
      <w:r>
        <w:rPr>
          <w:b/>
          <w:kern w:val="0"/>
          <w:szCs w:val="22"/>
        </w:rPr>
        <w:t>q</w:t>
      </w:r>
      <w:r w:rsidR="004C2EE3" w:rsidRPr="00536E29">
        <w:rPr>
          <w:b/>
          <w:kern w:val="0"/>
          <w:szCs w:val="22"/>
        </w:rPr>
        <w:t>Before</w:t>
      </w:r>
      <w:r w:rsidR="004C2EE3" w:rsidRPr="00E24AD2">
        <w:rPr>
          <w:b/>
          <w:szCs w:val="22"/>
        </w:rPr>
        <w:t xml:space="preserve"> the</w:t>
      </w:r>
    </w:p>
    <w:p w:rsidR="00921803" w:rsidRPr="00536E29" w:rsidRDefault="00921803" w:rsidP="00921803">
      <w:pPr>
        <w:pStyle w:val="StyleBoldCentered"/>
        <w:rPr>
          <w:rFonts w:ascii="Times New Roman" w:hAnsi="Times New Roman"/>
        </w:rPr>
      </w:pPr>
      <w:r w:rsidRPr="00536E29">
        <w:rPr>
          <w:rFonts w:ascii="Times New Roman" w:hAnsi="Times New Roman"/>
        </w:rPr>
        <w:t>F</w:t>
      </w:r>
      <w:r w:rsidRPr="00536E29">
        <w:rPr>
          <w:rFonts w:ascii="Times New Roman" w:hAnsi="Times New Roman"/>
          <w:caps w:val="0"/>
        </w:rPr>
        <w:t>ederal Communications Commission</w:t>
      </w:r>
    </w:p>
    <w:p w:rsidR="004C2EE3" w:rsidRPr="00536E29" w:rsidRDefault="00810B6F" w:rsidP="00096D8C">
      <w:pPr>
        <w:pStyle w:val="StyleBoldCentered"/>
        <w:rPr>
          <w:rFonts w:ascii="Times New Roman" w:hAnsi="Times New Roman"/>
        </w:rPr>
      </w:pPr>
      <w:r w:rsidRPr="00536E29">
        <w:rPr>
          <w:rFonts w:ascii="Times New Roman" w:hAnsi="Times New Roman"/>
          <w:caps w:val="0"/>
        </w:rPr>
        <w:t>Washington, D.C. 20554</w:t>
      </w:r>
    </w:p>
    <w:p w:rsidR="004C2EE3" w:rsidRPr="00E24AD2" w:rsidRDefault="004C2EE3" w:rsidP="0070224F">
      <w:pPr>
        <w:rPr>
          <w:szCs w:val="22"/>
        </w:rPr>
      </w:pPr>
    </w:p>
    <w:p w:rsidR="004C2EE3" w:rsidRPr="00D4458A"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0226E4">
        <w:tc>
          <w:tcPr>
            <w:tcW w:w="4698" w:type="dxa"/>
          </w:tcPr>
          <w:p w:rsidR="004C2EE3" w:rsidRPr="00536E29" w:rsidRDefault="004C2EE3">
            <w:pPr>
              <w:tabs>
                <w:tab w:val="center" w:pos="4680"/>
              </w:tabs>
              <w:suppressAutoHyphens/>
              <w:rPr>
                <w:spacing w:val="-2"/>
                <w:szCs w:val="22"/>
              </w:rPr>
            </w:pPr>
            <w:r w:rsidRPr="00536E29">
              <w:rPr>
                <w:spacing w:val="-2"/>
                <w:szCs w:val="22"/>
              </w:rPr>
              <w:t>In the Matter of</w:t>
            </w:r>
          </w:p>
          <w:p w:rsidR="004C2EE3" w:rsidRPr="00536E29" w:rsidRDefault="004C2EE3">
            <w:pPr>
              <w:tabs>
                <w:tab w:val="center" w:pos="4680"/>
              </w:tabs>
              <w:suppressAutoHyphens/>
              <w:rPr>
                <w:spacing w:val="-2"/>
                <w:szCs w:val="22"/>
              </w:rPr>
            </w:pPr>
          </w:p>
          <w:p w:rsidR="004C2EE3" w:rsidRPr="00536E29" w:rsidRDefault="00C3505A" w:rsidP="007115F7">
            <w:pPr>
              <w:tabs>
                <w:tab w:val="center" w:pos="4680"/>
              </w:tabs>
              <w:suppressAutoHyphens/>
              <w:rPr>
                <w:spacing w:val="-2"/>
                <w:szCs w:val="22"/>
              </w:rPr>
            </w:pPr>
            <w:r w:rsidRPr="00536E29">
              <w:rPr>
                <w:spacing w:val="-2"/>
                <w:szCs w:val="22"/>
              </w:rPr>
              <w:t xml:space="preserve">Requests for Wavier </w:t>
            </w:r>
            <w:r w:rsidR="00A25A39" w:rsidRPr="00536E29">
              <w:rPr>
                <w:spacing w:val="-2"/>
                <w:szCs w:val="22"/>
              </w:rPr>
              <w:t>by</w:t>
            </w:r>
            <w:r w:rsidRPr="00536E29">
              <w:rPr>
                <w:spacing w:val="-2"/>
                <w:szCs w:val="22"/>
              </w:rPr>
              <w:t xml:space="preserve"> </w:t>
            </w:r>
          </w:p>
          <w:p w:rsidR="00C3505A" w:rsidRPr="00536E29" w:rsidRDefault="00C3505A" w:rsidP="007115F7">
            <w:pPr>
              <w:tabs>
                <w:tab w:val="center" w:pos="4680"/>
              </w:tabs>
              <w:suppressAutoHyphens/>
              <w:rPr>
                <w:spacing w:val="-2"/>
                <w:szCs w:val="22"/>
              </w:rPr>
            </w:pPr>
          </w:p>
          <w:p w:rsidR="00C3505A" w:rsidRPr="00536E29" w:rsidRDefault="00C3505A" w:rsidP="007115F7">
            <w:pPr>
              <w:tabs>
                <w:tab w:val="center" w:pos="4680"/>
              </w:tabs>
              <w:suppressAutoHyphens/>
              <w:rPr>
                <w:spacing w:val="-2"/>
                <w:szCs w:val="22"/>
              </w:rPr>
            </w:pPr>
            <w:r w:rsidRPr="00536E29">
              <w:rPr>
                <w:spacing w:val="-2"/>
                <w:szCs w:val="22"/>
              </w:rPr>
              <w:t>Puerto Rico Department of Education</w:t>
            </w:r>
          </w:p>
          <w:p w:rsidR="00C3505A" w:rsidRPr="00536E29" w:rsidRDefault="00C3505A" w:rsidP="007115F7">
            <w:pPr>
              <w:tabs>
                <w:tab w:val="center" w:pos="4680"/>
              </w:tabs>
              <w:suppressAutoHyphens/>
              <w:rPr>
                <w:spacing w:val="-2"/>
                <w:szCs w:val="22"/>
              </w:rPr>
            </w:pPr>
            <w:r w:rsidRPr="00536E29">
              <w:rPr>
                <w:spacing w:val="-2"/>
                <w:szCs w:val="22"/>
              </w:rPr>
              <w:t>San Juan, PR</w:t>
            </w:r>
          </w:p>
          <w:p w:rsidR="00C3505A" w:rsidRPr="00536E29" w:rsidRDefault="00C3505A" w:rsidP="007115F7">
            <w:pPr>
              <w:tabs>
                <w:tab w:val="center" w:pos="4680"/>
              </w:tabs>
              <w:suppressAutoHyphens/>
              <w:rPr>
                <w:spacing w:val="-2"/>
                <w:szCs w:val="22"/>
              </w:rPr>
            </w:pPr>
          </w:p>
          <w:p w:rsidR="00C3505A" w:rsidRPr="00536E29" w:rsidRDefault="00C3505A" w:rsidP="007115F7">
            <w:pPr>
              <w:tabs>
                <w:tab w:val="center" w:pos="4680"/>
              </w:tabs>
              <w:suppressAutoHyphens/>
              <w:rPr>
                <w:spacing w:val="-2"/>
                <w:szCs w:val="22"/>
              </w:rPr>
            </w:pPr>
            <w:r w:rsidRPr="00536E29">
              <w:rPr>
                <w:spacing w:val="-2"/>
                <w:szCs w:val="22"/>
              </w:rPr>
              <w:t xml:space="preserve">Schools and Libraries Universal Service </w:t>
            </w:r>
          </w:p>
          <w:p w:rsidR="00C3505A" w:rsidRPr="00536E29" w:rsidRDefault="00C3505A" w:rsidP="007115F7">
            <w:pPr>
              <w:tabs>
                <w:tab w:val="center" w:pos="4680"/>
              </w:tabs>
              <w:suppressAutoHyphens/>
              <w:rPr>
                <w:spacing w:val="-2"/>
                <w:szCs w:val="22"/>
              </w:rPr>
            </w:pPr>
            <w:r w:rsidRPr="00536E29">
              <w:rPr>
                <w:spacing w:val="-2"/>
                <w:szCs w:val="22"/>
              </w:rPr>
              <w:t>Support Mechanism</w:t>
            </w:r>
          </w:p>
        </w:tc>
        <w:tc>
          <w:tcPr>
            <w:tcW w:w="630" w:type="dxa"/>
          </w:tcPr>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4C2EE3" w:rsidRPr="00536E29" w:rsidRDefault="004C2EE3">
            <w:pPr>
              <w:tabs>
                <w:tab w:val="center" w:pos="4680"/>
              </w:tabs>
              <w:suppressAutoHyphens/>
              <w:rPr>
                <w:b/>
                <w:spacing w:val="-2"/>
                <w:szCs w:val="22"/>
              </w:rPr>
            </w:pPr>
            <w:r w:rsidRPr="00536E29">
              <w:rPr>
                <w:b/>
                <w:spacing w:val="-2"/>
                <w:szCs w:val="22"/>
              </w:rPr>
              <w:t>)</w:t>
            </w:r>
          </w:p>
          <w:p w:rsidR="00C3505A" w:rsidRPr="00536E29" w:rsidRDefault="00C3505A">
            <w:pPr>
              <w:tabs>
                <w:tab w:val="center" w:pos="4680"/>
              </w:tabs>
              <w:suppressAutoHyphens/>
              <w:rPr>
                <w:b/>
                <w:spacing w:val="-2"/>
                <w:szCs w:val="22"/>
              </w:rPr>
            </w:pPr>
            <w:r w:rsidRPr="00536E29">
              <w:rPr>
                <w:b/>
                <w:spacing w:val="-2"/>
                <w:szCs w:val="22"/>
              </w:rPr>
              <w:t>)</w:t>
            </w:r>
          </w:p>
          <w:p w:rsidR="00C3505A" w:rsidRPr="00536E29" w:rsidRDefault="00C3505A">
            <w:pPr>
              <w:tabs>
                <w:tab w:val="center" w:pos="4680"/>
              </w:tabs>
              <w:suppressAutoHyphens/>
              <w:rPr>
                <w:spacing w:val="-2"/>
                <w:szCs w:val="22"/>
              </w:rPr>
            </w:pPr>
            <w:r w:rsidRPr="00536E29">
              <w:rPr>
                <w:b/>
                <w:spacing w:val="-2"/>
                <w:szCs w:val="22"/>
              </w:rPr>
              <w:t>)</w:t>
            </w:r>
          </w:p>
        </w:tc>
        <w:tc>
          <w:tcPr>
            <w:tcW w:w="4248" w:type="dxa"/>
          </w:tcPr>
          <w:p w:rsidR="004C2EE3" w:rsidRPr="00536E29" w:rsidRDefault="004C2EE3">
            <w:pPr>
              <w:tabs>
                <w:tab w:val="center" w:pos="4680"/>
              </w:tabs>
              <w:suppressAutoHyphens/>
              <w:rPr>
                <w:spacing w:val="-2"/>
                <w:szCs w:val="22"/>
              </w:rPr>
            </w:pPr>
          </w:p>
          <w:p w:rsidR="004C2EE3" w:rsidRPr="00536E29" w:rsidRDefault="004C2EE3">
            <w:pPr>
              <w:pStyle w:val="TOAHeading"/>
              <w:tabs>
                <w:tab w:val="clear" w:pos="9360"/>
                <w:tab w:val="center" w:pos="4680"/>
              </w:tabs>
              <w:rPr>
                <w:spacing w:val="-2"/>
                <w:szCs w:val="22"/>
              </w:rPr>
            </w:pPr>
          </w:p>
          <w:p w:rsidR="00C3505A" w:rsidRPr="00536E29" w:rsidRDefault="00C3505A">
            <w:pPr>
              <w:tabs>
                <w:tab w:val="center" w:pos="4680"/>
              </w:tabs>
              <w:suppressAutoHyphens/>
              <w:rPr>
                <w:szCs w:val="22"/>
                <w:lang w:val="es-ES"/>
              </w:rPr>
            </w:pPr>
          </w:p>
          <w:p w:rsidR="00C3505A" w:rsidRPr="00536E29" w:rsidRDefault="00C3505A">
            <w:pPr>
              <w:tabs>
                <w:tab w:val="center" w:pos="4680"/>
              </w:tabs>
              <w:suppressAutoHyphens/>
              <w:rPr>
                <w:szCs w:val="22"/>
                <w:lang w:val="es-ES"/>
              </w:rPr>
            </w:pPr>
          </w:p>
          <w:p w:rsidR="004C2EE3" w:rsidRPr="00536E29" w:rsidRDefault="00C3505A">
            <w:pPr>
              <w:tabs>
                <w:tab w:val="center" w:pos="4680"/>
              </w:tabs>
              <w:suppressAutoHyphens/>
              <w:rPr>
                <w:i/>
                <w:szCs w:val="22"/>
                <w:lang w:val="es-ES"/>
              </w:rPr>
            </w:pPr>
            <w:r w:rsidRPr="000226E4">
              <w:rPr>
                <w:szCs w:val="22"/>
                <w:lang w:val="es-ES"/>
              </w:rPr>
              <w:t>File Nos. SLD-918308,</w:t>
            </w:r>
            <w:r w:rsidRPr="000226E4">
              <w:rPr>
                <w:i/>
                <w:szCs w:val="22"/>
                <w:lang w:val="es-ES"/>
              </w:rPr>
              <w:t xml:space="preserve"> et al.</w:t>
            </w:r>
          </w:p>
          <w:p w:rsidR="00C3505A" w:rsidRPr="00536E29" w:rsidRDefault="00C3505A">
            <w:pPr>
              <w:tabs>
                <w:tab w:val="center" w:pos="4680"/>
              </w:tabs>
              <w:suppressAutoHyphens/>
              <w:rPr>
                <w:i/>
                <w:szCs w:val="22"/>
                <w:lang w:val="es-ES"/>
              </w:rPr>
            </w:pPr>
          </w:p>
          <w:p w:rsidR="00C3505A" w:rsidRPr="00536E29" w:rsidRDefault="00C3505A">
            <w:pPr>
              <w:tabs>
                <w:tab w:val="center" w:pos="4680"/>
              </w:tabs>
              <w:suppressAutoHyphens/>
              <w:rPr>
                <w:i/>
                <w:szCs w:val="22"/>
                <w:lang w:val="es-ES"/>
              </w:rPr>
            </w:pPr>
          </w:p>
          <w:p w:rsidR="00C3505A" w:rsidRPr="00536E29" w:rsidRDefault="00C3505A">
            <w:pPr>
              <w:tabs>
                <w:tab w:val="center" w:pos="4680"/>
              </w:tabs>
              <w:suppressAutoHyphens/>
              <w:rPr>
                <w:spacing w:val="-2"/>
                <w:szCs w:val="22"/>
              </w:rPr>
            </w:pPr>
            <w:r w:rsidRPr="000226E4">
              <w:rPr>
                <w:szCs w:val="22"/>
              </w:rPr>
              <w:t>CC Docket No. 02-6</w:t>
            </w:r>
          </w:p>
        </w:tc>
      </w:tr>
    </w:tbl>
    <w:p w:rsidR="004C2EE3" w:rsidRPr="00D4458A" w:rsidRDefault="004C2EE3" w:rsidP="0070224F">
      <w:pPr>
        <w:rPr>
          <w:szCs w:val="22"/>
        </w:rPr>
      </w:pPr>
    </w:p>
    <w:p w:rsidR="00841AB1" w:rsidRPr="00536E29" w:rsidRDefault="00C3505A" w:rsidP="00F021FA">
      <w:pPr>
        <w:pStyle w:val="StyleBoldCentered"/>
        <w:rPr>
          <w:rFonts w:ascii="Times New Roman" w:hAnsi="Times New Roman"/>
        </w:rPr>
      </w:pPr>
      <w:r w:rsidRPr="00536E29">
        <w:rPr>
          <w:rFonts w:ascii="Times New Roman" w:hAnsi="Times New Roman"/>
        </w:rPr>
        <w:t>order</w:t>
      </w:r>
    </w:p>
    <w:p w:rsidR="004C2EE3" w:rsidRPr="00E24AD2" w:rsidRDefault="004C2EE3">
      <w:pPr>
        <w:tabs>
          <w:tab w:val="left" w:pos="-720"/>
        </w:tabs>
        <w:suppressAutoHyphens/>
        <w:spacing w:line="227" w:lineRule="auto"/>
        <w:rPr>
          <w:spacing w:val="-2"/>
          <w:szCs w:val="22"/>
        </w:rPr>
      </w:pPr>
    </w:p>
    <w:p w:rsidR="004C2EE3" w:rsidRPr="00E24AD2" w:rsidRDefault="004C2EE3" w:rsidP="00BE4EFD">
      <w:pPr>
        <w:tabs>
          <w:tab w:val="left" w:pos="720"/>
          <w:tab w:val="right" w:pos="9360"/>
        </w:tabs>
        <w:suppressAutoHyphens/>
        <w:spacing w:line="227" w:lineRule="auto"/>
        <w:rPr>
          <w:spacing w:val="-2"/>
          <w:szCs w:val="22"/>
        </w:rPr>
      </w:pPr>
      <w:r w:rsidRPr="00E24AD2">
        <w:rPr>
          <w:b/>
          <w:spacing w:val="-2"/>
          <w:szCs w:val="22"/>
        </w:rPr>
        <w:t xml:space="preserve">Adopted:  </w:t>
      </w:r>
      <w:r w:rsidR="00E24AD2">
        <w:rPr>
          <w:b/>
          <w:spacing w:val="-2"/>
          <w:szCs w:val="22"/>
        </w:rPr>
        <w:t>December 2, 2014</w:t>
      </w:r>
      <w:r w:rsidRPr="00E24AD2">
        <w:rPr>
          <w:b/>
          <w:spacing w:val="-2"/>
          <w:szCs w:val="22"/>
        </w:rPr>
        <w:tab/>
      </w:r>
      <w:r w:rsidR="00822CE0" w:rsidRPr="00E24AD2">
        <w:rPr>
          <w:b/>
          <w:spacing w:val="-2"/>
          <w:szCs w:val="22"/>
        </w:rPr>
        <w:t>Released</w:t>
      </w:r>
      <w:r w:rsidRPr="00D4458A">
        <w:rPr>
          <w:b/>
          <w:spacing w:val="-2"/>
          <w:szCs w:val="22"/>
        </w:rPr>
        <w:t>:</w:t>
      </w:r>
      <w:r w:rsidR="00822CE0" w:rsidRPr="00D4458A">
        <w:rPr>
          <w:b/>
          <w:spacing w:val="-2"/>
          <w:szCs w:val="22"/>
        </w:rPr>
        <w:t xml:space="preserve"> </w:t>
      </w:r>
      <w:r w:rsidRPr="00536E29">
        <w:rPr>
          <w:b/>
          <w:spacing w:val="-2"/>
          <w:szCs w:val="22"/>
        </w:rPr>
        <w:t xml:space="preserve"> </w:t>
      </w:r>
      <w:r w:rsidR="00E24AD2">
        <w:rPr>
          <w:b/>
          <w:spacing w:val="-2"/>
          <w:szCs w:val="22"/>
        </w:rPr>
        <w:t>December 2, 2014</w:t>
      </w:r>
    </w:p>
    <w:p w:rsidR="00822CE0" w:rsidRPr="00D4458A" w:rsidRDefault="00822CE0">
      <w:pPr>
        <w:rPr>
          <w:spacing w:val="-2"/>
          <w:szCs w:val="22"/>
        </w:rPr>
      </w:pPr>
    </w:p>
    <w:p w:rsidR="00EB0DF3" w:rsidRPr="00536E29" w:rsidRDefault="00EB0DF3" w:rsidP="00EB0DF3">
      <w:pPr>
        <w:widowControl/>
        <w:rPr>
          <w:snapToGrid/>
          <w:kern w:val="0"/>
          <w:szCs w:val="22"/>
        </w:rPr>
      </w:pPr>
      <w:r w:rsidRPr="00536E29">
        <w:rPr>
          <w:snapToGrid/>
          <w:kern w:val="0"/>
          <w:szCs w:val="22"/>
        </w:rPr>
        <w:t>By the Chief, Telecommunications Access Policy Division, Wireline Competition Bureau:</w:t>
      </w:r>
    </w:p>
    <w:p w:rsidR="00EB0DF3" w:rsidRPr="000226E4" w:rsidRDefault="00EB0DF3" w:rsidP="00EB0DF3">
      <w:pPr>
        <w:widowControl/>
        <w:rPr>
          <w:snapToGrid/>
          <w:kern w:val="0"/>
          <w:szCs w:val="22"/>
        </w:rPr>
      </w:pPr>
    </w:p>
    <w:p w:rsidR="00614E7D" w:rsidRPr="00536E29" w:rsidRDefault="00EB0DF3" w:rsidP="00A6565D">
      <w:pPr>
        <w:pStyle w:val="ParaNum"/>
        <w:widowControl/>
        <w:ind w:left="0"/>
        <w:rPr>
          <w:snapToGrid/>
          <w:szCs w:val="22"/>
        </w:rPr>
      </w:pPr>
      <w:bookmarkStart w:id="1" w:name="OLE_LINK2"/>
      <w:bookmarkStart w:id="2" w:name="OLE_LINK3"/>
      <w:r w:rsidRPr="00D4458A">
        <w:rPr>
          <w:snapToGrid/>
          <w:szCs w:val="22"/>
        </w:rPr>
        <w:t>Consistent with precedent,</w:t>
      </w:r>
      <w:r w:rsidRPr="00536E29">
        <w:rPr>
          <w:snapToGrid/>
          <w:szCs w:val="22"/>
          <w:vertAlign w:val="superscript"/>
        </w:rPr>
        <w:footnoteReference w:id="2"/>
      </w:r>
      <w:r w:rsidRPr="00E24AD2">
        <w:rPr>
          <w:snapToGrid/>
          <w:szCs w:val="22"/>
        </w:rPr>
        <w:t xml:space="preserve"> </w:t>
      </w:r>
      <w:r w:rsidR="00605C2C" w:rsidRPr="00E24AD2">
        <w:rPr>
          <w:snapToGrid/>
          <w:szCs w:val="22"/>
        </w:rPr>
        <w:t xml:space="preserve">with respect to its </w:t>
      </w:r>
      <w:r w:rsidR="00946ECF" w:rsidRPr="00D4458A">
        <w:rPr>
          <w:snapToGrid/>
          <w:szCs w:val="22"/>
        </w:rPr>
        <w:t xml:space="preserve">funding </w:t>
      </w:r>
      <w:r w:rsidR="00605C2C" w:rsidRPr="00D4458A">
        <w:rPr>
          <w:snapToGrid/>
          <w:szCs w:val="22"/>
        </w:rPr>
        <w:t xml:space="preserve">requests </w:t>
      </w:r>
      <w:r w:rsidR="00946ECF" w:rsidRPr="00536E29">
        <w:rPr>
          <w:snapToGrid/>
          <w:szCs w:val="22"/>
        </w:rPr>
        <w:t xml:space="preserve">seeking </w:t>
      </w:r>
      <w:r w:rsidR="00605C2C" w:rsidRPr="00536E29">
        <w:rPr>
          <w:snapToGrid/>
          <w:szCs w:val="22"/>
        </w:rPr>
        <w:t>E-rate</w:t>
      </w:r>
      <w:r w:rsidR="00605C2C" w:rsidRPr="00536E29">
        <w:rPr>
          <w:rStyle w:val="FootnoteReference"/>
          <w:snapToGrid/>
          <w:sz w:val="22"/>
          <w:szCs w:val="22"/>
        </w:rPr>
        <w:footnoteReference w:id="3"/>
      </w:r>
      <w:r w:rsidR="00605C2C" w:rsidRPr="00536E29">
        <w:rPr>
          <w:snapToGrid/>
          <w:szCs w:val="22"/>
        </w:rPr>
        <w:t xml:space="preserve"> support for priority one services in funding year 2013,</w:t>
      </w:r>
      <w:r w:rsidR="00605C2C" w:rsidRPr="00536E29">
        <w:rPr>
          <w:rStyle w:val="FootnoteReference"/>
          <w:snapToGrid/>
          <w:sz w:val="22"/>
          <w:szCs w:val="22"/>
        </w:rPr>
        <w:footnoteReference w:id="4"/>
      </w:r>
      <w:r w:rsidR="00605C2C" w:rsidRPr="00536E29">
        <w:rPr>
          <w:snapToGrid/>
          <w:szCs w:val="22"/>
        </w:rPr>
        <w:t xml:space="preserve"> </w:t>
      </w:r>
      <w:r w:rsidRPr="00536E29">
        <w:rPr>
          <w:snapToGrid/>
          <w:szCs w:val="22"/>
        </w:rPr>
        <w:t xml:space="preserve">we grant the request </w:t>
      </w:r>
      <w:r w:rsidR="00605C2C" w:rsidRPr="00536E29">
        <w:rPr>
          <w:snapToGrid/>
          <w:szCs w:val="22"/>
        </w:rPr>
        <w:t xml:space="preserve">of </w:t>
      </w:r>
      <w:r w:rsidRPr="00536E29">
        <w:rPr>
          <w:snapToGrid/>
          <w:szCs w:val="22"/>
        </w:rPr>
        <w:t xml:space="preserve">the Puerto Rico Department of Education (PRDE) </w:t>
      </w:r>
      <w:r w:rsidR="00A25A39" w:rsidRPr="00536E29">
        <w:rPr>
          <w:snapToGrid/>
          <w:szCs w:val="22"/>
        </w:rPr>
        <w:t>seeking a waiver</w:t>
      </w:r>
      <w:r w:rsidR="00605C2C" w:rsidRPr="00536E29">
        <w:rPr>
          <w:snapToGrid/>
          <w:szCs w:val="22"/>
        </w:rPr>
        <w:t xml:space="preserve"> </w:t>
      </w:r>
      <w:r w:rsidR="00A25A39" w:rsidRPr="00536E29">
        <w:rPr>
          <w:snapToGrid/>
          <w:szCs w:val="22"/>
        </w:rPr>
        <w:t xml:space="preserve">of </w:t>
      </w:r>
      <w:r w:rsidR="00605C2C" w:rsidRPr="00536E29">
        <w:rPr>
          <w:snapToGrid/>
          <w:szCs w:val="22"/>
        </w:rPr>
        <w:t xml:space="preserve">the </w:t>
      </w:r>
      <w:r w:rsidR="00A25A39" w:rsidRPr="00536E29">
        <w:rPr>
          <w:snapToGrid/>
          <w:szCs w:val="22"/>
        </w:rPr>
        <w:t xml:space="preserve">Commission’s </w:t>
      </w:r>
      <w:r w:rsidR="00605C2C" w:rsidRPr="00536E29">
        <w:rPr>
          <w:snapToGrid/>
          <w:szCs w:val="22"/>
        </w:rPr>
        <w:t>then</w:t>
      </w:r>
      <w:r w:rsidR="00FB725C" w:rsidRPr="00536E29">
        <w:rPr>
          <w:snapToGrid/>
          <w:szCs w:val="22"/>
        </w:rPr>
        <w:t>-</w:t>
      </w:r>
      <w:r w:rsidR="00605C2C" w:rsidRPr="00536E29">
        <w:rPr>
          <w:snapToGrid/>
          <w:szCs w:val="22"/>
        </w:rPr>
        <w:t>existing rules requiring E-rate applicants to have a signed contract in place prior to filing an application for E-rate support.</w:t>
      </w:r>
      <w:r w:rsidRPr="00536E29">
        <w:rPr>
          <w:snapToGrid/>
          <w:szCs w:val="22"/>
          <w:vertAlign w:val="superscript"/>
        </w:rPr>
        <w:footnoteReference w:id="5"/>
      </w:r>
      <w:r w:rsidRPr="00E24AD2">
        <w:rPr>
          <w:snapToGrid/>
          <w:szCs w:val="22"/>
        </w:rPr>
        <w:t xml:space="preserve">  </w:t>
      </w:r>
      <w:r w:rsidR="00C93C6A" w:rsidRPr="00E24AD2">
        <w:rPr>
          <w:snapToGrid/>
          <w:szCs w:val="22"/>
        </w:rPr>
        <w:t>Also consistent with precedent</w:t>
      </w:r>
      <w:r w:rsidR="002D2B38" w:rsidRPr="00D4458A">
        <w:rPr>
          <w:snapToGrid/>
          <w:szCs w:val="22"/>
        </w:rPr>
        <w:t>,</w:t>
      </w:r>
      <w:r w:rsidR="002D2B38" w:rsidRPr="00D4458A">
        <w:rPr>
          <w:rStyle w:val="FootnoteReference"/>
          <w:snapToGrid/>
          <w:sz w:val="22"/>
          <w:szCs w:val="22"/>
        </w:rPr>
        <w:footnoteReference w:id="6"/>
      </w:r>
      <w:r w:rsidR="00C93C6A" w:rsidRPr="00536E29">
        <w:rPr>
          <w:snapToGrid/>
          <w:szCs w:val="22"/>
        </w:rPr>
        <w:t xml:space="preserve"> </w:t>
      </w:r>
      <w:r w:rsidR="00614E7D" w:rsidRPr="00536E29">
        <w:rPr>
          <w:snapToGrid/>
          <w:szCs w:val="22"/>
        </w:rPr>
        <w:t>we d</w:t>
      </w:r>
      <w:r w:rsidR="00073AC9" w:rsidRPr="00536E29">
        <w:rPr>
          <w:snapToGrid/>
          <w:szCs w:val="22"/>
        </w:rPr>
        <w:t>ismiss</w:t>
      </w:r>
      <w:r w:rsidR="00614E7D" w:rsidRPr="00536E29">
        <w:rPr>
          <w:snapToGrid/>
          <w:szCs w:val="22"/>
        </w:rPr>
        <w:t xml:space="preserve"> </w:t>
      </w:r>
      <w:r w:rsidR="00073AC9" w:rsidRPr="00536E29">
        <w:rPr>
          <w:snapToGrid/>
          <w:szCs w:val="22"/>
        </w:rPr>
        <w:t xml:space="preserve">as moot </w:t>
      </w:r>
      <w:r w:rsidR="00605C2C" w:rsidRPr="00536E29">
        <w:rPr>
          <w:snapToGrid/>
          <w:szCs w:val="22"/>
        </w:rPr>
        <w:t xml:space="preserve">PRDE’s request for a waiver of the same rule with respect to its request </w:t>
      </w:r>
      <w:r w:rsidR="00605C2C" w:rsidRPr="00536E29">
        <w:rPr>
          <w:snapToGrid/>
          <w:szCs w:val="22"/>
        </w:rPr>
        <w:lastRenderedPageBreak/>
        <w:t>for support for priority two services for funding year 2013</w:t>
      </w:r>
      <w:r w:rsidR="00946ECF" w:rsidRPr="00536E29">
        <w:rPr>
          <w:snapToGrid/>
          <w:szCs w:val="22"/>
        </w:rPr>
        <w:t xml:space="preserve"> </w:t>
      </w:r>
      <w:r w:rsidR="00073AC9" w:rsidRPr="00536E29">
        <w:rPr>
          <w:snapToGrid/>
          <w:szCs w:val="22"/>
        </w:rPr>
        <w:t xml:space="preserve">in light of </w:t>
      </w:r>
      <w:r w:rsidR="00946ECF" w:rsidRPr="00536E29">
        <w:rPr>
          <w:snapToGrid/>
          <w:szCs w:val="22"/>
        </w:rPr>
        <w:t xml:space="preserve">USAC’s </w:t>
      </w:r>
      <w:r w:rsidR="00073AC9" w:rsidRPr="00536E29">
        <w:rPr>
          <w:snapToGrid/>
          <w:szCs w:val="22"/>
        </w:rPr>
        <w:t xml:space="preserve">proper </w:t>
      </w:r>
      <w:r w:rsidR="00946ECF" w:rsidRPr="00536E29">
        <w:rPr>
          <w:snapToGrid/>
          <w:szCs w:val="22"/>
        </w:rPr>
        <w:t>denial of those funding requests</w:t>
      </w:r>
      <w:r w:rsidR="00073AC9" w:rsidRPr="00536E29">
        <w:rPr>
          <w:snapToGrid/>
          <w:szCs w:val="22"/>
        </w:rPr>
        <w:t>, because no priority two funding is available for funding year 2013</w:t>
      </w:r>
      <w:r w:rsidR="00614E7D" w:rsidRPr="00536E29">
        <w:rPr>
          <w:snapToGrid/>
          <w:szCs w:val="22"/>
        </w:rPr>
        <w:t>.</w:t>
      </w:r>
      <w:r w:rsidR="00614E7D" w:rsidRPr="00536E29">
        <w:rPr>
          <w:rStyle w:val="FootnoteReference"/>
          <w:snapToGrid/>
          <w:sz w:val="22"/>
          <w:szCs w:val="22"/>
        </w:rPr>
        <w:footnoteReference w:id="7"/>
      </w:r>
      <w:r w:rsidR="00614E7D" w:rsidRPr="00536E29">
        <w:rPr>
          <w:snapToGrid/>
          <w:szCs w:val="22"/>
        </w:rPr>
        <w:t xml:space="preserve">  </w:t>
      </w:r>
    </w:p>
    <w:p w:rsidR="008F61AB" w:rsidRPr="000226E4" w:rsidRDefault="00EB0DF3" w:rsidP="00FB725C">
      <w:pPr>
        <w:pStyle w:val="ParaNum"/>
        <w:ind w:left="0"/>
        <w:rPr>
          <w:snapToGrid/>
          <w:szCs w:val="22"/>
        </w:rPr>
      </w:pPr>
      <w:r w:rsidRPr="00536E29">
        <w:rPr>
          <w:i/>
          <w:snapToGrid/>
          <w:szCs w:val="22"/>
          <w:u w:val="single"/>
        </w:rPr>
        <w:t>Background</w:t>
      </w:r>
      <w:r w:rsidRPr="00536E29">
        <w:rPr>
          <w:snapToGrid/>
          <w:szCs w:val="22"/>
        </w:rPr>
        <w:t>.  Under the E-rate program, eligible schools, libraries, and consortia that include eligible schools and libraries may apply for discounts for eligible services.</w:t>
      </w:r>
      <w:r w:rsidRPr="00536E29">
        <w:rPr>
          <w:snapToGrid/>
          <w:szCs w:val="22"/>
          <w:vertAlign w:val="superscript"/>
        </w:rPr>
        <w:footnoteReference w:id="8"/>
      </w:r>
      <w:r w:rsidRPr="00536E29">
        <w:rPr>
          <w:snapToGrid/>
          <w:szCs w:val="22"/>
        </w:rPr>
        <w:t xml:space="preserve">  The Commission’s rules provide that an eligible school, library, or consortium that includes eligible schools and libraries must seek competitive bids for all services eligible for support.</w:t>
      </w:r>
      <w:r w:rsidR="008D1AEA" w:rsidRPr="00536E29">
        <w:rPr>
          <w:rStyle w:val="FootnoteReference"/>
          <w:snapToGrid/>
          <w:sz w:val="22"/>
          <w:szCs w:val="22"/>
        </w:rPr>
        <w:footnoteReference w:id="9"/>
      </w:r>
      <w:r w:rsidRPr="00536E29">
        <w:rPr>
          <w:snapToGrid/>
          <w:szCs w:val="22"/>
        </w:rPr>
        <w:t xml:space="preserve">  </w:t>
      </w:r>
      <w:r w:rsidR="008F61AB" w:rsidRPr="00536E29">
        <w:rPr>
          <w:snapToGrid/>
          <w:szCs w:val="22"/>
        </w:rPr>
        <w:t>In addition to following the Commission’s competitive bidding requirements, applicants are required to follow state and local procurement procedures.</w:t>
      </w:r>
      <w:r w:rsidR="008F61AB" w:rsidRPr="00536E29">
        <w:rPr>
          <w:snapToGrid/>
          <w:szCs w:val="22"/>
          <w:vertAlign w:val="superscript"/>
        </w:rPr>
        <w:footnoteReference w:id="10"/>
      </w:r>
      <w:r w:rsidR="008F61AB" w:rsidRPr="00536E29">
        <w:rPr>
          <w:snapToGrid/>
          <w:szCs w:val="22"/>
        </w:rPr>
        <w:t xml:space="preserve">  </w:t>
      </w:r>
    </w:p>
    <w:p w:rsidR="00EB0DF3" w:rsidRPr="00536E29" w:rsidRDefault="00EB0DF3" w:rsidP="00FB725C">
      <w:pPr>
        <w:pStyle w:val="ParaNum"/>
        <w:ind w:left="0"/>
        <w:rPr>
          <w:snapToGrid/>
          <w:szCs w:val="22"/>
        </w:rPr>
      </w:pPr>
      <w:r w:rsidRPr="00D4458A">
        <w:rPr>
          <w:bCs/>
          <w:snapToGrid/>
          <w:szCs w:val="22"/>
        </w:rPr>
        <w:t xml:space="preserve">Once </w:t>
      </w:r>
      <w:r w:rsidR="008F61AB" w:rsidRPr="00536E29">
        <w:rPr>
          <w:snapToGrid/>
          <w:szCs w:val="22"/>
        </w:rPr>
        <w:t>an</w:t>
      </w:r>
      <w:r w:rsidRPr="00536E29">
        <w:rPr>
          <w:snapToGrid/>
          <w:szCs w:val="22"/>
        </w:rPr>
        <w:t xml:space="preserve"> applicant has selected a provider </w:t>
      </w:r>
      <w:r w:rsidR="00A76671" w:rsidRPr="00536E29">
        <w:rPr>
          <w:snapToGrid/>
          <w:szCs w:val="22"/>
        </w:rPr>
        <w:t xml:space="preserve">in accordance with the Commission’s competitive bidding rules </w:t>
      </w:r>
      <w:r w:rsidRPr="00536E29">
        <w:rPr>
          <w:snapToGrid/>
          <w:szCs w:val="22"/>
        </w:rPr>
        <w:t>and entered into a service contract, the applicant must file an FCC Form 471 requesting support for eligible services.</w:t>
      </w:r>
      <w:r w:rsidRPr="00536E29">
        <w:rPr>
          <w:snapToGrid/>
          <w:szCs w:val="22"/>
          <w:vertAlign w:val="superscript"/>
        </w:rPr>
        <w:footnoteReference w:id="11"/>
      </w:r>
      <w:r w:rsidR="006121F4" w:rsidRPr="00536E29">
        <w:rPr>
          <w:snapToGrid/>
          <w:szCs w:val="22"/>
        </w:rPr>
        <w:t xml:space="preserve">  Under the rules in existence </w:t>
      </w:r>
      <w:r w:rsidR="00614E7D" w:rsidRPr="00536E29">
        <w:rPr>
          <w:snapToGrid/>
          <w:szCs w:val="22"/>
        </w:rPr>
        <w:t>for funding year 2013</w:t>
      </w:r>
      <w:r w:rsidR="006121F4" w:rsidRPr="00536E29">
        <w:rPr>
          <w:snapToGrid/>
          <w:szCs w:val="22"/>
        </w:rPr>
        <w:t>, applicants were required to have a signed contract with the</w:t>
      </w:r>
      <w:r w:rsidR="00614E7D" w:rsidRPr="00536E29">
        <w:rPr>
          <w:snapToGrid/>
          <w:szCs w:val="22"/>
        </w:rPr>
        <w:t>ir selected</w:t>
      </w:r>
      <w:r w:rsidR="006121F4" w:rsidRPr="00536E29">
        <w:rPr>
          <w:snapToGrid/>
          <w:szCs w:val="22"/>
        </w:rPr>
        <w:t xml:space="preserve"> provider</w:t>
      </w:r>
      <w:r w:rsidR="00A3476E" w:rsidRPr="00536E29">
        <w:rPr>
          <w:snapToGrid/>
          <w:szCs w:val="22"/>
        </w:rPr>
        <w:t>s</w:t>
      </w:r>
      <w:r w:rsidR="006121F4" w:rsidRPr="00536E29">
        <w:rPr>
          <w:snapToGrid/>
          <w:szCs w:val="22"/>
        </w:rPr>
        <w:t xml:space="preserve"> before filing the</w:t>
      </w:r>
      <w:r w:rsidR="008F61AB" w:rsidRPr="00536E29">
        <w:rPr>
          <w:snapToGrid/>
          <w:szCs w:val="22"/>
        </w:rPr>
        <w:t>ir</w:t>
      </w:r>
      <w:r w:rsidR="006121F4" w:rsidRPr="00536E29">
        <w:rPr>
          <w:snapToGrid/>
          <w:szCs w:val="22"/>
        </w:rPr>
        <w:t xml:space="preserve"> FCC Form</w:t>
      </w:r>
      <w:r w:rsidR="00A3476E" w:rsidRPr="00536E29">
        <w:rPr>
          <w:snapToGrid/>
          <w:szCs w:val="22"/>
        </w:rPr>
        <w:t>s</w:t>
      </w:r>
      <w:r w:rsidR="006121F4" w:rsidRPr="00536E29">
        <w:rPr>
          <w:snapToGrid/>
          <w:szCs w:val="22"/>
        </w:rPr>
        <w:t xml:space="preserve"> 471.</w:t>
      </w:r>
      <w:r w:rsidR="006121F4" w:rsidRPr="00536E29">
        <w:rPr>
          <w:rStyle w:val="FootnoteReference"/>
          <w:snapToGrid/>
          <w:sz w:val="22"/>
          <w:szCs w:val="22"/>
        </w:rPr>
        <w:footnoteReference w:id="12"/>
      </w:r>
      <w:r w:rsidR="00614E7D" w:rsidRPr="00536E29">
        <w:rPr>
          <w:snapToGrid/>
          <w:szCs w:val="22"/>
        </w:rPr>
        <w:t xml:space="preserve">  </w:t>
      </w:r>
    </w:p>
    <w:p w:rsidR="008F61AB" w:rsidRPr="00536E29" w:rsidRDefault="00FB725C" w:rsidP="00FB725C">
      <w:pPr>
        <w:pStyle w:val="ParaNum"/>
        <w:ind w:left="0"/>
        <w:rPr>
          <w:snapToGrid/>
          <w:szCs w:val="22"/>
        </w:rPr>
      </w:pPr>
      <w:r w:rsidRPr="00536E29">
        <w:rPr>
          <w:rFonts w:eastAsia="ヒラギノ角ゴ Pro W3"/>
          <w:snapToGrid/>
          <w:color w:val="000000"/>
          <w:kern w:val="0"/>
          <w:szCs w:val="22"/>
        </w:rPr>
        <w:t>The Commission’s rules for funding year 2013 require USAC to first provide available funds for priority one funding requests for telecommunications and Internet access services.</w:t>
      </w:r>
      <w:r w:rsidR="00FE650C" w:rsidRPr="00536E29">
        <w:rPr>
          <w:rStyle w:val="FootnoteReference"/>
          <w:rFonts w:eastAsia="ヒラギノ角ゴ Pro W3"/>
          <w:snapToGrid/>
          <w:kern w:val="0"/>
          <w:sz w:val="22"/>
          <w:szCs w:val="22"/>
        </w:rPr>
        <w:footnoteReference w:id="13"/>
      </w:r>
      <w:r w:rsidRPr="00536E29">
        <w:rPr>
          <w:rFonts w:eastAsia="ヒラギノ角ゴ Pro W3"/>
          <w:snapToGrid/>
          <w:color w:val="000000"/>
          <w:kern w:val="0"/>
          <w:szCs w:val="22"/>
        </w:rPr>
        <w:t xml:space="preserve">  The rules permit USAC to fund priority two requests for internal connections and basic maintenance of internal connections only after all priority one requests had</w:t>
      </w:r>
      <w:r w:rsidR="00A3476E" w:rsidRPr="00536E29">
        <w:rPr>
          <w:rFonts w:eastAsia="ヒラギノ角ゴ Pro W3"/>
          <w:snapToGrid/>
          <w:color w:val="000000"/>
          <w:kern w:val="0"/>
          <w:szCs w:val="22"/>
        </w:rPr>
        <w:t xml:space="preserve"> been committed</w:t>
      </w:r>
      <w:r w:rsidRPr="00536E29">
        <w:rPr>
          <w:rFonts w:eastAsia="ヒラギノ角ゴ Pro W3"/>
          <w:snapToGrid/>
          <w:color w:val="000000"/>
          <w:kern w:val="0"/>
          <w:szCs w:val="22"/>
        </w:rPr>
        <w:t>.</w:t>
      </w:r>
      <w:r w:rsidR="00FE650C" w:rsidRPr="00536E29">
        <w:rPr>
          <w:rStyle w:val="FootnoteReference"/>
          <w:rFonts w:eastAsia="ヒラギノ角ゴ Pro W3"/>
          <w:snapToGrid/>
          <w:kern w:val="0"/>
          <w:sz w:val="22"/>
          <w:szCs w:val="22"/>
        </w:rPr>
        <w:footnoteReference w:id="14"/>
      </w:r>
      <w:r w:rsidRPr="00536E29">
        <w:rPr>
          <w:rFonts w:eastAsia="ヒラギノ角ゴ Pro W3"/>
          <w:snapToGrid/>
          <w:color w:val="000000"/>
          <w:kern w:val="0"/>
          <w:szCs w:val="22"/>
        </w:rPr>
        <w:t xml:space="preserve">  </w:t>
      </w:r>
      <w:r w:rsidRPr="00536E29">
        <w:rPr>
          <w:snapToGrid/>
          <w:szCs w:val="22"/>
        </w:rPr>
        <w:t>USAC has sufficient funds available to provide support for all eligible priority one services for funding year 2013.</w:t>
      </w:r>
      <w:r w:rsidR="00FE650C" w:rsidRPr="00536E29">
        <w:rPr>
          <w:rStyle w:val="FootnoteReference"/>
          <w:snapToGrid/>
          <w:sz w:val="22"/>
          <w:szCs w:val="22"/>
        </w:rPr>
        <w:footnoteReference w:id="15"/>
      </w:r>
      <w:r w:rsidRPr="00536E29">
        <w:rPr>
          <w:snapToGrid/>
          <w:szCs w:val="22"/>
        </w:rPr>
        <w:t xml:space="preserve">  It does not have sufficient funds to commit funding for any eligible priority two services for funding year 2013.</w:t>
      </w:r>
      <w:r w:rsidR="00FE650C" w:rsidRPr="00536E29">
        <w:rPr>
          <w:rStyle w:val="FootnoteReference"/>
          <w:snapToGrid/>
          <w:sz w:val="22"/>
          <w:szCs w:val="22"/>
        </w:rPr>
        <w:footnoteReference w:id="16"/>
      </w:r>
      <w:r w:rsidR="00FE650C" w:rsidRPr="00536E29" w:rsidDel="00FB725C">
        <w:rPr>
          <w:snapToGrid/>
          <w:szCs w:val="22"/>
        </w:rPr>
        <w:t xml:space="preserve"> </w:t>
      </w:r>
    </w:p>
    <w:p w:rsidR="00EB0DF3" w:rsidRPr="00E24AD2" w:rsidRDefault="008F61AB" w:rsidP="00FB725C">
      <w:pPr>
        <w:pStyle w:val="ParaNum"/>
        <w:ind w:left="0"/>
        <w:rPr>
          <w:snapToGrid/>
          <w:szCs w:val="22"/>
        </w:rPr>
      </w:pPr>
      <w:r w:rsidRPr="00536E29">
        <w:rPr>
          <w:snapToGrid/>
          <w:szCs w:val="22"/>
        </w:rPr>
        <w:t xml:space="preserve">In 2012, PRDE conducted a competitive bidding process for E-rate supported services, and </w:t>
      </w:r>
      <w:r w:rsidR="00F85EB4" w:rsidRPr="00536E29">
        <w:rPr>
          <w:snapToGrid/>
          <w:szCs w:val="22"/>
        </w:rPr>
        <w:t>awarded a one</w:t>
      </w:r>
      <w:r w:rsidR="003872CA" w:rsidRPr="00536E29">
        <w:rPr>
          <w:snapToGrid/>
          <w:szCs w:val="22"/>
        </w:rPr>
        <w:t>-</w:t>
      </w:r>
      <w:r w:rsidR="00F85EB4" w:rsidRPr="00536E29">
        <w:rPr>
          <w:snapToGrid/>
          <w:szCs w:val="22"/>
        </w:rPr>
        <w:t xml:space="preserve">year contract with </w:t>
      </w:r>
      <w:r w:rsidR="00FE650C" w:rsidRPr="00536E29">
        <w:rPr>
          <w:snapToGrid/>
          <w:szCs w:val="22"/>
        </w:rPr>
        <w:t xml:space="preserve">two </w:t>
      </w:r>
      <w:r w:rsidR="00F85EB4" w:rsidRPr="00536E29">
        <w:rPr>
          <w:snapToGrid/>
          <w:szCs w:val="22"/>
        </w:rPr>
        <w:t>one</w:t>
      </w:r>
      <w:r w:rsidR="003872CA" w:rsidRPr="00536E29">
        <w:rPr>
          <w:snapToGrid/>
          <w:szCs w:val="22"/>
        </w:rPr>
        <w:t>-</w:t>
      </w:r>
      <w:r w:rsidR="00F85EB4" w:rsidRPr="00536E29">
        <w:rPr>
          <w:snapToGrid/>
          <w:szCs w:val="22"/>
        </w:rPr>
        <w:t>year renewal option</w:t>
      </w:r>
      <w:r w:rsidR="00FE650C" w:rsidRPr="00536E29">
        <w:rPr>
          <w:snapToGrid/>
          <w:szCs w:val="22"/>
        </w:rPr>
        <w:t>s</w:t>
      </w:r>
      <w:r w:rsidR="00F85EB4" w:rsidRPr="00536E29">
        <w:rPr>
          <w:snapToGrid/>
          <w:szCs w:val="22"/>
        </w:rPr>
        <w:t xml:space="preserve"> to Puerto Rico Telephone Company d/b/a Claro (Claro) for FY 2012.</w:t>
      </w:r>
      <w:r w:rsidR="00F85EB4" w:rsidRPr="00536E29">
        <w:rPr>
          <w:rStyle w:val="FootnoteReference"/>
          <w:snapToGrid/>
          <w:sz w:val="22"/>
          <w:szCs w:val="22"/>
        </w:rPr>
        <w:footnoteReference w:id="17"/>
      </w:r>
      <w:r w:rsidR="00F85EB4" w:rsidRPr="00536E29">
        <w:rPr>
          <w:snapToGrid/>
          <w:szCs w:val="22"/>
        </w:rPr>
        <w:t xml:space="preserve">  For funding year 2013, PRDE chose to exercise the renewal option with Claro.</w:t>
      </w:r>
      <w:r w:rsidR="003B72CA" w:rsidRPr="00536E29">
        <w:rPr>
          <w:rStyle w:val="FootnoteReference"/>
          <w:snapToGrid/>
          <w:sz w:val="22"/>
          <w:szCs w:val="22"/>
        </w:rPr>
        <w:footnoteReference w:id="18"/>
      </w:r>
      <w:r w:rsidR="00F85EB4" w:rsidRPr="00536E29">
        <w:rPr>
          <w:snapToGrid/>
          <w:szCs w:val="22"/>
        </w:rPr>
        <w:t xml:space="preserve">  However, PRDE’s ability to exercise the renewal option was complicated by an executive order signed by Puerto Rico Governor Alejandro García Padilla o</w:t>
      </w:r>
      <w:r w:rsidR="002F0E99" w:rsidRPr="00536E29">
        <w:rPr>
          <w:snapToGrid/>
          <w:szCs w:val="22"/>
        </w:rPr>
        <w:t>n January 3, 2013</w:t>
      </w:r>
      <w:r w:rsidR="00CD622A" w:rsidRPr="00536E29">
        <w:rPr>
          <w:snapToGrid/>
          <w:szCs w:val="22"/>
        </w:rPr>
        <w:t>,</w:t>
      </w:r>
      <w:r w:rsidR="002F0E99" w:rsidRPr="00536E29">
        <w:rPr>
          <w:snapToGrid/>
          <w:szCs w:val="22"/>
        </w:rPr>
        <w:t xml:space="preserve"> </w:t>
      </w:r>
      <w:r w:rsidR="005D5E90" w:rsidRPr="00536E29">
        <w:rPr>
          <w:snapToGrid/>
          <w:szCs w:val="22"/>
        </w:rPr>
        <w:t>only 60</w:t>
      </w:r>
      <w:r w:rsidR="00285A94" w:rsidRPr="00536E29">
        <w:rPr>
          <w:snapToGrid/>
          <w:szCs w:val="22"/>
        </w:rPr>
        <w:t xml:space="preserve"> days before the close of the E-rate funding window for funding year 2013, prohibiting any </w:t>
      </w:r>
      <w:r w:rsidR="00EB0DF3" w:rsidRPr="00536E29">
        <w:rPr>
          <w:snapToGrid/>
          <w:szCs w:val="22"/>
        </w:rPr>
        <w:t xml:space="preserve">department within </w:t>
      </w:r>
      <w:r w:rsidR="00CD622A" w:rsidRPr="00536E29">
        <w:rPr>
          <w:snapToGrid/>
          <w:szCs w:val="22"/>
        </w:rPr>
        <w:t>the Puerto Rico</w:t>
      </w:r>
      <w:r w:rsidR="00EB0DF3" w:rsidRPr="00536E29">
        <w:rPr>
          <w:snapToGrid/>
          <w:szCs w:val="22"/>
        </w:rPr>
        <w:t xml:space="preserve"> executive branch</w:t>
      </w:r>
      <w:r w:rsidR="00B73949" w:rsidRPr="00536E29">
        <w:rPr>
          <w:snapToGrid/>
          <w:szCs w:val="22"/>
        </w:rPr>
        <w:t xml:space="preserve">, </w:t>
      </w:r>
      <w:r w:rsidR="00CD622A" w:rsidRPr="00536E29">
        <w:rPr>
          <w:snapToGrid/>
          <w:szCs w:val="22"/>
        </w:rPr>
        <w:t>includ</w:t>
      </w:r>
      <w:r w:rsidR="006121F4" w:rsidRPr="00536E29">
        <w:rPr>
          <w:snapToGrid/>
          <w:szCs w:val="22"/>
        </w:rPr>
        <w:t>ing</w:t>
      </w:r>
      <w:r w:rsidR="00B73949" w:rsidRPr="00536E29">
        <w:rPr>
          <w:snapToGrid/>
          <w:szCs w:val="22"/>
        </w:rPr>
        <w:t xml:space="preserve"> the</w:t>
      </w:r>
      <w:r w:rsidR="005D5E90" w:rsidRPr="00536E29">
        <w:rPr>
          <w:snapToGrid/>
          <w:szCs w:val="22"/>
        </w:rPr>
        <w:t xml:space="preserve"> </w:t>
      </w:r>
      <w:r w:rsidR="006121F4" w:rsidRPr="00536E29">
        <w:rPr>
          <w:snapToGrid/>
          <w:szCs w:val="22"/>
        </w:rPr>
        <w:t>PRDE</w:t>
      </w:r>
      <w:r w:rsidR="00B73949" w:rsidRPr="00536E29">
        <w:rPr>
          <w:snapToGrid/>
          <w:szCs w:val="22"/>
        </w:rPr>
        <w:t>,</w:t>
      </w:r>
      <w:r w:rsidR="00EB0DF3" w:rsidRPr="00536E29">
        <w:rPr>
          <w:snapToGrid/>
          <w:szCs w:val="22"/>
        </w:rPr>
        <w:t xml:space="preserve"> </w:t>
      </w:r>
      <w:r w:rsidR="00285A94" w:rsidRPr="00536E29">
        <w:rPr>
          <w:snapToGrid/>
          <w:szCs w:val="22"/>
        </w:rPr>
        <w:t xml:space="preserve">from awarding contracts without the written authorization of </w:t>
      </w:r>
      <w:r w:rsidR="007315E5" w:rsidRPr="00536E29">
        <w:rPr>
          <w:snapToGrid/>
          <w:szCs w:val="22"/>
        </w:rPr>
        <w:t>the</w:t>
      </w:r>
      <w:r w:rsidR="00EB0DF3" w:rsidRPr="00536E29">
        <w:rPr>
          <w:snapToGrid/>
          <w:szCs w:val="22"/>
        </w:rPr>
        <w:t xml:space="preserve"> Puerto Rico Secretariat of Governance.</w:t>
      </w:r>
      <w:r w:rsidR="00EB0DF3" w:rsidRPr="00536E29">
        <w:rPr>
          <w:snapToGrid/>
          <w:szCs w:val="22"/>
          <w:vertAlign w:val="superscript"/>
        </w:rPr>
        <w:footnoteReference w:id="19"/>
      </w:r>
      <w:r w:rsidR="00EB0DF3" w:rsidRPr="00E24AD2">
        <w:rPr>
          <w:snapToGrid/>
          <w:szCs w:val="22"/>
        </w:rPr>
        <w:t xml:space="preserve">  </w:t>
      </w:r>
    </w:p>
    <w:p w:rsidR="00F85EB4" w:rsidRPr="000226E4" w:rsidRDefault="003B72CA" w:rsidP="00A6565D">
      <w:pPr>
        <w:pStyle w:val="ParaNum"/>
        <w:widowControl/>
        <w:ind w:left="0"/>
        <w:rPr>
          <w:snapToGrid/>
          <w:szCs w:val="22"/>
        </w:rPr>
      </w:pPr>
      <w:r w:rsidRPr="00D4458A">
        <w:rPr>
          <w:snapToGrid/>
          <w:szCs w:val="22"/>
        </w:rPr>
        <w:lastRenderedPageBreak/>
        <w:t>Pursuant to the Executive O</w:t>
      </w:r>
      <w:r w:rsidR="00F85EB4" w:rsidRPr="00536E29">
        <w:rPr>
          <w:snapToGrid/>
          <w:szCs w:val="22"/>
        </w:rPr>
        <w:t>rder, o</w:t>
      </w:r>
      <w:r w:rsidR="00EB0DF3" w:rsidRPr="00536E29">
        <w:rPr>
          <w:snapToGrid/>
          <w:szCs w:val="22"/>
        </w:rPr>
        <w:t xml:space="preserve">n February 25, 2013, before the FCC Form 471 filing deadline, PRDE presented a Request for Approval of Renewal Agreements to the Secretariat of Governance </w:t>
      </w:r>
      <w:r w:rsidR="00FD47A6" w:rsidRPr="00536E29">
        <w:rPr>
          <w:snapToGrid/>
          <w:szCs w:val="22"/>
        </w:rPr>
        <w:t xml:space="preserve">for approval </w:t>
      </w:r>
      <w:r w:rsidR="00EB0DF3" w:rsidRPr="00536E29">
        <w:rPr>
          <w:snapToGrid/>
          <w:szCs w:val="22"/>
        </w:rPr>
        <w:t xml:space="preserve">to renew the contract </w:t>
      </w:r>
      <w:r w:rsidR="00E67230" w:rsidRPr="00536E29">
        <w:rPr>
          <w:snapToGrid/>
          <w:szCs w:val="22"/>
        </w:rPr>
        <w:t xml:space="preserve">with Claro </w:t>
      </w:r>
      <w:r w:rsidR="00EB0DF3" w:rsidRPr="00536E29">
        <w:rPr>
          <w:snapToGrid/>
          <w:szCs w:val="22"/>
        </w:rPr>
        <w:t>for funding year 2013.</w:t>
      </w:r>
      <w:r w:rsidR="00F85EB4" w:rsidRPr="00536E29">
        <w:rPr>
          <w:rStyle w:val="FootnoteReference"/>
          <w:snapToGrid/>
          <w:sz w:val="22"/>
          <w:szCs w:val="22"/>
        </w:rPr>
        <w:footnoteReference w:id="20"/>
      </w:r>
      <w:r w:rsidR="00EB0DF3" w:rsidRPr="00536E29">
        <w:rPr>
          <w:snapToGrid/>
          <w:szCs w:val="22"/>
        </w:rPr>
        <w:t xml:space="preserve">  </w:t>
      </w:r>
      <w:r w:rsidRPr="00536E29">
        <w:rPr>
          <w:snapToGrid/>
          <w:szCs w:val="22"/>
        </w:rPr>
        <w:t>Although the Secretariat of Governance had not yet approved PRDE’s renewal of its contract with Claro, P</w:t>
      </w:r>
      <w:r w:rsidR="00FD47A6" w:rsidRPr="00536E29">
        <w:rPr>
          <w:snapToGrid/>
          <w:szCs w:val="22"/>
        </w:rPr>
        <w:t xml:space="preserve">RDE filed its FCC Forms 471 </w:t>
      </w:r>
      <w:r w:rsidR="00E67230" w:rsidRPr="00536E29">
        <w:rPr>
          <w:snapToGrid/>
          <w:szCs w:val="22"/>
        </w:rPr>
        <w:t xml:space="preserve">for funding year 2013 </w:t>
      </w:r>
      <w:r w:rsidR="00FD47A6" w:rsidRPr="00536E29">
        <w:rPr>
          <w:snapToGrid/>
          <w:szCs w:val="22"/>
        </w:rPr>
        <w:t>on March 12, 2013</w:t>
      </w:r>
      <w:r w:rsidR="00974245" w:rsidRPr="00536E29">
        <w:rPr>
          <w:snapToGrid/>
          <w:szCs w:val="22"/>
        </w:rPr>
        <w:t>, two days before the close of the filing window</w:t>
      </w:r>
      <w:r w:rsidR="00FD47A6" w:rsidRPr="00536E29">
        <w:rPr>
          <w:snapToGrid/>
          <w:szCs w:val="22"/>
        </w:rPr>
        <w:t>.</w:t>
      </w:r>
      <w:r w:rsidR="00EA1DE2" w:rsidRPr="00536E29">
        <w:rPr>
          <w:rStyle w:val="FootnoteReference"/>
          <w:snapToGrid/>
          <w:sz w:val="22"/>
          <w:szCs w:val="22"/>
        </w:rPr>
        <w:footnoteReference w:id="21"/>
      </w:r>
      <w:r w:rsidR="00FD47A6" w:rsidRPr="00536E29">
        <w:rPr>
          <w:snapToGrid/>
          <w:szCs w:val="22"/>
        </w:rPr>
        <w:t xml:space="preserve">  </w:t>
      </w:r>
      <w:r w:rsidR="00EB0DF3" w:rsidRPr="00536E29">
        <w:rPr>
          <w:snapToGrid/>
          <w:szCs w:val="22"/>
        </w:rPr>
        <w:t xml:space="preserve">The Secretariat of Governance </w:t>
      </w:r>
      <w:r w:rsidR="003C270F" w:rsidRPr="00536E29">
        <w:rPr>
          <w:snapToGrid/>
          <w:szCs w:val="22"/>
        </w:rPr>
        <w:t>finally</w:t>
      </w:r>
      <w:r w:rsidR="00EB0DF3" w:rsidRPr="00536E29">
        <w:rPr>
          <w:snapToGrid/>
          <w:szCs w:val="22"/>
        </w:rPr>
        <w:t xml:space="preserve"> approve</w:t>
      </w:r>
      <w:r w:rsidR="003C270F" w:rsidRPr="00536E29">
        <w:rPr>
          <w:snapToGrid/>
          <w:szCs w:val="22"/>
        </w:rPr>
        <w:t>d</w:t>
      </w:r>
      <w:r w:rsidR="00EB0DF3" w:rsidRPr="00536E29">
        <w:rPr>
          <w:snapToGrid/>
          <w:szCs w:val="22"/>
        </w:rPr>
        <w:t xml:space="preserve"> </w:t>
      </w:r>
      <w:r w:rsidR="005B5A9F" w:rsidRPr="00536E29">
        <w:rPr>
          <w:snapToGrid/>
          <w:szCs w:val="22"/>
        </w:rPr>
        <w:t xml:space="preserve">and signed </w:t>
      </w:r>
      <w:r w:rsidR="00EB0DF3" w:rsidRPr="00536E29">
        <w:rPr>
          <w:snapToGrid/>
          <w:szCs w:val="22"/>
        </w:rPr>
        <w:t>the Renewa</w:t>
      </w:r>
      <w:r w:rsidR="00EA1DE2" w:rsidRPr="00536E29">
        <w:rPr>
          <w:snapToGrid/>
          <w:szCs w:val="22"/>
        </w:rPr>
        <w:t xml:space="preserve">l Agreement </w:t>
      </w:r>
      <w:r w:rsidR="003C270F" w:rsidRPr="00536E29">
        <w:rPr>
          <w:snapToGrid/>
          <w:szCs w:val="22"/>
        </w:rPr>
        <w:t>on</w:t>
      </w:r>
      <w:r w:rsidR="00EA1DE2" w:rsidRPr="00536E29">
        <w:rPr>
          <w:snapToGrid/>
          <w:szCs w:val="22"/>
        </w:rPr>
        <w:t xml:space="preserve"> June 28, 2013</w:t>
      </w:r>
      <w:r w:rsidR="00285A94" w:rsidRPr="00536E29">
        <w:rPr>
          <w:snapToGrid/>
          <w:szCs w:val="22"/>
        </w:rPr>
        <w:t>, after the close of the funding window</w:t>
      </w:r>
      <w:r w:rsidR="00EA1DE2" w:rsidRPr="00536E29">
        <w:rPr>
          <w:snapToGrid/>
          <w:szCs w:val="22"/>
        </w:rPr>
        <w:t>.</w:t>
      </w:r>
      <w:r w:rsidR="00334BA5" w:rsidRPr="00536E29">
        <w:rPr>
          <w:rStyle w:val="FootnoteReference"/>
          <w:snapToGrid/>
          <w:sz w:val="22"/>
          <w:szCs w:val="22"/>
        </w:rPr>
        <w:footnoteReference w:id="22"/>
      </w:r>
      <w:r w:rsidR="00EA1DE2" w:rsidRPr="00536E29">
        <w:rPr>
          <w:snapToGrid/>
          <w:szCs w:val="22"/>
        </w:rPr>
        <w:t xml:space="preserve"> </w:t>
      </w:r>
      <w:r w:rsidR="005B5A9F" w:rsidRPr="00536E29">
        <w:rPr>
          <w:snapToGrid/>
          <w:szCs w:val="22"/>
        </w:rPr>
        <w:t xml:space="preserve"> </w:t>
      </w:r>
      <w:r w:rsidR="00EA1DE2" w:rsidRPr="00536E29">
        <w:rPr>
          <w:snapToGrid/>
          <w:szCs w:val="22"/>
        </w:rPr>
        <w:t>PRDE filed this Request for Waiver on August 15, 2014.</w:t>
      </w:r>
      <w:r w:rsidR="00EA1DE2" w:rsidRPr="00536E29">
        <w:rPr>
          <w:rStyle w:val="FootnoteReference"/>
          <w:snapToGrid/>
          <w:sz w:val="22"/>
          <w:szCs w:val="22"/>
        </w:rPr>
        <w:footnoteReference w:id="23"/>
      </w:r>
      <w:r w:rsidR="00EA1DE2" w:rsidRPr="00536E29">
        <w:rPr>
          <w:snapToGrid/>
          <w:szCs w:val="22"/>
        </w:rPr>
        <w:t xml:space="preserve"> </w:t>
      </w:r>
    </w:p>
    <w:p w:rsidR="00F85EB4" w:rsidRPr="000226E4" w:rsidRDefault="00974245" w:rsidP="00FB725C">
      <w:pPr>
        <w:pStyle w:val="ParaNum"/>
        <w:ind w:left="0"/>
        <w:rPr>
          <w:snapToGrid/>
          <w:szCs w:val="22"/>
        </w:rPr>
      </w:pPr>
      <w:r w:rsidRPr="00D4458A">
        <w:rPr>
          <w:snapToGrid/>
          <w:szCs w:val="22"/>
        </w:rPr>
        <w:t xml:space="preserve">In addition to filing applications for E-rate support for the services to be provided by Claro, </w:t>
      </w:r>
      <w:r w:rsidR="00F85EB4" w:rsidRPr="00536E29">
        <w:rPr>
          <w:snapToGrid/>
          <w:szCs w:val="22"/>
        </w:rPr>
        <w:t>PRDE filed an application for priority two funding for funding year 2013.</w:t>
      </w:r>
      <w:r w:rsidRPr="00536E29">
        <w:rPr>
          <w:rStyle w:val="FootnoteReference"/>
          <w:snapToGrid/>
          <w:sz w:val="22"/>
          <w:szCs w:val="22"/>
        </w:rPr>
        <w:footnoteReference w:id="24"/>
      </w:r>
      <w:r w:rsidR="00F85EB4" w:rsidRPr="00536E29">
        <w:rPr>
          <w:snapToGrid/>
          <w:szCs w:val="22"/>
        </w:rPr>
        <w:t xml:space="preserve">  </w:t>
      </w:r>
      <w:r w:rsidR="00A3476E" w:rsidRPr="00536E29">
        <w:rPr>
          <w:snapToGrid/>
          <w:szCs w:val="22"/>
        </w:rPr>
        <w:t xml:space="preserve">USAC denied this request </w:t>
      </w:r>
      <w:r w:rsidR="00F85EB4" w:rsidRPr="00536E29">
        <w:rPr>
          <w:snapToGrid/>
          <w:szCs w:val="22"/>
        </w:rPr>
        <w:t>because it did not have sufficient funds to commit funding for any eligible priority two services for funding year 2013.</w:t>
      </w:r>
      <w:r w:rsidR="00F85EB4" w:rsidRPr="00536E29">
        <w:rPr>
          <w:rStyle w:val="FootnoteReference"/>
          <w:snapToGrid/>
          <w:sz w:val="22"/>
          <w:szCs w:val="22"/>
        </w:rPr>
        <w:footnoteReference w:id="25"/>
      </w:r>
    </w:p>
    <w:p w:rsidR="00F85EB4" w:rsidRPr="00E24AD2" w:rsidRDefault="00EB0DF3" w:rsidP="00FB725C">
      <w:pPr>
        <w:pStyle w:val="ParaNum"/>
        <w:ind w:left="0"/>
        <w:rPr>
          <w:snapToGrid/>
          <w:szCs w:val="22"/>
        </w:rPr>
      </w:pPr>
      <w:r w:rsidRPr="00D4458A">
        <w:rPr>
          <w:i/>
          <w:snapToGrid/>
          <w:szCs w:val="22"/>
          <w:u w:val="single"/>
        </w:rPr>
        <w:t>Discussion</w:t>
      </w:r>
      <w:r w:rsidRPr="00536E29">
        <w:rPr>
          <w:snapToGrid/>
          <w:szCs w:val="22"/>
        </w:rPr>
        <w:t xml:space="preserve">.  After reviewing the record before us, we find that good cause exists to </w:t>
      </w:r>
      <w:r w:rsidR="00285A94" w:rsidRPr="00536E29">
        <w:rPr>
          <w:snapToGrid/>
          <w:szCs w:val="22"/>
        </w:rPr>
        <w:t xml:space="preserve">justify a limited waiver </w:t>
      </w:r>
      <w:r w:rsidR="00DE363E" w:rsidRPr="00536E29">
        <w:rPr>
          <w:snapToGrid/>
          <w:szCs w:val="22"/>
        </w:rPr>
        <w:t xml:space="preserve">of the requirement in section 54.504(a) that </w:t>
      </w:r>
      <w:r w:rsidR="00F85EB4" w:rsidRPr="00536E29">
        <w:rPr>
          <w:snapToGrid/>
          <w:szCs w:val="22"/>
        </w:rPr>
        <w:t xml:space="preserve">an </w:t>
      </w:r>
      <w:r w:rsidR="00DE363E" w:rsidRPr="00536E29">
        <w:rPr>
          <w:snapToGrid/>
          <w:szCs w:val="22"/>
        </w:rPr>
        <w:t xml:space="preserve">applicant have a signed contract in place before filing an FCC Form 471 </w:t>
      </w:r>
      <w:r w:rsidR="00F85EB4" w:rsidRPr="00536E29">
        <w:rPr>
          <w:snapToGrid/>
          <w:szCs w:val="22"/>
        </w:rPr>
        <w:t xml:space="preserve">and </w:t>
      </w:r>
      <w:r w:rsidR="007E6286" w:rsidRPr="00536E29">
        <w:rPr>
          <w:snapToGrid/>
          <w:szCs w:val="22"/>
        </w:rPr>
        <w:t xml:space="preserve">to </w:t>
      </w:r>
      <w:r w:rsidR="00F85EB4" w:rsidRPr="00536E29">
        <w:rPr>
          <w:snapToGrid/>
          <w:szCs w:val="22"/>
        </w:rPr>
        <w:t xml:space="preserve">direct USAC to </w:t>
      </w:r>
      <w:r w:rsidR="007E6286" w:rsidRPr="00536E29">
        <w:rPr>
          <w:snapToGrid/>
          <w:szCs w:val="22"/>
        </w:rPr>
        <w:t>review</w:t>
      </w:r>
      <w:r w:rsidR="00F85EB4" w:rsidRPr="00536E29">
        <w:rPr>
          <w:snapToGrid/>
          <w:szCs w:val="22"/>
        </w:rPr>
        <w:t xml:space="preserve"> </w:t>
      </w:r>
      <w:r w:rsidR="00DE363E" w:rsidRPr="00536E29">
        <w:rPr>
          <w:snapToGrid/>
          <w:szCs w:val="22"/>
        </w:rPr>
        <w:t>PRDE</w:t>
      </w:r>
      <w:r w:rsidR="007E6286" w:rsidRPr="00536E29">
        <w:rPr>
          <w:snapToGrid/>
          <w:szCs w:val="22"/>
        </w:rPr>
        <w:t>’s</w:t>
      </w:r>
      <w:r w:rsidR="00F85EB4" w:rsidRPr="00536E29">
        <w:rPr>
          <w:snapToGrid/>
          <w:szCs w:val="22"/>
        </w:rPr>
        <w:t xml:space="preserve"> application for support for priority one services provided by Claro for funding year 2013.  </w:t>
      </w:r>
      <w:r w:rsidR="006121F4" w:rsidRPr="00536E29">
        <w:rPr>
          <w:snapToGrid/>
          <w:szCs w:val="22"/>
        </w:rPr>
        <w:t>T</w:t>
      </w:r>
      <w:r w:rsidRPr="00536E29">
        <w:rPr>
          <w:snapToGrid/>
          <w:szCs w:val="22"/>
        </w:rPr>
        <w:t>he Commission’s rules may be waived for good cause shown.</w:t>
      </w:r>
      <w:r w:rsidRPr="00536E29">
        <w:rPr>
          <w:snapToGrid/>
          <w:szCs w:val="22"/>
          <w:vertAlign w:val="superscript"/>
        </w:rPr>
        <w:footnoteReference w:id="26"/>
      </w:r>
      <w:r w:rsidRPr="00536E29">
        <w:rPr>
          <w:snapToGrid/>
          <w:szCs w:val="22"/>
        </w:rPr>
        <w:t xml:space="preserve">  </w:t>
      </w:r>
      <w:r w:rsidR="006121F4" w:rsidRPr="00536E29">
        <w:rPr>
          <w:snapToGrid/>
          <w:szCs w:val="22"/>
        </w:rPr>
        <w:t>Waiver of the Commission’s rules is appropriate only if special circumstances warrant a deviation from the general rule, and such deviation will serve the public interest.</w:t>
      </w:r>
      <w:r w:rsidR="006121F4" w:rsidRPr="00536E29">
        <w:rPr>
          <w:snapToGrid/>
          <w:szCs w:val="22"/>
          <w:vertAlign w:val="superscript"/>
        </w:rPr>
        <w:footnoteReference w:id="27"/>
      </w:r>
      <w:r w:rsidR="006121F4" w:rsidRPr="00536E29">
        <w:rPr>
          <w:snapToGrid/>
          <w:szCs w:val="22"/>
        </w:rPr>
        <w:t xml:space="preserve"> </w:t>
      </w:r>
      <w:r w:rsidR="00E4032B" w:rsidRPr="00536E29">
        <w:rPr>
          <w:snapToGrid/>
          <w:szCs w:val="22"/>
        </w:rPr>
        <w:t xml:space="preserve"> </w:t>
      </w:r>
    </w:p>
    <w:p w:rsidR="00EB0DF3" w:rsidRPr="000226E4" w:rsidRDefault="00974245" w:rsidP="00FB725C">
      <w:pPr>
        <w:pStyle w:val="ParaNum"/>
        <w:ind w:left="0"/>
        <w:rPr>
          <w:snapToGrid/>
          <w:szCs w:val="22"/>
        </w:rPr>
      </w:pPr>
      <w:r w:rsidRPr="00D4458A">
        <w:rPr>
          <w:snapToGrid/>
          <w:szCs w:val="22"/>
        </w:rPr>
        <w:t xml:space="preserve">The </w:t>
      </w:r>
      <w:r w:rsidR="007E6286" w:rsidRPr="00536E29">
        <w:rPr>
          <w:snapToGrid/>
          <w:szCs w:val="22"/>
        </w:rPr>
        <w:t xml:space="preserve">Commission has </w:t>
      </w:r>
      <w:r w:rsidRPr="00536E29">
        <w:rPr>
          <w:snapToGrid/>
          <w:szCs w:val="22"/>
        </w:rPr>
        <w:t xml:space="preserve">previously </w:t>
      </w:r>
      <w:r w:rsidR="00C93C6A" w:rsidRPr="00536E29">
        <w:rPr>
          <w:snapToGrid/>
          <w:szCs w:val="22"/>
        </w:rPr>
        <w:t xml:space="preserve">found that good cause exists to grant a waiver of </w:t>
      </w:r>
      <w:r w:rsidR="0012113F" w:rsidRPr="00536E29">
        <w:rPr>
          <w:snapToGrid/>
          <w:szCs w:val="22"/>
        </w:rPr>
        <w:t>section 54.504(a)</w:t>
      </w:r>
      <w:r w:rsidR="00C93C6A" w:rsidRPr="00536E29">
        <w:rPr>
          <w:snapToGrid/>
          <w:szCs w:val="22"/>
        </w:rPr>
        <w:t xml:space="preserve"> where a state or local procurement </w:t>
      </w:r>
      <w:r w:rsidR="009A14F5" w:rsidRPr="00536E29">
        <w:rPr>
          <w:snapToGrid/>
          <w:szCs w:val="22"/>
        </w:rPr>
        <w:t xml:space="preserve">law or </w:t>
      </w:r>
      <w:r w:rsidR="00C93C6A" w:rsidRPr="00536E29">
        <w:rPr>
          <w:snapToGrid/>
          <w:szCs w:val="22"/>
        </w:rPr>
        <w:t xml:space="preserve">process requirement has prevented an applicant from entering into a signed contract with a properly selected vendor before </w:t>
      </w:r>
      <w:r w:rsidR="00DE363E" w:rsidRPr="00536E29">
        <w:rPr>
          <w:snapToGrid/>
          <w:szCs w:val="22"/>
        </w:rPr>
        <w:t>it files</w:t>
      </w:r>
      <w:r w:rsidR="00C93C6A" w:rsidRPr="00536E29">
        <w:rPr>
          <w:snapToGrid/>
          <w:szCs w:val="22"/>
        </w:rPr>
        <w:t xml:space="preserve"> an FCC Form 471 application for E-rate support</w:t>
      </w:r>
      <w:r w:rsidR="00EB0DF3" w:rsidRPr="00536E29">
        <w:rPr>
          <w:snapToGrid/>
          <w:szCs w:val="22"/>
        </w:rPr>
        <w:t xml:space="preserve">.  </w:t>
      </w:r>
      <w:r w:rsidR="009A14F5" w:rsidRPr="00536E29">
        <w:rPr>
          <w:snapToGrid/>
          <w:szCs w:val="22"/>
        </w:rPr>
        <w:t>F</w:t>
      </w:r>
      <w:r w:rsidR="00A656B8" w:rsidRPr="00536E29">
        <w:rPr>
          <w:snapToGrid/>
          <w:szCs w:val="22"/>
        </w:rPr>
        <w:t xml:space="preserve">or example, in the </w:t>
      </w:r>
      <w:r w:rsidR="00A656B8" w:rsidRPr="00536E29">
        <w:rPr>
          <w:i/>
          <w:snapToGrid/>
          <w:szCs w:val="22"/>
        </w:rPr>
        <w:t>Adams County Order</w:t>
      </w:r>
      <w:r w:rsidR="00A656B8" w:rsidRPr="00536E29">
        <w:rPr>
          <w:snapToGrid/>
          <w:szCs w:val="22"/>
        </w:rPr>
        <w:t>, the Commission found a waiver was appropriate when a local procurement law required that a district governing board approve the contract and approval was not granted until after the deadline.</w:t>
      </w:r>
      <w:r w:rsidR="00A656B8" w:rsidRPr="00536E29">
        <w:rPr>
          <w:snapToGrid/>
          <w:szCs w:val="22"/>
          <w:vertAlign w:val="superscript"/>
        </w:rPr>
        <w:footnoteReference w:id="28"/>
      </w:r>
      <w:r w:rsidR="00A656B8" w:rsidRPr="00E24AD2">
        <w:rPr>
          <w:snapToGrid/>
          <w:szCs w:val="22"/>
        </w:rPr>
        <w:t xml:space="preserve">  In </w:t>
      </w:r>
      <w:r w:rsidR="009A14F5" w:rsidRPr="00E24AD2">
        <w:rPr>
          <w:snapToGrid/>
          <w:szCs w:val="22"/>
        </w:rPr>
        <w:t xml:space="preserve">the </w:t>
      </w:r>
      <w:r w:rsidR="009A14F5" w:rsidRPr="00D4458A">
        <w:rPr>
          <w:i/>
          <w:snapToGrid/>
          <w:szCs w:val="22"/>
        </w:rPr>
        <w:t>West Virginia Order</w:t>
      </w:r>
      <w:r w:rsidR="009A14F5" w:rsidRPr="00536E29">
        <w:rPr>
          <w:snapToGrid/>
          <w:szCs w:val="22"/>
        </w:rPr>
        <w:t>, the Wireline Competition Bureau granted a waiver of section 54.504(a) when a state law that prohibited the extension of state contracts until 30 days before expiration of the contract made it impossible for applicants to have signed contracts when they filed their FCC Forms 471.</w:t>
      </w:r>
      <w:r w:rsidR="00FB09CB" w:rsidRPr="00536E29">
        <w:rPr>
          <w:rStyle w:val="FootnoteReference"/>
          <w:snapToGrid/>
          <w:sz w:val="22"/>
          <w:szCs w:val="22"/>
        </w:rPr>
        <w:footnoteReference w:id="29"/>
      </w:r>
      <w:r w:rsidR="009A14F5" w:rsidRPr="00536E29">
        <w:rPr>
          <w:snapToGrid/>
          <w:szCs w:val="22"/>
        </w:rPr>
        <w:t xml:space="preserve">  </w:t>
      </w:r>
      <w:r w:rsidR="00EB0DF3" w:rsidRPr="00536E29">
        <w:rPr>
          <w:snapToGrid/>
          <w:szCs w:val="22"/>
        </w:rPr>
        <w:t>Here, PRDE had a</w:t>
      </w:r>
      <w:r w:rsidR="00A656B8" w:rsidRPr="00536E29">
        <w:rPr>
          <w:snapToGrid/>
          <w:szCs w:val="22"/>
        </w:rPr>
        <w:t xml:space="preserve">n </w:t>
      </w:r>
      <w:r w:rsidR="00EB0DF3" w:rsidRPr="00536E29">
        <w:rPr>
          <w:snapToGrid/>
          <w:szCs w:val="22"/>
        </w:rPr>
        <w:t>agreement in place</w:t>
      </w:r>
      <w:r w:rsidR="00DB2AB3" w:rsidRPr="00536E29">
        <w:rPr>
          <w:snapToGrid/>
          <w:szCs w:val="22"/>
        </w:rPr>
        <w:t xml:space="preserve"> by the deadline</w:t>
      </w:r>
      <w:r w:rsidR="00EB0DF3" w:rsidRPr="00536E29">
        <w:rPr>
          <w:snapToGrid/>
          <w:szCs w:val="22"/>
        </w:rPr>
        <w:t xml:space="preserve">, but </w:t>
      </w:r>
      <w:r w:rsidR="00C93C6A" w:rsidRPr="00536E29">
        <w:rPr>
          <w:snapToGrid/>
          <w:szCs w:val="22"/>
        </w:rPr>
        <w:t xml:space="preserve">was prohibited by executive order from </w:t>
      </w:r>
      <w:r w:rsidR="00EB0DF3" w:rsidRPr="00536E29">
        <w:rPr>
          <w:snapToGrid/>
          <w:szCs w:val="22"/>
        </w:rPr>
        <w:t>enter</w:t>
      </w:r>
      <w:r w:rsidR="00C93C6A" w:rsidRPr="00536E29">
        <w:rPr>
          <w:snapToGrid/>
          <w:szCs w:val="22"/>
        </w:rPr>
        <w:t>ing</w:t>
      </w:r>
      <w:r w:rsidR="00EB0DF3" w:rsidRPr="00536E29">
        <w:rPr>
          <w:snapToGrid/>
          <w:szCs w:val="22"/>
        </w:rPr>
        <w:t xml:space="preserve"> into a formal contract </w:t>
      </w:r>
      <w:r w:rsidR="00C93C6A" w:rsidRPr="00536E29">
        <w:rPr>
          <w:snapToGrid/>
          <w:szCs w:val="22"/>
        </w:rPr>
        <w:t xml:space="preserve">until </w:t>
      </w:r>
      <w:r w:rsidR="00EB0DF3" w:rsidRPr="00536E29">
        <w:rPr>
          <w:snapToGrid/>
          <w:szCs w:val="22"/>
        </w:rPr>
        <w:t>the Secretariat of Governance approve</w:t>
      </w:r>
      <w:r w:rsidR="00C93C6A" w:rsidRPr="00536E29">
        <w:rPr>
          <w:snapToGrid/>
          <w:szCs w:val="22"/>
        </w:rPr>
        <w:t xml:space="preserve">d the contract, </w:t>
      </w:r>
      <w:r w:rsidR="00A656B8" w:rsidRPr="00536E29">
        <w:rPr>
          <w:snapToGrid/>
          <w:szCs w:val="22"/>
        </w:rPr>
        <w:t xml:space="preserve">the timing of which </w:t>
      </w:r>
      <w:r w:rsidR="00C93C6A" w:rsidRPr="00536E29">
        <w:rPr>
          <w:snapToGrid/>
          <w:szCs w:val="22"/>
        </w:rPr>
        <w:t>was outside PRDE’s control.</w:t>
      </w:r>
      <w:r w:rsidR="006121F4" w:rsidRPr="00536E29">
        <w:rPr>
          <w:rStyle w:val="FootnoteReference"/>
          <w:snapToGrid/>
          <w:sz w:val="22"/>
          <w:szCs w:val="22"/>
        </w:rPr>
        <w:footnoteReference w:id="30"/>
      </w:r>
      <w:r w:rsidR="00EB0DF3" w:rsidRPr="00536E29">
        <w:rPr>
          <w:snapToGrid/>
          <w:szCs w:val="22"/>
        </w:rPr>
        <w:t xml:space="preserve">  </w:t>
      </w:r>
      <w:r w:rsidR="00ED5D59" w:rsidRPr="00536E29">
        <w:rPr>
          <w:snapToGrid/>
          <w:szCs w:val="22"/>
        </w:rPr>
        <w:t>Under these circumstances, we</w:t>
      </w:r>
      <w:r w:rsidR="00A656B8" w:rsidRPr="00536E29">
        <w:rPr>
          <w:snapToGrid/>
          <w:szCs w:val="22"/>
        </w:rPr>
        <w:t xml:space="preserve"> find that special circumstances exist that warrant a deviation from the signed contract requirement</w:t>
      </w:r>
      <w:r w:rsidR="00ED5D59" w:rsidRPr="00536E29">
        <w:rPr>
          <w:snapToGrid/>
          <w:szCs w:val="22"/>
        </w:rPr>
        <w:t xml:space="preserve"> and that it is in the public interest to do so.  </w:t>
      </w:r>
      <w:r w:rsidR="00EB0DF3" w:rsidRPr="00536E29">
        <w:rPr>
          <w:snapToGrid/>
          <w:szCs w:val="22"/>
        </w:rPr>
        <w:t xml:space="preserve">Therefore, </w:t>
      </w:r>
      <w:r w:rsidR="00DE363E" w:rsidRPr="00536E29">
        <w:rPr>
          <w:snapToGrid/>
          <w:szCs w:val="22"/>
        </w:rPr>
        <w:t xml:space="preserve">with respect to the funding requests listed in Appendix A, </w:t>
      </w:r>
      <w:r w:rsidR="00EB0DF3" w:rsidRPr="00536E29">
        <w:rPr>
          <w:snapToGrid/>
          <w:szCs w:val="22"/>
        </w:rPr>
        <w:t xml:space="preserve">we find that good cause exists to grant a limited </w:t>
      </w:r>
      <w:r w:rsidR="004A1501" w:rsidRPr="00536E29">
        <w:rPr>
          <w:snapToGrid/>
          <w:szCs w:val="22"/>
        </w:rPr>
        <w:t>waiver</w:t>
      </w:r>
      <w:r w:rsidR="00EB0DF3" w:rsidRPr="00536E29">
        <w:rPr>
          <w:snapToGrid/>
          <w:szCs w:val="22"/>
        </w:rPr>
        <w:t xml:space="preserve"> of section 54.504(a) of our rules and remand </w:t>
      </w:r>
      <w:r w:rsidR="00ED5D59" w:rsidRPr="00536E29">
        <w:rPr>
          <w:snapToGrid/>
          <w:szCs w:val="22"/>
        </w:rPr>
        <w:t xml:space="preserve">those funding requests </w:t>
      </w:r>
      <w:r w:rsidR="00EB0DF3" w:rsidRPr="00536E29">
        <w:rPr>
          <w:snapToGrid/>
          <w:szCs w:val="22"/>
        </w:rPr>
        <w:t>to USAC for further processing consistent with our decision.</w:t>
      </w:r>
    </w:p>
    <w:p w:rsidR="00EB0DF3" w:rsidRPr="00536E29" w:rsidRDefault="00EB0DF3" w:rsidP="00FB725C">
      <w:pPr>
        <w:pStyle w:val="ParaNum"/>
        <w:ind w:left="0"/>
        <w:rPr>
          <w:snapToGrid/>
          <w:szCs w:val="22"/>
        </w:rPr>
      </w:pPr>
      <w:r w:rsidRPr="00D4458A">
        <w:rPr>
          <w:rFonts w:eastAsia="Calibri"/>
          <w:snapToGrid/>
          <w:szCs w:val="22"/>
        </w:rPr>
        <w:t>On our own motion, we also waive section</w:t>
      </w:r>
      <w:r w:rsidR="00FE7E1D" w:rsidRPr="00536E29">
        <w:rPr>
          <w:rFonts w:eastAsia="Calibri"/>
          <w:snapToGrid/>
          <w:szCs w:val="22"/>
        </w:rPr>
        <w:t>s</w:t>
      </w:r>
      <w:r w:rsidRPr="00536E29">
        <w:rPr>
          <w:rFonts w:eastAsia="Calibri"/>
          <w:snapToGrid/>
          <w:szCs w:val="22"/>
        </w:rPr>
        <w:t xml:space="preserve"> 54.507(d) </w:t>
      </w:r>
      <w:r w:rsidR="00FE7E1D" w:rsidRPr="00536E29">
        <w:rPr>
          <w:rFonts w:eastAsia="Calibri"/>
          <w:snapToGrid/>
          <w:szCs w:val="22"/>
        </w:rPr>
        <w:t xml:space="preserve">and 54.514(a) </w:t>
      </w:r>
      <w:r w:rsidR="003B2E6C" w:rsidRPr="00536E29">
        <w:rPr>
          <w:rFonts w:eastAsia="Calibri"/>
          <w:snapToGrid/>
          <w:szCs w:val="22"/>
        </w:rPr>
        <w:t xml:space="preserve">of the </w:t>
      </w:r>
      <w:r w:rsidRPr="00536E29">
        <w:rPr>
          <w:rFonts w:eastAsia="Calibri"/>
          <w:snapToGrid/>
          <w:szCs w:val="22"/>
        </w:rPr>
        <w:t>Commission’s rules and any USAC procedural deadlines</w:t>
      </w:r>
      <w:r w:rsidR="00ED5D59" w:rsidRPr="00536E29">
        <w:rPr>
          <w:rFonts w:eastAsia="Calibri"/>
          <w:snapToGrid/>
          <w:szCs w:val="22"/>
        </w:rPr>
        <w:t xml:space="preserve"> </w:t>
      </w:r>
      <w:r w:rsidRPr="00536E29">
        <w:rPr>
          <w:rFonts w:eastAsia="Calibri"/>
          <w:snapToGrid/>
          <w:szCs w:val="22"/>
        </w:rPr>
        <w:t>that might be necessary to effectuate our ruling.</w:t>
      </w:r>
      <w:r w:rsidRPr="00536E29">
        <w:rPr>
          <w:rFonts w:eastAsia="Calibri"/>
          <w:snapToGrid/>
          <w:szCs w:val="22"/>
          <w:vertAlign w:val="superscript"/>
        </w:rPr>
        <w:footnoteReference w:id="31"/>
      </w:r>
      <w:r w:rsidRPr="00536E29">
        <w:rPr>
          <w:rFonts w:eastAsia="Calibri"/>
          <w:snapToGrid/>
          <w:szCs w:val="22"/>
        </w:rPr>
        <w:t xml:space="preserve">  We find good cause to waive section</w:t>
      </w:r>
      <w:r w:rsidR="00FE7E1D" w:rsidRPr="00536E29">
        <w:rPr>
          <w:rFonts w:eastAsia="Calibri"/>
          <w:snapToGrid/>
          <w:szCs w:val="22"/>
        </w:rPr>
        <w:t>s</w:t>
      </w:r>
      <w:r w:rsidRPr="00536E29">
        <w:rPr>
          <w:rFonts w:eastAsia="Calibri"/>
          <w:snapToGrid/>
          <w:szCs w:val="22"/>
        </w:rPr>
        <w:t xml:space="preserve"> 54.507(d) </w:t>
      </w:r>
      <w:r w:rsidR="00FE7E1D" w:rsidRPr="00536E29">
        <w:rPr>
          <w:rFonts w:eastAsia="Calibri"/>
          <w:snapToGrid/>
          <w:szCs w:val="22"/>
        </w:rPr>
        <w:t xml:space="preserve">and 54.514(a) </w:t>
      </w:r>
      <w:r w:rsidRPr="00536E29">
        <w:rPr>
          <w:rFonts w:eastAsia="Calibri"/>
          <w:snapToGrid/>
          <w:szCs w:val="22"/>
        </w:rPr>
        <w:t xml:space="preserve">because filing an appeal of a denial of funding is likely to cause petitioners to miss the program’s subsequent procedural deadlines </w:t>
      </w:r>
      <w:r w:rsidR="00C93C6A" w:rsidRPr="00536E29">
        <w:rPr>
          <w:rFonts w:eastAsia="Calibri"/>
          <w:snapToGrid/>
          <w:szCs w:val="22"/>
        </w:rPr>
        <w:t>for</w:t>
      </w:r>
      <w:r w:rsidRPr="00536E29">
        <w:rPr>
          <w:rFonts w:eastAsia="Calibri"/>
          <w:snapToGrid/>
          <w:szCs w:val="22"/>
        </w:rPr>
        <w:t xml:space="preserve"> that funding year.</w:t>
      </w:r>
    </w:p>
    <w:p w:rsidR="00EB0DF3" w:rsidRPr="00536E29" w:rsidRDefault="00EB0DF3" w:rsidP="00FB725C">
      <w:pPr>
        <w:pStyle w:val="ParaNum"/>
        <w:ind w:left="0"/>
        <w:rPr>
          <w:snapToGrid/>
          <w:szCs w:val="22"/>
        </w:rPr>
      </w:pPr>
      <w:r w:rsidRPr="00536E29">
        <w:rPr>
          <w:rFonts w:eastAsia="Calibri"/>
          <w:snapToGrid/>
          <w:szCs w:val="22"/>
        </w:rPr>
        <w:t xml:space="preserve">We remand the underlying applications listed in </w:t>
      </w:r>
      <w:r w:rsidR="006A6094" w:rsidRPr="00536E29">
        <w:rPr>
          <w:rFonts w:eastAsia="Calibri"/>
          <w:snapToGrid/>
          <w:szCs w:val="22"/>
        </w:rPr>
        <w:t>Appendix A</w:t>
      </w:r>
      <w:r w:rsidRPr="00536E29">
        <w:rPr>
          <w:rFonts w:eastAsia="Calibri"/>
          <w:snapToGrid/>
          <w:szCs w:val="22"/>
        </w:rPr>
        <w:t xml:space="preserve"> to USAC for further action consistent with this order.  To ensure that the underlying applications are resolved expeditiously, we direct USAC to complete its review of each application listed in </w:t>
      </w:r>
      <w:r w:rsidR="008D1AEA" w:rsidRPr="00536E29">
        <w:rPr>
          <w:rFonts w:eastAsia="Calibri"/>
          <w:snapToGrid/>
          <w:szCs w:val="22"/>
        </w:rPr>
        <w:t>Appendix A</w:t>
      </w:r>
      <w:r w:rsidRPr="00536E29">
        <w:rPr>
          <w:rFonts w:eastAsia="Calibri"/>
          <w:snapToGrid/>
          <w:szCs w:val="22"/>
        </w:rPr>
        <w:t xml:space="preserve"> and issue an award or a denial based on a complete review and analysis no later than 90 calendar days from the release date of this order.  In remanding these applications to USAC, we make no finding as to the ultimate eligibility of the services or the petitioners’ applications.    </w:t>
      </w:r>
    </w:p>
    <w:p w:rsidR="006A6094" w:rsidRPr="00536E29" w:rsidRDefault="006A6094" w:rsidP="00FB725C">
      <w:pPr>
        <w:pStyle w:val="ParaNum"/>
        <w:ind w:left="0"/>
        <w:rPr>
          <w:snapToGrid/>
          <w:szCs w:val="22"/>
        </w:rPr>
      </w:pPr>
      <w:r w:rsidRPr="00536E29">
        <w:rPr>
          <w:rFonts w:eastAsia="Calibri"/>
          <w:snapToGrid/>
          <w:szCs w:val="22"/>
        </w:rPr>
        <w:t xml:space="preserve">We deny the Request for Waiver for the </w:t>
      </w:r>
      <w:r w:rsidR="00075357" w:rsidRPr="00536E29">
        <w:rPr>
          <w:rFonts w:eastAsia="Calibri"/>
          <w:snapToGrid/>
          <w:szCs w:val="22"/>
        </w:rPr>
        <w:t xml:space="preserve">priority two </w:t>
      </w:r>
      <w:r w:rsidRPr="00536E29">
        <w:rPr>
          <w:rFonts w:eastAsia="Calibri"/>
          <w:snapToGrid/>
          <w:szCs w:val="22"/>
        </w:rPr>
        <w:t xml:space="preserve">funding requests listed in Appendix B because no funding is available for </w:t>
      </w:r>
      <w:r w:rsidR="00ED5D59" w:rsidRPr="00536E29">
        <w:rPr>
          <w:rFonts w:eastAsia="Calibri"/>
          <w:snapToGrid/>
          <w:szCs w:val="22"/>
        </w:rPr>
        <w:t>priority two requests for any applicants for funding year 2013.</w:t>
      </w:r>
      <w:r w:rsidRPr="00536E29">
        <w:rPr>
          <w:rFonts w:eastAsia="ヒラギノ角ゴ Pro W3"/>
          <w:snapToGrid/>
          <w:color w:val="000000"/>
          <w:kern w:val="0"/>
          <w:szCs w:val="22"/>
          <w:vertAlign w:val="superscript"/>
        </w:rPr>
        <w:footnoteReference w:id="32"/>
      </w:r>
      <w:r w:rsidRPr="00536E29">
        <w:rPr>
          <w:rFonts w:eastAsia="ヒラギノ角ゴ Pro W3"/>
          <w:snapToGrid/>
          <w:color w:val="000000"/>
          <w:kern w:val="0"/>
          <w:szCs w:val="22"/>
        </w:rPr>
        <w:t xml:space="preserve">  Therefore, USAC has already appropriately denied </w:t>
      </w:r>
      <w:r w:rsidR="00075357" w:rsidRPr="00536E29">
        <w:rPr>
          <w:rFonts w:eastAsia="ヒラギノ角ゴ Pro W3"/>
          <w:snapToGrid/>
          <w:color w:val="000000"/>
          <w:kern w:val="0"/>
          <w:szCs w:val="22"/>
        </w:rPr>
        <w:t xml:space="preserve">PRDE’s </w:t>
      </w:r>
      <w:r w:rsidRPr="00536E29">
        <w:rPr>
          <w:rFonts w:eastAsia="ヒラギノ角ゴ Pro W3"/>
          <w:snapToGrid/>
          <w:color w:val="000000"/>
          <w:kern w:val="0"/>
          <w:szCs w:val="22"/>
        </w:rPr>
        <w:t>requests for priority two funding for funding year 2013</w:t>
      </w:r>
      <w:bookmarkEnd w:id="1"/>
      <w:bookmarkEnd w:id="2"/>
      <w:r w:rsidRPr="00536E29">
        <w:rPr>
          <w:rFonts w:eastAsia="ヒラギノ角ゴ Pro W3"/>
          <w:snapToGrid/>
          <w:color w:val="000000"/>
          <w:kern w:val="0"/>
          <w:szCs w:val="22"/>
        </w:rPr>
        <w:t xml:space="preserve"> and a waiver is not appropriate.</w:t>
      </w:r>
      <w:r w:rsidR="00FB09CB" w:rsidRPr="00536E29">
        <w:rPr>
          <w:rStyle w:val="FootnoteReference"/>
          <w:rFonts w:eastAsia="ヒラギノ角ゴ Pro W3"/>
          <w:snapToGrid/>
          <w:kern w:val="0"/>
          <w:sz w:val="22"/>
          <w:szCs w:val="22"/>
        </w:rPr>
        <w:footnoteReference w:id="33"/>
      </w:r>
    </w:p>
    <w:p w:rsidR="00EB0DF3" w:rsidRPr="00536E29" w:rsidRDefault="00EB0DF3" w:rsidP="00FB725C">
      <w:pPr>
        <w:pStyle w:val="ParaNum"/>
        <w:ind w:left="0"/>
        <w:rPr>
          <w:snapToGrid/>
          <w:szCs w:val="22"/>
        </w:rPr>
      </w:pPr>
      <w:r w:rsidRPr="00536E29">
        <w:rPr>
          <w:snapToGrid/>
          <w:szCs w:val="22"/>
        </w:rPr>
        <w:t>ACCORDINGLY, IT IS ORDERED, pursuant to the authority contained in sections 1-4 and 254 of the Communications Act of 1934, as amended, 47 U.S.C. §§ 151-154 and 254, and sections 0.91, 0.291, 1.3 and 54.722(a) of the Commission’s rules, 47 C.F.R. §§ 0.91, 0.291,</w:t>
      </w:r>
      <w:r w:rsidR="006A6094" w:rsidRPr="00536E29">
        <w:rPr>
          <w:snapToGrid/>
          <w:szCs w:val="22"/>
        </w:rPr>
        <w:t xml:space="preserve"> 1.3 and 54.722(a), the request</w:t>
      </w:r>
      <w:r w:rsidR="00E24AD2">
        <w:rPr>
          <w:snapToGrid/>
          <w:szCs w:val="22"/>
        </w:rPr>
        <w:t>s</w:t>
      </w:r>
      <w:r w:rsidRPr="00E24AD2">
        <w:rPr>
          <w:snapToGrid/>
          <w:szCs w:val="22"/>
        </w:rPr>
        <w:t xml:space="preserve"> for </w:t>
      </w:r>
      <w:r w:rsidR="006A6094" w:rsidRPr="00E24AD2">
        <w:rPr>
          <w:snapToGrid/>
          <w:szCs w:val="22"/>
        </w:rPr>
        <w:t>waiver listed in Appendix A</w:t>
      </w:r>
      <w:r w:rsidRPr="00D4458A">
        <w:rPr>
          <w:snapToGrid/>
          <w:szCs w:val="22"/>
        </w:rPr>
        <w:t xml:space="preserve"> ARE GRANTED and their underlying applications ARE REMANDED to USAC for further consideration in accordance with the terms of</w:t>
      </w:r>
      <w:r w:rsidRPr="00536E29">
        <w:rPr>
          <w:snapToGrid/>
          <w:szCs w:val="22"/>
        </w:rPr>
        <w:t xml:space="preserve"> this order.</w:t>
      </w:r>
    </w:p>
    <w:p w:rsidR="00EB0DF3" w:rsidRPr="00536E29" w:rsidRDefault="00EB0DF3" w:rsidP="00FB725C">
      <w:pPr>
        <w:pStyle w:val="ParaNum"/>
        <w:ind w:left="0"/>
        <w:rPr>
          <w:snapToGrid/>
          <w:szCs w:val="22"/>
        </w:rPr>
      </w:pPr>
      <w:r w:rsidRPr="00536E29">
        <w:rPr>
          <w:snapToGrid/>
          <w:szCs w:val="22"/>
        </w:rPr>
        <w:t xml:space="preserve">IT IS FURTHER ORDERED, pursuant to the authority contained in sections 1-4 and 254 of the Communications Act of 1934, as amended, 47 U.S.C. §§ 151-154 and 254, and sections 0.91, 0.291, 1.3 and 54.722(a) of the Commission’s rules, 47 C.F.R. §§ 0.91, 0.291, 1.3 and 54.722(a), that 54.500 </w:t>
      </w:r>
      <w:r w:rsidRPr="00536E29">
        <w:rPr>
          <w:i/>
          <w:snapToGrid/>
          <w:szCs w:val="22"/>
        </w:rPr>
        <w:t>et seq.</w:t>
      </w:r>
      <w:r w:rsidRPr="00536E29">
        <w:rPr>
          <w:snapToGrid/>
          <w:szCs w:val="22"/>
        </w:rPr>
        <w:t xml:space="preserve"> of the Commission’s rules, 47 C.F.R. § 54.500 </w:t>
      </w:r>
      <w:r w:rsidRPr="00536E29">
        <w:rPr>
          <w:i/>
          <w:snapToGrid/>
          <w:szCs w:val="22"/>
        </w:rPr>
        <w:t>et seq.</w:t>
      </w:r>
      <w:r w:rsidRPr="00536E29">
        <w:rPr>
          <w:snapToGrid/>
          <w:szCs w:val="22"/>
        </w:rPr>
        <w:t>,</w:t>
      </w:r>
      <w:r w:rsidR="00BE4EFD" w:rsidRPr="00536E29">
        <w:rPr>
          <w:snapToGrid/>
          <w:szCs w:val="22"/>
        </w:rPr>
        <w:t xml:space="preserve"> ARE WAIVED for the petitioner</w:t>
      </w:r>
      <w:r w:rsidR="006A6094" w:rsidRPr="00536E29">
        <w:rPr>
          <w:snapToGrid/>
          <w:szCs w:val="22"/>
        </w:rPr>
        <w:t xml:space="preserve"> with respect to the requests for waiver listed in Appendix A</w:t>
      </w:r>
      <w:r w:rsidR="00BE4EFD" w:rsidRPr="00536E29">
        <w:rPr>
          <w:snapToGrid/>
          <w:szCs w:val="22"/>
        </w:rPr>
        <w:t xml:space="preserve"> </w:t>
      </w:r>
      <w:r w:rsidRPr="00536E29">
        <w:rPr>
          <w:snapToGrid/>
          <w:szCs w:val="22"/>
        </w:rPr>
        <w:t>to the limited extent provided herein.</w:t>
      </w:r>
    </w:p>
    <w:p w:rsidR="00EB0DF3" w:rsidRPr="00536E29" w:rsidRDefault="006A6094" w:rsidP="00A6565D">
      <w:pPr>
        <w:pStyle w:val="ParaNum"/>
        <w:keepNext/>
        <w:ind w:left="0"/>
        <w:rPr>
          <w:snapToGrid/>
          <w:kern w:val="0"/>
          <w:szCs w:val="22"/>
        </w:rPr>
      </w:pPr>
      <w:r w:rsidRPr="000226E4">
        <w:rPr>
          <w:rStyle w:val="StyleNumberedparagraphs11ptChar"/>
          <w:szCs w:val="22"/>
        </w:rPr>
        <w:t>IT IS FURTHER ORDERED</w:t>
      </w:r>
      <w:r w:rsidRPr="00D4458A">
        <w:rPr>
          <w:snapToGrid/>
          <w:szCs w:val="22"/>
        </w:rPr>
        <w:t>, pursuant to the authority contained in sections 1-4 and 254 of the Communications Act of 1934, as amended, 47 U.S.C. §§ 151-154 and 254, and sections 0.91, 0.291, 1.3 and 54.722(a) of the Commission’s rules, 47 C.F.R. §§ 0.91, 0.291, 1.3 and 54.722(a)</w:t>
      </w:r>
      <w:r w:rsidRPr="00536E29">
        <w:rPr>
          <w:snapToGrid/>
          <w:szCs w:val="22"/>
        </w:rPr>
        <w:t>, the request</w:t>
      </w:r>
      <w:r w:rsidR="00640638" w:rsidRPr="00536E29">
        <w:rPr>
          <w:snapToGrid/>
          <w:szCs w:val="22"/>
        </w:rPr>
        <w:t>s</w:t>
      </w:r>
      <w:r w:rsidRPr="00536E29">
        <w:rPr>
          <w:snapToGrid/>
          <w:szCs w:val="22"/>
        </w:rPr>
        <w:t xml:space="preserve"> for waiver listed in Appendix B are DENIED.</w:t>
      </w:r>
    </w:p>
    <w:p w:rsidR="00EB0DF3" w:rsidRPr="000226E4" w:rsidRDefault="00EB0DF3" w:rsidP="00A6565D">
      <w:pPr>
        <w:keepNext/>
        <w:widowControl/>
        <w:tabs>
          <w:tab w:val="left" w:pos="-720"/>
        </w:tabs>
        <w:suppressAutoHyphens/>
        <w:ind w:left="4320"/>
        <w:outlineLvl w:val="0"/>
        <w:rPr>
          <w:snapToGrid/>
          <w:kern w:val="0"/>
          <w:szCs w:val="22"/>
        </w:rPr>
      </w:pPr>
      <w:r w:rsidRPr="000226E4">
        <w:rPr>
          <w:snapToGrid/>
          <w:kern w:val="0"/>
          <w:szCs w:val="22"/>
        </w:rPr>
        <w:t>FEDERAL COMMUNICATIONS COMMISSION</w:t>
      </w:r>
    </w:p>
    <w:p w:rsidR="00EB0DF3" w:rsidRPr="000226E4" w:rsidRDefault="00EB0DF3" w:rsidP="00EB0DF3">
      <w:pPr>
        <w:keepNext/>
        <w:widowControl/>
        <w:tabs>
          <w:tab w:val="left" w:pos="-720"/>
        </w:tabs>
        <w:suppressAutoHyphens/>
        <w:ind w:left="4320"/>
        <w:rPr>
          <w:snapToGrid/>
          <w:kern w:val="0"/>
          <w:szCs w:val="22"/>
        </w:rPr>
      </w:pPr>
    </w:p>
    <w:p w:rsidR="00EB0DF3" w:rsidRPr="000226E4" w:rsidRDefault="00EB0DF3" w:rsidP="00EB0DF3">
      <w:pPr>
        <w:keepNext/>
        <w:keepLines/>
        <w:widowControl/>
        <w:ind w:left="4320"/>
        <w:outlineLvl w:val="0"/>
        <w:rPr>
          <w:snapToGrid/>
          <w:kern w:val="0"/>
          <w:szCs w:val="22"/>
        </w:rPr>
      </w:pPr>
    </w:p>
    <w:p w:rsidR="00EB0DF3" w:rsidRPr="000226E4" w:rsidRDefault="00EB0DF3" w:rsidP="00EB0DF3">
      <w:pPr>
        <w:keepNext/>
        <w:keepLines/>
        <w:widowControl/>
        <w:ind w:left="3600" w:firstLine="720"/>
        <w:outlineLvl w:val="0"/>
        <w:rPr>
          <w:snapToGrid/>
          <w:kern w:val="0"/>
          <w:szCs w:val="22"/>
        </w:rPr>
      </w:pPr>
    </w:p>
    <w:p w:rsidR="00ED5D59" w:rsidRPr="000226E4" w:rsidRDefault="00ED5D59" w:rsidP="00EB0DF3">
      <w:pPr>
        <w:keepNext/>
        <w:keepLines/>
        <w:widowControl/>
        <w:ind w:left="4320"/>
        <w:outlineLvl w:val="0"/>
        <w:rPr>
          <w:snapToGrid/>
          <w:kern w:val="0"/>
          <w:szCs w:val="22"/>
        </w:rPr>
      </w:pPr>
      <w:r w:rsidRPr="000226E4">
        <w:rPr>
          <w:snapToGrid/>
          <w:kern w:val="0"/>
          <w:szCs w:val="22"/>
        </w:rPr>
        <w:t>Ryan B. Palmer</w:t>
      </w:r>
    </w:p>
    <w:p w:rsidR="00ED5D59" w:rsidRPr="000226E4" w:rsidRDefault="00ED5D59" w:rsidP="00EB0DF3">
      <w:pPr>
        <w:keepNext/>
        <w:keepLines/>
        <w:widowControl/>
        <w:ind w:left="4320"/>
        <w:outlineLvl w:val="0"/>
        <w:rPr>
          <w:snapToGrid/>
          <w:kern w:val="0"/>
          <w:szCs w:val="22"/>
        </w:rPr>
      </w:pPr>
      <w:r w:rsidRPr="000226E4">
        <w:rPr>
          <w:snapToGrid/>
          <w:kern w:val="0"/>
          <w:szCs w:val="22"/>
        </w:rPr>
        <w:t>Chief</w:t>
      </w:r>
    </w:p>
    <w:p w:rsidR="00EB0DF3" w:rsidRPr="000226E4" w:rsidRDefault="00EB0DF3" w:rsidP="00EB0DF3">
      <w:pPr>
        <w:keepNext/>
        <w:keepLines/>
        <w:widowControl/>
        <w:ind w:left="4320"/>
        <w:outlineLvl w:val="0"/>
        <w:rPr>
          <w:snapToGrid/>
          <w:kern w:val="0"/>
          <w:szCs w:val="22"/>
        </w:rPr>
      </w:pPr>
      <w:r w:rsidRPr="000226E4">
        <w:rPr>
          <w:snapToGrid/>
          <w:kern w:val="0"/>
          <w:szCs w:val="22"/>
        </w:rPr>
        <w:t>Telecommunications Access Policy Division</w:t>
      </w:r>
    </w:p>
    <w:p w:rsidR="00EB0DF3" w:rsidRPr="000226E4" w:rsidRDefault="00EB0DF3" w:rsidP="00EB0DF3">
      <w:pPr>
        <w:keepNext/>
        <w:keepLines/>
        <w:widowControl/>
        <w:ind w:left="4320"/>
        <w:outlineLvl w:val="0"/>
        <w:rPr>
          <w:snapToGrid/>
          <w:kern w:val="0"/>
          <w:szCs w:val="22"/>
        </w:rPr>
      </w:pPr>
      <w:r w:rsidRPr="000226E4">
        <w:rPr>
          <w:snapToGrid/>
          <w:kern w:val="0"/>
          <w:szCs w:val="22"/>
        </w:rPr>
        <w:t>Wireline Competition Bureau</w:t>
      </w:r>
    </w:p>
    <w:p w:rsidR="00C076DF" w:rsidRPr="00536E29" w:rsidRDefault="00C076DF">
      <w:pPr>
        <w:widowControl/>
        <w:rPr>
          <w:szCs w:val="22"/>
        </w:rPr>
      </w:pPr>
      <w:r w:rsidRPr="00D4458A">
        <w:rPr>
          <w:szCs w:val="22"/>
        </w:rPr>
        <w:br w:type="page"/>
      </w:r>
    </w:p>
    <w:p w:rsidR="00C076DF" w:rsidRPr="00536E29" w:rsidRDefault="00C076DF" w:rsidP="00C076DF">
      <w:pPr>
        <w:jc w:val="center"/>
        <w:rPr>
          <w:b/>
          <w:szCs w:val="22"/>
        </w:rPr>
      </w:pPr>
      <w:r w:rsidRPr="00536E29">
        <w:rPr>
          <w:b/>
          <w:szCs w:val="22"/>
        </w:rPr>
        <w:t>APPENDIX A</w:t>
      </w:r>
    </w:p>
    <w:p w:rsidR="00FE073F" w:rsidRPr="00536E29" w:rsidRDefault="00FE073F" w:rsidP="00C076DF">
      <w:pPr>
        <w:jc w:val="center"/>
        <w:rPr>
          <w:b/>
          <w:szCs w:val="22"/>
        </w:rPr>
      </w:pPr>
    </w:p>
    <w:p w:rsidR="00FE073F" w:rsidRPr="00536E29" w:rsidRDefault="00C076DF" w:rsidP="00C076DF">
      <w:pPr>
        <w:jc w:val="center"/>
        <w:rPr>
          <w:b/>
          <w:szCs w:val="22"/>
        </w:rPr>
      </w:pPr>
      <w:r w:rsidRPr="00536E29">
        <w:rPr>
          <w:b/>
          <w:szCs w:val="22"/>
        </w:rPr>
        <w:t xml:space="preserve">Waiver of Signed Contract Requirement </w:t>
      </w:r>
    </w:p>
    <w:p w:rsidR="00C076DF" w:rsidRPr="00536E29" w:rsidRDefault="00C076DF" w:rsidP="00C076DF">
      <w:pPr>
        <w:jc w:val="center"/>
        <w:rPr>
          <w:b/>
          <w:szCs w:val="22"/>
        </w:rPr>
      </w:pPr>
      <w:r w:rsidRPr="00536E29">
        <w:rPr>
          <w:b/>
          <w:szCs w:val="22"/>
        </w:rPr>
        <w:t>in 47 C.F.R. 54.50</w:t>
      </w:r>
      <w:r w:rsidR="00E24AD2">
        <w:rPr>
          <w:b/>
          <w:szCs w:val="22"/>
        </w:rPr>
        <w:t>4</w:t>
      </w:r>
      <w:r w:rsidRPr="00D4458A">
        <w:rPr>
          <w:b/>
          <w:szCs w:val="22"/>
        </w:rPr>
        <w:t>(a) Granted</w:t>
      </w:r>
    </w:p>
    <w:p w:rsidR="00C076DF" w:rsidRPr="00536E29" w:rsidRDefault="00C076DF" w:rsidP="00C076DF">
      <w:pPr>
        <w:jc w:val="center"/>
        <w:rPr>
          <w:b/>
          <w:szCs w:val="22"/>
        </w:rPr>
      </w:pPr>
    </w:p>
    <w:p w:rsidR="00FE073F" w:rsidRPr="00536E29" w:rsidRDefault="00FE073F" w:rsidP="00C076DF">
      <w:pPr>
        <w:jc w:val="center"/>
        <w:rPr>
          <w:b/>
          <w:szCs w:val="22"/>
        </w:rPr>
      </w:pPr>
    </w:p>
    <w:tbl>
      <w:tblPr>
        <w:tblStyle w:val="TableGrid"/>
        <w:tblW w:w="0" w:type="auto"/>
        <w:jc w:val="center"/>
        <w:tblInd w:w="720" w:type="dxa"/>
        <w:tblLook w:val="04A0" w:firstRow="1" w:lastRow="0" w:firstColumn="1" w:lastColumn="0" w:noHBand="0" w:noVBand="1"/>
      </w:tblPr>
      <w:tblGrid>
        <w:gridCol w:w="3798"/>
        <w:gridCol w:w="1350"/>
        <w:gridCol w:w="1170"/>
        <w:gridCol w:w="1011"/>
        <w:gridCol w:w="1527"/>
      </w:tblGrid>
      <w:tr w:rsidR="00675374" w:rsidRPr="000226E4" w:rsidTr="00C076DF">
        <w:trPr>
          <w:jc w:val="center"/>
        </w:trPr>
        <w:tc>
          <w:tcPr>
            <w:tcW w:w="3798" w:type="dxa"/>
          </w:tcPr>
          <w:p w:rsidR="00675374" w:rsidRPr="00536E29" w:rsidRDefault="00675374" w:rsidP="00675374">
            <w:pPr>
              <w:jc w:val="center"/>
              <w:rPr>
                <w:b/>
                <w:szCs w:val="22"/>
              </w:rPr>
            </w:pPr>
            <w:r w:rsidRPr="00536E29">
              <w:rPr>
                <w:b/>
                <w:szCs w:val="22"/>
              </w:rPr>
              <w:t>Petitioner</w:t>
            </w:r>
          </w:p>
        </w:tc>
        <w:tc>
          <w:tcPr>
            <w:tcW w:w="1350" w:type="dxa"/>
          </w:tcPr>
          <w:p w:rsidR="00675374" w:rsidRPr="00536E29" w:rsidRDefault="00675374" w:rsidP="00675374">
            <w:pPr>
              <w:jc w:val="center"/>
              <w:rPr>
                <w:b/>
                <w:szCs w:val="22"/>
              </w:rPr>
            </w:pPr>
            <w:r w:rsidRPr="00536E29">
              <w:rPr>
                <w:b/>
                <w:szCs w:val="22"/>
              </w:rPr>
              <w:t>Application Number</w:t>
            </w:r>
          </w:p>
        </w:tc>
        <w:tc>
          <w:tcPr>
            <w:tcW w:w="1170" w:type="dxa"/>
          </w:tcPr>
          <w:p w:rsidR="00675374" w:rsidRPr="00536E29" w:rsidRDefault="00675374" w:rsidP="00675374">
            <w:pPr>
              <w:jc w:val="center"/>
              <w:rPr>
                <w:b/>
                <w:szCs w:val="22"/>
              </w:rPr>
            </w:pPr>
            <w:r w:rsidRPr="00536E29">
              <w:rPr>
                <w:b/>
                <w:szCs w:val="22"/>
              </w:rPr>
              <w:t>Funding Request Number</w:t>
            </w:r>
          </w:p>
        </w:tc>
        <w:tc>
          <w:tcPr>
            <w:tcW w:w="1011" w:type="dxa"/>
          </w:tcPr>
          <w:p w:rsidR="00675374" w:rsidRPr="00536E29" w:rsidRDefault="00675374" w:rsidP="00675374">
            <w:pPr>
              <w:jc w:val="center"/>
              <w:rPr>
                <w:b/>
                <w:szCs w:val="22"/>
              </w:rPr>
            </w:pPr>
            <w:r w:rsidRPr="00536E29">
              <w:rPr>
                <w:b/>
                <w:szCs w:val="22"/>
              </w:rPr>
              <w:t>Funding Year</w:t>
            </w:r>
          </w:p>
        </w:tc>
        <w:tc>
          <w:tcPr>
            <w:tcW w:w="1527" w:type="dxa"/>
          </w:tcPr>
          <w:p w:rsidR="00675374" w:rsidRPr="00536E29" w:rsidRDefault="00675374" w:rsidP="00675374">
            <w:pPr>
              <w:jc w:val="center"/>
              <w:rPr>
                <w:b/>
                <w:szCs w:val="22"/>
              </w:rPr>
            </w:pPr>
            <w:r w:rsidRPr="00536E29">
              <w:rPr>
                <w:b/>
                <w:szCs w:val="22"/>
              </w:rPr>
              <w:t>Date Request for Waiver Filed</w:t>
            </w:r>
          </w:p>
        </w:tc>
      </w:tr>
      <w:tr w:rsidR="00675374" w:rsidRPr="000226E4" w:rsidTr="00C076DF">
        <w:trPr>
          <w:jc w:val="center"/>
        </w:trPr>
        <w:tc>
          <w:tcPr>
            <w:tcW w:w="3798" w:type="dxa"/>
          </w:tcPr>
          <w:p w:rsidR="00675374" w:rsidRPr="00536E29" w:rsidRDefault="00675374" w:rsidP="00675374">
            <w:pPr>
              <w:rPr>
                <w:szCs w:val="22"/>
              </w:rPr>
            </w:pPr>
            <w:r w:rsidRPr="00D4458A">
              <w:rPr>
                <w:szCs w:val="22"/>
              </w:rPr>
              <w:t>Puerto Rico Department of Education</w:t>
            </w:r>
          </w:p>
          <w:p w:rsidR="00675374" w:rsidRPr="00536E29" w:rsidRDefault="00675374" w:rsidP="00675374">
            <w:pPr>
              <w:rPr>
                <w:szCs w:val="22"/>
              </w:rPr>
            </w:pPr>
            <w:r w:rsidRPr="00536E29">
              <w:rPr>
                <w:szCs w:val="22"/>
              </w:rPr>
              <w:t>San Juan, PR</w:t>
            </w:r>
          </w:p>
        </w:tc>
        <w:tc>
          <w:tcPr>
            <w:tcW w:w="1350" w:type="dxa"/>
          </w:tcPr>
          <w:p w:rsidR="00675374" w:rsidRPr="00536E29" w:rsidRDefault="00675374" w:rsidP="00675374">
            <w:pPr>
              <w:jc w:val="center"/>
              <w:rPr>
                <w:szCs w:val="22"/>
              </w:rPr>
            </w:pPr>
            <w:r w:rsidRPr="00536E29">
              <w:rPr>
                <w:szCs w:val="22"/>
              </w:rPr>
              <w:t>918308</w:t>
            </w:r>
          </w:p>
        </w:tc>
        <w:tc>
          <w:tcPr>
            <w:tcW w:w="1170" w:type="dxa"/>
          </w:tcPr>
          <w:p w:rsidR="00675374" w:rsidRPr="00536E29" w:rsidRDefault="00675374" w:rsidP="00675374">
            <w:pPr>
              <w:jc w:val="center"/>
              <w:rPr>
                <w:szCs w:val="22"/>
              </w:rPr>
            </w:pPr>
            <w:r w:rsidRPr="00536E29">
              <w:rPr>
                <w:szCs w:val="22"/>
              </w:rPr>
              <w:t>2513542</w:t>
            </w:r>
          </w:p>
        </w:tc>
        <w:tc>
          <w:tcPr>
            <w:tcW w:w="1011" w:type="dxa"/>
          </w:tcPr>
          <w:p w:rsidR="00675374" w:rsidRPr="00536E29" w:rsidRDefault="00675374" w:rsidP="00675374">
            <w:pPr>
              <w:jc w:val="center"/>
              <w:rPr>
                <w:szCs w:val="22"/>
              </w:rPr>
            </w:pPr>
            <w:r w:rsidRPr="00536E29">
              <w:rPr>
                <w:szCs w:val="22"/>
              </w:rPr>
              <w:t>2013</w:t>
            </w:r>
          </w:p>
        </w:tc>
        <w:tc>
          <w:tcPr>
            <w:tcW w:w="1527" w:type="dxa"/>
          </w:tcPr>
          <w:p w:rsidR="00675374" w:rsidRPr="00536E29" w:rsidRDefault="00675374" w:rsidP="00675374">
            <w:pPr>
              <w:jc w:val="center"/>
              <w:rPr>
                <w:szCs w:val="22"/>
              </w:rPr>
            </w:pPr>
            <w:r w:rsidRPr="00536E29">
              <w:rPr>
                <w:szCs w:val="22"/>
              </w:rPr>
              <w:t>Aug. 15, 2014</w:t>
            </w:r>
          </w:p>
        </w:tc>
      </w:tr>
      <w:tr w:rsidR="00675374" w:rsidRPr="000226E4" w:rsidTr="00C076DF">
        <w:trPr>
          <w:jc w:val="center"/>
        </w:trPr>
        <w:tc>
          <w:tcPr>
            <w:tcW w:w="3798" w:type="dxa"/>
          </w:tcPr>
          <w:p w:rsidR="00675374" w:rsidRPr="00536E29" w:rsidRDefault="00675374" w:rsidP="00675374">
            <w:pPr>
              <w:rPr>
                <w:szCs w:val="22"/>
              </w:rPr>
            </w:pPr>
            <w:r w:rsidRPr="00D4458A">
              <w:rPr>
                <w:szCs w:val="22"/>
              </w:rPr>
              <w:t>Puerto Rico Department of Education</w:t>
            </w:r>
          </w:p>
          <w:p w:rsidR="00675374" w:rsidRPr="00536E29" w:rsidRDefault="00675374" w:rsidP="00675374">
            <w:pPr>
              <w:rPr>
                <w:szCs w:val="22"/>
              </w:rPr>
            </w:pPr>
            <w:r w:rsidRPr="00536E29">
              <w:rPr>
                <w:szCs w:val="22"/>
              </w:rPr>
              <w:t>San Juan, PR</w:t>
            </w:r>
          </w:p>
        </w:tc>
        <w:tc>
          <w:tcPr>
            <w:tcW w:w="1350" w:type="dxa"/>
          </w:tcPr>
          <w:p w:rsidR="00675374" w:rsidRPr="00536E29" w:rsidRDefault="00DC27D2" w:rsidP="00675374">
            <w:pPr>
              <w:jc w:val="center"/>
              <w:rPr>
                <w:szCs w:val="22"/>
              </w:rPr>
            </w:pPr>
            <w:r w:rsidRPr="00536E29">
              <w:rPr>
                <w:szCs w:val="22"/>
              </w:rPr>
              <w:t>919592</w:t>
            </w:r>
          </w:p>
        </w:tc>
        <w:tc>
          <w:tcPr>
            <w:tcW w:w="1170" w:type="dxa"/>
          </w:tcPr>
          <w:p w:rsidR="00675374" w:rsidRPr="00536E29" w:rsidRDefault="00DC27D2" w:rsidP="00675374">
            <w:pPr>
              <w:jc w:val="center"/>
              <w:rPr>
                <w:szCs w:val="22"/>
              </w:rPr>
            </w:pPr>
            <w:r w:rsidRPr="00536E29">
              <w:rPr>
                <w:szCs w:val="22"/>
              </w:rPr>
              <w:t>2514232</w:t>
            </w:r>
          </w:p>
        </w:tc>
        <w:tc>
          <w:tcPr>
            <w:tcW w:w="1011" w:type="dxa"/>
          </w:tcPr>
          <w:p w:rsidR="00675374" w:rsidRPr="00536E29" w:rsidRDefault="00675374" w:rsidP="00675374">
            <w:pPr>
              <w:jc w:val="center"/>
              <w:rPr>
                <w:szCs w:val="22"/>
              </w:rPr>
            </w:pPr>
            <w:r w:rsidRPr="00536E29">
              <w:rPr>
                <w:szCs w:val="22"/>
              </w:rPr>
              <w:t>2013</w:t>
            </w:r>
          </w:p>
        </w:tc>
        <w:tc>
          <w:tcPr>
            <w:tcW w:w="1527" w:type="dxa"/>
          </w:tcPr>
          <w:p w:rsidR="00675374" w:rsidRPr="00536E29" w:rsidRDefault="00675374" w:rsidP="00675374">
            <w:pPr>
              <w:jc w:val="center"/>
              <w:rPr>
                <w:szCs w:val="22"/>
              </w:rPr>
            </w:pPr>
            <w:r w:rsidRPr="00536E29">
              <w:rPr>
                <w:szCs w:val="22"/>
              </w:rPr>
              <w:t>Aug. 15, 2014</w:t>
            </w:r>
          </w:p>
        </w:tc>
      </w:tr>
    </w:tbl>
    <w:p w:rsidR="00640638" w:rsidRPr="00536E29" w:rsidRDefault="00640638" w:rsidP="00495E84">
      <w:pPr>
        <w:pStyle w:val="Heading1"/>
        <w:numPr>
          <w:ilvl w:val="0"/>
          <w:numId w:val="0"/>
        </w:numPr>
        <w:ind w:left="720"/>
        <w:rPr>
          <w:rFonts w:ascii="Times New Roman" w:hAnsi="Times New Roman"/>
          <w:szCs w:val="22"/>
        </w:rPr>
      </w:pPr>
    </w:p>
    <w:p w:rsidR="00640638" w:rsidRPr="00536E29" w:rsidRDefault="00640638">
      <w:pPr>
        <w:widowControl/>
        <w:rPr>
          <w:b/>
          <w:caps/>
          <w:szCs w:val="22"/>
        </w:rPr>
      </w:pPr>
      <w:r w:rsidRPr="00E24AD2">
        <w:rPr>
          <w:szCs w:val="22"/>
        </w:rPr>
        <w:br w:type="page"/>
      </w:r>
    </w:p>
    <w:p w:rsidR="002C00E8" w:rsidRPr="00536E29" w:rsidRDefault="00640638" w:rsidP="00640638">
      <w:pPr>
        <w:pStyle w:val="Heading1"/>
        <w:numPr>
          <w:ilvl w:val="0"/>
          <w:numId w:val="0"/>
        </w:numPr>
        <w:ind w:left="720"/>
        <w:jc w:val="center"/>
        <w:rPr>
          <w:rFonts w:ascii="Times New Roman" w:hAnsi="Times New Roman"/>
          <w:szCs w:val="22"/>
        </w:rPr>
      </w:pPr>
      <w:r w:rsidRPr="00536E29">
        <w:rPr>
          <w:rFonts w:ascii="Times New Roman" w:hAnsi="Times New Roman"/>
          <w:szCs w:val="22"/>
        </w:rPr>
        <w:t>Appendix b</w:t>
      </w:r>
    </w:p>
    <w:p w:rsidR="00640638" w:rsidRPr="00D4458A" w:rsidRDefault="00640638" w:rsidP="00640638">
      <w:pPr>
        <w:pStyle w:val="ParaNum"/>
        <w:numPr>
          <w:ilvl w:val="0"/>
          <w:numId w:val="0"/>
        </w:numPr>
        <w:ind w:firstLine="720"/>
        <w:jc w:val="center"/>
        <w:rPr>
          <w:b/>
          <w:szCs w:val="22"/>
        </w:rPr>
      </w:pPr>
      <w:r w:rsidRPr="00E24AD2">
        <w:rPr>
          <w:b/>
          <w:szCs w:val="22"/>
        </w:rPr>
        <w:t>Waiver Denied Because No Priority Two Funding Available</w:t>
      </w:r>
    </w:p>
    <w:p w:rsidR="00640638" w:rsidRPr="00536E29" w:rsidRDefault="00640638" w:rsidP="00640638">
      <w:pPr>
        <w:pStyle w:val="ParaNum"/>
        <w:numPr>
          <w:ilvl w:val="0"/>
          <w:numId w:val="0"/>
        </w:numPr>
        <w:ind w:firstLine="720"/>
        <w:rPr>
          <w:szCs w:val="22"/>
        </w:rPr>
      </w:pPr>
    </w:p>
    <w:tbl>
      <w:tblPr>
        <w:tblStyle w:val="TableGrid"/>
        <w:tblW w:w="0" w:type="auto"/>
        <w:jc w:val="center"/>
        <w:tblInd w:w="720" w:type="dxa"/>
        <w:tblLook w:val="04A0" w:firstRow="1" w:lastRow="0" w:firstColumn="1" w:lastColumn="0" w:noHBand="0" w:noVBand="1"/>
      </w:tblPr>
      <w:tblGrid>
        <w:gridCol w:w="3798"/>
        <w:gridCol w:w="1350"/>
        <w:gridCol w:w="1170"/>
        <w:gridCol w:w="1011"/>
        <w:gridCol w:w="1527"/>
      </w:tblGrid>
      <w:tr w:rsidR="00640638" w:rsidRPr="000226E4" w:rsidTr="002661A2">
        <w:trPr>
          <w:jc w:val="center"/>
        </w:trPr>
        <w:tc>
          <w:tcPr>
            <w:tcW w:w="3798" w:type="dxa"/>
          </w:tcPr>
          <w:p w:rsidR="00640638" w:rsidRPr="00536E29" w:rsidRDefault="00640638" w:rsidP="002661A2">
            <w:pPr>
              <w:jc w:val="center"/>
              <w:rPr>
                <w:b/>
                <w:szCs w:val="22"/>
              </w:rPr>
            </w:pPr>
            <w:r w:rsidRPr="00536E29">
              <w:rPr>
                <w:b/>
                <w:szCs w:val="22"/>
              </w:rPr>
              <w:t>Petitioner</w:t>
            </w:r>
          </w:p>
        </w:tc>
        <w:tc>
          <w:tcPr>
            <w:tcW w:w="1350" w:type="dxa"/>
          </w:tcPr>
          <w:p w:rsidR="00640638" w:rsidRPr="00536E29" w:rsidRDefault="00640638" w:rsidP="002661A2">
            <w:pPr>
              <w:jc w:val="center"/>
              <w:rPr>
                <w:b/>
                <w:szCs w:val="22"/>
              </w:rPr>
            </w:pPr>
            <w:r w:rsidRPr="00536E29">
              <w:rPr>
                <w:b/>
                <w:szCs w:val="22"/>
              </w:rPr>
              <w:t>Application Number</w:t>
            </w:r>
          </w:p>
        </w:tc>
        <w:tc>
          <w:tcPr>
            <w:tcW w:w="1170" w:type="dxa"/>
          </w:tcPr>
          <w:p w:rsidR="00640638" w:rsidRPr="00536E29" w:rsidRDefault="00640638" w:rsidP="002661A2">
            <w:pPr>
              <w:jc w:val="center"/>
              <w:rPr>
                <w:b/>
                <w:szCs w:val="22"/>
              </w:rPr>
            </w:pPr>
            <w:r w:rsidRPr="00536E29">
              <w:rPr>
                <w:b/>
                <w:szCs w:val="22"/>
              </w:rPr>
              <w:t>Funding Request Number</w:t>
            </w:r>
          </w:p>
        </w:tc>
        <w:tc>
          <w:tcPr>
            <w:tcW w:w="1011" w:type="dxa"/>
          </w:tcPr>
          <w:p w:rsidR="00640638" w:rsidRPr="00536E29" w:rsidRDefault="00640638" w:rsidP="002661A2">
            <w:pPr>
              <w:jc w:val="center"/>
              <w:rPr>
                <w:b/>
                <w:szCs w:val="22"/>
              </w:rPr>
            </w:pPr>
            <w:r w:rsidRPr="00536E29">
              <w:rPr>
                <w:b/>
                <w:szCs w:val="22"/>
              </w:rPr>
              <w:t>Funding Year</w:t>
            </w:r>
          </w:p>
        </w:tc>
        <w:tc>
          <w:tcPr>
            <w:tcW w:w="1527" w:type="dxa"/>
          </w:tcPr>
          <w:p w:rsidR="00640638" w:rsidRPr="00536E29" w:rsidRDefault="00640638" w:rsidP="002661A2">
            <w:pPr>
              <w:jc w:val="center"/>
              <w:rPr>
                <w:b/>
                <w:szCs w:val="22"/>
              </w:rPr>
            </w:pPr>
            <w:r w:rsidRPr="00536E29">
              <w:rPr>
                <w:b/>
                <w:szCs w:val="22"/>
              </w:rPr>
              <w:t>Date Request for Waiver Filed</w:t>
            </w:r>
          </w:p>
        </w:tc>
      </w:tr>
      <w:tr w:rsidR="00640638" w:rsidRPr="000226E4" w:rsidTr="002661A2">
        <w:trPr>
          <w:jc w:val="center"/>
        </w:trPr>
        <w:tc>
          <w:tcPr>
            <w:tcW w:w="3798" w:type="dxa"/>
          </w:tcPr>
          <w:p w:rsidR="00640638" w:rsidRPr="00536E29" w:rsidRDefault="00640638" w:rsidP="002661A2">
            <w:pPr>
              <w:rPr>
                <w:szCs w:val="22"/>
              </w:rPr>
            </w:pPr>
            <w:r w:rsidRPr="00D4458A">
              <w:rPr>
                <w:szCs w:val="22"/>
              </w:rPr>
              <w:t>Puerto Rico Department of Education</w:t>
            </w:r>
          </w:p>
          <w:p w:rsidR="00640638" w:rsidRPr="00536E29" w:rsidRDefault="00640638" w:rsidP="002661A2">
            <w:pPr>
              <w:rPr>
                <w:szCs w:val="22"/>
              </w:rPr>
            </w:pPr>
            <w:r w:rsidRPr="00536E29">
              <w:rPr>
                <w:szCs w:val="22"/>
              </w:rPr>
              <w:t>San Juan, PR</w:t>
            </w:r>
          </w:p>
        </w:tc>
        <w:tc>
          <w:tcPr>
            <w:tcW w:w="1350" w:type="dxa"/>
          </w:tcPr>
          <w:p w:rsidR="00640638" w:rsidRPr="00536E29" w:rsidRDefault="00640638" w:rsidP="002661A2">
            <w:pPr>
              <w:jc w:val="center"/>
              <w:rPr>
                <w:szCs w:val="22"/>
              </w:rPr>
            </w:pPr>
            <w:r w:rsidRPr="00536E29">
              <w:rPr>
                <w:szCs w:val="22"/>
              </w:rPr>
              <w:t>919475</w:t>
            </w:r>
          </w:p>
        </w:tc>
        <w:tc>
          <w:tcPr>
            <w:tcW w:w="1170" w:type="dxa"/>
          </w:tcPr>
          <w:p w:rsidR="00640638" w:rsidRPr="00536E29" w:rsidRDefault="00640638" w:rsidP="002661A2">
            <w:pPr>
              <w:jc w:val="center"/>
              <w:rPr>
                <w:szCs w:val="22"/>
              </w:rPr>
            </w:pPr>
            <w:r w:rsidRPr="00536E29">
              <w:rPr>
                <w:szCs w:val="22"/>
              </w:rPr>
              <w:t>2516471</w:t>
            </w:r>
          </w:p>
        </w:tc>
        <w:tc>
          <w:tcPr>
            <w:tcW w:w="1011" w:type="dxa"/>
          </w:tcPr>
          <w:p w:rsidR="00640638" w:rsidRPr="00536E29" w:rsidRDefault="00640638" w:rsidP="002661A2">
            <w:pPr>
              <w:jc w:val="center"/>
              <w:rPr>
                <w:szCs w:val="22"/>
              </w:rPr>
            </w:pPr>
            <w:r w:rsidRPr="00536E29">
              <w:rPr>
                <w:szCs w:val="22"/>
              </w:rPr>
              <w:t>2013</w:t>
            </w:r>
          </w:p>
        </w:tc>
        <w:tc>
          <w:tcPr>
            <w:tcW w:w="1527" w:type="dxa"/>
          </w:tcPr>
          <w:p w:rsidR="00640638" w:rsidRPr="00536E29" w:rsidRDefault="00640638" w:rsidP="002661A2">
            <w:pPr>
              <w:jc w:val="center"/>
              <w:rPr>
                <w:szCs w:val="22"/>
              </w:rPr>
            </w:pPr>
            <w:r w:rsidRPr="00536E29">
              <w:rPr>
                <w:szCs w:val="22"/>
              </w:rPr>
              <w:t>Aug. 15, 2014</w:t>
            </w:r>
          </w:p>
        </w:tc>
      </w:tr>
      <w:tr w:rsidR="00640638" w:rsidRPr="000226E4" w:rsidTr="002661A2">
        <w:trPr>
          <w:jc w:val="center"/>
        </w:trPr>
        <w:tc>
          <w:tcPr>
            <w:tcW w:w="3798" w:type="dxa"/>
          </w:tcPr>
          <w:p w:rsidR="00640638" w:rsidRPr="00536E29" w:rsidRDefault="00640638" w:rsidP="002661A2">
            <w:pPr>
              <w:rPr>
                <w:szCs w:val="22"/>
              </w:rPr>
            </w:pPr>
            <w:r w:rsidRPr="00D4458A">
              <w:rPr>
                <w:szCs w:val="22"/>
              </w:rPr>
              <w:t>Puerto Rico Department of Education</w:t>
            </w:r>
          </w:p>
          <w:p w:rsidR="00640638" w:rsidRPr="00536E29" w:rsidRDefault="00640638" w:rsidP="002661A2">
            <w:pPr>
              <w:rPr>
                <w:szCs w:val="22"/>
              </w:rPr>
            </w:pPr>
            <w:r w:rsidRPr="00536E29">
              <w:rPr>
                <w:szCs w:val="22"/>
              </w:rPr>
              <w:t>San Juan, PR</w:t>
            </w:r>
          </w:p>
        </w:tc>
        <w:tc>
          <w:tcPr>
            <w:tcW w:w="1350" w:type="dxa"/>
          </w:tcPr>
          <w:p w:rsidR="00640638" w:rsidRPr="00536E29" w:rsidRDefault="00640638" w:rsidP="002661A2">
            <w:pPr>
              <w:jc w:val="center"/>
              <w:rPr>
                <w:szCs w:val="22"/>
              </w:rPr>
            </w:pPr>
            <w:r w:rsidRPr="00536E29">
              <w:rPr>
                <w:szCs w:val="22"/>
              </w:rPr>
              <w:t>919475</w:t>
            </w:r>
          </w:p>
        </w:tc>
        <w:tc>
          <w:tcPr>
            <w:tcW w:w="1170" w:type="dxa"/>
          </w:tcPr>
          <w:p w:rsidR="00640638" w:rsidRPr="00536E29" w:rsidRDefault="00640638" w:rsidP="002661A2">
            <w:pPr>
              <w:jc w:val="center"/>
              <w:rPr>
                <w:szCs w:val="22"/>
              </w:rPr>
            </w:pPr>
            <w:r w:rsidRPr="00536E29">
              <w:rPr>
                <w:szCs w:val="22"/>
              </w:rPr>
              <w:t>2516519</w:t>
            </w:r>
          </w:p>
        </w:tc>
        <w:tc>
          <w:tcPr>
            <w:tcW w:w="1011" w:type="dxa"/>
          </w:tcPr>
          <w:p w:rsidR="00640638" w:rsidRPr="00536E29" w:rsidRDefault="00640638" w:rsidP="002661A2">
            <w:pPr>
              <w:jc w:val="center"/>
              <w:rPr>
                <w:szCs w:val="22"/>
              </w:rPr>
            </w:pPr>
            <w:r w:rsidRPr="00536E29">
              <w:rPr>
                <w:szCs w:val="22"/>
              </w:rPr>
              <w:t>2013</w:t>
            </w:r>
          </w:p>
        </w:tc>
        <w:tc>
          <w:tcPr>
            <w:tcW w:w="1527" w:type="dxa"/>
          </w:tcPr>
          <w:p w:rsidR="00640638" w:rsidRPr="00536E29" w:rsidRDefault="00640638" w:rsidP="002661A2">
            <w:pPr>
              <w:jc w:val="center"/>
              <w:rPr>
                <w:szCs w:val="22"/>
              </w:rPr>
            </w:pPr>
            <w:r w:rsidRPr="00536E29">
              <w:rPr>
                <w:szCs w:val="22"/>
              </w:rPr>
              <w:t>Aug. 15, 2014</w:t>
            </w:r>
          </w:p>
        </w:tc>
      </w:tr>
    </w:tbl>
    <w:p w:rsidR="00640638" w:rsidRPr="00D4458A" w:rsidRDefault="00640638" w:rsidP="00640638">
      <w:pPr>
        <w:pStyle w:val="ParaNum"/>
        <w:numPr>
          <w:ilvl w:val="0"/>
          <w:numId w:val="0"/>
        </w:numPr>
        <w:ind w:firstLine="720"/>
        <w:rPr>
          <w:szCs w:val="22"/>
        </w:rPr>
      </w:pPr>
    </w:p>
    <w:sectPr w:rsidR="00640638" w:rsidRPr="00D4458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A6" w:rsidRDefault="003247A6">
      <w:pPr>
        <w:spacing w:line="20" w:lineRule="exact"/>
      </w:pPr>
    </w:p>
  </w:endnote>
  <w:endnote w:type="continuationSeparator" w:id="0">
    <w:p w:rsidR="003247A6" w:rsidRDefault="003247A6">
      <w:r>
        <w:t xml:space="preserve"> </w:t>
      </w:r>
    </w:p>
  </w:endnote>
  <w:endnote w:type="continuationNotice" w:id="1">
    <w:p w:rsidR="003247A6" w:rsidRDefault="003247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E2" w:rsidRDefault="00EA1DE2" w:rsidP="0055614C">
    <w:pPr>
      <w:pStyle w:val="Footer"/>
      <w:framePr w:wrap="around" w:vAnchor="text" w:hAnchor="margin" w:xAlign="center" w:y="1"/>
    </w:pPr>
    <w:r>
      <w:fldChar w:fldCharType="begin"/>
    </w:r>
    <w:r>
      <w:instrText xml:space="preserve">PAGE  </w:instrText>
    </w:r>
    <w:r>
      <w:fldChar w:fldCharType="end"/>
    </w:r>
  </w:p>
  <w:p w:rsidR="00EA1DE2" w:rsidRDefault="00EA1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E2" w:rsidRDefault="00EA1DE2" w:rsidP="0055614C">
    <w:pPr>
      <w:pStyle w:val="Footer"/>
      <w:framePr w:wrap="around" w:vAnchor="text" w:hAnchor="margin" w:xAlign="center" w:y="1"/>
    </w:pPr>
    <w:r>
      <w:fldChar w:fldCharType="begin"/>
    </w:r>
    <w:r>
      <w:instrText xml:space="preserve">PAGE  </w:instrText>
    </w:r>
    <w:r>
      <w:fldChar w:fldCharType="separate"/>
    </w:r>
    <w:r w:rsidR="00773760">
      <w:rPr>
        <w:noProof/>
      </w:rPr>
      <w:t>2</w:t>
    </w:r>
    <w:r>
      <w:fldChar w:fldCharType="end"/>
    </w:r>
  </w:p>
  <w:p w:rsidR="00EA1DE2" w:rsidRDefault="00EA1DE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E2" w:rsidRDefault="00EA1DE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A6" w:rsidRDefault="003247A6">
      <w:r>
        <w:separator/>
      </w:r>
    </w:p>
  </w:footnote>
  <w:footnote w:type="continuationSeparator" w:id="0">
    <w:p w:rsidR="003247A6" w:rsidRDefault="003247A6" w:rsidP="00C721AC">
      <w:pPr>
        <w:spacing w:before="120"/>
        <w:rPr>
          <w:sz w:val="20"/>
        </w:rPr>
      </w:pPr>
      <w:r>
        <w:rPr>
          <w:sz w:val="20"/>
        </w:rPr>
        <w:t xml:space="preserve">(Continued from previous page)  </w:t>
      </w:r>
      <w:r>
        <w:rPr>
          <w:sz w:val="20"/>
        </w:rPr>
        <w:separator/>
      </w:r>
    </w:p>
  </w:footnote>
  <w:footnote w:type="continuationNotice" w:id="1">
    <w:p w:rsidR="003247A6" w:rsidRDefault="003247A6" w:rsidP="00C721AC">
      <w:pPr>
        <w:jc w:val="right"/>
        <w:rPr>
          <w:sz w:val="20"/>
        </w:rPr>
      </w:pPr>
      <w:r>
        <w:rPr>
          <w:sz w:val="20"/>
        </w:rPr>
        <w:t>(continued….)</w:t>
      </w:r>
    </w:p>
  </w:footnote>
  <w:footnote w:id="2">
    <w:p w:rsidR="00EA1DE2" w:rsidRDefault="00EA1DE2" w:rsidP="00EB0DF3">
      <w:pPr>
        <w:pStyle w:val="FootnoteText"/>
      </w:pPr>
      <w:r>
        <w:rPr>
          <w:rStyle w:val="FootnoteReference"/>
        </w:rPr>
        <w:footnoteRef/>
      </w:r>
      <w:r>
        <w:t xml:space="preserve"> </w:t>
      </w:r>
      <w:r w:rsidR="0012113F">
        <w:rPr>
          <w:i/>
        </w:rPr>
        <w:t xml:space="preserve">See </w:t>
      </w:r>
      <w:r w:rsidR="00D30ECB">
        <w:rPr>
          <w:i/>
        </w:rPr>
        <w:t>Requests for Waiver of the Decision of the Universal Service Administrator by Adams County School District 14, Commerce City, CO et al.</w:t>
      </w:r>
      <w:r w:rsidR="00D30ECB">
        <w:t>, CC Docket No. 02-6, Order, 22 FCC Rcd 6019, 6022-23, para. 9 (2007) (</w:t>
      </w:r>
      <w:r w:rsidR="00D30ECB" w:rsidRPr="00495E84">
        <w:rPr>
          <w:i/>
        </w:rPr>
        <w:t>Adams County Order</w:t>
      </w:r>
      <w:r w:rsidR="00D30ECB">
        <w:t>) (granting waiver of signed contract requirement where applicant</w:t>
      </w:r>
      <w:r w:rsidR="00FB725C">
        <w:t>s</w:t>
      </w:r>
      <w:r w:rsidR="00D30ECB">
        <w:t xml:space="preserve"> had agreement</w:t>
      </w:r>
      <w:r w:rsidR="00FB725C">
        <w:t>s</w:t>
      </w:r>
      <w:r w:rsidR="00D30ECB">
        <w:t xml:space="preserve"> with vendor</w:t>
      </w:r>
      <w:r w:rsidR="00073AC9">
        <w:t>s</w:t>
      </w:r>
      <w:r w:rsidR="00D30ECB">
        <w:t>, but applicants did not have signed contract</w:t>
      </w:r>
      <w:r w:rsidR="00073AC9">
        <w:t>s</w:t>
      </w:r>
      <w:r w:rsidR="00D30ECB">
        <w:t xml:space="preserve"> in place at the deadline because agreements with service providers had not been approved by district governing boards in accordance with state and local procurement laws)</w:t>
      </w:r>
      <w:r w:rsidR="007E4785">
        <w:t xml:space="preserve">; </w:t>
      </w:r>
      <w:r w:rsidR="007E4785" w:rsidRPr="00536E29">
        <w:rPr>
          <w:i/>
        </w:rPr>
        <w:t>s</w:t>
      </w:r>
      <w:r w:rsidR="00D30ECB">
        <w:rPr>
          <w:i/>
        </w:rPr>
        <w:t>ee also</w:t>
      </w:r>
      <w:r w:rsidR="00D30ECB">
        <w:t xml:space="preserve"> </w:t>
      </w:r>
      <w:r w:rsidR="0012113F">
        <w:rPr>
          <w:i/>
        </w:rPr>
        <w:t>Request for Waiver of the West Virginia Department of Education, Charleston, WV</w:t>
      </w:r>
      <w:r w:rsidR="0012113F">
        <w:t>, CC Docket No. 02-6, Order, 20 FCC Rcd 12890, 12892</w:t>
      </w:r>
      <w:r w:rsidR="00DA31E0">
        <w:t>-93</w:t>
      </w:r>
      <w:r w:rsidR="0012113F">
        <w:t>, para. 9 (Wireline Comp. Bur. 2005) (</w:t>
      </w:r>
      <w:r w:rsidR="0012113F">
        <w:rPr>
          <w:i/>
        </w:rPr>
        <w:t>West Virginia Order</w:t>
      </w:r>
      <w:r w:rsidR="0012113F">
        <w:t>)</w:t>
      </w:r>
      <w:r w:rsidR="009A14F5">
        <w:t xml:space="preserve">; </w:t>
      </w:r>
      <w:r w:rsidR="009A14F5" w:rsidRPr="009A14F5">
        <w:rPr>
          <w:i/>
        </w:rPr>
        <w:t xml:space="preserve">Request for Waiver of the </w:t>
      </w:r>
      <w:r w:rsidR="009A14F5">
        <w:rPr>
          <w:i/>
        </w:rPr>
        <w:t>Kentucky</w:t>
      </w:r>
      <w:r w:rsidR="009A14F5" w:rsidRPr="009A14F5">
        <w:rPr>
          <w:i/>
        </w:rPr>
        <w:t xml:space="preserve"> Department of Education, </w:t>
      </w:r>
      <w:r w:rsidR="009A14F5">
        <w:rPr>
          <w:i/>
        </w:rPr>
        <w:t>Frankfort, KY</w:t>
      </w:r>
      <w:r w:rsidR="009A14F5" w:rsidRPr="002C4FC7">
        <w:t xml:space="preserve">, CC Docket No. 02-6, Order, </w:t>
      </w:r>
      <w:r w:rsidR="009A14F5">
        <w:t>22</w:t>
      </w:r>
      <w:r w:rsidR="009A14F5" w:rsidRPr="002C4FC7">
        <w:t xml:space="preserve"> FCC Rcd </w:t>
      </w:r>
      <w:r w:rsidR="009A14F5">
        <w:t>4742</w:t>
      </w:r>
      <w:r w:rsidR="009A14F5" w:rsidRPr="002C4FC7">
        <w:t xml:space="preserve">, </w:t>
      </w:r>
      <w:r w:rsidR="009A14F5">
        <w:t>4744</w:t>
      </w:r>
      <w:r w:rsidR="00DA31E0">
        <w:t>-45</w:t>
      </w:r>
      <w:r w:rsidR="009A14F5" w:rsidRPr="002C4FC7">
        <w:t>, para. 9 (Wireline Comp. Bur. 200</w:t>
      </w:r>
      <w:r w:rsidR="009A14F5">
        <w:t>7</w:t>
      </w:r>
      <w:r w:rsidR="009A14F5" w:rsidRPr="002C4FC7">
        <w:t>) (</w:t>
      </w:r>
      <w:r w:rsidR="00D30ECB">
        <w:t xml:space="preserve">both orders </w:t>
      </w:r>
      <w:r w:rsidR="009A14F5" w:rsidRPr="002C4FC7">
        <w:t xml:space="preserve">granting waiver </w:t>
      </w:r>
      <w:r w:rsidR="00D30ECB">
        <w:t xml:space="preserve">of signed contract requirement because </w:t>
      </w:r>
      <w:r w:rsidR="009A14F5" w:rsidRPr="002C4FC7">
        <w:t>a state law prohibited extending state master contracts until 30 days before expiration of the contract)</w:t>
      </w:r>
      <w:r w:rsidR="009A14F5">
        <w:t xml:space="preserve">.  </w:t>
      </w:r>
    </w:p>
  </w:footnote>
  <w:footnote w:id="3">
    <w:p w:rsidR="00605C2C" w:rsidRDefault="00605C2C" w:rsidP="00605C2C">
      <w:pPr>
        <w:pStyle w:val="FootnoteText"/>
      </w:pPr>
      <w:r>
        <w:rPr>
          <w:rStyle w:val="FootnoteReference"/>
        </w:rPr>
        <w:footnoteRef/>
      </w:r>
      <w:r>
        <w:t xml:space="preserve"> The E-rate program is more formally known as the schools and libraries universal service support program.</w:t>
      </w:r>
    </w:p>
  </w:footnote>
  <w:footnote w:id="4">
    <w:p w:rsidR="00605C2C" w:rsidRDefault="00605C2C">
      <w:pPr>
        <w:pStyle w:val="FootnoteText"/>
      </w:pPr>
      <w:r>
        <w:rPr>
          <w:rStyle w:val="FootnoteReference"/>
        </w:rPr>
        <w:footnoteRef/>
      </w:r>
      <w:r>
        <w:t xml:space="preserve"> The funding requests with respect to which we grant the waiver are identified in Appendix A.</w:t>
      </w:r>
    </w:p>
  </w:footnote>
  <w:footnote w:id="5">
    <w:p w:rsidR="00EA1DE2" w:rsidRDefault="00EA1DE2" w:rsidP="00EB0DF3">
      <w:pPr>
        <w:pStyle w:val="FootnoteText"/>
      </w:pPr>
      <w:r>
        <w:rPr>
          <w:rStyle w:val="FootnoteReference"/>
        </w:rPr>
        <w:footnoteRef/>
      </w:r>
      <w:r>
        <w:t xml:space="preserve"> </w:t>
      </w:r>
      <w:r>
        <w:rPr>
          <w:i/>
        </w:rPr>
        <w:t>See</w:t>
      </w:r>
      <w:r>
        <w:t xml:space="preserve"> Letter from Maribel Picó, Chief Information Officer, Puerto Rico Department of Education, to Marlene H. Dortch, </w:t>
      </w:r>
      <w:r w:rsidR="00726BE1">
        <w:t xml:space="preserve">Secretary, Federal Communications Commission, </w:t>
      </w:r>
      <w:r>
        <w:t>CC Docket No. 02-6 (filed Aug. 15, 2014) (Request for Waiver).  Section 54.719(c) of the Commission’s rules provides that any person aggrieved by an action t</w:t>
      </w:r>
      <w:r w:rsidRPr="005B4D40">
        <w:t>aken by a division of USAC may seek review from the Commission.  47 C.F.R. § 54.719(c).</w:t>
      </w:r>
    </w:p>
  </w:footnote>
  <w:footnote w:id="6">
    <w:p w:rsidR="002D2B38" w:rsidRDefault="002D2B38">
      <w:pPr>
        <w:pStyle w:val="FootnoteText"/>
      </w:pPr>
      <w:r>
        <w:rPr>
          <w:rStyle w:val="FootnoteReference"/>
        </w:rPr>
        <w:footnoteRef/>
      </w:r>
      <w:r>
        <w:t xml:space="preserve"> </w:t>
      </w:r>
      <w:r w:rsidR="00F04191" w:rsidRPr="00F04191">
        <w:rPr>
          <w:i/>
        </w:rPr>
        <w:t>See</w:t>
      </w:r>
      <w:r w:rsidR="00F04191" w:rsidRPr="00F04191">
        <w:t xml:space="preserve"> </w:t>
      </w:r>
      <w:r w:rsidR="00F04191" w:rsidRPr="002C4FC7">
        <w:rPr>
          <w:i/>
        </w:rPr>
        <w:t>Request for Review of a Decision of the Universal Service Administrator by Loving Municipal Schools</w:t>
      </w:r>
      <w:r w:rsidR="009C61FE">
        <w:t>,</w:t>
      </w:r>
      <w:r w:rsidR="00F04191" w:rsidRPr="00F04191">
        <w:t xml:space="preserve"> CC Docket No. 02-6, Order, 26 FCC Rcd 10428, 10430-31, para. 6 (Wireline Comp. Bur. 2011); </w:t>
      </w:r>
      <w:r w:rsidR="00F04191" w:rsidRPr="00F04191">
        <w:rPr>
          <w:i/>
        </w:rPr>
        <w:t>Request for Waiver and Review of Decisions of the Universal Service Administrator by Montgomery County School District</w:t>
      </w:r>
      <w:r w:rsidR="00F04191" w:rsidRPr="00F04191">
        <w:t>, CC Docket No. 02-6, Order, 29 FCC</w:t>
      </w:r>
      <w:r w:rsidR="00DA31E0">
        <w:t xml:space="preserve"> Rcd</w:t>
      </w:r>
      <w:r w:rsidR="00F04191" w:rsidRPr="00F04191">
        <w:t xml:space="preserve"> 320, 321, para. 2 (Wireline Comp. Bur. 2014) (</w:t>
      </w:r>
      <w:r w:rsidR="009C61FE">
        <w:t xml:space="preserve">both </w:t>
      </w:r>
      <w:r w:rsidR="00DB58C2">
        <w:t xml:space="preserve">affirming USAC’s denial of </w:t>
      </w:r>
      <w:r w:rsidR="00F04191" w:rsidRPr="00F04191">
        <w:t>funding requests that fell below the priority two funding threshold for the relevant funding years).</w:t>
      </w:r>
    </w:p>
  </w:footnote>
  <w:footnote w:id="7">
    <w:p w:rsidR="00614E7D" w:rsidRDefault="00614E7D">
      <w:pPr>
        <w:pStyle w:val="FootnoteText"/>
      </w:pPr>
      <w:r>
        <w:rPr>
          <w:rStyle w:val="FootnoteReference"/>
        </w:rPr>
        <w:footnoteRef/>
      </w:r>
      <w:r>
        <w:t xml:space="preserve"> </w:t>
      </w:r>
      <w:r w:rsidR="00946ECF">
        <w:t>The funding request</w:t>
      </w:r>
      <w:r w:rsidR="008D1AEA">
        <w:t>s</w:t>
      </w:r>
      <w:r w:rsidR="00946ECF">
        <w:t xml:space="preserve"> being denied are identified in Appendix B.</w:t>
      </w:r>
      <w:r w:rsidR="00F04191">
        <w:t xml:space="preserve">  </w:t>
      </w:r>
    </w:p>
  </w:footnote>
  <w:footnote w:id="8">
    <w:p w:rsidR="00EA1DE2" w:rsidRDefault="00EA1DE2" w:rsidP="00EB0DF3">
      <w:pPr>
        <w:pStyle w:val="FootnoteText"/>
      </w:pPr>
      <w:r>
        <w:rPr>
          <w:rStyle w:val="FootnoteReference"/>
        </w:rPr>
        <w:footnoteRef/>
      </w:r>
      <w:r>
        <w:rPr>
          <w:rStyle w:val="documentbody1"/>
        </w:rPr>
        <w:t xml:space="preserve"> </w:t>
      </w:r>
      <w:r w:rsidRPr="00C63F56">
        <w:rPr>
          <w:i/>
        </w:rPr>
        <w:t>See generally</w:t>
      </w:r>
      <w:r>
        <w:rPr>
          <w:rStyle w:val="documentbody1"/>
        </w:rPr>
        <w:t xml:space="preserve"> </w:t>
      </w:r>
      <w:r w:rsidRPr="00C63F56">
        <w:t>47 C.F.R. §§ 54.501-54.503.</w:t>
      </w:r>
    </w:p>
  </w:footnote>
  <w:footnote w:id="9">
    <w:p w:rsidR="008D1AEA" w:rsidRPr="008D1AEA" w:rsidRDefault="008D1AEA">
      <w:pPr>
        <w:pStyle w:val="FootnoteText"/>
      </w:pPr>
      <w:r>
        <w:rPr>
          <w:rStyle w:val="FootnoteReference"/>
        </w:rPr>
        <w:footnoteRef/>
      </w:r>
      <w:r>
        <w:t xml:space="preserve"> </w:t>
      </w:r>
      <w:r>
        <w:rPr>
          <w:i/>
        </w:rPr>
        <w:t>See</w:t>
      </w:r>
      <w:r>
        <w:t xml:space="preserve"> 47 C.F.R. § 54.503. </w:t>
      </w:r>
    </w:p>
  </w:footnote>
  <w:footnote w:id="10">
    <w:p w:rsidR="008F61AB" w:rsidRDefault="008F61AB" w:rsidP="008F61AB">
      <w:pPr>
        <w:pStyle w:val="FootnoteText"/>
      </w:pPr>
      <w:r>
        <w:rPr>
          <w:rStyle w:val="FootnoteReference"/>
        </w:rPr>
        <w:footnoteRef/>
      </w:r>
      <w:r>
        <w:t xml:space="preserve"> </w:t>
      </w:r>
      <w:r w:rsidRPr="00680436">
        <w:rPr>
          <w:i/>
        </w:rPr>
        <w:t>See</w:t>
      </w:r>
      <w:r w:rsidRPr="00680436">
        <w:t xml:space="preserve"> </w:t>
      </w:r>
      <w:r>
        <w:t>47 C.F.R. § 54.504(a)(1)(vi).</w:t>
      </w:r>
    </w:p>
  </w:footnote>
  <w:footnote w:id="11">
    <w:p w:rsidR="00EA1DE2" w:rsidRDefault="00EA1DE2" w:rsidP="00EB0DF3">
      <w:pPr>
        <w:pStyle w:val="FootnoteText"/>
      </w:pPr>
      <w:r>
        <w:rPr>
          <w:rStyle w:val="FootnoteReference"/>
        </w:rPr>
        <w:footnoteRef/>
      </w:r>
      <w:r>
        <w:t xml:space="preserve"> </w:t>
      </w:r>
      <w:r>
        <w:rPr>
          <w:i/>
        </w:rPr>
        <w:t xml:space="preserve">See </w:t>
      </w:r>
      <w:r>
        <w:t>Schools and Libraries Universal Service, Services Ordered and Certification Form, OMB 3060-0806 (Oct. 2010) (FCC Form 471); Schools and Libraries Universal Service, Services Ordered and Certification Form, OMB 3060-0806 (</w:t>
      </w:r>
      <w:r w:rsidRPr="00726BE1">
        <w:t>December 2013</w:t>
      </w:r>
      <w:r>
        <w:t xml:space="preserve">) (current FCC Form 471).  </w:t>
      </w:r>
    </w:p>
  </w:footnote>
  <w:footnote w:id="12">
    <w:p w:rsidR="006121F4" w:rsidRPr="005D5E90" w:rsidRDefault="006121F4">
      <w:pPr>
        <w:pStyle w:val="FootnoteText"/>
      </w:pPr>
      <w:r>
        <w:rPr>
          <w:rStyle w:val="FootnoteReference"/>
        </w:rPr>
        <w:footnoteRef/>
      </w:r>
      <w:r>
        <w:t xml:space="preserve"> </w:t>
      </w:r>
      <w:r w:rsidR="005D5E90">
        <w:rPr>
          <w:i/>
        </w:rPr>
        <w:t>See</w:t>
      </w:r>
      <w:r w:rsidR="005D5E90">
        <w:t xml:space="preserve"> 47 C.F.R. § 54.504(a)</w:t>
      </w:r>
      <w:r w:rsidR="007E4785">
        <w:t xml:space="preserve"> (2013)</w:t>
      </w:r>
      <w:r w:rsidR="005D5E90">
        <w:t xml:space="preserve">.  </w:t>
      </w:r>
    </w:p>
  </w:footnote>
  <w:footnote w:id="13">
    <w:p w:rsidR="00FE650C" w:rsidRPr="00FE650C" w:rsidRDefault="00FE650C">
      <w:pPr>
        <w:pStyle w:val="FootnoteText"/>
      </w:pPr>
      <w:r>
        <w:rPr>
          <w:rStyle w:val="FootnoteReference"/>
        </w:rPr>
        <w:footnoteRef/>
      </w:r>
      <w:r>
        <w:t xml:space="preserve"> </w:t>
      </w:r>
      <w:r>
        <w:rPr>
          <w:i/>
        </w:rPr>
        <w:t xml:space="preserve">See </w:t>
      </w:r>
      <w:r>
        <w:t xml:space="preserve">47 C.F.R. § 54.507(g)(1)(i) (2013).  </w:t>
      </w:r>
    </w:p>
  </w:footnote>
  <w:footnote w:id="14">
    <w:p w:rsidR="00FE650C" w:rsidRDefault="00FE650C">
      <w:pPr>
        <w:pStyle w:val="FootnoteText"/>
      </w:pPr>
      <w:r>
        <w:rPr>
          <w:rStyle w:val="FootnoteReference"/>
        </w:rPr>
        <w:footnoteRef/>
      </w:r>
      <w:r>
        <w:t xml:space="preserve"> </w:t>
      </w:r>
      <w:r w:rsidRPr="00FE650C">
        <w:t>See 47 C.F.R. § 54.507(g)(1)(i</w:t>
      </w:r>
      <w:r>
        <w:t>i</w:t>
      </w:r>
      <w:r w:rsidRPr="00FE650C">
        <w:t>) (2013).</w:t>
      </w:r>
    </w:p>
  </w:footnote>
  <w:footnote w:id="15">
    <w:p w:rsidR="00FE650C" w:rsidRDefault="00FE650C">
      <w:pPr>
        <w:pStyle w:val="FootnoteText"/>
      </w:pPr>
      <w:r>
        <w:rPr>
          <w:rStyle w:val="FootnoteReference"/>
        </w:rPr>
        <w:footnoteRef/>
      </w:r>
      <w:r>
        <w:t xml:space="preserve"> </w:t>
      </w:r>
      <w:r w:rsidRPr="00FE650C">
        <w:rPr>
          <w:i/>
        </w:rPr>
        <w:t>See</w:t>
      </w:r>
      <w:r w:rsidRPr="00FE650C">
        <w:t xml:space="preserve"> USAC website, Schools and Libraries Program, Update on Priority 2 Commitments 2013</w:t>
      </w:r>
      <w:r w:rsidR="007E4785">
        <w:t xml:space="preserve"> (Feb. 27, 2014)</w:t>
      </w:r>
      <w:r w:rsidRPr="00FE650C">
        <w:t xml:space="preserve">, </w:t>
      </w:r>
      <w:hyperlink r:id="rId1" w:history="1">
        <w:r w:rsidR="007E4785" w:rsidRPr="00503D57">
          <w:rPr>
            <w:rStyle w:val="Hyperlink"/>
          </w:rPr>
          <w:t>http://www.usac.org/sl/tools/news/news-archive.aspx</w:t>
        </w:r>
      </w:hyperlink>
      <w:r w:rsidR="007E4785">
        <w:t>.</w:t>
      </w:r>
    </w:p>
  </w:footnote>
  <w:footnote w:id="16">
    <w:p w:rsidR="00FE650C" w:rsidRPr="00F3772E" w:rsidRDefault="00FE650C">
      <w:pPr>
        <w:pStyle w:val="FootnoteText"/>
        <w:rPr>
          <w:i/>
        </w:rPr>
      </w:pPr>
      <w:r>
        <w:rPr>
          <w:rStyle w:val="FootnoteReference"/>
        </w:rPr>
        <w:footnoteRef/>
      </w:r>
      <w:r>
        <w:t xml:space="preserve"> </w:t>
      </w:r>
      <w:r>
        <w:rPr>
          <w:i/>
        </w:rPr>
        <w:t>See id.</w:t>
      </w:r>
    </w:p>
  </w:footnote>
  <w:footnote w:id="17">
    <w:p w:rsidR="00F85EB4" w:rsidRPr="00515861" w:rsidRDefault="00F85EB4" w:rsidP="00F85EB4">
      <w:pPr>
        <w:pStyle w:val="FootnoteText"/>
      </w:pPr>
      <w:r>
        <w:rPr>
          <w:rStyle w:val="FootnoteReference"/>
        </w:rPr>
        <w:footnoteRef/>
      </w:r>
      <w:r>
        <w:t xml:space="preserve"> </w:t>
      </w:r>
      <w:r>
        <w:rPr>
          <w:i/>
        </w:rPr>
        <w:t>See</w:t>
      </w:r>
      <w:r>
        <w:t xml:space="preserve"> </w:t>
      </w:r>
      <w:r w:rsidR="00FE650C">
        <w:t>Request for Waiver at 2-3</w:t>
      </w:r>
      <w:r>
        <w:t xml:space="preserve">.  </w:t>
      </w:r>
    </w:p>
  </w:footnote>
  <w:footnote w:id="18">
    <w:p w:rsidR="003B72CA" w:rsidRDefault="003B72CA">
      <w:pPr>
        <w:pStyle w:val="FootnoteText"/>
      </w:pPr>
      <w:r>
        <w:rPr>
          <w:rStyle w:val="FootnoteReference"/>
        </w:rPr>
        <w:footnoteRef/>
      </w:r>
      <w:r>
        <w:t xml:space="preserve"> </w:t>
      </w:r>
      <w:r w:rsidR="00FE650C">
        <w:rPr>
          <w:i/>
        </w:rPr>
        <w:t>See id.</w:t>
      </w:r>
      <w:r w:rsidR="00FE650C">
        <w:t xml:space="preserve"> at 3.</w:t>
      </w:r>
    </w:p>
  </w:footnote>
  <w:footnote w:id="19">
    <w:p w:rsidR="00EA1DE2" w:rsidRPr="00E372CA" w:rsidRDefault="00EA1DE2" w:rsidP="00452180">
      <w:pPr>
        <w:pStyle w:val="FootnoteText"/>
      </w:pPr>
      <w:r>
        <w:rPr>
          <w:rStyle w:val="FootnoteReference"/>
        </w:rPr>
        <w:footnoteRef/>
      </w:r>
      <w:r>
        <w:t xml:space="preserve"> </w:t>
      </w:r>
      <w:r>
        <w:rPr>
          <w:i/>
        </w:rPr>
        <w:t>See</w:t>
      </w:r>
      <w:r>
        <w:t xml:space="preserve"> </w:t>
      </w:r>
      <w:r w:rsidR="007E4785" w:rsidRPr="00536E29">
        <w:rPr>
          <w:i/>
        </w:rPr>
        <w:t>id.</w:t>
      </w:r>
      <w:r w:rsidR="003B72CA">
        <w:t xml:space="preserve"> at </w:t>
      </w:r>
      <w:r w:rsidR="003872CA">
        <w:t>4-5</w:t>
      </w:r>
      <w:r w:rsidR="007E4785">
        <w:t>, Attach.</w:t>
      </w:r>
      <w:r w:rsidR="003B72CA">
        <w:t xml:space="preserve"> </w:t>
      </w:r>
      <w:r w:rsidR="007E4785">
        <w:t>(</w:t>
      </w:r>
      <w:r>
        <w:t>Puerto Rico Executive Order No. OE-2013-002 (dated Jan. 3, 2013)</w:t>
      </w:r>
      <w:r w:rsidR="007E4785">
        <w:t>)</w:t>
      </w:r>
      <w:r>
        <w:t>.</w:t>
      </w:r>
    </w:p>
  </w:footnote>
  <w:footnote w:id="20">
    <w:p w:rsidR="00F85EB4" w:rsidRDefault="00F85EB4">
      <w:pPr>
        <w:pStyle w:val="FootnoteText"/>
      </w:pPr>
      <w:r>
        <w:rPr>
          <w:rStyle w:val="FootnoteReference"/>
        </w:rPr>
        <w:footnoteRef/>
      </w:r>
      <w:r>
        <w:t xml:space="preserve"> </w:t>
      </w:r>
      <w:r w:rsidR="00FE650C">
        <w:rPr>
          <w:i/>
        </w:rPr>
        <w:t xml:space="preserve">See </w:t>
      </w:r>
      <w:r w:rsidR="003B72CA">
        <w:t xml:space="preserve">Request for Waiver at </w:t>
      </w:r>
      <w:r w:rsidR="003872CA">
        <w:t>5</w:t>
      </w:r>
      <w:r w:rsidR="003B72CA" w:rsidRPr="00F3772E">
        <w:t>.</w:t>
      </w:r>
    </w:p>
  </w:footnote>
  <w:footnote w:id="21">
    <w:p w:rsidR="00EA1DE2" w:rsidRDefault="00EA1DE2">
      <w:pPr>
        <w:pStyle w:val="FootnoteText"/>
      </w:pPr>
      <w:r>
        <w:rPr>
          <w:rStyle w:val="FootnoteReference"/>
        </w:rPr>
        <w:footnoteRef/>
      </w:r>
      <w:r>
        <w:t xml:space="preserve"> Schools and Libraries Universal Service, Services Ordered and Ce</w:t>
      </w:r>
      <w:r w:rsidR="003C270F">
        <w:t>rtification Form, OMB 3060-0806</w:t>
      </w:r>
      <w:r w:rsidR="005C74F9">
        <w:t xml:space="preserve">, FCC Form 471 No. </w:t>
      </w:r>
      <w:r w:rsidR="005C74F9" w:rsidRPr="00726BE1">
        <w:t>918308</w:t>
      </w:r>
      <w:r w:rsidR="003C270F">
        <w:t xml:space="preserve"> </w:t>
      </w:r>
      <w:r w:rsidR="005C74F9">
        <w:t>(Oct. 2010) (filed Mar. 12, 2013)</w:t>
      </w:r>
      <w:r>
        <w:t>; Schools and Libraries Universal Service, Services Ordered and Certification Form, OMB 3060-0806</w:t>
      </w:r>
      <w:r w:rsidR="005C74F9">
        <w:t xml:space="preserve">, FCC Form 471 No. </w:t>
      </w:r>
      <w:r w:rsidR="005C74F9" w:rsidRPr="00726BE1">
        <w:t>919592</w:t>
      </w:r>
      <w:r>
        <w:t xml:space="preserve"> (Oct. 2010) (</w:t>
      </w:r>
      <w:r w:rsidR="005C74F9" w:rsidRPr="005C74F9">
        <w:t>filed Mar. 12, 2013</w:t>
      </w:r>
      <w:r>
        <w:t xml:space="preserve">). </w:t>
      </w:r>
    </w:p>
  </w:footnote>
  <w:footnote w:id="22">
    <w:p w:rsidR="00334BA5" w:rsidRPr="00334BA5" w:rsidRDefault="00334BA5">
      <w:pPr>
        <w:pStyle w:val="FootnoteText"/>
      </w:pPr>
      <w:r>
        <w:rPr>
          <w:rStyle w:val="FootnoteReference"/>
        </w:rPr>
        <w:footnoteRef/>
      </w:r>
      <w:r>
        <w:t xml:space="preserve"> </w:t>
      </w:r>
      <w:r>
        <w:rPr>
          <w:i/>
        </w:rPr>
        <w:t xml:space="preserve">See </w:t>
      </w:r>
      <w:r w:rsidR="00974245">
        <w:t xml:space="preserve">Request for Waiver at </w:t>
      </w:r>
      <w:r w:rsidR="003872CA">
        <w:t>5</w:t>
      </w:r>
      <w:r w:rsidR="007E4785">
        <w:t>, Attachs. (</w:t>
      </w:r>
      <w:r>
        <w:t>Commonwealth of Puerto Rico, Department of Education, Contract Amendment for Internet Services (signed June 28, 2013); Commonwealth of Puerto Rico, Department of Education, Contract Amendment for Telecommunications Services (signed June 28, 2013)</w:t>
      </w:r>
      <w:r w:rsidR="007E4785">
        <w:t>)</w:t>
      </w:r>
      <w:r w:rsidR="00974245">
        <w:t>.</w:t>
      </w:r>
    </w:p>
  </w:footnote>
  <w:footnote w:id="23">
    <w:p w:rsidR="00EA1DE2" w:rsidRPr="00EA1DE2" w:rsidRDefault="00EA1DE2">
      <w:pPr>
        <w:pStyle w:val="FootnoteText"/>
      </w:pPr>
      <w:r>
        <w:rPr>
          <w:rStyle w:val="FootnoteReference"/>
        </w:rPr>
        <w:footnoteRef/>
      </w:r>
      <w:r>
        <w:t xml:space="preserve"> </w:t>
      </w:r>
      <w:r>
        <w:rPr>
          <w:i/>
        </w:rPr>
        <w:t>See</w:t>
      </w:r>
      <w:r>
        <w:t xml:space="preserve"> Request for Waiver</w:t>
      </w:r>
      <w:r w:rsidR="00E24AD2">
        <w:t xml:space="preserve"> at 1</w:t>
      </w:r>
      <w:r>
        <w:t xml:space="preserve">.  </w:t>
      </w:r>
    </w:p>
  </w:footnote>
  <w:footnote w:id="24">
    <w:p w:rsidR="00974245" w:rsidRDefault="00974245">
      <w:pPr>
        <w:pStyle w:val="FootnoteText"/>
      </w:pPr>
      <w:r>
        <w:rPr>
          <w:rStyle w:val="FootnoteReference"/>
        </w:rPr>
        <w:footnoteRef/>
      </w:r>
      <w:r>
        <w:t xml:space="preserve"> </w:t>
      </w:r>
      <w:r w:rsidR="00FE650C">
        <w:rPr>
          <w:i/>
        </w:rPr>
        <w:t>Id.</w:t>
      </w:r>
      <w:r w:rsidR="003872CA">
        <w:t xml:space="preserve"> </w:t>
      </w:r>
      <w:r>
        <w:t xml:space="preserve">at </w:t>
      </w:r>
      <w:r w:rsidR="003872CA">
        <w:t>2.</w:t>
      </w:r>
    </w:p>
  </w:footnote>
  <w:footnote w:id="25">
    <w:p w:rsidR="00F85EB4" w:rsidRDefault="00F85EB4" w:rsidP="00F85EB4">
      <w:pPr>
        <w:pStyle w:val="FootnoteText"/>
      </w:pPr>
      <w:r>
        <w:rPr>
          <w:rStyle w:val="FootnoteReference"/>
        </w:rPr>
        <w:footnoteRef/>
      </w:r>
      <w:r>
        <w:t xml:space="preserve"> </w:t>
      </w:r>
      <w:r>
        <w:rPr>
          <w:i/>
        </w:rPr>
        <w:t>See id.</w:t>
      </w:r>
    </w:p>
  </w:footnote>
  <w:footnote w:id="26">
    <w:p w:rsidR="00EA1DE2" w:rsidRDefault="00EA1DE2" w:rsidP="00EB0DF3">
      <w:pPr>
        <w:pStyle w:val="FootnoteText"/>
      </w:pPr>
      <w:r>
        <w:rPr>
          <w:rStyle w:val="FootnoteReference"/>
        </w:rPr>
        <w:footnoteRef/>
      </w:r>
      <w:r>
        <w:t xml:space="preserve"> 47 C.F.R. § 1.3.</w:t>
      </w:r>
    </w:p>
  </w:footnote>
  <w:footnote w:id="27">
    <w:p w:rsidR="006121F4" w:rsidRDefault="006121F4" w:rsidP="006121F4">
      <w:pPr>
        <w:pStyle w:val="FootnoteText"/>
      </w:pPr>
      <w:r>
        <w:rPr>
          <w:rStyle w:val="FootnoteReference"/>
        </w:rPr>
        <w:footnoteRef/>
      </w:r>
      <w:r>
        <w:rPr>
          <w:i/>
          <w:iCs/>
        </w:rPr>
        <w:t xml:space="preserve"> </w:t>
      </w:r>
      <w:r w:rsidR="00073AC9" w:rsidRPr="00F3772E">
        <w:rPr>
          <w:i/>
          <w:iCs/>
        </w:rPr>
        <w:t>See</w:t>
      </w:r>
      <w:r w:rsidR="00073AC9">
        <w:rPr>
          <w:iCs/>
        </w:rPr>
        <w:t xml:space="preserve"> </w:t>
      </w:r>
      <w:r w:rsidR="00FE650C" w:rsidRPr="00F3772E">
        <w:rPr>
          <w:i/>
        </w:rPr>
        <w:t>Northeast</w:t>
      </w:r>
      <w:r w:rsidR="00FE650C" w:rsidRPr="0015139E">
        <w:rPr>
          <w:i/>
        </w:rPr>
        <w:t xml:space="preserve"> Cellular Telephone Co. v. FCC</w:t>
      </w:r>
      <w:r w:rsidR="00FE650C" w:rsidRPr="0015139E">
        <w:t>, 897 F.2d 1164, 1166 (D.C. Cir. 1990)</w:t>
      </w:r>
      <w:r>
        <w:t xml:space="preserve">. </w:t>
      </w:r>
    </w:p>
  </w:footnote>
  <w:footnote w:id="28">
    <w:p w:rsidR="00A656B8" w:rsidRPr="00495E84" w:rsidRDefault="00A656B8" w:rsidP="00A656B8">
      <w:pPr>
        <w:pStyle w:val="FootnoteText"/>
      </w:pPr>
      <w:r>
        <w:rPr>
          <w:rStyle w:val="FootnoteReference"/>
        </w:rPr>
        <w:footnoteRef/>
      </w:r>
      <w:r>
        <w:t xml:space="preserve"> </w:t>
      </w:r>
      <w:r>
        <w:rPr>
          <w:i/>
        </w:rPr>
        <w:t xml:space="preserve">See </w:t>
      </w:r>
      <w:r w:rsidRPr="00495E84">
        <w:rPr>
          <w:i/>
        </w:rPr>
        <w:t>Adams County Order</w:t>
      </w:r>
      <w:r>
        <w:t>,</w:t>
      </w:r>
      <w:r>
        <w:rPr>
          <w:i/>
        </w:rPr>
        <w:t xml:space="preserve"> </w:t>
      </w:r>
      <w:r>
        <w:t xml:space="preserve">22 FCC Rcd at 6022-23, para. 9. </w:t>
      </w:r>
    </w:p>
  </w:footnote>
  <w:footnote w:id="29">
    <w:p w:rsidR="00FB09CB" w:rsidRPr="00FB09CB" w:rsidRDefault="00FB09CB">
      <w:pPr>
        <w:pStyle w:val="FootnoteText"/>
      </w:pPr>
      <w:r>
        <w:rPr>
          <w:rStyle w:val="FootnoteReference"/>
        </w:rPr>
        <w:footnoteRef/>
      </w:r>
      <w:r>
        <w:t xml:space="preserve"> </w:t>
      </w:r>
      <w:r>
        <w:rPr>
          <w:i/>
        </w:rPr>
        <w:t>See West Virginia Order</w:t>
      </w:r>
      <w:r>
        <w:t xml:space="preserve">, </w:t>
      </w:r>
      <w:r w:rsidR="006F527F">
        <w:t>20 FCC Rcd at 12892</w:t>
      </w:r>
      <w:r w:rsidR="0004600C">
        <w:t>-93</w:t>
      </w:r>
      <w:r w:rsidR="006F527F">
        <w:t>, para. 9</w:t>
      </w:r>
      <w:r w:rsidR="0004600C">
        <w:t>.</w:t>
      </w:r>
    </w:p>
  </w:footnote>
  <w:footnote w:id="30">
    <w:p w:rsidR="006121F4" w:rsidRPr="00A27E71" w:rsidRDefault="006121F4">
      <w:pPr>
        <w:pStyle w:val="FootnoteText"/>
      </w:pPr>
      <w:r>
        <w:rPr>
          <w:rStyle w:val="FootnoteReference"/>
        </w:rPr>
        <w:footnoteRef/>
      </w:r>
      <w:r>
        <w:t xml:space="preserve"> </w:t>
      </w:r>
      <w:r w:rsidR="00A27E71">
        <w:rPr>
          <w:i/>
        </w:rPr>
        <w:t>See</w:t>
      </w:r>
      <w:r w:rsidR="00974245">
        <w:t xml:space="preserve"> Request for </w:t>
      </w:r>
      <w:r w:rsidR="003872CA">
        <w:t xml:space="preserve">Waiver </w:t>
      </w:r>
      <w:r w:rsidR="00974245">
        <w:t xml:space="preserve">at </w:t>
      </w:r>
      <w:r w:rsidR="003872CA">
        <w:t>5.</w:t>
      </w:r>
    </w:p>
  </w:footnote>
  <w:footnote w:id="31">
    <w:p w:rsidR="00EA1DE2" w:rsidRPr="00AA0137" w:rsidRDefault="00EA1DE2" w:rsidP="00EB0DF3">
      <w:pPr>
        <w:pStyle w:val="FootnoteText"/>
      </w:pPr>
      <w:r w:rsidRPr="00AA0137">
        <w:rPr>
          <w:rStyle w:val="FootnoteReference"/>
        </w:rPr>
        <w:footnoteRef/>
      </w:r>
      <w:r w:rsidRPr="00AA0137">
        <w:t xml:space="preserve"> 47 C.F.R. § 54.507(d) (requiring non-recurring services to be implemented by September 30 following the close of the funding year). </w:t>
      </w:r>
    </w:p>
  </w:footnote>
  <w:footnote w:id="32">
    <w:p w:rsidR="006A6094" w:rsidRDefault="006A6094" w:rsidP="006A6094">
      <w:pPr>
        <w:pStyle w:val="FootnoteText"/>
      </w:pPr>
      <w:r>
        <w:rPr>
          <w:rStyle w:val="FootnoteReference"/>
        </w:rPr>
        <w:footnoteRef/>
      </w:r>
      <w:r>
        <w:t xml:space="preserve"> </w:t>
      </w:r>
      <w:r>
        <w:rPr>
          <w:i/>
        </w:rPr>
        <w:t>See</w:t>
      </w:r>
      <w:r>
        <w:t xml:space="preserve"> USAC website, Schools and Libraries Program, Update on Priority 2 Commitments 2013</w:t>
      </w:r>
      <w:r w:rsidR="007E4785">
        <w:t xml:space="preserve"> (Feb. 27, 2014)</w:t>
      </w:r>
      <w:r w:rsidR="007E4785" w:rsidRPr="00FE650C">
        <w:t xml:space="preserve">, </w:t>
      </w:r>
      <w:hyperlink r:id="rId2" w:history="1">
        <w:r w:rsidR="007E4785" w:rsidRPr="00503D57">
          <w:rPr>
            <w:rStyle w:val="Hyperlink"/>
          </w:rPr>
          <w:t>http://www.usac.org/sl/tools/news/news-archive.aspx</w:t>
        </w:r>
      </w:hyperlink>
      <w:r w:rsidR="007E4785">
        <w:t>.</w:t>
      </w:r>
    </w:p>
  </w:footnote>
  <w:footnote w:id="33">
    <w:p w:rsidR="00FB09CB" w:rsidRDefault="00FB09CB">
      <w:pPr>
        <w:pStyle w:val="FootnoteText"/>
      </w:pPr>
      <w:r>
        <w:rPr>
          <w:rStyle w:val="FootnoteReference"/>
        </w:rPr>
        <w:footnoteRef/>
      </w:r>
      <w:r>
        <w:t xml:space="preserve"> </w:t>
      </w:r>
      <w:r w:rsidR="00A76671">
        <w:rPr>
          <w:i/>
        </w:rPr>
        <w:t>See</w:t>
      </w:r>
      <w:r w:rsidR="00A76671">
        <w:t xml:space="preserve"> Letter from USAC, Schools and Libraries Division, to Maribel </w:t>
      </w:r>
      <w:r w:rsidR="00A76671" w:rsidRPr="00A27E71">
        <w:t>Picó</w:t>
      </w:r>
      <w:r w:rsidR="00A76671">
        <w:t xml:space="preserve"> Piereschi, Puerto Rico Department of Edu</w:t>
      </w:r>
      <w:r w:rsidR="003B2E6C">
        <w:t xml:space="preserve">cation (dated June 19,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28" w:rsidRDefault="00733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E2" w:rsidRDefault="00EA1DE2" w:rsidP="00810B6F">
    <w:pPr>
      <w:pStyle w:val="Header"/>
      <w:rPr>
        <w:b w:val="0"/>
      </w:rPr>
    </w:pPr>
    <w:r>
      <w:tab/>
      <w:t>Federal Communications Commission</w:t>
    </w:r>
    <w:r>
      <w:tab/>
    </w:r>
    <w:r w:rsidR="00E24AD2">
      <w:t>DA 14-</w:t>
    </w:r>
    <w:r w:rsidR="006B3744">
      <w:t>1732</w:t>
    </w:r>
  </w:p>
  <w:p w:rsidR="00EA1DE2" w:rsidRDefault="00EA1DE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EC97691" wp14:editId="01D665B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A1DE2" w:rsidRDefault="00EA1DE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E2" w:rsidRDefault="00EA1DE2"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E24AD2">
      <w:rPr>
        <w:spacing w:val="-2"/>
      </w:rPr>
      <w:t>DA 14-</w:t>
    </w:r>
    <w:r w:rsidR="006B3744">
      <w:rPr>
        <w:spacing w:val="-2"/>
      </w:rPr>
      <w:t>1732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720"/>
        </w:tabs>
        <w:ind w:left="-36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F3"/>
    <w:rsid w:val="000226E4"/>
    <w:rsid w:val="000240C0"/>
    <w:rsid w:val="00036039"/>
    <w:rsid w:val="00037F90"/>
    <w:rsid w:val="0004600C"/>
    <w:rsid w:val="00073AC9"/>
    <w:rsid w:val="00075357"/>
    <w:rsid w:val="000875BF"/>
    <w:rsid w:val="000904C2"/>
    <w:rsid w:val="00096D8C"/>
    <w:rsid w:val="000B4631"/>
    <w:rsid w:val="000C0B65"/>
    <w:rsid w:val="000E05FE"/>
    <w:rsid w:val="000E3D42"/>
    <w:rsid w:val="000F4997"/>
    <w:rsid w:val="0012113F"/>
    <w:rsid w:val="00122BD5"/>
    <w:rsid w:val="00125806"/>
    <w:rsid w:val="001316C0"/>
    <w:rsid w:val="00133F79"/>
    <w:rsid w:val="001659B6"/>
    <w:rsid w:val="001832A1"/>
    <w:rsid w:val="00194A66"/>
    <w:rsid w:val="001C29A8"/>
    <w:rsid w:val="001D3FCE"/>
    <w:rsid w:val="001D6BCF"/>
    <w:rsid w:val="001E01CA"/>
    <w:rsid w:val="001F4295"/>
    <w:rsid w:val="0020137E"/>
    <w:rsid w:val="002661A2"/>
    <w:rsid w:val="00275CF5"/>
    <w:rsid w:val="0028301F"/>
    <w:rsid w:val="00285017"/>
    <w:rsid w:val="00285A94"/>
    <w:rsid w:val="002916A5"/>
    <w:rsid w:val="002A2D2E"/>
    <w:rsid w:val="002C00E8"/>
    <w:rsid w:val="002C0886"/>
    <w:rsid w:val="002C4FC7"/>
    <w:rsid w:val="002D2B38"/>
    <w:rsid w:val="002F0E99"/>
    <w:rsid w:val="0031304A"/>
    <w:rsid w:val="003247A6"/>
    <w:rsid w:val="00334BA5"/>
    <w:rsid w:val="00343749"/>
    <w:rsid w:val="003660ED"/>
    <w:rsid w:val="003872CA"/>
    <w:rsid w:val="003A4C61"/>
    <w:rsid w:val="003B0550"/>
    <w:rsid w:val="003B2E6C"/>
    <w:rsid w:val="003B62DE"/>
    <w:rsid w:val="003B694F"/>
    <w:rsid w:val="003B72CA"/>
    <w:rsid w:val="003C1364"/>
    <w:rsid w:val="003C270F"/>
    <w:rsid w:val="003D64ED"/>
    <w:rsid w:val="003F171C"/>
    <w:rsid w:val="00412FC5"/>
    <w:rsid w:val="00422276"/>
    <w:rsid w:val="0042384C"/>
    <w:rsid w:val="004242F1"/>
    <w:rsid w:val="00445A00"/>
    <w:rsid w:val="00450421"/>
    <w:rsid w:val="00451B0F"/>
    <w:rsid w:val="00452180"/>
    <w:rsid w:val="00495E84"/>
    <w:rsid w:val="004A1501"/>
    <w:rsid w:val="004C2EE3"/>
    <w:rsid w:val="004E4A22"/>
    <w:rsid w:val="004F445F"/>
    <w:rsid w:val="004F63F4"/>
    <w:rsid w:val="00511968"/>
    <w:rsid w:val="00515861"/>
    <w:rsid w:val="00517D89"/>
    <w:rsid w:val="0053183C"/>
    <w:rsid w:val="00536E29"/>
    <w:rsid w:val="00546D77"/>
    <w:rsid w:val="0055614C"/>
    <w:rsid w:val="0059488C"/>
    <w:rsid w:val="005A1B5A"/>
    <w:rsid w:val="005B5A9F"/>
    <w:rsid w:val="005C74F9"/>
    <w:rsid w:val="005D5E90"/>
    <w:rsid w:val="005E14C2"/>
    <w:rsid w:val="005E5873"/>
    <w:rsid w:val="00605C2C"/>
    <w:rsid w:val="00607BA5"/>
    <w:rsid w:val="0061180A"/>
    <w:rsid w:val="006121F4"/>
    <w:rsid w:val="00614E7D"/>
    <w:rsid w:val="00626EB6"/>
    <w:rsid w:val="00640638"/>
    <w:rsid w:val="00655D03"/>
    <w:rsid w:val="006679A7"/>
    <w:rsid w:val="00675374"/>
    <w:rsid w:val="00680436"/>
    <w:rsid w:val="00683388"/>
    <w:rsid w:val="00683F84"/>
    <w:rsid w:val="006A6094"/>
    <w:rsid w:val="006A6A81"/>
    <w:rsid w:val="006B3744"/>
    <w:rsid w:val="006B649F"/>
    <w:rsid w:val="006F3EAD"/>
    <w:rsid w:val="006F527F"/>
    <w:rsid w:val="006F7393"/>
    <w:rsid w:val="0070224F"/>
    <w:rsid w:val="007115F7"/>
    <w:rsid w:val="00726BE1"/>
    <w:rsid w:val="00731222"/>
    <w:rsid w:val="007315E5"/>
    <w:rsid w:val="00733128"/>
    <w:rsid w:val="00733D1B"/>
    <w:rsid w:val="00773760"/>
    <w:rsid w:val="00785689"/>
    <w:rsid w:val="0079754B"/>
    <w:rsid w:val="007A0C1E"/>
    <w:rsid w:val="007A1E6D"/>
    <w:rsid w:val="007B0EB2"/>
    <w:rsid w:val="007C0FB5"/>
    <w:rsid w:val="007E4785"/>
    <w:rsid w:val="007E6286"/>
    <w:rsid w:val="00810B6F"/>
    <w:rsid w:val="00811771"/>
    <w:rsid w:val="00822CE0"/>
    <w:rsid w:val="00841AB1"/>
    <w:rsid w:val="008B7B80"/>
    <w:rsid w:val="008C68F1"/>
    <w:rsid w:val="008D1AEA"/>
    <w:rsid w:val="008D3174"/>
    <w:rsid w:val="008F61AB"/>
    <w:rsid w:val="009119AE"/>
    <w:rsid w:val="00921803"/>
    <w:rsid w:val="00925151"/>
    <w:rsid w:val="00926503"/>
    <w:rsid w:val="00946ECF"/>
    <w:rsid w:val="009726D8"/>
    <w:rsid w:val="00974245"/>
    <w:rsid w:val="009A14F5"/>
    <w:rsid w:val="009C61FE"/>
    <w:rsid w:val="009E2F3B"/>
    <w:rsid w:val="009F76DB"/>
    <w:rsid w:val="00A12C23"/>
    <w:rsid w:val="00A25A39"/>
    <w:rsid w:val="00A27E71"/>
    <w:rsid w:val="00A32C3B"/>
    <w:rsid w:val="00A3476E"/>
    <w:rsid w:val="00A42022"/>
    <w:rsid w:val="00A45F4F"/>
    <w:rsid w:val="00A600A9"/>
    <w:rsid w:val="00A6565D"/>
    <w:rsid w:val="00A656B8"/>
    <w:rsid w:val="00A67A2C"/>
    <w:rsid w:val="00A76671"/>
    <w:rsid w:val="00A77CE1"/>
    <w:rsid w:val="00AA55B7"/>
    <w:rsid w:val="00AA5B9E"/>
    <w:rsid w:val="00AB2407"/>
    <w:rsid w:val="00AB53DF"/>
    <w:rsid w:val="00AC6F75"/>
    <w:rsid w:val="00B07E5C"/>
    <w:rsid w:val="00B34181"/>
    <w:rsid w:val="00B73949"/>
    <w:rsid w:val="00B74366"/>
    <w:rsid w:val="00B811F7"/>
    <w:rsid w:val="00BA5DC6"/>
    <w:rsid w:val="00BA6196"/>
    <w:rsid w:val="00BC6D8C"/>
    <w:rsid w:val="00BD6452"/>
    <w:rsid w:val="00BE4EFD"/>
    <w:rsid w:val="00BF3FC0"/>
    <w:rsid w:val="00C076DF"/>
    <w:rsid w:val="00C11847"/>
    <w:rsid w:val="00C34006"/>
    <w:rsid w:val="00C3505A"/>
    <w:rsid w:val="00C426B1"/>
    <w:rsid w:val="00C63F56"/>
    <w:rsid w:val="00C66160"/>
    <w:rsid w:val="00C67FDC"/>
    <w:rsid w:val="00C721AC"/>
    <w:rsid w:val="00C90D6A"/>
    <w:rsid w:val="00C93C6A"/>
    <w:rsid w:val="00CA247E"/>
    <w:rsid w:val="00CC72B6"/>
    <w:rsid w:val="00CD622A"/>
    <w:rsid w:val="00CF0C41"/>
    <w:rsid w:val="00D0218D"/>
    <w:rsid w:val="00D25FB5"/>
    <w:rsid w:val="00D30ECB"/>
    <w:rsid w:val="00D44223"/>
    <w:rsid w:val="00D4458A"/>
    <w:rsid w:val="00DA2529"/>
    <w:rsid w:val="00DA31E0"/>
    <w:rsid w:val="00DB130A"/>
    <w:rsid w:val="00DB2AB3"/>
    <w:rsid w:val="00DB2EBB"/>
    <w:rsid w:val="00DB58C2"/>
    <w:rsid w:val="00DC10A1"/>
    <w:rsid w:val="00DC27D2"/>
    <w:rsid w:val="00DC655F"/>
    <w:rsid w:val="00DD0B59"/>
    <w:rsid w:val="00DD7EBD"/>
    <w:rsid w:val="00DE2296"/>
    <w:rsid w:val="00DE363E"/>
    <w:rsid w:val="00DF62B6"/>
    <w:rsid w:val="00E07225"/>
    <w:rsid w:val="00E14CF1"/>
    <w:rsid w:val="00E24AD2"/>
    <w:rsid w:val="00E4032B"/>
    <w:rsid w:val="00E5409F"/>
    <w:rsid w:val="00E565A5"/>
    <w:rsid w:val="00E67230"/>
    <w:rsid w:val="00E97DA8"/>
    <w:rsid w:val="00EA1DE2"/>
    <w:rsid w:val="00EB0DF3"/>
    <w:rsid w:val="00EB552E"/>
    <w:rsid w:val="00EC406B"/>
    <w:rsid w:val="00ED5D59"/>
    <w:rsid w:val="00EE6488"/>
    <w:rsid w:val="00F021FA"/>
    <w:rsid w:val="00F04191"/>
    <w:rsid w:val="00F3772E"/>
    <w:rsid w:val="00F62E97"/>
    <w:rsid w:val="00F64209"/>
    <w:rsid w:val="00F85EB4"/>
    <w:rsid w:val="00F93BF5"/>
    <w:rsid w:val="00FA6629"/>
    <w:rsid w:val="00FB09CB"/>
    <w:rsid w:val="00FB725C"/>
    <w:rsid w:val="00FD36CB"/>
    <w:rsid w:val="00FD47A6"/>
    <w:rsid w:val="00FE073F"/>
    <w:rsid w:val="00FE650C"/>
    <w:rsid w:val="00FE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rsid w:val="00EB0DF3"/>
    <w:rPr>
      <w:rFonts w:ascii="Verdana" w:hAnsi="Verdana" w:hint="default"/>
      <w:sz w:val="19"/>
      <w:szCs w:val="19"/>
    </w:rPr>
  </w:style>
  <w:style w:type="paragraph" w:styleId="BalloonText">
    <w:name w:val="Balloon Text"/>
    <w:basedOn w:val="Normal"/>
    <w:link w:val="BalloonTextChar"/>
    <w:rsid w:val="007A0C1E"/>
    <w:rPr>
      <w:rFonts w:ascii="Tahoma" w:hAnsi="Tahoma" w:cs="Tahoma"/>
      <w:sz w:val="16"/>
      <w:szCs w:val="16"/>
    </w:rPr>
  </w:style>
  <w:style w:type="character" w:customStyle="1" w:styleId="BalloonTextChar">
    <w:name w:val="Balloon Text Char"/>
    <w:basedOn w:val="DefaultParagraphFont"/>
    <w:link w:val="BalloonText"/>
    <w:rsid w:val="007A0C1E"/>
    <w:rPr>
      <w:rFonts w:ascii="Tahoma" w:hAnsi="Tahoma" w:cs="Tahoma"/>
      <w:snapToGrid w:val="0"/>
      <w:kern w:val="28"/>
      <w:sz w:val="16"/>
      <w:szCs w:val="16"/>
    </w:rPr>
  </w:style>
  <w:style w:type="table" w:styleId="TableGrid">
    <w:name w:val="Table Grid"/>
    <w:basedOn w:val="TableNormal"/>
    <w:rsid w:val="00675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75374"/>
    <w:rPr>
      <w:i/>
      <w:iCs/>
    </w:rPr>
  </w:style>
  <w:style w:type="character" w:styleId="CommentReference">
    <w:name w:val="annotation reference"/>
    <w:basedOn w:val="DefaultParagraphFont"/>
    <w:rsid w:val="00A25A39"/>
    <w:rPr>
      <w:sz w:val="16"/>
      <w:szCs w:val="16"/>
    </w:rPr>
  </w:style>
  <w:style w:type="paragraph" w:styleId="CommentText">
    <w:name w:val="annotation text"/>
    <w:basedOn w:val="Normal"/>
    <w:link w:val="CommentTextChar"/>
    <w:rsid w:val="00A25A39"/>
    <w:rPr>
      <w:sz w:val="20"/>
    </w:rPr>
  </w:style>
  <w:style w:type="character" w:customStyle="1" w:styleId="CommentTextChar">
    <w:name w:val="Comment Text Char"/>
    <w:basedOn w:val="DefaultParagraphFont"/>
    <w:link w:val="CommentText"/>
    <w:rsid w:val="00A25A39"/>
    <w:rPr>
      <w:snapToGrid w:val="0"/>
      <w:kern w:val="28"/>
    </w:rPr>
  </w:style>
  <w:style w:type="paragraph" w:styleId="CommentSubject">
    <w:name w:val="annotation subject"/>
    <w:basedOn w:val="CommentText"/>
    <w:next w:val="CommentText"/>
    <w:link w:val="CommentSubjectChar"/>
    <w:rsid w:val="00A25A39"/>
    <w:rPr>
      <w:b/>
      <w:bCs/>
    </w:rPr>
  </w:style>
  <w:style w:type="character" w:customStyle="1" w:styleId="CommentSubjectChar">
    <w:name w:val="Comment Subject Char"/>
    <w:basedOn w:val="CommentTextChar"/>
    <w:link w:val="CommentSubject"/>
    <w:rsid w:val="00A25A39"/>
    <w:rPr>
      <w:b/>
      <w:bCs/>
      <w:snapToGrid w:val="0"/>
      <w:kern w:val="28"/>
    </w:rPr>
  </w:style>
  <w:style w:type="paragraph" w:styleId="Revision">
    <w:name w:val="Revision"/>
    <w:hidden/>
    <w:uiPriority w:val="99"/>
    <w:semiHidden/>
    <w:rsid w:val="00A25A39"/>
    <w:rPr>
      <w:snapToGrid w:val="0"/>
      <w:kern w:val="28"/>
      <w:sz w:val="22"/>
    </w:rPr>
  </w:style>
  <w:style w:type="character" w:customStyle="1" w:styleId="StyleNumberedparagraphs11ptChar">
    <w:name w:val="Style Numbered paragraphs + 11 pt Char"/>
    <w:rsid w:val="006A6094"/>
    <w:rPr>
      <w:noProof w:val="0"/>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A27E71"/>
  </w:style>
  <w:style w:type="character" w:customStyle="1" w:styleId="stylenumberedparagraphs11ptchar0">
    <w:name w:val="stylenumberedparagraphs11ptchar"/>
    <w:uiPriority w:val="99"/>
    <w:rsid w:val="00A27E71"/>
  </w:style>
  <w:style w:type="character" w:styleId="FollowedHyperlink">
    <w:name w:val="FollowedHyperlink"/>
    <w:basedOn w:val="DefaultParagraphFont"/>
    <w:rsid w:val="005E58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rsid w:val="00EB0DF3"/>
    <w:rPr>
      <w:rFonts w:ascii="Verdana" w:hAnsi="Verdana" w:hint="default"/>
      <w:sz w:val="19"/>
      <w:szCs w:val="19"/>
    </w:rPr>
  </w:style>
  <w:style w:type="paragraph" w:styleId="BalloonText">
    <w:name w:val="Balloon Text"/>
    <w:basedOn w:val="Normal"/>
    <w:link w:val="BalloonTextChar"/>
    <w:rsid w:val="007A0C1E"/>
    <w:rPr>
      <w:rFonts w:ascii="Tahoma" w:hAnsi="Tahoma" w:cs="Tahoma"/>
      <w:sz w:val="16"/>
      <w:szCs w:val="16"/>
    </w:rPr>
  </w:style>
  <w:style w:type="character" w:customStyle="1" w:styleId="BalloonTextChar">
    <w:name w:val="Balloon Text Char"/>
    <w:basedOn w:val="DefaultParagraphFont"/>
    <w:link w:val="BalloonText"/>
    <w:rsid w:val="007A0C1E"/>
    <w:rPr>
      <w:rFonts w:ascii="Tahoma" w:hAnsi="Tahoma" w:cs="Tahoma"/>
      <w:snapToGrid w:val="0"/>
      <w:kern w:val="28"/>
      <w:sz w:val="16"/>
      <w:szCs w:val="16"/>
    </w:rPr>
  </w:style>
  <w:style w:type="table" w:styleId="TableGrid">
    <w:name w:val="Table Grid"/>
    <w:basedOn w:val="TableNormal"/>
    <w:rsid w:val="00675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75374"/>
    <w:rPr>
      <w:i/>
      <w:iCs/>
    </w:rPr>
  </w:style>
  <w:style w:type="character" w:styleId="CommentReference">
    <w:name w:val="annotation reference"/>
    <w:basedOn w:val="DefaultParagraphFont"/>
    <w:rsid w:val="00A25A39"/>
    <w:rPr>
      <w:sz w:val="16"/>
      <w:szCs w:val="16"/>
    </w:rPr>
  </w:style>
  <w:style w:type="paragraph" w:styleId="CommentText">
    <w:name w:val="annotation text"/>
    <w:basedOn w:val="Normal"/>
    <w:link w:val="CommentTextChar"/>
    <w:rsid w:val="00A25A39"/>
    <w:rPr>
      <w:sz w:val="20"/>
    </w:rPr>
  </w:style>
  <w:style w:type="character" w:customStyle="1" w:styleId="CommentTextChar">
    <w:name w:val="Comment Text Char"/>
    <w:basedOn w:val="DefaultParagraphFont"/>
    <w:link w:val="CommentText"/>
    <w:rsid w:val="00A25A39"/>
    <w:rPr>
      <w:snapToGrid w:val="0"/>
      <w:kern w:val="28"/>
    </w:rPr>
  </w:style>
  <w:style w:type="paragraph" w:styleId="CommentSubject">
    <w:name w:val="annotation subject"/>
    <w:basedOn w:val="CommentText"/>
    <w:next w:val="CommentText"/>
    <w:link w:val="CommentSubjectChar"/>
    <w:rsid w:val="00A25A39"/>
    <w:rPr>
      <w:b/>
      <w:bCs/>
    </w:rPr>
  </w:style>
  <w:style w:type="character" w:customStyle="1" w:styleId="CommentSubjectChar">
    <w:name w:val="Comment Subject Char"/>
    <w:basedOn w:val="CommentTextChar"/>
    <w:link w:val="CommentSubject"/>
    <w:rsid w:val="00A25A39"/>
    <w:rPr>
      <w:b/>
      <w:bCs/>
      <w:snapToGrid w:val="0"/>
      <w:kern w:val="28"/>
    </w:rPr>
  </w:style>
  <w:style w:type="paragraph" w:styleId="Revision">
    <w:name w:val="Revision"/>
    <w:hidden/>
    <w:uiPriority w:val="99"/>
    <w:semiHidden/>
    <w:rsid w:val="00A25A39"/>
    <w:rPr>
      <w:snapToGrid w:val="0"/>
      <w:kern w:val="28"/>
      <w:sz w:val="22"/>
    </w:rPr>
  </w:style>
  <w:style w:type="character" w:customStyle="1" w:styleId="StyleNumberedparagraphs11ptChar">
    <w:name w:val="Style Numbered paragraphs + 11 pt Char"/>
    <w:rsid w:val="006A6094"/>
    <w:rPr>
      <w:noProof w:val="0"/>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sid w:val="00A27E71"/>
  </w:style>
  <w:style w:type="character" w:customStyle="1" w:styleId="stylenumberedparagraphs11ptchar0">
    <w:name w:val="stylenumberedparagraphs11ptchar"/>
    <w:uiPriority w:val="99"/>
    <w:rsid w:val="00A27E71"/>
  </w:style>
  <w:style w:type="character" w:styleId="FollowedHyperlink">
    <w:name w:val="FollowedHyperlink"/>
    <w:basedOn w:val="DefaultParagraphFont"/>
    <w:rsid w:val="005E5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sac.org/sl/tools/news/news-archive.aspx" TargetMode="External"/><Relationship Id="rId1" Type="http://schemas.openxmlformats.org/officeDocument/2006/relationships/hyperlink" Target="http://www.usac.org/sl/tools/news/news-archiv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1578</Words>
  <Characters>8303</Characters>
  <Application>Microsoft Office Word</Application>
  <DocSecurity>0</DocSecurity>
  <Lines>199</Lines>
  <Paragraphs>84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2014-12-02T20:31:00Z</cp:lastPrinted>
  <dcterms:created xsi:type="dcterms:W3CDTF">2014-12-02T20:36:00Z</dcterms:created>
  <dcterms:modified xsi:type="dcterms:W3CDTF">2014-12-02T20:36:00Z</dcterms:modified>
  <cp:category> </cp:category>
  <cp:contentStatus> </cp:contentStatus>
</cp:coreProperties>
</file>