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81CA7" w14:textId="77777777" w:rsidR="00DB36BF" w:rsidRDefault="00DA5514" w:rsidP="00927296">
      <w:pPr>
        <w:tabs>
          <w:tab w:val="left" w:pos="1530"/>
        </w:tabs>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69009AD" w14:textId="77777777" w:rsidR="00DB36BF" w:rsidRDefault="00DA5514" w:rsidP="00DB36BF">
      <w:pPr>
        <w:pStyle w:val="StyleBoldCentered"/>
      </w:pPr>
      <w:r>
        <w:t>F</w:t>
      </w:r>
      <w:r>
        <w:rPr>
          <w:caps w:val="0"/>
        </w:rPr>
        <w:t>ederal Communications Commission</w:t>
      </w:r>
    </w:p>
    <w:p w14:paraId="6ED025C2" w14:textId="77777777" w:rsidR="00DB36BF" w:rsidRDefault="005F6570" w:rsidP="00DB36BF">
      <w:pPr>
        <w:pStyle w:val="StyleBoldCentered"/>
      </w:pPr>
      <w:r>
        <w:rPr>
          <w:caps w:val="0"/>
        </w:rPr>
        <w:t>Washington</w:t>
      </w:r>
      <w:r w:rsidR="00DA5514">
        <w:t>, D.C. 20554</w:t>
      </w:r>
    </w:p>
    <w:p w14:paraId="4245839B" w14:textId="77777777" w:rsidR="00DB36BF" w:rsidRDefault="00DB36BF" w:rsidP="00DB36BF"/>
    <w:p w14:paraId="7FD69C29" w14:textId="77777777" w:rsidR="00DB36BF" w:rsidRDefault="00DB36BF" w:rsidP="00DB36BF"/>
    <w:tbl>
      <w:tblPr>
        <w:tblW w:w="0" w:type="auto"/>
        <w:tblLayout w:type="fixed"/>
        <w:tblLook w:val="0000" w:firstRow="0" w:lastRow="0" w:firstColumn="0" w:lastColumn="0" w:noHBand="0" w:noVBand="0"/>
      </w:tblPr>
      <w:tblGrid>
        <w:gridCol w:w="4698"/>
        <w:gridCol w:w="630"/>
        <w:gridCol w:w="4248"/>
      </w:tblGrid>
      <w:tr w:rsidR="00DB36BF" w14:paraId="5F87FBDC" w14:textId="77777777">
        <w:tc>
          <w:tcPr>
            <w:tcW w:w="4698" w:type="dxa"/>
          </w:tcPr>
          <w:p w14:paraId="6731BC57" w14:textId="77777777" w:rsidR="00DB36BF" w:rsidRDefault="00DA5514">
            <w:pPr>
              <w:tabs>
                <w:tab w:val="center" w:pos="4680"/>
              </w:tabs>
              <w:suppressAutoHyphens/>
              <w:rPr>
                <w:spacing w:val="-2"/>
              </w:rPr>
            </w:pPr>
            <w:r>
              <w:rPr>
                <w:spacing w:val="-2"/>
              </w:rPr>
              <w:t>In the Matter of</w:t>
            </w:r>
          </w:p>
          <w:p w14:paraId="7A1341B9" w14:textId="77777777" w:rsidR="00DB36BF" w:rsidRDefault="00DB36BF">
            <w:pPr>
              <w:tabs>
                <w:tab w:val="center" w:pos="4680"/>
              </w:tabs>
              <w:suppressAutoHyphens/>
              <w:rPr>
                <w:spacing w:val="-2"/>
              </w:rPr>
            </w:pPr>
          </w:p>
          <w:p w14:paraId="4FCD5A88" w14:textId="77777777" w:rsidR="00DB36BF" w:rsidRDefault="008C1E66" w:rsidP="00DB36BF">
            <w:pPr>
              <w:tabs>
                <w:tab w:val="center" w:pos="4680"/>
              </w:tabs>
              <w:suppressAutoHyphens/>
              <w:rPr>
                <w:spacing w:val="-2"/>
              </w:rPr>
            </w:pPr>
            <w:r>
              <w:rPr>
                <w:spacing w:val="-2"/>
              </w:rPr>
              <w:t>Amendment of Parts 1, 2, 22, 24, 27, 90 and 95 of the Commission’s Rules to Improve Wireless Coverage Through the Use of Signal Boosters</w:t>
            </w:r>
          </w:p>
          <w:p w14:paraId="1416E4DB" w14:textId="77777777" w:rsidR="002C6E2B" w:rsidRDefault="002C6E2B" w:rsidP="00DB36BF">
            <w:pPr>
              <w:tabs>
                <w:tab w:val="center" w:pos="4680"/>
              </w:tabs>
              <w:suppressAutoHyphens/>
              <w:rPr>
                <w:spacing w:val="-2"/>
              </w:rPr>
            </w:pPr>
          </w:p>
          <w:p w14:paraId="4D566A0B" w14:textId="77777777" w:rsidR="002C6E2B" w:rsidRPr="007115F7" w:rsidRDefault="002C6E2B" w:rsidP="00DB36BF">
            <w:pPr>
              <w:tabs>
                <w:tab w:val="center" w:pos="4680"/>
              </w:tabs>
              <w:suppressAutoHyphens/>
              <w:rPr>
                <w:spacing w:val="-2"/>
              </w:rPr>
            </w:pPr>
            <w:r>
              <w:rPr>
                <w:spacing w:val="-2"/>
              </w:rPr>
              <w:t xml:space="preserve">Wireless Telecommunications Bureau </w:t>
            </w:r>
            <w:r w:rsidR="00D65356">
              <w:rPr>
                <w:spacing w:val="-2"/>
              </w:rPr>
              <w:t>Seeks Comment on ClearRF Request for Waiver of March 1, 2014 Signal Booster Compliance Deadline</w:t>
            </w:r>
          </w:p>
        </w:tc>
        <w:tc>
          <w:tcPr>
            <w:tcW w:w="630" w:type="dxa"/>
          </w:tcPr>
          <w:p w14:paraId="072F0297" w14:textId="77777777" w:rsidR="00DB36BF" w:rsidRDefault="00DA5514">
            <w:pPr>
              <w:tabs>
                <w:tab w:val="center" w:pos="4680"/>
              </w:tabs>
              <w:suppressAutoHyphens/>
              <w:rPr>
                <w:b/>
                <w:spacing w:val="-2"/>
              </w:rPr>
            </w:pPr>
            <w:r>
              <w:rPr>
                <w:b/>
                <w:spacing w:val="-2"/>
              </w:rPr>
              <w:t>)</w:t>
            </w:r>
          </w:p>
          <w:p w14:paraId="3182FF1F" w14:textId="77777777" w:rsidR="00DB36BF" w:rsidRDefault="00DA5514">
            <w:pPr>
              <w:tabs>
                <w:tab w:val="center" w:pos="4680"/>
              </w:tabs>
              <w:suppressAutoHyphens/>
              <w:rPr>
                <w:b/>
                <w:spacing w:val="-2"/>
              </w:rPr>
            </w:pPr>
            <w:r>
              <w:rPr>
                <w:b/>
                <w:spacing w:val="-2"/>
              </w:rPr>
              <w:t>)</w:t>
            </w:r>
          </w:p>
          <w:p w14:paraId="09821ECF" w14:textId="77777777" w:rsidR="00DB36BF" w:rsidRDefault="00DA5514">
            <w:pPr>
              <w:tabs>
                <w:tab w:val="center" w:pos="4680"/>
              </w:tabs>
              <w:suppressAutoHyphens/>
              <w:rPr>
                <w:b/>
                <w:spacing w:val="-2"/>
              </w:rPr>
            </w:pPr>
            <w:r>
              <w:rPr>
                <w:b/>
                <w:spacing w:val="-2"/>
              </w:rPr>
              <w:t>)</w:t>
            </w:r>
          </w:p>
          <w:p w14:paraId="5FE496CE" w14:textId="77777777" w:rsidR="00DB36BF" w:rsidRDefault="00DA5514">
            <w:pPr>
              <w:tabs>
                <w:tab w:val="center" w:pos="4680"/>
              </w:tabs>
              <w:suppressAutoHyphens/>
              <w:rPr>
                <w:b/>
                <w:spacing w:val="-2"/>
              </w:rPr>
            </w:pPr>
            <w:r>
              <w:rPr>
                <w:b/>
                <w:spacing w:val="-2"/>
              </w:rPr>
              <w:t>)</w:t>
            </w:r>
          </w:p>
          <w:p w14:paraId="5F7A5219" w14:textId="77777777" w:rsidR="00DB36BF" w:rsidRDefault="00DA5514">
            <w:pPr>
              <w:tabs>
                <w:tab w:val="center" w:pos="4680"/>
              </w:tabs>
              <w:suppressAutoHyphens/>
              <w:rPr>
                <w:b/>
                <w:spacing w:val="-2"/>
              </w:rPr>
            </w:pPr>
            <w:r>
              <w:rPr>
                <w:b/>
                <w:spacing w:val="-2"/>
              </w:rPr>
              <w:t>)</w:t>
            </w:r>
          </w:p>
          <w:p w14:paraId="72AC6D2F" w14:textId="77777777" w:rsidR="002C6E2B" w:rsidRDefault="002C6E2B">
            <w:pPr>
              <w:tabs>
                <w:tab w:val="center" w:pos="4680"/>
              </w:tabs>
              <w:suppressAutoHyphens/>
              <w:rPr>
                <w:b/>
                <w:spacing w:val="-2"/>
              </w:rPr>
            </w:pPr>
            <w:r>
              <w:rPr>
                <w:b/>
                <w:spacing w:val="-2"/>
              </w:rPr>
              <w:t>)</w:t>
            </w:r>
          </w:p>
          <w:p w14:paraId="5BE597B0" w14:textId="77777777" w:rsidR="002C6E2B" w:rsidRDefault="002C6E2B">
            <w:pPr>
              <w:tabs>
                <w:tab w:val="center" w:pos="4680"/>
              </w:tabs>
              <w:suppressAutoHyphens/>
              <w:rPr>
                <w:b/>
                <w:spacing w:val="-2"/>
              </w:rPr>
            </w:pPr>
            <w:r>
              <w:rPr>
                <w:b/>
                <w:spacing w:val="-2"/>
              </w:rPr>
              <w:t>)</w:t>
            </w:r>
          </w:p>
          <w:p w14:paraId="11F91F45" w14:textId="77777777" w:rsidR="002C6E2B" w:rsidRDefault="002C6E2B">
            <w:pPr>
              <w:tabs>
                <w:tab w:val="center" w:pos="4680"/>
              </w:tabs>
              <w:suppressAutoHyphens/>
              <w:rPr>
                <w:b/>
                <w:spacing w:val="-2"/>
              </w:rPr>
            </w:pPr>
            <w:r>
              <w:rPr>
                <w:b/>
                <w:spacing w:val="-2"/>
              </w:rPr>
              <w:t>)</w:t>
            </w:r>
          </w:p>
          <w:p w14:paraId="1D3155DD" w14:textId="77777777" w:rsidR="002C6E2B" w:rsidRDefault="002C6E2B">
            <w:pPr>
              <w:tabs>
                <w:tab w:val="center" w:pos="4680"/>
              </w:tabs>
              <w:suppressAutoHyphens/>
              <w:rPr>
                <w:b/>
                <w:spacing w:val="-2"/>
              </w:rPr>
            </w:pPr>
            <w:r>
              <w:rPr>
                <w:b/>
                <w:spacing w:val="-2"/>
              </w:rPr>
              <w:t>)</w:t>
            </w:r>
          </w:p>
          <w:p w14:paraId="08B7B0D1" w14:textId="77777777" w:rsidR="00D65356" w:rsidRDefault="00D65356">
            <w:pPr>
              <w:tabs>
                <w:tab w:val="center" w:pos="4680"/>
              </w:tabs>
              <w:suppressAutoHyphens/>
              <w:rPr>
                <w:b/>
                <w:spacing w:val="-2"/>
              </w:rPr>
            </w:pPr>
            <w:r>
              <w:rPr>
                <w:b/>
                <w:spacing w:val="-2"/>
              </w:rPr>
              <w:t>)</w:t>
            </w:r>
          </w:p>
          <w:p w14:paraId="0A06F7E1" w14:textId="77777777" w:rsidR="00DB36BF" w:rsidRDefault="00DB36BF">
            <w:pPr>
              <w:tabs>
                <w:tab w:val="center" w:pos="4680"/>
              </w:tabs>
              <w:suppressAutoHyphens/>
              <w:rPr>
                <w:b/>
                <w:spacing w:val="-2"/>
              </w:rPr>
            </w:pPr>
          </w:p>
          <w:p w14:paraId="48601DD2" w14:textId="77777777" w:rsidR="00DB36BF" w:rsidRDefault="00DB36BF">
            <w:pPr>
              <w:tabs>
                <w:tab w:val="center" w:pos="4680"/>
              </w:tabs>
              <w:suppressAutoHyphens/>
              <w:rPr>
                <w:spacing w:val="-2"/>
              </w:rPr>
            </w:pPr>
          </w:p>
        </w:tc>
        <w:tc>
          <w:tcPr>
            <w:tcW w:w="4248" w:type="dxa"/>
          </w:tcPr>
          <w:p w14:paraId="2A64EC23" w14:textId="77777777" w:rsidR="00DB36BF" w:rsidRDefault="00DB36BF">
            <w:pPr>
              <w:tabs>
                <w:tab w:val="center" w:pos="4680"/>
              </w:tabs>
              <w:suppressAutoHyphens/>
              <w:rPr>
                <w:spacing w:val="-2"/>
              </w:rPr>
            </w:pPr>
          </w:p>
          <w:p w14:paraId="7CC3D54D" w14:textId="77777777" w:rsidR="00DB36BF" w:rsidRDefault="00DB36BF">
            <w:pPr>
              <w:pStyle w:val="TOAHeading"/>
              <w:tabs>
                <w:tab w:val="clear" w:pos="9360"/>
                <w:tab w:val="center" w:pos="4680"/>
              </w:tabs>
              <w:rPr>
                <w:spacing w:val="-2"/>
              </w:rPr>
            </w:pPr>
          </w:p>
          <w:p w14:paraId="7FDADBF6" w14:textId="77777777" w:rsidR="00DB36BF" w:rsidRDefault="008C1E66">
            <w:pPr>
              <w:tabs>
                <w:tab w:val="center" w:pos="4680"/>
              </w:tabs>
              <w:suppressAutoHyphens/>
              <w:rPr>
                <w:spacing w:val="-2"/>
              </w:rPr>
            </w:pPr>
            <w:r>
              <w:rPr>
                <w:spacing w:val="-2"/>
              </w:rPr>
              <w:t>WT Docket No. 10-4</w:t>
            </w:r>
          </w:p>
          <w:p w14:paraId="0A356947" w14:textId="77777777" w:rsidR="00DB36BF" w:rsidRDefault="00DB36BF">
            <w:pPr>
              <w:tabs>
                <w:tab w:val="center" w:pos="4680"/>
              </w:tabs>
              <w:suppressAutoHyphens/>
              <w:rPr>
                <w:spacing w:val="-2"/>
              </w:rPr>
            </w:pPr>
          </w:p>
          <w:p w14:paraId="3E14747A" w14:textId="77777777" w:rsidR="00DB36BF" w:rsidRDefault="00DB36BF">
            <w:pPr>
              <w:tabs>
                <w:tab w:val="center" w:pos="4680"/>
              </w:tabs>
              <w:suppressAutoHyphens/>
              <w:rPr>
                <w:spacing w:val="-2"/>
              </w:rPr>
            </w:pPr>
          </w:p>
          <w:p w14:paraId="31C54230" w14:textId="77777777" w:rsidR="00DB36BF" w:rsidRDefault="00DB36BF">
            <w:pPr>
              <w:tabs>
                <w:tab w:val="center" w:pos="4680"/>
              </w:tabs>
              <w:suppressAutoHyphens/>
              <w:rPr>
                <w:spacing w:val="-2"/>
              </w:rPr>
            </w:pPr>
          </w:p>
          <w:p w14:paraId="77890B6B" w14:textId="47E40910" w:rsidR="00D65356" w:rsidRDefault="00D65356">
            <w:pPr>
              <w:tabs>
                <w:tab w:val="center" w:pos="4680"/>
              </w:tabs>
              <w:suppressAutoHyphens/>
              <w:rPr>
                <w:spacing w:val="-2"/>
              </w:rPr>
            </w:pPr>
            <w:r>
              <w:rPr>
                <w:spacing w:val="-2"/>
              </w:rPr>
              <w:t>DA 13-246</w:t>
            </w:r>
            <w:r w:rsidR="00AD3588">
              <w:rPr>
                <w:spacing w:val="-2"/>
              </w:rPr>
              <w:t>5</w:t>
            </w:r>
          </w:p>
        </w:tc>
      </w:tr>
    </w:tbl>
    <w:p w14:paraId="7ED607A7" w14:textId="77777777" w:rsidR="00DB36BF" w:rsidRDefault="00DB36BF" w:rsidP="00DB36BF"/>
    <w:p w14:paraId="73F07E9C" w14:textId="77777777" w:rsidR="00DB36BF" w:rsidRDefault="00DA5514" w:rsidP="00DB36BF">
      <w:pPr>
        <w:pStyle w:val="StyleBoldCentered"/>
      </w:pPr>
      <w:r>
        <w:t xml:space="preserve">ORDER </w:t>
      </w:r>
    </w:p>
    <w:p w14:paraId="6C362B11" w14:textId="77777777" w:rsidR="00DB36BF" w:rsidRDefault="00DB36BF">
      <w:pPr>
        <w:tabs>
          <w:tab w:val="left" w:pos="-720"/>
        </w:tabs>
        <w:suppressAutoHyphens/>
        <w:spacing w:line="227" w:lineRule="auto"/>
        <w:rPr>
          <w:spacing w:val="-2"/>
        </w:rPr>
      </w:pPr>
    </w:p>
    <w:p w14:paraId="751F29E0" w14:textId="2820E9F5" w:rsidR="00DB36BF" w:rsidRDefault="00DA5514">
      <w:pPr>
        <w:tabs>
          <w:tab w:val="left" w:pos="720"/>
          <w:tab w:val="left" w:pos="5760"/>
        </w:tabs>
        <w:suppressAutoHyphens/>
        <w:spacing w:line="227" w:lineRule="auto"/>
        <w:rPr>
          <w:spacing w:val="-2"/>
        </w:rPr>
      </w:pPr>
      <w:r>
        <w:rPr>
          <w:b/>
          <w:spacing w:val="-2"/>
        </w:rPr>
        <w:t xml:space="preserve">Adopted:  </w:t>
      </w:r>
      <w:r w:rsidR="00AD3588">
        <w:rPr>
          <w:b/>
          <w:spacing w:val="-2"/>
        </w:rPr>
        <w:t xml:space="preserve">February </w:t>
      </w:r>
      <w:r w:rsidR="002F657C">
        <w:rPr>
          <w:b/>
          <w:spacing w:val="-2"/>
        </w:rPr>
        <w:t>11</w:t>
      </w:r>
      <w:r w:rsidR="00AD3588">
        <w:rPr>
          <w:b/>
          <w:spacing w:val="-2"/>
        </w:rPr>
        <w:t>, 2014</w:t>
      </w:r>
      <w:r>
        <w:rPr>
          <w:b/>
          <w:spacing w:val="-2"/>
        </w:rPr>
        <w:tab/>
        <w:t xml:space="preserve">Released:  </w:t>
      </w:r>
      <w:r w:rsidR="00AD3588">
        <w:rPr>
          <w:b/>
          <w:spacing w:val="-2"/>
        </w:rPr>
        <w:t xml:space="preserve">February </w:t>
      </w:r>
      <w:r w:rsidR="002F657C">
        <w:rPr>
          <w:b/>
          <w:spacing w:val="-2"/>
        </w:rPr>
        <w:t>11</w:t>
      </w:r>
      <w:r w:rsidR="00AD3588">
        <w:rPr>
          <w:b/>
          <w:spacing w:val="-2"/>
        </w:rPr>
        <w:t>, 2014</w:t>
      </w:r>
    </w:p>
    <w:p w14:paraId="47967C92" w14:textId="77777777" w:rsidR="00DB36BF" w:rsidRDefault="00DB36BF"/>
    <w:p w14:paraId="7335D32A" w14:textId="77777777" w:rsidR="00DB36BF" w:rsidRDefault="00DA5514">
      <w:pPr>
        <w:rPr>
          <w:spacing w:val="-2"/>
        </w:rPr>
      </w:pPr>
      <w:r>
        <w:t xml:space="preserve">By the </w:t>
      </w:r>
      <w:r w:rsidR="00DA14E9">
        <w:t xml:space="preserve">Acting </w:t>
      </w:r>
      <w:r w:rsidR="00A37078">
        <w:rPr>
          <w:spacing w:val="-2"/>
        </w:rPr>
        <w:t>Chief, Wireless Telecommunications Bureau</w:t>
      </w:r>
      <w:r>
        <w:rPr>
          <w:spacing w:val="-2"/>
        </w:rPr>
        <w:t>:</w:t>
      </w:r>
    </w:p>
    <w:p w14:paraId="72F2E233" w14:textId="77777777" w:rsidR="00DB36BF" w:rsidRDefault="00DB36BF" w:rsidP="00DB36BF"/>
    <w:p w14:paraId="6ADCA6C0" w14:textId="717EE3E4" w:rsidR="00DF7997" w:rsidRDefault="00E64CB8" w:rsidP="00E64CB8">
      <w:pPr>
        <w:pStyle w:val="ParaNum"/>
      </w:pPr>
      <w:r w:rsidRPr="00E64CB8">
        <w:t xml:space="preserve">By this </w:t>
      </w:r>
      <w:r w:rsidRPr="00E64CB8">
        <w:rPr>
          <w:i/>
        </w:rPr>
        <w:t>Order</w:t>
      </w:r>
      <w:r w:rsidRPr="00E64CB8">
        <w:t xml:space="preserve"> </w:t>
      </w:r>
      <w:r w:rsidR="004558A4">
        <w:t>the Wireless Telecommunications Bureau (Bureau)</w:t>
      </w:r>
      <w:r w:rsidRPr="00E64CB8">
        <w:t xml:space="preserve"> extend</w:t>
      </w:r>
      <w:r w:rsidR="004558A4">
        <w:t>s</w:t>
      </w:r>
      <w:r w:rsidRPr="00E64CB8">
        <w:t xml:space="preserve"> </w:t>
      </w:r>
      <w:r w:rsidR="00E006DC">
        <w:t xml:space="preserve">until </w:t>
      </w:r>
      <w:r w:rsidR="00236DB0">
        <w:t>April 30</w:t>
      </w:r>
      <w:r w:rsidR="00E006DC">
        <w:t>, 2014,</w:t>
      </w:r>
      <w:r w:rsidRPr="00E64CB8">
        <w:t xml:space="preserve"> the </w:t>
      </w:r>
      <w:r w:rsidR="00E006DC">
        <w:t xml:space="preserve">deadline by which all </w:t>
      </w:r>
      <w:r w:rsidR="00DF7997">
        <w:t>Consumer S</w:t>
      </w:r>
      <w:r w:rsidR="004B0AE1">
        <w:t>ignal</w:t>
      </w:r>
      <w:r w:rsidR="00DF7997">
        <w:t xml:space="preserve"> B</w:t>
      </w:r>
      <w:r w:rsidR="004B0AE1">
        <w:t>oosters marketed, distributed or sold in the United States</w:t>
      </w:r>
      <w:r w:rsidR="00DF7997">
        <w:t xml:space="preserve"> must comply with the Commission’s new technical standards for Consumer Signal Boosters</w:t>
      </w:r>
      <w:r w:rsidRPr="00E64CB8">
        <w:t>.</w:t>
      </w:r>
      <w:r w:rsidR="00DF7997">
        <w:rPr>
          <w:rStyle w:val="FootnoteReference"/>
        </w:rPr>
        <w:footnoteReference w:id="2"/>
      </w:r>
      <w:r w:rsidRPr="00E64CB8">
        <w:t xml:space="preserve">   </w:t>
      </w:r>
      <w:r w:rsidR="00DF7997">
        <w:t xml:space="preserve">Our action is </w:t>
      </w:r>
      <w:r w:rsidR="009E31E3">
        <w:t>warranted</w:t>
      </w:r>
      <w:r w:rsidR="00DF7997">
        <w:t xml:space="preserve"> in light of unforeseen delays in the development of equipment testing procedures for Consumer Signal Boosters.  </w:t>
      </w:r>
      <w:r w:rsidRPr="00E64CB8">
        <w:t xml:space="preserve">This action will </w:t>
      </w:r>
      <w:r w:rsidR="00DF7997">
        <w:t>provide the Commission with additional time to certify Consumer Signal Boosters under our new rules</w:t>
      </w:r>
      <w:r w:rsidR="009E31E3">
        <w:t xml:space="preserve"> and will provide consumers with additional choices among compliant Consumer Signal Boosters</w:t>
      </w:r>
      <w:r w:rsidR="00DF7997">
        <w:t>.</w:t>
      </w:r>
      <w:r w:rsidR="004558A4">
        <w:t xml:space="preserve">  </w:t>
      </w:r>
      <w:r w:rsidR="00516E25" w:rsidRPr="00516E25">
        <w:t>Regardless of the Bureau’s extension, however, consumers may only operate legacy signal boosters if they (1) have the consent of their serving provider, and (2)</w:t>
      </w:r>
      <w:r w:rsidR="00516E25">
        <w:t xml:space="preserve"> register their booster with that provider.</w:t>
      </w:r>
      <w:r w:rsidR="00516E25">
        <w:rPr>
          <w:rStyle w:val="FootnoteReference"/>
        </w:rPr>
        <w:footnoteReference w:id="3"/>
      </w:r>
      <w:r w:rsidR="00516E25">
        <w:t xml:space="preserve">  In addition, wireless providers may shut down any signal booster causing harmful interference to their operations or network performance.</w:t>
      </w:r>
      <w:r w:rsidR="00516E25">
        <w:rPr>
          <w:rStyle w:val="FootnoteReference"/>
        </w:rPr>
        <w:footnoteReference w:id="4"/>
      </w:r>
    </w:p>
    <w:p w14:paraId="2DF60711" w14:textId="77777777" w:rsidR="00DB36BF" w:rsidRDefault="00DA5514" w:rsidP="00DB36BF">
      <w:pPr>
        <w:pStyle w:val="Heading1"/>
      </w:pPr>
      <w:r>
        <w:t>background</w:t>
      </w:r>
    </w:p>
    <w:p w14:paraId="5279DFA1" w14:textId="77777777" w:rsidR="008C1E66" w:rsidRPr="008C1E66" w:rsidRDefault="008C1E66" w:rsidP="00DB36BF">
      <w:pPr>
        <w:pStyle w:val="ParaNum"/>
        <w:widowControl/>
      </w:pPr>
      <w:r w:rsidRPr="008C1E66">
        <w:rPr>
          <w:i/>
        </w:rPr>
        <w:t>Report and Order</w:t>
      </w:r>
      <w:r w:rsidRPr="008C1E66">
        <w:t>.  On February 20, 2013, the Commission adopted a new regulatory framework to allow consumers to realize the benefits of using signal boosters while preventing, controlling, and, if necessary, resolving interference to wireless networks.</w:t>
      </w:r>
      <w:r w:rsidRPr="008C1E66">
        <w:rPr>
          <w:vertAlign w:val="superscript"/>
        </w:rPr>
        <w:footnoteReference w:id="5"/>
      </w:r>
      <w:r w:rsidRPr="008C1E66">
        <w:t xml:space="preserve">  In the </w:t>
      </w:r>
      <w:r w:rsidRPr="008C1E66">
        <w:rPr>
          <w:i/>
        </w:rPr>
        <w:t>Report and Order</w:t>
      </w:r>
      <w:r w:rsidRPr="008C1E66">
        <w:t>, the Commission adopted new technical r</w:t>
      </w:r>
      <w:r w:rsidR="00897479">
        <w:t xml:space="preserve">equirements for signal boosters and established a two-step </w:t>
      </w:r>
      <w:r w:rsidR="00783D7B">
        <w:t xml:space="preserve">transition process by which it would:  </w:t>
      </w:r>
      <w:r w:rsidR="00897479">
        <w:t xml:space="preserve">(1) </w:t>
      </w:r>
      <w:r w:rsidR="006A7BDC" w:rsidRPr="006A7BDC">
        <w:t xml:space="preserve">on the release date of the </w:t>
      </w:r>
      <w:r w:rsidR="006A7BDC" w:rsidRPr="006A7BDC">
        <w:rPr>
          <w:i/>
        </w:rPr>
        <w:t>Report and Order</w:t>
      </w:r>
      <w:r w:rsidR="006A7BDC">
        <w:rPr>
          <w:i/>
        </w:rPr>
        <w:t>,</w:t>
      </w:r>
      <w:r w:rsidR="006A7BDC" w:rsidRPr="006A7BDC">
        <w:t xml:space="preserve"> </w:t>
      </w:r>
      <w:r w:rsidR="00783D7B">
        <w:t xml:space="preserve">cease </w:t>
      </w:r>
      <w:r w:rsidR="00783D7B" w:rsidRPr="00B00A39">
        <w:t>accept</w:t>
      </w:r>
      <w:r w:rsidR="00783D7B">
        <w:t>ing</w:t>
      </w:r>
      <w:r w:rsidR="00783D7B" w:rsidRPr="00B00A39">
        <w:t xml:space="preserve"> applications for equipment certification of </w:t>
      </w:r>
      <w:r w:rsidR="00783D7B">
        <w:t>signal b</w:t>
      </w:r>
      <w:r w:rsidR="00783D7B" w:rsidRPr="00B00A39">
        <w:t xml:space="preserve">oosters that do not comply with </w:t>
      </w:r>
      <w:r w:rsidR="00783D7B">
        <w:t>the</w:t>
      </w:r>
      <w:r w:rsidR="00783D7B" w:rsidRPr="00B00A39">
        <w:t xml:space="preserve"> new rules and cease </w:t>
      </w:r>
      <w:r w:rsidR="00783D7B">
        <w:rPr>
          <w:color w:val="000000"/>
        </w:rPr>
        <w:t>certifying</w:t>
      </w:r>
      <w:r w:rsidR="00783D7B" w:rsidRPr="00B00A39">
        <w:t xml:space="preserve"> </w:t>
      </w:r>
      <w:r w:rsidR="00783D7B" w:rsidRPr="00B00A39">
        <w:lastRenderedPageBreak/>
        <w:t xml:space="preserve">devices </w:t>
      </w:r>
      <w:r w:rsidR="006A7BDC">
        <w:t>that</w:t>
      </w:r>
      <w:r w:rsidR="00783D7B" w:rsidRPr="00B00A39">
        <w:t xml:space="preserve"> do not comply with </w:t>
      </w:r>
      <w:r w:rsidR="00783D7B">
        <w:t>the</w:t>
      </w:r>
      <w:r w:rsidR="00783D7B" w:rsidRPr="00B00A39">
        <w:t xml:space="preserve"> new rules</w:t>
      </w:r>
      <w:r w:rsidR="00783D7B">
        <w:t xml:space="preserve">; and (2) </w:t>
      </w:r>
      <w:r w:rsidR="006A7BDC" w:rsidRPr="006A7BDC">
        <w:t>on or after March 1, 2014</w:t>
      </w:r>
      <w:r w:rsidR="006A7BDC">
        <w:t>,</w:t>
      </w:r>
      <w:r w:rsidR="006A7BDC" w:rsidRPr="006A7BDC">
        <w:t xml:space="preserve"> </w:t>
      </w:r>
      <w:r w:rsidR="00783D7B">
        <w:t>require all signal boosters marketed, distributed or sold in the United States to meet the new rules.</w:t>
      </w:r>
      <w:r w:rsidRPr="008C1E66">
        <w:rPr>
          <w:vertAlign w:val="superscript"/>
        </w:rPr>
        <w:footnoteReference w:id="6"/>
      </w:r>
      <w:r w:rsidRPr="008C1E66">
        <w:t xml:space="preserve">  </w:t>
      </w:r>
      <w:bookmarkStart w:id="1" w:name="_Toc281215633"/>
      <w:bookmarkStart w:id="2" w:name="_Toc281230568"/>
      <w:bookmarkEnd w:id="1"/>
      <w:bookmarkEnd w:id="2"/>
    </w:p>
    <w:p w14:paraId="28851621" w14:textId="6A0F0A48" w:rsidR="008B1E3D" w:rsidRDefault="008D02A5" w:rsidP="008B1E3D">
      <w:pPr>
        <w:pStyle w:val="ParaNum"/>
        <w:widowControl/>
      </w:pPr>
      <w:r w:rsidRPr="008D02A5">
        <w:rPr>
          <w:i/>
        </w:rPr>
        <w:t>ClearRF Request for Waiver</w:t>
      </w:r>
      <w:r>
        <w:t>.</w:t>
      </w:r>
      <w:r w:rsidR="006A7BDC">
        <w:t xml:space="preserve"> </w:t>
      </w:r>
      <w:r w:rsidR="004F1373">
        <w:t xml:space="preserve"> On December 9, 2013, ClearRF requested a waiver of Section 20.21(g) of the Commission’s rules to allow </w:t>
      </w:r>
      <w:r w:rsidR="006A7BDC">
        <w:t>it</w:t>
      </w:r>
      <w:r w:rsidR="004F1373">
        <w:t xml:space="preserve"> to continue to sell its </w:t>
      </w:r>
      <w:r w:rsidR="00516E25">
        <w:t>legacy</w:t>
      </w:r>
      <w:r w:rsidR="001F260C" w:rsidRPr="001F260C">
        <w:t xml:space="preserve"> </w:t>
      </w:r>
      <w:r w:rsidR="006A7BDC">
        <w:t>signal booster</w:t>
      </w:r>
      <w:r w:rsidR="001F260C">
        <w:rPr>
          <w:rStyle w:val="FootnoteReference"/>
        </w:rPr>
        <w:footnoteReference w:id="7"/>
      </w:r>
      <w:r w:rsidR="004F1373">
        <w:t xml:space="preserve"> past the March 1, 2014</w:t>
      </w:r>
      <w:r w:rsidR="00AD3588">
        <w:t>,</w:t>
      </w:r>
      <w:r w:rsidR="004F1373">
        <w:t xml:space="preserve"> sale and marketing deadline</w:t>
      </w:r>
      <w:r w:rsidR="001A593C">
        <w:t>,</w:t>
      </w:r>
      <w:r w:rsidR="00475EF5">
        <w:t xml:space="preserve"> at least until August 31, 2014</w:t>
      </w:r>
      <w:r w:rsidR="00AD3588">
        <w:t>,</w:t>
      </w:r>
      <w:r w:rsidR="00475EF5">
        <w:t xml:space="preserve"> and </w:t>
      </w:r>
      <w:r w:rsidR="009C5904">
        <w:t>preferably</w:t>
      </w:r>
      <w:r w:rsidR="00475EF5">
        <w:t xml:space="preserve"> until </w:t>
      </w:r>
      <w:r w:rsidR="009C5904">
        <w:t>December 31, 2014</w:t>
      </w:r>
      <w:r w:rsidR="004F1373">
        <w:t>.</w:t>
      </w:r>
      <w:r w:rsidR="004F1373">
        <w:rPr>
          <w:rStyle w:val="FootnoteReference"/>
        </w:rPr>
        <w:footnoteReference w:id="8"/>
      </w:r>
      <w:r w:rsidR="00475EF5">
        <w:t xml:space="preserve">  </w:t>
      </w:r>
      <w:r w:rsidR="009C5904">
        <w:t>Clear</w:t>
      </w:r>
      <w:r w:rsidR="00453C98">
        <w:t xml:space="preserve">RF </w:t>
      </w:r>
      <w:r w:rsidR="001F260C">
        <w:t xml:space="preserve">provides four arguments in support of its </w:t>
      </w:r>
      <w:r w:rsidR="00453C98">
        <w:t>waiver</w:t>
      </w:r>
      <w:r w:rsidR="001F260C">
        <w:t xml:space="preserve"> request.  First, ClearRF argues that a waiver</w:t>
      </w:r>
      <w:r w:rsidR="00453C98">
        <w:t xml:space="preserve"> is warranted because the ClearRF Booster already contains some of the safeguards required by the new signal booster rules, specifically anti-oscillation and automatic gain control features</w:t>
      </w:r>
      <w:r w:rsidR="001F260C">
        <w:t xml:space="preserve">. </w:t>
      </w:r>
      <w:r w:rsidR="00453C98">
        <w:t xml:space="preserve"> ClearRF maintains </w:t>
      </w:r>
      <w:r w:rsidR="001F260C">
        <w:t xml:space="preserve">that these features </w:t>
      </w:r>
      <w:r w:rsidR="00453C98">
        <w:t>will prevent network interference and unnecessary noise.</w:t>
      </w:r>
      <w:r w:rsidR="00453C98">
        <w:rPr>
          <w:rStyle w:val="FootnoteReference"/>
        </w:rPr>
        <w:footnoteReference w:id="9"/>
      </w:r>
      <w:r w:rsidR="006E50CD">
        <w:t xml:space="preserve">  </w:t>
      </w:r>
      <w:r w:rsidR="001F260C">
        <w:t xml:space="preserve">Second, </w:t>
      </w:r>
      <w:r w:rsidR="006E50CD">
        <w:t xml:space="preserve">ClearRF argues that it was diligent in working with CKC, a </w:t>
      </w:r>
      <w:r w:rsidR="00F42692">
        <w:t xml:space="preserve">test lab </w:t>
      </w:r>
      <w:r w:rsidR="001F260C">
        <w:t>in California</w:t>
      </w:r>
      <w:r w:rsidR="006E50CD">
        <w:t>, to test its new signal booster under the new Part 20 requirements</w:t>
      </w:r>
      <w:r w:rsidR="00221D87">
        <w:t>.</w:t>
      </w:r>
      <w:r w:rsidR="00B4132E">
        <w:rPr>
          <w:rStyle w:val="FootnoteReference"/>
        </w:rPr>
        <w:footnoteReference w:id="10"/>
      </w:r>
      <w:r w:rsidR="006E50CD">
        <w:t xml:space="preserve">  However, </w:t>
      </w:r>
      <w:r w:rsidR="00B4132E">
        <w:t xml:space="preserve">ClearRF maintains that it experienced substantial delays during the </w:t>
      </w:r>
      <w:r w:rsidR="00AE0041">
        <w:t>test</w:t>
      </w:r>
      <w:r w:rsidR="001F260C">
        <w:t>ing</w:t>
      </w:r>
      <w:r w:rsidR="00AE0041">
        <w:t xml:space="preserve"> process because the test</w:t>
      </w:r>
      <w:r w:rsidR="00B4132E">
        <w:t xml:space="preserve"> procedures continued to evolve and because the rules were new and many of the testing procedures unfamiliar.</w:t>
      </w:r>
      <w:r w:rsidR="00B4132E">
        <w:rPr>
          <w:rStyle w:val="FootnoteReference"/>
        </w:rPr>
        <w:footnoteReference w:id="11"/>
      </w:r>
      <w:r w:rsidR="00FC1941">
        <w:t xml:space="preserve">  </w:t>
      </w:r>
      <w:r w:rsidR="001F260C">
        <w:t>In addition</w:t>
      </w:r>
      <w:r w:rsidR="00FC1941">
        <w:t xml:space="preserve">, ClearRF states that a </w:t>
      </w:r>
      <w:r w:rsidR="00AE0041">
        <w:t>misinterpretation of the test</w:t>
      </w:r>
      <w:r w:rsidR="00FC1941">
        <w:t xml:space="preserve"> procedures by an engineer at CKC created further delays, and its new signal </w:t>
      </w:r>
      <w:r w:rsidR="00AE0041">
        <w:t>booster did not pass the test</w:t>
      </w:r>
      <w:r w:rsidR="00FC1941">
        <w:t xml:space="preserve"> procedures until December 13, 2013.</w:t>
      </w:r>
      <w:r w:rsidR="00FC1941">
        <w:rPr>
          <w:rStyle w:val="FootnoteReference"/>
        </w:rPr>
        <w:footnoteReference w:id="12"/>
      </w:r>
      <w:r w:rsidR="008B1E3D">
        <w:t xml:space="preserve">  ClearRF subsequently submitted its equipment certification application on </w:t>
      </w:r>
      <w:r w:rsidR="00276EE0">
        <w:t>January 8</w:t>
      </w:r>
      <w:r w:rsidR="00507F72">
        <w:t>, 2014</w:t>
      </w:r>
      <w:r w:rsidR="008B1E3D">
        <w:t>.</w:t>
      </w:r>
    </w:p>
    <w:p w14:paraId="14AEC662" w14:textId="77777777" w:rsidR="008D02A5" w:rsidRDefault="001F260C" w:rsidP="00DB36BF">
      <w:pPr>
        <w:pStyle w:val="ParaNum"/>
        <w:widowControl/>
      </w:pPr>
      <w:r>
        <w:t>Third</w:t>
      </w:r>
      <w:r w:rsidR="008B1E3D">
        <w:t xml:space="preserve">, ClearRF argues that the two-week government shutdown in October </w:t>
      </w:r>
      <w:r>
        <w:t>2013</w:t>
      </w:r>
      <w:r w:rsidR="00AD3588">
        <w:t>,</w:t>
      </w:r>
      <w:r>
        <w:t xml:space="preserve"> </w:t>
      </w:r>
      <w:r w:rsidR="008B1E3D">
        <w:t>created additional delays in t</w:t>
      </w:r>
      <w:r w:rsidR="00AE0041">
        <w:t>he interpretation of the test</w:t>
      </w:r>
      <w:r w:rsidR="008B1E3D">
        <w:t xml:space="preserve"> procedures under the new rules.  Specifically, </w:t>
      </w:r>
      <w:r>
        <w:t xml:space="preserve">ClearRF states that </w:t>
      </w:r>
      <w:r w:rsidR="008B1E3D">
        <w:t xml:space="preserve">FCC </w:t>
      </w:r>
      <w:r w:rsidR="00221D87">
        <w:t>staff was</w:t>
      </w:r>
      <w:r>
        <w:t xml:space="preserve"> unavailable to attend meetings, </w:t>
      </w:r>
      <w:r w:rsidR="008B1E3D">
        <w:t>answer questions an</w:t>
      </w:r>
      <w:r>
        <w:t>d provide guidance on the test</w:t>
      </w:r>
      <w:r w:rsidR="008B1E3D">
        <w:t xml:space="preserve"> procedures during the shutdown.</w:t>
      </w:r>
      <w:r w:rsidR="008B1E3D">
        <w:rPr>
          <w:rStyle w:val="FootnoteReference"/>
        </w:rPr>
        <w:footnoteReference w:id="13"/>
      </w:r>
      <w:r w:rsidR="000B0A08">
        <w:t xml:space="preserve">  </w:t>
      </w:r>
      <w:r>
        <w:t>Fourth</w:t>
      </w:r>
      <w:r w:rsidR="000B0A08">
        <w:t xml:space="preserve">, ClearRF notes that once it </w:t>
      </w:r>
      <w:r>
        <w:t>receives</w:t>
      </w:r>
      <w:r w:rsidR="000B0A08">
        <w:t xml:space="preserve"> equipment certification, it will take up to 7 additional months for </w:t>
      </w:r>
      <w:r w:rsidR="00E029FD">
        <w:t>“</w:t>
      </w:r>
      <w:r w:rsidR="000B0A08">
        <w:t>subcomponent long lead time parts</w:t>
      </w:r>
      <w:r w:rsidR="00E029FD">
        <w:t>”</w:t>
      </w:r>
      <w:r w:rsidR="000B0A08">
        <w:t xml:space="preserve"> to be ordered, manufacturing production runs to be undertaken, and devices to be restocked at ClearRF and its resellers.</w:t>
      </w:r>
      <w:r w:rsidR="000B0A08">
        <w:rPr>
          <w:rStyle w:val="FootnoteReference"/>
        </w:rPr>
        <w:footnoteReference w:id="14"/>
      </w:r>
    </w:p>
    <w:p w14:paraId="0FFD61A4" w14:textId="096994D1" w:rsidR="00933307" w:rsidRDefault="008D02A5" w:rsidP="005564A2">
      <w:pPr>
        <w:pStyle w:val="ParaNum"/>
        <w:widowControl/>
      </w:pPr>
      <w:r w:rsidRPr="008D02A5">
        <w:rPr>
          <w:i/>
        </w:rPr>
        <w:t>Responsive Pleadings</w:t>
      </w:r>
      <w:r>
        <w:t>.</w:t>
      </w:r>
      <w:r w:rsidR="00AE0041">
        <w:t xml:space="preserve">  A number of parties filed comments on the ClearRF Waiver</w:t>
      </w:r>
      <w:r w:rsidR="001A593C">
        <w:t xml:space="preserve"> Request</w:t>
      </w:r>
      <w:r w:rsidR="00AE0041">
        <w:t>.</w:t>
      </w:r>
      <w:r w:rsidR="00EC66EA">
        <w:rPr>
          <w:rStyle w:val="FootnoteReference"/>
        </w:rPr>
        <w:footnoteReference w:id="15"/>
      </w:r>
      <w:r w:rsidR="00AE0041">
        <w:t xml:space="preserve">  Cellphone-Mate, Inc. (Cellphone-Mate) supports the waiver request and agrees with ClearRF that substantial, unavoidable delays occurred in the development of test procedures</w:t>
      </w:r>
      <w:r w:rsidR="001F260C">
        <w:t xml:space="preserve"> for Consumer Signal Boosters</w:t>
      </w:r>
      <w:r w:rsidR="00AE0041">
        <w:t xml:space="preserve">.  As Cellphone-Mate details, following </w:t>
      </w:r>
      <w:r w:rsidR="002369FA">
        <w:t>the r</w:t>
      </w:r>
      <w:r w:rsidR="00AE0041">
        <w:t xml:space="preserve">elease of the </w:t>
      </w:r>
      <w:r w:rsidR="00AE0041">
        <w:rPr>
          <w:i/>
        </w:rPr>
        <w:t>Report and Order</w:t>
      </w:r>
      <w:r w:rsidR="00933307">
        <w:t>, t</w:t>
      </w:r>
      <w:r w:rsidR="00AE0041">
        <w:t>he Telecommunications Certification Body Council began developing laboratory test procedures in order to test signal boosters for compliance with the newly adopted Section 20.21 requirements.</w:t>
      </w:r>
      <w:r w:rsidR="00AE0041">
        <w:rPr>
          <w:rStyle w:val="FootnoteReference"/>
        </w:rPr>
        <w:footnoteReference w:id="16"/>
      </w:r>
      <w:r w:rsidR="0049221B">
        <w:t xml:space="preserve">  Cellphone-Mate states that a</w:t>
      </w:r>
      <w:r w:rsidR="00AE0041">
        <w:t xml:space="preserve">n initial draft was released in April 2013, </w:t>
      </w:r>
      <w:r w:rsidR="0049221B">
        <w:t>and</w:t>
      </w:r>
      <w:r w:rsidR="00AE0041">
        <w:t xml:space="preserve"> </w:t>
      </w:r>
      <w:r w:rsidR="0049221B">
        <w:t>final draft test procedures were released in August 2013.</w:t>
      </w:r>
      <w:r w:rsidR="0049221B">
        <w:rPr>
          <w:rStyle w:val="FootnoteReference"/>
        </w:rPr>
        <w:footnoteReference w:id="17"/>
      </w:r>
      <w:r w:rsidR="0049221B">
        <w:t xml:space="preserve">  Cellphone-Mate states that </w:t>
      </w:r>
      <w:r w:rsidR="00EB563D">
        <w:t xml:space="preserve">in October 2013, </w:t>
      </w:r>
      <w:r w:rsidR="000B4861" w:rsidRPr="000B4861">
        <w:t xml:space="preserve">OET issued additional guidance </w:t>
      </w:r>
      <w:r w:rsidR="00EB563D">
        <w:t xml:space="preserve">on the </w:t>
      </w:r>
      <w:r w:rsidR="00EB563D" w:rsidRPr="00EB563D">
        <w:t xml:space="preserve">compliance testing and application process </w:t>
      </w:r>
      <w:r w:rsidR="00EB563D">
        <w:t>to assist</w:t>
      </w:r>
      <w:r w:rsidR="000B4861">
        <w:t xml:space="preserve"> </w:t>
      </w:r>
      <w:r w:rsidR="00146793">
        <w:t>test lab</w:t>
      </w:r>
      <w:r w:rsidR="0049221B">
        <w:t xml:space="preserve">s, </w:t>
      </w:r>
      <w:r w:rsidR="00F42692" w:rsidRPr="00F42692">
        <w:t>Telec</w:t>
      </w:r>
      <w:r w:rsidR="00F42692">
        <w:t>ommunications Certification Bodies</w:t>
      </w:r>
      <w:r w:rsidR="00F42692" w:rsidRPr="00F42692">
        <w:t xml:space="preserve"> (TCB</w:t>
      </w:r>
      <w:r w:rsidR="00F42692">
        <w:t>s</w:t>
      </w:r>
      <w:r w:rsidR="00F42692" w:rsidRPr="00F42692">
        <w:t xml:space="preserve">) </w:t>
      </w:r>
      <w:r w:rsidR="0049221B">
        <w:t>and manufacturers</w:t>
      </w:r>
      <w:r w:rsidR="00146793">
        <w:t>.</w:t>
      </w:r>
      <w:r w:rsidR="009A4FC5">
        <w:rPr>
          <w:rStyle w:val="FootnoteReference"/>
        </w:rPr>
        <w:footnoteReference w:id="18"/>
      </w:r>
      <w:r w:rsidR="009A4FC5">
        <w:t xml:space="preserve">  </w:t>
      </w:r>
      <w:r w:rsidR="00933307">
        <w:t xml:space="preserve">In addition to delays in the finalization of test procedures, </w:t>
      </w:r>
      <w:r w:rsidR="009A4FC5">
        <w:t xml:space="preserve">Cellphone-Mate maintains that </w:t>
      </w:r>
      <w:r w:rsidR="00933307">
        <w:t xml:space="preserve">manufacturers have experienced additional delays due to a lack of </w:t>
      </w:r>
      <w:r w:rsidR="009A4FC5">
        <w:t>test lab</w:t>
      </w:r>
      <w:r w:rsidR="002369FA">
        <w:t>s</w:t>
      </w:r>
      <w:r w:rsidR="009A4FC5">
        <w:t xml:space="preserve"> which are familiar with the new test procedure</w:t>
      </w:r>
      <w:r w:rsidR="00933307">
        <w:t>s</w:t>
      </w:r>
      <w:r w:rsidR="009A4FC5">
        <w:t>.</w:t>
      </w:r>
      <w:r w:rsidR="009A4FC5">
        <w:rPr>
          <w:rStyle w:val="FootnoteReference"/>
        </w:rPr>
        <w:footnoteReference w:id="19"/>
      </w:r>
      <w:r w:rsidR="005564A2">
        <w:t xml:space="preserve">  </w:t>
      </w:r>
    </w:p>
    <w:p w14:paraId="0697815C" w14:textId="77777777" w:rsidR="005564A2" w:rsidRDefault="00933307" w:rsidP="005564A2">
      <w:pPr>
        <w:pStyle w:val="ParaNum"/>
        <w:widowControl/>
      </w:pPr>
      <w:r w:rsidRPr="00933307">
        <w:t>Cellphone-Mate asks the Commission to extend the sale and marketing deadline by six to ten months industry-wide</w:t>
      </w:r>
      <w:r w:rsidR="00DF0339">
        <w:t xml:space="preserve"> (Cellphone-Mate Request)</w:t>
      </w:r>
      <w:r w:rsidRPr="00933307">
        <w:t>.</w:t>
      </w:r>
      <w:r w:rsidRPr="00933307">
        <w:rPr>
          <w:vertAlign w:val="superscript"/>
        </w:rPr>
        <w:footnoteReference w:id="20"/>
      </w:r>
      <w:r>
        <w:t xml:space="preserve">  </w:t>
      </w:r>
      <w:r w:rsidRPr="00933307">
        <w:t>Cellphone-Mate maintains that all signal booster manufacturers faced the same “necessarily complex and lengthy standards development process, exacerbated by the government shutdown” which resulted in insufficient time for most, if not all, manufacturers to produce and distribute a significant range of new devices.</w:t>
      </w:r>
      <w:r w:rsidRPr="00933307">
        <w:rPr>
          <w:vertAlign w:val="superscript"/>
        </w:rPr>
        <w:footnoteReference w:id="21"/>
      </w:r>
      <w:r w:rsidRPr="00933307">
        <w:t xml:space="preserve">  </w:t>
      </w:r>
      <w:r w:rsidR="005564A2">
        <w:t xml:space="preserve">Cellphone-Mate also argues that small signal booster </w:t>
      </w:r>
      <w:r w:rsidR="00A6555B">
        <w:t>manufacturers, such as ClearRF and Cellphone-Mate</w:t>
      </w:r>
      <w:r>
        <w:t>,</w:t>
      </w:r>
      <w:r w:rsidR="005564A2">
        <w:t xml:space="preserve"> cannot afford to undertake </w:t>
      </w:r>
      <w:r w:rsidR="00A6555B">
        <w:t>the financial risk associated with manufacturing large quantities of inventory prior to certification</w:t>
      </w:r>
      <w:r>
        <w:t xml:space="preserve"> and must delay </w:t>
      </w:r>
      <w:r w:rsidRPr="00933307">
        <w:t>production until the certification process is complete</w:t>
      </w:r>
      <w:r w:rsidR="00A6555B">
        <w:t>.</w:t>
      </w:r>
      <w:r w:rsidR="00A6555B">
        <w:rPr>
          <w:rStyle w:val="FootnoteReference"/>
        </w:rPr>
        <w:footnoteReference w:id="22"/>
      </w:r>
      <w:r w:rsidR="00A6555B">
        <w:t xml:space="preserve">  </w:t>
      </w:r>
      <w:r w:rsidR="00EC66EA">
        <w:t xml:space="preserve">Accordingly, </w:t>
      </w:r>
      <w:r>
        <w:t>Cellphone-Mate argues that a six- to ten-month extension of the sale and marketing deadline is warrant</w:t>
      </w:r>
      <w:r w:rsidR="00E029FD">
        <w:t>ed</w:t>
      </w:r>
      <w:r>
        <w:t xml:space="preserve"> for the entire signal booster industry.</w:t>
      </w:r>
    </w:p>
    <w:p w14:paraId="7D4A6369" w14:textId="77777777" w:rsidR="008D02A5" w:rsidRDefault="00EC66EA" w:rsidP="00DB36BF">
      <w:pPr>
        <w:pStyle w:val="ParaNum"/>
        <w:widowControl/>
      </w:pPr>
      <w:r>
        <w:t>Nextivity, Inc. (Nextivity) opposes an industry-wide extension of the March 1, 2014</w:t>
      </w:r>
      <w:r w:rsidR="00AD3588">
        <w:t>,</w:t>
      </w:r>
      <w:r>
        <w:t xml:space="preserve"> sale and marketing deadline.</w:t>
      </w:r>
      <w:r>
        <w:rPr>
          <w:rStyle w:val="FootnoteReference"/>
        </w:rPr>
        <w:footnoteReference w:id="23"/>
      </w:r>
      <w:r w:rsidR="00797000">
        <w:t xml:space="preserve">  Nextivity argues that </w:t>
      </w:r>
      <w:r w:rsidR="001F6752">
        <w:t>the new rules were the result of two years of government and industry collaboration and have been</w:t>
      </w:r>
      <w:r w:rsidR="000C2075">
        <w:t xml:space="preserve"> known for almost one year.  Nextivity maintains that parties have had ample time to prepare their products for compliance with the new rules.</w:t>
      </w:r>
      <w:r w:rsidR="000C2075">
        <w:rPr>
          <w:rStyle w:val="FootnoteReference"/>
        </w:rPr>
        <w:footnoteReference w:id="24"/>
      </w:r>
      <w:r w:rsidR="000C2075">
        <w:t xml:space="preserve">  However, given the number of products awaiting equipment certification, Nextivity asks the Commission to commit to processing all Consumer Signal Booster certification requests within four weeks of receipt</w:t>
      </w:r>
      <w:r w:rsidR="00623362">
        <w:t xml:space="preserve"> in order to provide manufacturers with sufficient time make devices available for sale</w:t>
      </w:r>
      <w:r w:rsidR="000C2075">
        <w:t>.</w:t>
      </w:r>
      <w:r w:rsidR="000C2075">
        <w:rPr>
          <w:rStyle w:val="FootnoteReference"/>
        </w:rPr>
        <w:footnoteReference w:id="25"/>
      </w:r>
      <w:r w:rsidR="00623362">
        <w:t xml:space="preserve">  In the alternative, Nextivity asks that </w:t>
      </w:r>
      <w:r w:rsidR="00412B57">
        <w:t xml:space="preserve">the Commission “provide a more specific </w:t>
      </w:r>
      <w:r w:rsidR="00E029FD">
        <w:t xml:space="preserve">waiver </w:t>
      </w:r>
      <w:r w:rsidR="00412B57">
        <w:t>to the March 1</w:t>
      </w:r>
      <w:r w:rsidR="00412B57" w:rsidRPr="00412B57">
        <w:rPr>
          <w:vertAlign w:val="superscript"/>
        </w:rPr>
        <w:t>st</w:t>
      </w:r>
      <w:r w:rsidR="00412B57">
        <w:t xml:space="preserve"> date for products that have already been certified under the old FCC rules and which are now being re-submitted to the Commission f</w:t>
      </w:r>
      <w:r w:rsidR="00DF0339">
        <w:t>or approval by January 31, 2014</w:t>
      </w:r>
      <w:r w:rsidR="00412B57">
        <w:t>”</w:t>
      </w:r>
      <w:r w:rsidR="00276EE0">
        <w:t xml:space="preserve"> (Nextivity </w:t>
      </w:r>
      <w:r w:rsidR="00DF0339">
        <w:t>Request).</w:t>
      </w:r>
      <w:r w:rsidR="00412B57">
        <w:rPr>
          <w:rStyle w:val="FootnoteReference"/>
        </w:rPr>
        <w:footnoteReference w:id="26"/>
      </w:r>
    </w:p>
    <w:p w14:paraId="29D4ADCE" w14:textId="710DDEF4" w:rsidR="00DF527B" w:rsidRDefault="00452F45" w:rsidP="004A4C8E">
      <w:pPr>
        <w:pStyle w:val="ParaNum"/>
        <w:widowControl/>
      </w:pPr>
      <w:r>
        <w:t xml:space="preserve">CTIA – The Wireless Association (CTIA) and Verizon </w:t>
      </w:r>
      <w:r w:rsidR="004A4C8E">
        <w:t xml:space="preserve">Wireless (Verizon) </w:t>
      </w:r>
      <w:r w:rsidR="00F42692" w:rsidRPr="00F42692">
        <w:t>(collectively “Opposing Commenters”)</w:t>
      </w:r>
      <w:r w:rsidR="00F42692">
        <w:t xml:space="preserve"> </w:t>
      </w:r>
      <w:r>
        <w:t xml:space="preserve">oppose </w:t>
      </w:r>
      <w:r w:rsidR="004612FA">
        <w:t xml:space="preserve">the ClearRF Waiver Request.  </w:t>
      </w:r>
      <w:r w:rsidR="004A4C8E">
        <w:t>The Opposing Commenters state that ClearRF had ample time to develop consumer signal boosters that meet the new rules.</w:t>
      </w:r>
      <w:r w:rsidR="004A4C8E">
        <w:rPr>
          <w:rStyle w:val="FootnoteReference"/>
        </w:rPr>
        <w:footnoteReference w:id="27"/>
      </w:r>
      <w:r w:rsidR="004A4C8E">
        <w:t xml:space="preserve">  They argue</w:t>
      </w:r>
      <w:r w:rsidR="004612FA">
        <w:t xml:space="preserve"> that ClearRF failed to justify its request given that other manufacturers that faced the same timing issues have indicated their intent and ability to meet the Commission’s March 1, 2014</w:t>
      </w:r>
      <w:r w:rsidR="00AD3588">
        <w:t>,</w:t>
      </w:r>
      <w:r w:rsidR="004612FA">
        <w:t xml:space="preserve"> deadline.</w:t>
      </w:r>
      <w:r w:rsidR="004612FA">
        <w:rPr>
          <w:rStyle w:val="FootnoteReference"/>
        </w:rPr>
        <w:footnoteReference w:id="28"/>
      </w:r>
      <w:r w:rsidR="004612FA">
        <w:t xml:space="preserve">  </w:t>
      </w:r>
      <w:r w:rsidR="004A4C8E">
        <w:t xml:space="preserve">The Opposing Commenters also note that the Commission provided a longer transition period than it initially proposed in the </w:t>
      </w:r>
      <w:r w:rsidR="004A4C8E">
        <w:rPr>
          <w:i/>
        </w:rPr>
        <w:t>Notice of Proposed Rulemaking</w:t>
      </w:r>
      <w:r w:rsidR="004A4C8E">
        <w:t xml:space="preserve"> – over one year, instead of six months – because it recognized the timing challenges associated with developing test procedures and reviewing certification applications.</w:t>
      </w:r>
      <w:r w:rsidR="004A4C8E">
        <w:rPr>
          <w:rStyle w:val="FootnoteReference"/>
        </w:rPr>
        <w:footnoteReference w:id="29"/>
      </w:r>
      <w:r w:rsidR="004A4C8E">
        <w:t xml:space="preserve">  CTIA further</w:t>
      </w:r>
      <w:r w:rsidR="00DF527B">
        <w:t xml:space="preserve"> </w:t>
      </w:r>
      <w:r w:rsidR="004A4C8E">
        <w:t>argues</w:t>
      </w:r>
      <w:r w:rsidR="00DF527B">
        <w:t xml:space="preserve"> that because ClearRF’s company-specific business decisions impeded its ability to comply with the sale and marketing deadline, it does not warrant grant of a waiver.</w:t>
      </w:r>
      <w:r w:rsidR="00DF527B">
        <w:rPr>
          <w:rStyle w:val="FootnoteReference"/>
        </w:rPr>
        <w:footnoteReference w:id="30"/>
      </w:r>
      <w:r w:rsidR="00B949D2">
        <w:t xml:space="preserve">  Moreover, CTIA argues that existing ClearRF safeguards are insufficient to protect wireless networks from interference.</w:t>
      </w:r>
      <w:r w:rsidR="00B949D2">
        <w:rPr>
          <w:rStyle w:val="FootnoteReference"/>
        </w:rPr>
        <w:footnoteReference w:id="31"/>
      </w:r>
    </w:p>
    <w:p w14:paraId="5F1C78A6" w14:textId="42F61DA1" w:rsidR="001A7F36" w:rsidRPr="00B7503F" w:rsidRDefault="001A7F36" w:rsidP="004A4C8E">
      <w:pPr>
        <w:pStyle w:val="ParaNum"/>
        <w:widowControl/>
      </w:pPr>
      <w:r>
        <w:t xml:space="preserve">CTIA also opposes Cellphone-Mate’s </w:t>
      </w:r>
      <w:r w:rsidR="00F42692">
        <w:t>R</w:t>
      </w:r>
      <w:r>
        <w:t>equest to extend relief to</w:t>
      </w:r>
      <w:r w:rsidR="00B949D2">
        <w:t xml:space="preserve"> the entire signal booster industry.</w:t>
      </w:r>
      <w:r w:rsidR="00B949D2">
        <w:rPr>
          <w:rStyle w:val="FootnoteReference"/>
        </w:rPr>
        <w:footnoteReference w:id="32"/>
      </w:r>
      <w:r w:rsidR="00B949D2">
        <w:t xml:space="preserve">  CTIA argues that many of the same rationales for denying the ClearRF Waiver Request similarly support denial of the Cellphone-Mate </w:t>
      </w:r>
      <w:r w:rsidR="005E21EE">
        <w:t>R</w:t>
      </w:r>
      <w:r w:rsidR="00B949D2">
        <w:t xml:space="preserve">equest.  Specifically, </w:t>
      </w:r>
      <w:r w:rsidR="001A593C">
        <w:t xml:space="preserve">CTIA argues that </w:t>
      </w:r>
      <w:r w:rsidR="00B949D2">
        <w:t>the Commiss</w:t>
      </w:r>
      <w:r w:rsidR="00BA6640">
        <w:t>ion’s “generous” more than one-y</w:t>
      </w:r>
      <w:r w:rsidR="00B949D2">
        <w:t xml:space="preserve">ear transition period, the potential for interference from </w:t>
      </w:r>
      <w:r w:rsidR="001A593C">
        <w:t>legacy</w:t>
      </w:r>
      <w:r w:rsidR="00B949D2">
        <w:t xml:space="preserve"> </w:t>
      </w:r>
      <w:r w:rsidR="00BA6640">
        <w:t xml:space="preserve">boosters and Cellphone-Mate’s contradictory statements about its ability to meet the </w:t>
      </w:r>
      <w:r w:rsidR="00745FF9">
        <w:t xml:space="preserve">sale and marketing </w:t>
      </w:r>
      <w:r w:rsidR="00BA6640">
        <w:t>deadline fail to justify the request for waiver.</w:t>
      </w:r>
      <w:r w:rsidR="00BA6640">
        <w:rPr>
          <w:rStyle w:val="FootnoteReference"/>
        </w:rPr>
        <w:footnoteReference w:id="33"/>
      </w:r>
    </w:p>
    <w:p w14:paraId="624D56B6" w14:textId="77777777" w:rsidR="00DB36BF" w:rsidRDefault="00DA5514" w:rsidP="00DB36BF">
      <w:pPr>
        <w:pStyle w:val="Heading1"/>
      </w:pPr>
      <w:r>
        <w:t>discussion</w:t>
      </w:r>
    </w:p>
    <w:p w14:paraId="4C047F39" w14:textId="34D3A301" w:rsidR="00DB36BF" w:rsidRDefault="004558A4" w:rsidP="00DB36BF">
      <w:pPr>
        <w:pStyle w:val="ParaNum"/>
      </w:pPr>
      <w:r>
        <w:t>The Bureau</w:t>
      </w:r>
      <w:r w:rsidR="0088365E">
        <w:t xml:space="preserve"> find</w:t>
      </w:r>
      <w:r w:rsidR="001A593C">
        <w:t>s</w:t>
      </w:r>
      <w:r w:rsidR="0088365E">
        <w:t xml:space="preserve"> that good cause exists to grant a limited, </w:t>
      </w:r>
      <w:r w:rsidR="00236DB0">
        <w:t>60</w:t>
      </w:r>
      <w:r w:rsidR="00871E0E">
        <w:t>-</w:t>
      </w:r>
      <w:r w:rsidR="00236DB0">
        <w:t>day</w:t>
      </w:r>
      <w:r w:rsidR="0088365E">
        <w:t xml:space="preserve"> waiver of the </w:t>
      </w:r>
      <w:r w:rsidR="00A62465">
        <w:t>Consumer S</w:t>
      </w:r>
      <w:r w:rsidR="0088365E">
        <w:t xml:space="preserve">ignal </w:t>
      </w:r>
      <w:r w:rsidR="00A62465">
        <w:t>B</w:t>
      </w:r>
      <w:r w:rsidR="0088365E">
        <w:t>ooster sale and marketing deadline.</w:t>
      </w:r>
      <w:r w:rsidR="0088365E">
        <w:rPr>
          <w:rStyle w:val="FootnoteReference"/>
        </w:rPr>
        <w:footnoteReference w:id="34"/>
      </w:r>
      <w:r w:rsidR="0088365E">
        <w:t xml:space="preserve">  </w:t>
      </w:r>
      <w:r w:rsidR="00DA5514">
        <w:t xml:space="preserve">In the </w:t>
      </w:r>
      <w:r w:rsidR="001A7F36">
        <w:rPr>
          <w:i/>
        </w:rPr>
        <w:t>Report and</w:t>
      </w:r>
      <w:r w:rsidR="00DA5514" w:rsidRPr="0067451F">
        <w:rPr>
          <w:i/>
        </w:rPr>
        <w:t xml:space="preserve"> Order</w:t>
      </w:r>
      <w:r w:rsidR="00DA5514">
        <w:t xml:space="preserve">, </w:t>
      </w:r>
      <w:r w:rsidR="00DA5514" w:rsidRPr="003763DA">
        <w:t>the Commission</w:t>
      </w:r>
      <w:r w:rsidR="00DA5514">
        <w:t xml:space="preserve"> sought </w:t>
      </w:r>
      <w:r w:rsidR="001A7F36">
        <w:t>to “strike</w:t>
      </w:r>
      <w:r w:rsidR="001A7F36" w:rsidRPr="00B00A39">
        <w:t xml:space="preserve"> an appropriate balance between the need to transition quickly to boosters that meet the new design parameters and allowing manufacturers and booster sales outlets a reasonable period of time to comply with the new rules.”</w:t>
      </w:r>
      <w:r w:rsidR="001A7F36" w:rsidRPr="00B00A39">
        <w:rPr>
          <w:rStyle w:val="FootnoteReference"/>
        </w:rPr>
        <w:footnoteReference w:id="35"/>
      </w:r>
      <w:r w:rsidR="00DA5514">
        <w:t xml:space="preserve">  </w:t>
      </w:r>
      <w:r w:rsidR="002F1DB9">
        <w:t>To achieve this goal</w:t>
      </w:r>
      <w:r w:rsidR="001A7F36">
        <w:t xml:space="preserve">, the Commission adopted a </w:t>
      </w:r>
      <w:r w:rsidR="00906DD9">
        <w:t xml:space="preserve">two-step transition process </w:t>
      </w:r>
      <w:r w:rsidR="00906DD9" w:rsidRPr="00B00A39">
        <w:t xml:space="preserve">to </w:t>
      </w:r>
      <w:r w:rsidR="00906DD9">
        <w:t>“</w:t>
      </w:r>
      <w:r w:rsidR="00906DD9" w:rsidRPr="00B00A39">
        <w:t>encourage manufactures to quickly transition to devices that meet our new technical specifications and labeling requirements for signal boosters.</w:t>
      </w:r>
      <w:r w:rsidR="00906DD9">
        <w:t>”</w:t>
      </w:r>
      <w:r w:rsidR="00906DD9">
        <w:rPr>
          <w:rStyle w:val="FootnoteReference"/>
        </w:rPr>
        <w:footnoteReference w:id="36"/>
      </w:r>
      <w:r w:rsidR="00906DD9">
        <w:t xml:space="preserve">  </w:t>
      </w:r>
      <w:r w:rsidR="00906DD9" w:rsidRPr="00B00A39">
        <w:t xml:space="preserve">Specifically, </w:t>
      </w:r>
      <w:r w:rsidR="00906DD9">
        <w:t>as of February 20, 2013,</w:t>
      </w:r>
      <w:r w:rsidR="00906DD9" w:rsidRPr="00B00A39">
        <w:rPr>
          <w:i/>
        </w:rPr>
        <w:t xml:space="preserve"> </w:t>
      </w:r>
      <w:r w:rsidR="00906DD9" w:rsidRPr="00B00A39">
        <w:t xml:space="preserve">the Commission </w:t>
      </w:r>
      <w:r w:rsidR="00906DD9">
        <w:t xml:space="preserve">ceased </w:t>
      </w:r>
      <w:r w:rsidR="00906DD9" w:rsidRPr="00B00A39">
        <w:t>accept</w:t>
      </w:r>
      <w:r w:rsidR="00906DD9">
        <w:t>ing</w:t>
      </w:r>
      <w:r w:rsidR="00906DD9" w:rsidRPr="00B00A39">
        <w:t xml:space="preserve"> applications for equipment certification of Consumer Signal Boosters that do not comply with </w:t>
      </w:r>
      <w:r w:rsidR="00906DD9">
        <w:t>the</w:t>
      </w:r>
      <w:r w:rsidR="00906DD9" w:rsidRPr="00B00A39">
        <w:t xml:space="preserve"> new rules and cease</w:t>
      </w:r>
      <w:r w:rsidR="00906DD9">
        <w:t>d</w:t>
      </w:r>
      <w:r w:rsidR="00906DD9" w:rsidRPr="00B00A39">
        <w:t xml:space="preserve"> certification of devices that do not comply with </w:t>
      </w:r>
      <w:r w:rsidR="00906DD9">
        <w:t>the</w:t>
      </w:r>
      <w:r w:rsidR="00906DD9" w:rsidRPr="00B00A39">
        <w:t xml:space="preserve"> new rules. </w:t>
      </w:r>
      <w:r w:rsidR="002369FA">
        <w:t xml:space="preserve"> </w:t>
      </w:r>
      <w:r w:rsidR="00906DD9" w:rsidRPr="00B00A39">
        <w:t xml:space="preserve">Further, on or after </w:t>
      </w:r>
      <w:r w:rsidR="00906DD9">
        <w:t>March</w:t>
      </w:r>
      <w:r w:rsidR="00906DD9" w:rsidRPr="0051094F">
        <w:t xml:space="preserve"> 1, 201</w:t>
      </w:r>
      <w:r w:rsidR="00906DD9">
        <w:t>4</w:t>
      </w:r>
      <w:r w:rsidR="00906DD9" w:rsidRPr="00B00A39">
        <w:rPr>
          <w:i/>
        </w:rPr>
        <w:t>,</w:t>
      </w:r>
      <w:r w:rsidR="00906DD9" w:rsidRPr="00B00A39">
        <w:t xml:space="preserve"> all Consumer Signal Boosters sold and marketed in the United States must meet </w:t>
      </w:r>
      <w:r w:rsidR="00906DD9">
        <w:t>the</w:t>
      </w:r>
      <w:r w:rsidR="00906DD9" w:rsidRPr="00B00A39">
        <w:t xml:space="preserve"> new requirements.</w:t>
      </w:r>
      <w:r w:rsidR="00507F72">
        <w:rPr>
          <w:rStyle w:val="FootnoteReference"/>
        </w:rPr>
        <w:footnoteReference w:id="37"/>
      </w:r>
      <w:r w:rsidR="00906DD9" w:rsidRPr="00B00A39">
        <w:t xml:space="preserve"> </w:t>
      </w:r>
      <w:r w:rsidR="00705DFF">
        <w:t xml:space="preserve"> </w:t>
      </w:r>
      <w:r w:rsidR="0088365E">
        <w:t>The</w:t>
      </w:r>
      <w:r w:rsidR="00705DFF">
        <w:t xml:space="preserve"> Commission believed that </w:t>
      </w:r>
      <w:r w:rsidR="00906DD9" w:rsidRPr="00B00A39">
        <w:t xml:space="preserve">this </w:t>
      </w:r>
      <w:r w:rsidR="00705DFF">
        <w:t>was</w:t>
      </w:r>
      <w:r w:rsidR="00906DD9" w:rsidRPr="00B00A39">
        <w:t xml:space="preserve"> a reasonable timeframe to allow manufacturers to develop and the Commission to certify devices that meet the new rules and </w:t>
      </w:r>
      <w:r w:rsidR="002F1DB9">
        <w:t>would</w:t>
      </w:r>
      <w:r w:rsidR="00906DD9" w:rsidRPr="00B00A39">
        <w:t xml:space="preserve"> result in an orderly transition to better signal boosters.</w:t>
      </w:r>
      <w:r w:rsidR="00906DD9">
        <w:rPr>
          <w:rStyle w:val="FootnoteReference"/>
        </w:rPr>
        <w:footnoteReference w:id="38"/>
      </w:r>
    </w:p>
    <w:p w14:paraId="63919841" w14:textId="79010FAE" w:rsidR="00D23273" w:rsidRPr="0088365E" w:rsidRDefault="00906DD9" w:rsidP="00705DFF">
      <w:pPr>
        <w:pStyle w:val="ParaNum"/>
      </w:pPr>
      <w:r>
        <w:t xml:space="preserve">In adopting this two-step process, the Commission recognized that the new rules included </w:t>
      </w:r>
      <w:r>
        <w:rPr>
          <w:color w:val="000000"/>
        </w:rPr>
        <w:t>new types of technical requirements fo</w:t>
      </w:r>
      <w:r w:rsidR="00D23273">
        <w:rPr>
          <w:color w:val="000000"/>
        </w:rPr>
        <w:t>r which there was no precedent and that m</w:t>
      </w:r>
      <w:r>
        <w:rPr>
          <w:color w:val="000000"/>
        </w:rPr>
        <w:t xml:space="preserve">anufacturers </w:t>
      </w:r>
      <w:r w:rsidR="00D23273">
        <w:rPr>
          <w:color w:val="000000"/>
        </w:rPr>
        <w:t>would</w:t>
      </w:r>
      <w:r>
        <w:rPr>
          <w:color w:val="000000"/>
        </w:rPr>
        <w:t xml:space="preserve"> need </w:t>
      </w:r>
      <w:r w:rsidR="00D23273">
        <w:rPr>
          <w:color w:val="000000"/>
        </w:rPr>
        <w:t xml:space="preserve">time </w:t>
      </w:r>
      <w:r>
        <w:rPr>
          <w:color w:val="000000"/>
        </w:rPr>
        <w:t>to design boosters to meet the new technical rules.  </w:t>
      </w:r>
      <w:r w:rsidR="00D23273">
        <w:rPr>
          <w:color w:val="000000"/>
        </w:rPr>
        <w:t>The Commission noted that it would take time to</w:t>
      </w:r>
      <w:r>
        <w:rPr>
          <w:color w:val="000000"/>
        </w:rPr>
        <w:t xml:space="preserve"> </w:t>
      </w:r>
      <w:r w:rsidR="00D23273">
        <w:rPr>
          <w:color w:val="000000"/>
        </w:rPr>
        <w:t xml:space="preserve">develop appropriate test procedures and </w:t>
      </w:r>
      <w:r>
        <w:rPr>
          <w:color w:val="000000"/>
        </w:rPr>
        <w:t>review and process initial applications for equipment certification</w:t>
      </w:r>
      <w:r w:rsidR="00D23273">
        <w:rPr>
          <w:color w:val="000000"/>
        </w:rPr>
        <w:t xml:space="preserve">.  At that time, the Commission estimated that the </w:t>
      </w:r>
      <w:r w:rsidR="0088365E">
        <w:rPr>
          <w:color w:val="000000"/>
        </w:rPr>
        <w:t xml:space="preserve">test procedure development </w:t>
      </w:r>
      <w:r w:rsidR="00D23273">
        <w:rPr>
          <w:color w:val="000000"/>
        </w:rPr>
        <w:t>process would be completed by late fall 2013.</w:t>
      </w:r>
      <w:r w:rsidR="00D23273">
        <w:rPr>
          <w:rStyle w:val="FootnoteReference"/>
        </w:rPr>
        <w:footnoteReference w:id="39"/>
      </w:r>
      <w:r w:rsidR="0088365E">
        <w:rPr>
          <w:color w:val="000000"/>
        </w:rPr>
        <w:t xml:space="preserve">  </w:t>
      </w:r>
      <w:r w:rsidR="00236DB0">
        <w:rPr>
          <w:color w:val="000000"/>
        </w:rPr>
        <w:t xml:space="preserve">The FCC Lab initiated a collaborative process </w:t>
      </w:r>
      <w:r w:rsidR="00916AD2">
        <w:rPr>
          <w:color w:val="000000"/>
        </w:rPr>
        <w:t xml:space="preserve">with </w:t>
      </w:r>
      <w:r w:rsidR="00297289">
        <w:rPr>
          <w:color w:val="000000"/>
        </w:rPr>
        <w:t xml:space="preserve">the </w:t>
      </w:r>
      <w:r w:rsidR="00916AD2">
        <w:rPr>
          <w:color w:val="000000"/>
        </w:rPr>
        <w:t xml:space="preserve">ANSI C63 standards task group </w:t>
      </w:r>
      <w:r w:rsidR="00236DB0">
        <w:rPr>
          <w:color w:val="000000"/>
        </w:rPr>
        <w:t>to dev</w:t>
      </w:r>
      <w:r w:rsidR="0090131B">
        <w:rPr>
          <w:color w:val="000000"/>
        </w:rPr>
        <w:t>elop the test procedures t</w:t>
      </w:r>
      <w:r w:rsidR="009E7662">
        <w:rPr>
          <w:color w:val="000000"/>
        </w:rPr>
        <w:t>hat included</w:t>
      </w:r>
      <w:r w:rsidR="00916AD2">
        <w:rPr>
          <w:color w:val="000000"/>
        </w:rPr>
        <w:t xml:space="preserve"> members of the TCB Council, </w:t>
      </w:r>
      <w:r w:rsidR="009E7662">
        <w:rPr>
          <w:color w:val="000000"/>
        </w:rPr>
        <w:t xml:space="preserve">test labs, </w:t>
      </w:r>
      <w:r w:rsidR="0090131B">
        <w:rPr>
          <w:color w:val="000000"/>
        </w:rPr>
        <w:t>equipment manufacturers and</w:t>
      </w:r>
      <w:r w:rsidR="00236DB0">
        <w:rPr>
          <w:color w:val="000000"/>
        </w:rPr>
        <w:t xml:space="preserve"> representatives of the wireless industry.  </w:t>
      </w:r>
      <w:r w:rsidR="002F6A12">
        <w:rPr>
          <w:color w:val="000000"/>
        </w:rPr>
        <w:t>G</w:t>
      </w:r>
      <w:r w:rsidR="002F6A12" w:rsidRPr="002F6A12">
        <w:rPr>
          <w:color w:val="000000"/>
        </w:rPr>
        <w:t>iven the complexity of the rules</w:t>
      </w:r>
      <w:r w:rsidR="002F6A12">
        <w:rPr>
          <w:color w:val="000000"/>
        </w:rPr>
        <w:t>, i</w:t>
      </w:r>
      <w:r w:rsidR="0090131B">
        <w:rPr>
          <w:color w:val="000000"/>
        </w:rPr>
        <w:t xml:space="preserve">n-depth discussions revealed </w:t>
      </w:r>
      <w:r w:rsidR="009E7662">
        <w:rPr>
          <w:color w:val="000000"/>
        </w:rPr>
        <w:t>significant technical and policy issues</w:t>
      </w:r>
      <w:r w:rsidR="002F6A12">
        <w:rPr>
          <w:color w:val="000000"/>
        </w:rPr>
        <w:t>, which</w:t>
      </w:r>
      <w:r w:rsidR="009E7662">
        <w:rPr>
          <w:color w:val="000000"/>
        </w:rPr>
        <w:t xml:space="preserve"> created challenges in developing test procedure</w:t>
      </w:r>
      <w:r w:rsidR="00D263F2">
        <w:rPr>
          <w:color w:val="000000"/>
        </w:rPr>
        <w:t>s</w:t>
      </w:r>
      <w:r w:rsidR="009E7662">
        <w:rPr>
          <w:color w:val="000000"/>
        </w:rPr>
        <w:t xml:space="preserve"> that would ensure compliance.  </w:t>
      </w:r>
      <w:r w:rsidR="0090131B">
        <w:rPr>
          <w:color w:val="000000"/>
        </w:rPr>
        <w:t>While all of the parties acted diligently and in good faith</w:t>
      </w:r>
      <w:r w:rsidR="009E7662">
        <w:rPr>
          <w:color w:val="000000"/>
        </w:rPr>
        <w:t>,</w:t>
      </w:r>
      <w:r w:rsidR="0090131B">
        <w:rPr>
          <w:color w:val="000000"/>
        </w:rPr>
        <w:t xml:space="preserve"> </w:t>
      </w:r>
      <w:r w:rsidR="00E00F23">
        <w:rPr>
          <w:color w:val="000000"/>
        </w:rPr>
        <w:t xml:space="preserve">the test procedures were not finalized </w:t>
      </w:r>
      <w:r w:rsidR="00916AD2">
        <w:rPr>
          <w:color w:val="000000"/>
        </w:rPr>
        <w:t xml:space="preserve">and published </w:t>
      </w:r>
      <w:r w:rsidR="00E00F23">
        <w:rPr>
          <w:color w:val="000000"/>
        </w:rPr>
        <w:t xml:space="preserve">until </w:t>
      </w:r>
      <w:r w:rsidR="00916AD2">
        <w:rPr>
          <w:color w:val="000000"/>
        </w:rPr>
        <w:t>January 2014</w:t>
      </w:r>
      <w:r w:rsidR="00E00F23">
        <w:rPr>
          <w:color w:val="000000"/>
        </w:rPr>
        <w:t>.</w:t>
      </w:r>
      <w:r w:rsidR="00E00F23" w:rsidRPr="00705DFF">
        <w:rPr>
          <w:color w:val="000000"/>
        </w:rPr>
        <w:t xml:space="preserve"> </w:t>
      </w:r>
      <w:r w:rsidR="00705DFF">
        <w:rPr>
          <w:color w:val="000000"/>
        </w:rPr>
        <w:t xml:space="preserve"> </w:t>
      </w:r>
      <w:r w:rsidR="004558A4" w:rsidRPr="004558A4">
        <w:rPr>
          <w:color w:val="000000"/>
        </w:rPr>
        <w:t xml:space="preserve">The Bureau </w:t>
      </w:r>
      <w:r w:rsidR="00E00F23" w:rsidRPr="00705DFF">
        <w:rPr>
          <w:color w:val="000000"/>
        </w:rPr>
        <w:t>believe</w:t>
      </w:r>
      <w:r w:rsidR="004558A4">
        <w:rPr>
          <w:color w:val="000000"/>
        </w:rPr>
        <w:t>s</w:t>
      </w:r>
      <w:r w:rsidR="00E00F23" w:rsidRPr="00705DFF">
        <w:rPr>
          <w:color w:val="000000"/>
        </w:rPr>
        <w:t xml:space="preserve"> that</w:t>
      </w:r>
      <w:r w:rsidR="00EA4CCD">
        <w:rPr>
          <w:color w:val="000000"/>
        </w:rPr>
        <w:t xml:space="preserve"> </w:t>
      </w:r>
      <w:r w:rsidR="00E00F23" w:rsidRPr="00705DFF">
        <w:rPr>
          <w:color w:val="000000"/>
        </w:rPr>
        <w:t>the open, consensus-driven process</w:t>
      </w:r>
      <w:r w:rsidR="00EA4CCD" w:rsidRPr="00EA4CCD">
        <w:rPr>
          <w:color w:val="000000"/>
        </w:rPr>
        <w:t xml:space="preserve">, while more time-consuming than anticipated, </w:t>
      </w:r>
      <w:r w:rsidR="00E00F23" w:rsidRPr="00705DFF">
        <w:rPr>
          <w:color w:val="000000"/>
        </w:rPr>
        <w:t xml:space="preserve">resulted in </w:t>
      </w:r>
      <w:r w:rsidR="00EA4CCD">
        <w:rPr>
          <w:color w:val="000000"/>
        </w:rPr>
        <w:t xml:space="preserve">more robust, </w:t>
      </w:r>
      <w:r w:rsidR="00E00F23" w:rsidRPr="00705DFF">
        <w:rPr>
          <w:color w:val="000000"/>
        </w:rPr>
        <w:t>comprehensive test procedure</w:t>
      </w:r>
      <w:r w:rsidR="00D263F2">
        <w:rPr>
          <w:color w:val="000000"/>
        </w:rPr>
        <w:t>s</w:t>
      </w:r>
      <w:r w:rsidR="0088365E">
        <w:rPr>
          <w:color w:val="000000"/>
        </w:rPr>
        <w:t xml:space="preserve"> that will facilitate compliance with </w:t>
      </w:r>
      <w:r w:rsidR="001A593C">
        <w:rPr>
          <w:color w:val="000000"/>
        </w:rPr>
        <w:t xml:space="preserve">the Commission’s </w:t>
      </w:r>
      <w:r w:rsidR="0088365E">
        <w:rPr>
          <w:color w:val="000000"/>
        </w:rPr>
        <w:t>rules</w:t>
      </w:r>
      <w:r w:rsidR="00E00F23" w:rsidRPr="00705DFF">
        <w:rPr>
          <w:color w:val="000000"/>
        </w:rPr>
        <w:t>.</w:t>
      </w:r>
    </w:p>
    <w:p w14:paraId="638ADAB1" w14:textId="4CF0204A" w:rsidR="00DB36BF" w:rsidRDefault="003F40F1" w:rsidP="00CB5D8C">
      <w:pPr>
        <w:pStyle w:val="ParaNum"/>
      </w:pPr>
      <w:r>
        <w:t>The Bureau</w:t>
      </w:r>
      <w:r w:rsidR="00F908F3">
        <w:t xml:space="preserve"> acknowledge</w:t>
      </w:r>
      <w:r>
        <w:t>s</w:t>
      </w:r>
      <w:r w:rsidR="00F908F3">
        <w:t xml:space="preserve"> that unexpected complexities </w:t>
      </w:r>
      <w:r w:rsidR="001526B9">
        <w:t xml:space="preserve">in the rules </w:t>
      </w:r>
      <w:r w:rsidR="00F908F3">
        <w:t xml:space="preserve">coupled with the government shutdown </w:t>
      </w:r>
      <w:r w:rsidR="002F6A12">
        <w:t>led to delays in the finalization</w:t>
      </w:r>
      <w:r>
        <w:t xml:space="preserve"> of</w:t>
      </w:r>
      <w:r w:rsidR="009E7662">
        <w:t xml:space="preserve"> </w:t>
      </w:r>
      <w:r w:rsidRPr="003F40F1">
        <w:t>comprehensive test procedures</w:t>
      </w:r>
      <w:r>
        <w:t xml:space="preserve"> for Consumer Signal Boosters.  </w:t>
      </w:r>
      <w:r w:rsidR="002F6A12">
        <w:t>Further, t</w:t>
      </w:r>
      <w:r w:rsidR="001526B9" w:rsidRPr="001526B9">
        <w:t>he Bureau recognizes that the</w:t>
      </w:r>
      <w:r w:rsidR="005F33D5">
        <w:t xml:space="preserve"> lack of final test procedure</w:t>
      </w:r>
      <w:r w:rsidR="00D263F2">
        <w:t>s</w:t>
      </w:r>
      <w:r w:rsidR="001526B9" w:rsidRPr="001526B9">
        <w:t xml:space="preserve"> affect</w:t>
      </w:r>
      <w:r w:rsidR="001526B9">
        <w:t>ed</w:t>
      </w:r>
      <w:r w:rsidR="001526B9" w:rsidRPr="001526B9">
        <w:t xml:space="preserve"> all signal booster manufacturers.</w:t>
      </w:r>
      <w:r w:rsidR="001526B9" w:rsidRPr="001526B9">
        <w:rPr>
          <w:vertAlign w:val="superscript"/>
        </w:rPr>
        <w:footnoteReference w:id="40"/>
      </w:r>
      <w:r w:rsidR="001526B9" w:rsidRPr="001526B9">
        <w:t xml:space="preserve">  </w:t>
      </w:r>
      <w:r w:rsidR="001526B9">
        <w:t xml:space="preserve">Until the test procedures were complete, manufacturers were unable to finalize </w:t>
      </w:r>
      <w:r w:rsidR="00041297">
        <w:t xml:space="preserve">and submit </w:t>
      </w:r>
      <w:r w:rsidR="001526B9">
        <w:t xml:space="preserve">equipment certification applications.  </w:t>
      </w:r>
      <w:r w:rsidR="001526B9">
        <w:rPr>
          <w:color w:val="000000"/>
        </w:rPr>
        <w:t>Moreover, t</w:t>
      </w:r>
      <w:r w:rsidR="0088365E" w:rsidRPr="001526B9">
        <w:rPr>
          <w:color w:val="000000"/>
        </w:rPr>
        <w:t>he Commission only recently began allowing TCBs to issue equipment certification grants under the new signal booster rules</w:t>
      </w:r>
      <w:r w:rsidR="001526B9">
        <w:rPr>
          <w:color w:val="000000"/>
        </w:rPr>
        <w:t>, with t</w:t>
      </w:r>
      <w:r w:rsidR="00CB5D8C" w:rsidRPr="001526B9">
        <w:rPr>
          <w:color w:val="000000"/>
        </w:rPr>
        <w:t>he first grant</w:t>
      </w:r>
      <w:r w:rsidR="00221D87" w:rsidRPr="001526B9">
        <w:rPr>
          <w:color w:val="000000"/>
        </w:rPr>
        <w:t>s</w:t>
      </w:r>
      <w:r w:rsidR="00CB5D8C" w:rsidRPr="001526B9">
        <w:rPr>
          <w:color w:val="000000"/>
        </w:rPr>
        <w:t xml:space="preserve"> issued </w:t>
      </w:r>
      <w:r w:rsidR="00221D87" w:rsidRPr="001526B9">
        <w:rPr>
          <w:color w:val="000000"/>
        </w:rPr>
        <w:t>in</w:t>
      </w:r>
      <w:r w:rsidR="00CB5D8C" w:rsidRPr="001526B9">
        <w:rPr>
          <w:color w:val="000000"/>
        </w:rPr>
        <w:t xml:space="preserve"> January 2014.</w:t>
      </w:r>
      <w:r w:rsidR="00CB5D8C">
        <w:rPr>
          <w:rStyle w:val="FootnoteReference"/>
        </w:rPr>
        <w:footnoteReference w:id="41"/>
      </w:r>
      <w:r w:rsidR="00CB5D8C" w:rsidRPr="001526B9">
        <w:rPr>
          <w:color w:val="000000"/>
        </w:rPr>
        <w:t xml:space="preserve">  </w:t>
      </w:r>
      <w:r w:rsidR="005F33D5">
        <w:rPr>
          <w:color w:val="000000"/>
        </w:rPr>
        <w:t>We note that</w:t>
      </w:r>
      <w:r w:rsidR="00CB5D8C" w:rsidRPr="001526B9">
        <w:rPr>
          <w:color w:val="000000"/>
        </w:rPr>
        <w:t xml:space="preserve"> </w:t>
      </w:r>
      <w:r w:rsidR="0088365E" w:rsidRPr="001526B9">
        <w:rPr>
          <w:color w:val="000000"/>
        </w:rPr>
        <w:t>multiple sign</w:t>
      </w:r>
      <w:r w:rsidR="00CB5D8C" w:rsidRPr="001526B9">
        <w:rPr>
          <w:color w:val="000000"/>
        </w:rPr>
        <w:t>al booster manufacturers</w:t>
      </w:r>
      <w:r w:rsidR="001526B9">
        <w:rPr>
          <w:color w:val="000000"/>
        </w:rPr>
        <w:t xml:space="preserve"> </w:t>
      </w:r>
      <w:r w:rsidR="009E6972">
        <w:rPr>
          <w:color w:val="000000"/>
        </w:rPr>
        <w:t xml:space="preserve">recently </w:t>
      </w:r>
      <w:r w:rsidR="005E21EE">
        <w:rPr>
          <w:color w:val="000000"/>
        </w:rPr>
        <w:t>submitted applications</w:t>
      </w:r>
      <w:r w:rsidR="001526B9">
        <w:rPr>
          <w:color w:val="000000"/>
        </w:rPr>
        <w:t xml:space="preserve"> </w:t>
      </w:r>
      <w:r w:rsidR="009E6972">
        <w:rPr>
          <w:color w:val="000000"/>
        </w:rPr>
        <w:t xml:space="preserve">for certification of boosters either to TCBs or </w:t>
      </w:r>
      <w:r w:rsidR="00CB5D8C" w:rsidRPr="001526B9">
        <w:rPr>
          <w:color w:val="000000"/>
        </w:rPr>
        <w:t xml:space="preserve">the Commission.  </w:t>
      </w:r>
      <w:r w:rsidR="005F33D5">
        <w:rPr>
          <w:color w:val="000000"/>
        </w:rPr>
        <w:t>We fin</w:t>
      </w:r>
      <w:r w:rsidR="009E6972">
        <w:rPr>
          <w:color w:val="000000"/>
        </w:rPr>
        <w:t>d that a short extension of 60 days</w:t>
      </w:r>
      <w:r w:rsidR="00AD3588">
        <w:rPr>
          <w:color w:val="000000"/>
        </w:rPr>
        <w:t>, until April 30, 2014,</w:t>
      </w:r>
      <w:r w:rsidR="005F33D5">
        <w:rPr>
          <w:color w:val="000000"/>
        </w:rPr>
        <w:t xml:space="preserve"> is warranted to allow for adequate review and testing of these </w:t>
      </w:r>
      <w:r w:rsidR="009E6972">
        <w:rPr>
          <w:color w:val="000000"/>
        </w:rPr>
        <w:t xml:space="preserve">devices and to allow others to complete testing of their devices and apply for certification.  </w:t>
      </w:r>
      <w:r w:rsidR="00CB5D8C" w:rsidRPr="001526B9">
        <w:rPr>
          <w:color w:val="000000"/>
        </w:rPr>
        <w:t xml:space="preserve">The Commission </w:t>
      </w:r>
      <w:r w:rsidR="009E6972">
        <w:rPr>
          <w:color w:val="000000"/>
        </w:rPr>
        <w:t xml:space="preserve">staff </w:t>
      </w:r>
      <w:r w:rsidR="00CB5D8C" w:rsidRPr="001526B9">
        <w:rPr>
          <w:color w:val="000000"/>
        </w:rPr>
        <w:t xml:space="preserve">is </w:t>
      </w:r>
      <w:r w:rsidR="009E6972">
        <w:rPr>
          <w:color w:val="000000"/>
        </w:rPr>
        <w:t xml:space="preserve">committed to </w:t>
      </w:r>
      <w:r w:rsidR="00CB5D8C" w:rsidRPr="001526B9">
        <w:rPr>
          <w:color w:val="000000"/>
        </w:rPr>
        <w:t xml:space="preserve">working expeditiously </w:t>
      </w:r>
      <w:r w:rsidR="00BD4A93">
        <w:rPr>
          <w:color w:val="000000"/>
        </w:rPr>
        <w:t xml:space="preserve">with TCBs </w:t>
      </w:r>
      <w:r w:rsidR="00CB5D8C" w:rsidRPr="001526B9">
        <w:rPr>
          <w:color w:val="000000"/>
        </w:rPr>
        <w:t xml:space="preserve">to review and process these applications </w:t>
      </w:r>
      <w:r w:rsidR="00847D31">
        <w:t>a</w:t>
      </w:r>
      <w:r w:rsidR="00916F28">
        <w:t xml:space="preserve">nd </w:t>
      </w:r>
      <w:r w:rsidR="004558A4">
        <w:t>t</w:t>
      </w:r>
      <w:r w:rsidR="004558A4" w:rsidRPr="004558A4">
        <w:t xml:space="preserve">he Bureau </w:t>
      </w:r>
      <w:r w:rsidR="00916F28">
        <w:t>expect</w:t>
      </w:r>
      <w:r w:rsidR="004558A4">
        <w:t>s</w:t>
      </w:r>
      <w:r w:rsidR="00916F28">
        <w:t xml:space="preserve"> that some manufacturers will have compliant products in the market well in advance of that date.  </w:t>
      </w:r>
      <w:r w:rsidR="004558A4" w:rsidRPr="004558A4">
        <w:t xml:space="preserve">The Bureau </w:t>
      </w:r>
      <w:r w:rsidR="004558A4">
        <w:t>is</w:t>
      </w:r>
      <w:r w:rsidR="00916F28">
        <w:t xml:space="preserve"> not persuaded that an additional six to </w:t>
      </w:r>
      <w:r w:rsidR="00DA14E9">
        <w:t>ten</w:t>
      </w:r>
      <w:r w:rsidR="00916F28">
        <w:t xml:space="preserve"> months is warranted, particularly where multiple manufacturers have stated their intent and readiness to sell compliant signal boosters in the near future.</w:t>
      </w:r>
      <w:r w:rsidR="00916F28">
        <w:rPr>
          <w:rStyle w:val="FootnoteReference"/>
        </w:rPr>
        <w:footnoteReference w:id="42"/>
      </w:r>
      <w:r w:rsidR="00BD4A93">
        <w:t xml:space="preserve">  Moreover, a</w:t>
      </w:r>
      <w:r w:rsidR="009D62BF">
        <w:t xml:space="preserve"> </w:t>
      </w:r>
      <w:r w:rsidR="00041297">
        <w:t xml:space="preserve">brief, </w:t>
      </w:r>
      <w:r w:rsidR="00847D31">
        <w:t>60-day</w:t>
      </w:r>
      <w:r w:rsidR="009D62BF">
        <w:t xml:space="preserve"> extension will limit the number of </w:t>
      </w:r>
      <w:r w:rsidR="00041297">
        <w:t xml:space="preserve">additional </w:t>
      </w:r>
      <w:r w:rsidR="009D62BF">
        <w:t>legacy boosters placed into operation.</w:t>
      </w:r>
    </w:p>
    <w:p w14:paraId="60F49369" w14:textId="3313A6E7" w:rsidR="00916F28" w:rsidRDefault="004558A4" w:rsidP="00CB5D8C">
      <w:pPr>
        <w:pStyle w:val="ParaNum"/>
      </w:pPr>
      <w:r w:rsidRPr="004558A4">
        <w:t xml:space="preserve">The Bureau </w:t>
      </w:r>
      <w:r>
        <w:t>denies</w:t>
      </w:r>
      <w:r w:rsidR="00916F28">
        <w:t xml:space="preserve"> Nextivity’s request to impose a four-week processing requirement for equipment certification applications.  Such a requirement </w:t>
      </w:r>
      <w:r w:rsidR="001D4D58">
        <w:t>would limit FCC and TCB flexibility to fully evaluate new signal boosters</w:t>
      </w:r>
      <w:r w:rsidR="00D263F2">
        <w:t>’</w:t>
      </w:r>
      <w:r w:rsidR="001D4D58">
        <w:t xml:space="preserve"> compliance with a complex and multi-layered set of new rules and, in any event, </w:t>
      </w:r>
      <w:r w:rsidR="00C15B4F">
        <w:t>is unnecessary in light of the extension granted herein.</w:t>
      </w:r>
      <w:r w:rsidR="001D4D58">
        <w:t xml:space="preserve">  </w:t>
      </w:r>
      <w:r w:rsidR="00DF0339">
        <w:t xml:space="preserve">Nextivity’s </w:t>
      </w:r>
      <w:r w:rsidR="00FB3074">
        <w:t>alternate</w:t>
      </w:r>
      <w:r w:rsidR="00DF0339">
        <w:t xml:space="preserve"> request that </w:t>
      </w:r>
      <w:r>
        <w:t>the Bureau</w:t>
      </w:r>
      <w:r w:rsidR="00DF0339">
        <w:t xml:space="preserve"> waive the sale and marketing deadline for </w:t>
      </w:r>
      <w:r w:rsidR="00DF0339" w:rsidRPr="00DF0339">
        <w:t xml:space="preserve">products that have already been certified under the old FCC rules and which are now being re-submitted to the Commission for approval </w:t>
      </w:r>
      <w:r w:rsidR="00DF0339">
        <w:t xml:space="preserve">under the new rules is granted in so far as </w:t>
      </w:r>
      <w:r>
        <w:t>t</w:t>
      </w:r>
      <w:r w:rsidRPr="004558A4">
        <w:t xml:space="preserve">he Bureau </w:t>
      </w:r>
      <w:r w:rsidR="00DF0339">
        <w:t>grant</w:t>
      </w:r>
      <w:r>
        <w:t>s</w:t>
      </w:r>
      <w:r w:rsidR="00DF0339">
        <w:t xml:space="preserve"> an industry-wide </w:t>
      </w:r>
      <w:r w:rsidR="00AD3588">
        <w:t>60-day</w:t>
      </w:r>
      <w:r w:rsidR="00DF0339">
        <w:t xml:space="preserve"> extension of the sale and marketing deadline</w:t>
      </w:r>
      <w:r w:rsidR="00FB3074">
        <w:t>; in all other respects it is denied</w:t>
      </w:r>
      <w:r w:rsidR="00DF0339">
        <w:t>.</w:t>
      </w:r>
    </w:p>
    <w:p w14:paraId="21C81E8E" w14:textId="76DB71A4" w:rsidR="00A37078" w:rsidRDefault="00A37078" w:rsidP="00DB36BF">
      <w:pPr>
        <w:pStyle w:val="ParaNum"/>
      </w:pPr>
      <w:r>
        <w:t xml:space="preserve">Accordingly, </w:t>
      </w:r>
      <w:r w:rsidR="004558A4">
        <w:t>t</w:t>
      </w:r>
      <w:r w:rsidR="004558A4" w:rsidRPr="004558A4">
        <w:t xml:space="preserve">he Bureau </w:t>
      </w:r>
      <w:r>
        <w:t>waive</w:t>
      </w:r>
      <w:r w:rsidR="004558A4">
        <w:t>s</w:t>
      </w:r>
      <w:r>
        <w:t xml:space="preserve"> the </w:t>
      </w:r>
      <w:r w:rsidR="00DA14E9">
        <w:t>March 1, 2014</w:t>
      </w:r>
      <w:r w:rsidR="005E21EE">
        <w:t>,</w:t>
      </w:r>
      <w:r w:rsidR="00DA14E9">
        <w:t xml:space="preserve"> </w:t>
      </w:r>
      <w:r>
        <w:t>sale and marketing deadline</w:t>
      </w:r>
      <w:r w:rsidR="00425CF3">
        <w:t xml:space="preserve"> in</w:t>
      </w:r>
      <w:r w:rsidR="00425CF3" w:rsidRPr="00425CF3">
        <w:t xml:space="preserve"> Section 20.21(g) of our rules</w:t>
      </w:r>
      <w:r>
        <w:t xml:space="preserve"> </w:t>
      </w:r>
      <w:r w:rsidR="00425CF3">
        <w:t xml:space="preserve">and </w:t>
      </w:r>
      <w:r w:rsidR="00425CF3" w:rsidRPr="00425CF3">
        <w:t xml:space="preserve">extends for </w:t>
      </w:r>
      <w:r w:rsidR="00847D31">
        <w:t>60 days</w:t>
      </w:r>
      <w:r w:rsidR="00425CF3" w:rsidRPr="00425CF3">
        <w:t xml:space="preserve">, until </w:t>
      </w:r>
      <w:r w:rsidR="00847D31">
        <w:t>April 30</w:t>
      </w:r>
      <w:r w:rsidR="00425CF3" w:rsidRPr="00425CF3">
        <w:t>,</w:t>
      </w:r>
      <w:r w:rsidR="00D263F2">
        <w:t xml:space="preserve"> </w:t>
      </w:r>
      <w:r w:rsidR="00425CF3" w:rsidRPr="00425CF3">
        <w:t xml:space="preserve">2014, the deadline by which all Consumer Signal Boosters marketed, distributed or sold in the United States must comply with </w:t>
      </w:r>
      <w:r>
        <w:t>Section 20.21 of the Commission’s rules.</w:t>
      </w:r>
    </w:p>
    <w:p w14:paraId="1548E749" w14:textId="77777777" w:rsidR="00DB36BF" w:rsidRDefault="00DA5514" w:rsidP="00DB36BF">
      <w:pPr>
        <w:pStyle w:val="Heading1"/>
      </w:pPr>
      <w:r>
        <w:t>Ordering clause</w:t>
      </w:r>
    </w:p>
    <w:p w14:paraId="28DD89C1" w14:textId="77777777" w:rsidR="0072023C" w:rsidRPr="0072023C" w:rsidRDefault="0072023C" w:rsidP="0072023C">
      <w:pPr>
        <w:pStyle w:val="ParaNum"/>
        <w:keepNext/>
        <w:keepLines/>
        <w:widowControl/>
        <w:numPr>
          <w:ilvl w:val="0"/>
          <w:numId w:val="24"/>
        </w:numPr>
        <w:tabs>
          <w:tab w:val="num" w:pos="-5130"/>
          <w:tab w:val="left" w:pos="1440"/>
        </w:tabs>
        <w:rPr>
          <w:szCs w:val="22"/>
        </w:rPr>
      </w:pPr>
      <w:r w:rsidRPr="0072023C">
        <w:rPr>
          <w:szCs w:val="22"/>
        </w:rPr>
        <w:t>Accordingly, IT IS ORDERED</w:t>
      </w:r>
      <w:r w:rsidRPr="0072023C">
        <w:rPr>
          <w:b/>
          <w:szCs w:val="22"/>
        </w:rPr>
        <w:t xml:space="preserve"> </w:t>
      </w:r>
      <w:r w:rsidRPr="0072023C">
        <w:rPr>
          <w:szCs w:val="22"/>
        </w:rPr>
        <w:t xml:space="preserve">that, pursuant to the </w:t>
      </w:r>
      <w:r w:rsidRPr="0072023C">
        <w:rPr>
          <w:spacing w:val="-2"/>
          <w:szCs w:val="22"/>
        </w:rPr>
        <w:t xml:space="preserve">authority </w:t>
      </w:r>
      <w:r>
        <w:rPr>
          <w:szCs w:val="22"/>
        </w:rPr>
        <w:t>contained in sections 4(i)</w:t>
      </w:r>
      <w:r w:rsidRPr="0072023C">
        <w:rPr>
          <w:szCs w:val="22"/>
        </w:rPr>
        <w:t xml:space="preserve"> of the Communications Act o</w:t>
      </w:r>
      <w:r>
        <w:rPr>
          <w:szCs w:val="22"/>
        </w:rPr>
        <w:t>f 1934, as amended, 47 U.S.C. § 154(i)</w:t>
      </w:r>
      <w:r w:rsidRPr="0072023C">
        <w:rPr>
          <w:szCs w:val="22"/>
        </w:rPr>
        <w:t xml:space="preserve">, and sections </w:t>
      </w:r>
      <w:r w:rsidR="00DF0339">
        <w:rPr>
          <w:szCs w:val="22"/>
        </w:rPr>
        <w:t xml:space="preserve">0.131, </w:t>
      </w:r>
      <w:r w:rsidRPr="0072023C">
        <w:rPr>
          <w:szCs w:val="22"/>
        </w:rPr>
        <w:t>0.</w:t>
      </w:r>
      <w:r>
        <w:rPr>
          <w:szCs w:val="22"/>
        </w:rPr>
        <w:t>331 and</w:t>
      </w:r>
      <w:r w:rsidRPr="0072023C">
        <w:rPr>
          <w:szCs w:val="22"/>
        </w:rPr>
        <w:t xml:space="preserve"> 1.3 of the Commission’s Rules, 47 C.F.R. §§ </w:t>
      </w:r>
      <w:r w:rsidR="00DF0339">
        <w:rPr>
          <w:szCs w:val="22"/>
        </w:rPr>
        <w:t xml:space="preserve">0.131, </w:t>
      </w:r>
      <w:r w:rsidRPr="0072023C">
        <w:rPr>
          <w:szCs w:val="22"/>
        </w:rPr>
        <w:t>0.</w:t>
      </w:r>
      <w:r>
        <w:rPr>
          <w:szCs w:val="22"/>
        </w:rPr>
        <w:t>331 and</w:t>
      </w:r>
      <w:r w:rsidRPr="0072023C">
        <w:rPr>
          <w:szCs w:val="22"/>
        </w:rPr>
        <w:t xml:space="preserve"> 1.3, </w:t>
      </w:r>
      <w:r w:rsidR="00E329D7">
        <w:rPr>
          <w:szCs w:val="22"/>
        </w:rPr>
        <w:t xml:space="preserve">the </w:t>
      </w:r>
      <w:r w:rsidR="00E329D7" w:rsidRPr="00E329D7">
        <w:rPr>
          <w:szCs w:val="22"/>
        </w:rPr>
        <w:t>requirements of 47 C</w:t>
      </w:r>
      <w:r w:rsidR="001A593C">
        <w:rPr>
          <w:szCs w:val="22"/>
        </w:rPr>
        <w:t>.</w:t>
      </w:r>
      <w:r w:rsidR="00E329D7" w:rsidRPr="00E329D7">
        <w:rPr>
          <w:szCs w:val="22"/>
        </w:rPr>
        <w:t>F</w:t>
      </w:r>
      <w:r w:rsidR="001A593C">
        <w:rPr>
          <w:szCs w:val="22"/>
        </w:rPr>
        <w:t>.</w:t>
      </w:r>
      <w:r w:rsidR="00E329D7" w:rsidRPr="00E329D7">
        <w:rPr>
          <w:szCs w:val="22"/>
        </w:rPr>
        <w:t>R</w:t>
      </w:r>
      <w:r w:rsidR="001A593C">
        <w:rPr>
          <w:szCs w:val="22"/>
        </w:rPr>
        <w:t>.</w:t>
      </w:r>
      <w:r w:rsidR="00E329D7" w:rsidRPr="00E329D7">
        <w:rPr>
          <w:szCs w:val="22"/>
        </w:rPr>
        <w:t xml:space="preserve"> § 20.21(g) are WAIVED to the extent and for the time period specified herein</w:t>
      </w:r>
      <w:r w:rsidRPr="0072023C">
        <w:rPr>
          <w:szCs w:val="22"/>
        </w:rPr>
        <w:t>.</w:t>
      </w:r>
    </w:p>
    <w:p w14:paraId="55FA675C" w14:textId="77777777" w:rsidR="0072023C" w:rsidRDefault="0072023C" w:rsidP="0072023C">
      <w:pPr>
        <w:pStyle w:val="ParaNum"/>
        <w:widowControl/>
        <w:tabs>
          <w:tab w:val="num" w:pos="-5130"/>
          <w:tab w:val="left" w:pos="1440"/>
        </w:tabs>
        <w:rPr>
          <w:szCs w:val="22"/>
        </w:rPr>
      </w:pPr>
      <w:r w:rsidRPr="00A61089">
        <w:rPr>
          <w:szCs w:val="22"/>
        </w:rPr>
        <w:t>IT IS FURTHER ORDERED</w:t>
      </w:r>
      <w:r w:rsidRPr="00A61089">
        <w:rPr>
          <w:b/>
          <w:szCs w:val="22"/>
        </w:rPr>
        <w:t xml:space="preserve"> </w:t>
      </w:r>
      <w:r w:rsidRPr="00A61089">
        <w:rPr>
          <w:szCs w:val="22"/>
        </w:rPr>
        <w:t xml:space="preserve">that the </w:t>
      </w:r>
      <w:r w:rsidR="00DF0339">
        <w:rPr>
          <w:szCs w:val="22"/>
        </w:rPr>
        <w:t>ClearRF Waiver Request</w:t>
      </w:r>
      <w:r w:rsidRPr="00365057">
        <w:rPr>
          <w:szCs w:val="22"/>
        </w:rPr>
        <w:t xml:space="preserve"> IS GRANTED to the extent discussed above and IS OTHERWISE DENIED.</w:t>
      </w:r>
    </w:p>
    <w:p w14:paraId="025C21BF" w14:textId="77777777" w:rsidR="00DF0339" w:rsidRDefault="00DF0339" w:rsidP="0072023C">
      <w:pPr>
        <w:pStyle w:val="ParaNum"/>
        <w:widowControl/>
        <w:tabs>
          <w:tab w:val="num" w:pos="-5130"/>
          <w:tab w:val="left" w:pos="1440"/>
        </w:tabs>
        <w:rPr>
          <w:szCs w:val="22"/>
        </w:rPr>
      </w:pPr>
      <w:r w:rsidRPr="00DF0339">
        <w:rPr>
          <w:szCs w:val="22"/>
        </w:rPr>
        <w:t>IT IS FURTHER ORDERED</w:t>
      </w:r>
      <w:r w:rsidRPr="00DF0339">
        <w:rPr>
          <w:b/>
          <w:szCs w:val="22"/>
        </w:rPr>
        <w:t xml:space="preserve"> </w:t>
      </w:r>
      <w:r w:rsidRPr="00DF0339">
        <w:rPr>
          <w:szCs w:val="22"/>
        </w:rPr>
        <w:t xml:space="preserve">that the </w:t>
      </w:r>
      <w:r>
        <w:rPr>
          <w:szCs w:val="22"/>
        </w:rPr>
        <w:t>Cellphone-Mate</w:t>
      </w:r>
      <w:r w:rsidRPr="00DF0339">
        <w:rPr>
          <w:szCs w:val="22"/>
        </w:rPr>
        <w:t xml:space="preserve"> Request IS GRANTED to the extent discussed above and IS OTHERWISE DENIED.</w:t>
      </w:r>
    </w:p>
    <w:p w14:paraId="23875064" w14:textId="77777777" w:rsidR="00DF0339" w:rsidRPr="00C0682D" w:rsidRDefault="00DF0339" w:rsidP="00DF0339">
      <w:pPr>
        <w:pStyle w:val="ParaNum"/>
        <w:widowControl/>
        <w:tabs>
          <w:tab w:val="num" w:pos="-5130"/>
          <w:tab w:val="left" w:pos="1440"/>
        </w:tabs>
        <w:rPr>
          <w:szCs w:val="22"/>
        </w:rPr>
      </w:pPr>
      <w:r w:rsidRPr="00DF0339">
        <w:rPr>
          <w:szCs w:val="22"/>
        </w:rPr>
        <w:t>IT IS FURTHER ORDERED</w:t>
      </w:r>
      <w:r w:rsidRPr="00DF0339">
        <w:rPr>
          <w:b/>
          <w:szCs w:val="22"/>
        </w:rPr>
        <w:t xml:space="preserve"> </w:t>
      </w:r>
      <w:r w:rsidRPr="00DF0339">
        <w:rPr>
          <w:szCs w:val="22"/>
        </w:rPr>
        <w:t xml:space="preserve">that the </w:t>
      </w:r>
      <w:r>
        <w:rPr>
          <w:szCs w:val="22"/>
        </w:rPr>
        <w:t>Nextivity</w:t>
      </w:r>
      <w:r w:rsidRPr="00DF0339">
        <w:rPr>
          <w:szCs w:val="22"/>
        </w:rPr>
        <w:t xml:space="preserve"> Request IS GRANTED to the extent discussed above and IS OTHERWISE DENIED.</w:t>
      </w:r>
    </w:p>
    <w:p w14:paraId="1923C20F" w14:textId="77777777" w:rsidR="00DB36BF" w:rsidRDefault="00DB36BF" w:rsidP="00A37078"/>
    <w:p w14:paraId="0BD866A2" w14:textId="77777777" w:rsidR="00DB36BF" w:rsidRDefault="00DA5514" w:rsidP="00DB36BF">
      <w:pPr>
        <w:ind w:left="3600" w:firstLine="720"/>
      </w:pPr>
      <w:r>
        <w:t>FEDERAL COMMUNICATIONS COMMISSION</w:t>
      </w:r>
    </w:p>
    <w:p w14:paraId="07E61CA3" w14:textId="77777777" w:rsidR="00DB36BF" w:rsidRDefault="00DB36BF" w:rsidP="00DB36BF">
      <w:pPr>
        <w:ind w:left="3600" w:firstLine="720"/>
      </w:pPr>
    </w:p>
    <w:p w14:paraId="21E54D24" w14:textId="77777777" w:rsidR="00DB36BF" w:rsidRDefault="00DB36BF" w:rsidP="00DB36BF">
      <w:pPr>
        <w:ind w:left="3600" w:firstLine="720"/>
      </w:pPr>
    </w:p>
    <w:p w14:paraId="74CD3332" w14:textId="77777777" w:rsidR="00DB36BF" w:rsidRDefault="00DB36BF" w:rsidP="00DB36BF">
      <w:pPr>
        <w:ind w:left="3600" w:firstLine="720"/>
      </w:pPr>
    </w:p>
    <w:p w14:paraId="7F31EC30" w14:textId="77777777" w:rsidR="00DB36BF" w:rsidRDefault="00DB36BF" w:rsidP="00DB36BF">
      <w:pPr>
        <w:ind w:left="3600" w:firstLine="720"/>
      </w:pPr>
    </w:p>
    <w:p w14:paraId="393EE459" w14:textId="77777777" w:rsidR="00DB36BF" w:rsidRDefault="00A37078" w:rsidP="00DB36BF">
      <w:pPr>
        <w:ind w:left="3600" w:firstLine="720"/>
      </w:pPr>
      <w:r>
        <w:t xml:space="preserve">Roger </w:t>
      </w:r>
      <w:r w:rsidR="00E329D7">
        <w:t xml:space="preserve">C. </w:t>
      </w:r>
      <w:r>
        <w:t>Sherman</w:t>
      </w:r>
    </w:p>
    <w:p w14:paraId="3CCB0E5D" w14:textId="77777777" w:rsidR="00745FF9" w:rsidRDefault="00745FF9" w:rsidP="00DB36BF">
      <w:pPr>
        <w:pStyle w:val="Default"/>
        <w:ind w:left="3600" w:firstLine="720"/>
        <w:rPr>
          <w:color w:val="auto"/>
          <w:sz w:val="22"/>
        </w:rPr>
      </w:pPr>
      <w:r>
        <w:rPr>
          <w:color w:val="auto"/>
          <w:sz w:val="22"/>
        </w:rPr>
        <w:t xml:space="preserve">Acting Bureau </w:t>
      </w:r>
      <w:r w:rsidR="00A37078">
        <w:rPr>
          <w:color w:val="auto"/>
          <w:sz w:val="22"/>
        </w:rPr>
        <w:t xml:space="preserve">Chief </w:t>
      </w:r>
    </w:p>
    <w:p w14:paraId="54F2CC11" w14:textId="77777777" w:rsidR="00DB36BF" w:rsidRDefault="00A37078" w:rsidP="00DB36BF">
      <w:pPr>
        <w:pStyle w:val="Default"/>
        <w:ind w:left="3600" w:firstLine="720"/>
        <w:rPr>
          <w:color w:val="auto"/>
          <w:sz w:val="22"/>
        </w:rPr>
      </w:pPr>
      <w:r>
        <w:rPr>
          <w:color w:val="auto"/>
          <w:sz w:val="22"/>
        </w:rPr>
        <w:t>Wireless Telecommunications Bureau</w:t>
      </w:r>
    </w:p>
    <w:p w14:paraId="018B908E" w14:textId="77777777" w:rsidR="00DB36BF" w:rsidRDefault="00DB36BF" w:rsidP="00DB36BF">
      <w:pPr>
        <w:pStyle w:val="Default"/>
        <w:ind w:left="3600" w:firstLine="720"/>
        <w:rPr>
          <w:color w:val="auto"/>
          <w:sz w:val="22"/>
        </w:rPr>
      </w:pPr>
    </w:p>
    <w:p w14:paraId="62354C09" w14:textId="77777777" w:rsidR="00DB36BF" w:rsidRDefault="00DB36BF">
      <w:pPr>
        <w:widowControl/>
        <w:rPr>
          <w:snapToGrid/>
          <w:kern w:val="0"/>
        </w:rPr>
      </w:pPr>
    </w:p>
    <w:sectPr w:rsidR="00DB36BF" w:rsidSect="00DB36B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737FC" w14:textId="77777777" w:rsidR="00101F43" w:rsidRDefault="00101F43">
      <w:pPr>
        <w:spacing w:line="20" w:lineRule="exact"/>
      </w:pPr>
    </w:p>
  </w:endnote>
  <w:endnote w:type="continuationSeparator" w:id="0">
    <w:p w14:paraId="14B2B124" w14:textId="77777777" w:rsidR="00101F43" w:rsidRDefault="00101F43">
      <w:r>
        <w:t xml:space="preserve"> </w:t>
      </w:r>
    </w:p>
  </w:endnote>
  <w:endnote w:type="continuationNotice" w:id="1">
    <w:p w14:paraId="5AFFB89D" w14:textId="77777777" w:rsidR="00101F43" w:rsidRDefault="00101F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A041" w14:textId="77777777" w:rsidR="00F606E9" w:rsidRDefault="00F606E9" w:rsidP="00DB36BF">
    <w:pPr>
      <w:pStyle w:val="Footer"/>
      <w:framePr w:wrap="around" w:vAnchor="text" w:hAnchor="margin" w:xAlign="center" w:y="1"/>
    </w:pPr>
    <w:r>
      <w:fldChar w:fldCharType="begin"/>
    </w:r>
    <w:r>
      <w:instrText xml:space="preserve">PAGE  </w:instrText>
    </w:r>
    <w:r>
      <w:fldChar w:fldCharType="end"/>
    </w:r>
  </w:p>
  <w:p w14:paraId="5F1B9D73" w14:textId="77777777" w:rsidR="00F606E9" w:rsidRDefault="00F6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B2E5" w14:textId="77777777" w:rsidR="00F606E9" w:rsidRDefault="00F606E9" w:rsidP="00DB36BF">
    <w:pPr>
      <w:pStyle w:val="Footer"/>
      <w:framePr w:wrap="around" w:vAnchor="text" w:hAnchor="margin" w:xAlign="center" w:y="1"/>
    </w:pPr>
    <w:r>
      <w:fldChar w:fldCharType="begin"/>
    </w:r>
    <w:r>
      <w:instrText xml:space="preserve">PAGE  </w:instrText>
    </w:r>
    <w:r>
      <w:fldChar w:fldCharType="separate"/>
    </w:r>
    <w:r w:rsidR="00592F83">
      <w:rPr>
        <w:noProof/>
      </w:rPr>
      <w:t>6</w:t>
    </w:r>
    <w:r>
      <w:rPr>
        <w:noProof/>
      </w:rPr>
      <w:fldChar w:fldCharType="end"/>
    </w:r>
  </w:p>
  <w:p w14:paraId="0535BA82" w14:textId="77777777" w:rsidR="00F606E9" w:rsidRDefault="00F606E9" w:rsidP="00DB36BF">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044BC" w14:textId="77777777" w:rsidR="00536A7A" w:rsidRDefault="0053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5795" w14:textId="77777777" w:rsidR="00101F43" w:rsidRDefault="00101F43">
      <w:r>
        <w:separator/>
      </w:r>
    </w:p>
  </w:footnote>
  <w:footnote w:type="continuationSeparator" w:id="0">
    <w:p w14:paraId="65DCC0AE" w14:textId="77777777" w:rsidR="00101F43" w:rsidRDefault="00101F43">
      <w:pPr>
        <w:rPr>
          <w:sz w:val="20"/>
        </w:rPr>
      </w:pPr>
      <w:r>
        <w:rPr>
          <w:sz w:val="20"/>
        </w:rPr>
        <w:t xml:space="preserve">(Continued from previous page)  </w:t>
      </w:r>
      <w:r>
        <w:rPr>
          <w:sz w:val="20"/>
        </w:rPr>
        <w:separator/>
      </w:r>
    </w:p>
  </w:footnote>
  <w:footnote w:type="continuationNotice" w:id="1">
    <w:p w14:paraId="7481D13C" w14:textId="77777777" w:rsidR="00101F43" w:rsidRDefault="00101F43" w:rsidP="00F221B6">
      <w:pPr>
        <w:ind w:left="720" w:firstLine="720"/>
        <w:jc w:val="right"/>
        <w:rPr>
          <w:sz w:val="20"/>
        </w:rPr>
      </w:pPr>
      <w:r>
        <w:rPr>
          <w:sz w:val="20"/>
        </w:rPr>
        <w:t>(continued….)</w:t>
      </w:r>
    </w:p>
  </w:footnote>
  <w:footnote w:id="2">
    <w:p w14:paraId="267F87A0" w14:textId="77777777" w:rsidR="00F606E9" w:rsidRDefault="00F606E9">
      <w:pPr>
        <w:pStyle w:val="FootnoteText"/>
      </w:pPr>
      <w:r>
        <w:rPr>
          <w:rStyle w:val="FootnoteReference"/>
        </w:rPr>
        <w:footnoteRef/>
      </w:r>
      <w:r>
        <w:t xml:space="preserve"> 47 C.F.R. § 20.21(g).</w:t>
      </w:r>
    </w:p>
  </w:footnote>
  <w:footnote w:id="3">
    <w:p w14:paraId="0582D647" w14:textId="77777777" w:rsidR="00516E25" w:rsidRDefault="00516E25">
      <w:pPr>
        <w:pStyle w:val="FootnoteText"/>
      </w:pPr>
      <w:r>
        <w:rPr>
          <w:rStyle w:val="FootnoteReference"/>
        </w:rPr>
        <w:footnoteRef/>
      </w:r>
      <w:r>
        <w:t xml:space="preserve"> </w:t>
      </w:r>
      <w:r w:rsidRPr="00516E25">
        <w:t xml:space="preserve">Amendment of Parts 1, 2, 22, 24, 27, 90 and 95 of the Commission’s Rules to Improve Wireless Coverage Through the Use of Signal Boosters, </w:t>
      </w:r>
      <w:r w:rsidRPr="00516E25">
        <w:rPr>
          <w:i/>
        </w:rPr>
        <w:t>Report and Order</w:t>
      </w:r>
      <w:r w:rsidRPr="00516E25">
        <w:t>, 28 FCC Rcd 1663</w:t>
      </w:r>
      <w:r>
        <w:t xml:space="preserve">, </w:t>
      </w:r>
      <w:r w:rsidR="001A593C">
        <w:t>1708</w:t>
      </w:r>
      <w:r>
        <w:t>, ¶ 127</w:t>
      </w:r>
      <w:r w:rsidRPr="00516E25">
        <w:t xml:space="preserve"> (2013) (</w:t>
      </w:r>
      <w:r w:rsidRPr="00516E25">
        <w:rPr>
          <w:i/>
        </w:rPr>
        <w:t>Report and Order</w:t>
      </w:r>
      <w:r w:rsidRPr="00516E25">
        <w:t>)</w:t>
      </w:r>
      <w:r>
        <w:t>.</w:t>
      </w:r>
    </w:p>
  </w:footnote>
  <w:footnote w:id="4">
    <w:p w14:paraId="07630A68" w14:textId="4FFD41D4" w:rsidR="00516E25" w:rsidRDefault="00516E25">
      <w:pPr>
        <w:pStyle w:val="FootnoteText"/>
      </w:pPr>
      <w:r>
        <w:rPr>
          <w:rStyle w:val="FootnoteReference"/>
        </w:rPr>
        <w:footnoteRef/>
      </w:r>
      <w:r>
        <w:t xml:space="preserve"> </w:t>
      </w:r>
      <w:r w:rsidR="00F42692">
        <w:rPr>
          <w:i/>
        </w:rPr>
        <w:t>Id.</w:t>
      </w:r>
      <w:r w:rsidRPr="00516E25">
        <w:t xml:space="preserve"> at </w:t>
      </w:r>
      <w:r w:rsidR="001A593C">
        <w:t>1709</w:t>
      </w:r>
      <w:r w:rsidRPr="00516E25">
        <w:t>, ¶ 13</w:t>
      </w:r>
      <w:r>
        <w:t>0.</w:t>
      </w:r>
    </w:p>
  </w:footnote>
  <w:footnote w:id="5">
    <w:p w14:paraId="7D92FC7D" w14:textId="350B3128" w:rsidR="00F606E9" w:rsidRPr="005C47D2" w:rsidRDefault="00F606E9" w:rsidP="008C1E66">
      <w:pPr>
        <w:pStyle w:val="FootnoteText"/>
      </w:pPr>
      <w:r>
        <w:rPr>
          <w:rStyle w:val="FootnoteReference"/>
        </w:rPr>
        <w:footnoteRef/>
      </w:r>
      <w:r w:rsidR="005E21EE">
        <w:rPr>
          <w:i/>
        </w:rPr>
        <w:t xml:space="preserve"> </w:t>
      </w:r>
      <w:r w:rsidR="00F42692">
        <w:rPr>
          <w:i/>
        </w:rPr>
        <w:t>Id.</w:t>
      </w:r>
      <w:r w:rsidR="00516E25" w:rsidRPr="00516E25">
        <w:t xml:space="preserve">, 28 FCC Rcd </w:t>
      </w:r>
      <w:r w:rsidR="00516E25">
        <w:t>1663</w:t>
      </w:r>
      <w:r>
        <w:rPr>
          <w:color w:val="000000" w:themeColor="text1"/>
        </w:rPr>
        <w:t>.</w:t>
      </w:r>
    </w:p>
  </w:footnote>
  <w:footnote w:id="6">
    <w:p w14:paraId="0AED36E8" w14:textId="5C266455" w:rsidR="00F606E9" w:rsidRPr="001D06E9" w:rsidRDefault="00F606E9" w:rsidP="008C1E66">
      <w:pPr>
        <w:pStyle w:val="FootnoteText"/>
        <w:rPr>
          <w:color w:val="000000" w:themeColor="text1"/>
        </w:rPr>
      </w:pPr>
      <w:r w:rsidRPr="001D06E9">
        <w:rPr>
          <w:rStyle w:val="FootnoteReference"/>
          <w:color w:val="000000" w:themeColor="text1"/>
        </w:rPr>
        <w:footnoteRef/>
      </w:r>
      <w:r w:rsidRPr="001D06E9">
        <w:rPr>
          <w:color w:val="000000" w:themeColor="text1"/>
        </w:rPr>
        <w:t xml:space="preserve"> </w:t>
      </w:r>
      <w:r w:rsidR="00F42692">
        <w:rPr>
          <w:i/>
          <w:color w:val="000000" w:themeColor="text1"/>
        </w:rPr>
        <w:t>Id.</w:t>
      </w:r>
      <w:r w:rsidRPr="0027426A">
        <w:rPr>
          <w:color w:val="000000" w:themeColor="text1"/>
        </w:rPr>
        <w:t xml:space="preserve"> </w:t>
      </w:r>
      <w:r>
        <w:rPr>
          <w:color w:val="000000" w:themeColor="text1"/>
        </w:rPr>
        <w:t xml:space="preserve">at </w:t>
      </w:r>
      <w:r w:rsidR="001A593C">
        <w:rPr>
          <w:color w:val="000000" w:themeColor="text1"/>
        </w:rPr>
        <w:t>1709-10</w:t>
      </w:r>
      <w:r>
        <w:rPr>
          <w:color w:val="000000" w:themeColor="text1"/>
        </w:rPr>
        <w:t>, ¶ 133.</w:t>
      </w:r>
    </w:p>
  </w:footnote>
  <w:footnote w:id="7">
    <w:p w14:paraId="4960208C" w14:textId="77777777" w:rsidR="001F260C" w:rsidRDefault="001F260C">
      <w:pPr>
        <w:pStyle w:val="FootnoteText"/>
      </w:pPr>
      <w:r>
        <w:rPr>
          <w:rStyle w:val="FootnoteReference"/>
        </w:rPr>
        <w:footnoteRef/>
      </w:r>
      <w:r>
        <w:t xml:space="preserve"> FCC ID XS7WRE2700.</w:t>
      </w:r>
    </w:p>
  </w:footnote>
  <w:footnote w:id="8">
    <w:p w14:paraId="07CD7287" w14:textId="77777777" w:rsidR="00F606E9" w:rsidRDefault="00F606E9">
      <w:pPr>
        <w:pStyle w:val="FootnoteText"/>
      </w:pPr>
      <w:r>
        <w:rPr>
          <w:rStyle w:val="FootnoteReference"/>
        </w:rPr>
        <w:footnoteRef/>
      </w:r>
      <w:r>
        <w:t xml:space="preserve"> ClearRF Waiver Request (Dec. 9, 2013).</w:t>
      </w:r>
      <w:r w:rsidR="00221D87">
        <w:t xml:space="preserve">  </w:t>
      </w:r>
      <w:r w:rsidR="00221D87" w:rsidRPr="00221D87">
        <w:t>On December 20, 2013, ClearRF supplemented its waiver request with additional information in support of the request.</w:t>
      </w:r>
      <w:r w:rsidR="00221D87">
        <w:t xml:space="preserve">  </w:t>
      </w:r>
      <w:r w:rsidR="00221D87" w:rsidRPr="00221D87">
        <w:t>ClearRF Supplement (Dec. 20, 2013).</w:t>
      </w:r>
    </w:p>
  </w:footnote>
  <w:footnote w:id="9">
    <w:p w14:paraId="6FAF6C72" w14:textId="77777777" w:rsidR="00F606E9" w:rsidRDefault="00F606E9">
      <w:pPr>
        <w:pStyle w:val="FootnoteText"/>
      </w:pPr>
      <w:r>
        <w:rPr>
          <w:rStyle w:val="FootnoteReference"/>
        </w:rPr>
        <w:footnoteRef/>
      </w:r>
      <w:r>
        <w:t xml:space="preserve"> ClearRF Supplement at 1; ClearRF Waiver at 1.</w:t>
      </w:r>
    </w:p>
  </w:footnote>
  <w:footnote w:id="10">
    <w:p w14:paraId="37E05597" w14:textId="77777777" w:rsidR="00F606E9" w:rsidRPr="00221D87" w:rsidRDefault="00F606E9">
      <w:pPr>
        <w:pStyle w:val="FootnoteText"/>
        <w:rPr>
          <w:i/>
        </w:rPr>
      </w:pPr>
      <w:r>
        <w:rPr>
          <w:rStyle w:val="FootnoteReference"/>
        </w:rPr>
        <w:footnoteRef/>
      </w:r>
      <w:r>
        <w:t xml:space="preserve"> ClearRF Supplement at 1</w:t>
      </w:r>
      <w:r w:rsidR="00221D87">
        <w:t>.  ClearRF states that it</w:t>
      </w:r>
      <w:r w:rsidR="00221D87" w:rsidRPr="00221D87">
        <w:t xml:space="preserve"> began testing its booster on September 30, 2013, soon after the Part 20 rules became effective on September 11, 2013</w:t>
      </w:r>
      <w:r w:rsidR="00221D87">
        <w:t xml:space="preserve">  </w:t>
      </w:r>
      <w:r w:rsidR="00221D87">
        <w:rPr>
          <w:i/>
        </w:rPr>
        <w:t>Id.</w:t>
      </w:r>
    </w:p>
  </w:footnote>
  <w:footnote w:id="11">
    <w:p w14:paraId="34404538" w14:textId="77777777" w:rsidR="00F606E9" w:rsidRDefault="00F606E9">
      <w:pPr>
        <w:pStyle w:val="FootnoteText"/>
      </w:pPr>
      <w:r>
        <w:rPr>
          <w:rStyle w:val="FootnoteReference"/>
        </w:rPr>
        <w:footnoteRef/>
      </w:r>
      <w:r>
        <w:t xml:space="preserve"> ClearRF Waiver at 1.</w:t>
      </w:r>
    </w:p>
  </w:footnote>
  <w:footnote w:id="12">
    <w:p w14:paraId="20AC3423" w14:textId="77777777" w:rsidR="00F606E9" w:rsidRDefault="00F606E9">
      <w:pPr>
        <w:pStyle w:val="FootnoteText"/>
      </w:pPr>
      <w:r>
        <w:rPr>
          <w:rStyle w:val="FootnoteReference"/>
        </w:rPr>
        <w:footnoteRef/>
      </w:r>
      <w:r>
        <w:t xml:space="preserve"> ClearRF Supplement at 2; ClearRF Waiver at 1.</w:t>
      </w:r>
    </w:p>
  </w:footnote>
  <w:footnote w:id="13">
    <w:p w14:paraId="0958DE70" w14:textId="77777777" w:rsidR="00F606E9" w:rsidRDefault="00F606E9">
      <w:pPr>
        <w:pStyle w:val="FootnoteText"/>
      </w:pPr>
      <w:r>
        <w:rPr>
          <w:rStyle w:val="FootnoteReference"/>
        </w:rPr>
        <w:footnoteRef/>
      </w:r>
      <w:r>
        <w:t xml:space="preserve"> ClearRF Supplement at 2-3; ClearRF Waiver at 1-2.</w:t>
      </w:r>
    </w:p>
  </w:footnote>
  <w:footnote w:id="14">
    <w:p w14:paraId="315A193F" w14:textId="77777777" w:rsidR="00F606E9" w:rsidRDefault="00F606E9">
      <w:pPr>
        <w:pStyle w:val="FootnoteText"/>
      </w:pPr>
      <w:r>
        <w:rPr>
          <w:rStyle w:val="FootnoteReference"/>
        </w:rPr>
        <w:footnoteRef/>
      </w:r>
      <w:r>
        <w:t xml:space="preserve"> ClearRF Supplement at 3</w:t>
      </w:r>
      <w:r w:rsidR="00E029FD">
        <w:rPr>
          <w:i/>
        </w:rPr>
        <w:t xml:space="preserve">.  See also </w:t>
      </w:r>
      <w:r>
        <w:t>ClearRF Waiver at 2.</w:t>
      </w:r>
    </w:p>
  </w:footnote>
  <w:footnote w:id="15">
    <w:p w14:paraId="68876651" w14:textId="77777777" w:rsidR="00F606E9" w:rsidRPr="00EC66EA" w:rsidRDefault="00F606E9">
      <w:pPr>
        <w:pStyle w:val="FootnoteText"/>
      </w:pPr>
      <w:r>
        <w:rPr>
          <w:rStyle w:val="FootnoteReference"/>
        </w:rPr>
        <w:footnoteRef/>
      </w:r>
      <w:r>
        <w:t xml:space="preserve"> The Wireless Telecommunications Bureau placed the ClearRF Waiver Request on Public Notice for comment on December 23, 2013.  Comments were due on January 14, 2014 and reply comments were due on January 21, 2014.  </w:t>
      </w:r>
      <w:r>
        <w:rPr>
          <w:spacing w:val="-2"/>
        </w:rPr>
        <w:t xml:space="preserve">Wireless Telecommunications Bureau Seeks Comment on ClearRF Request for Waiver of March 1, 2014 Signal Booster Compliance Deadline, </w:t>
      </w:r>
      <w:r>
        <w:rPr>
          <w:i/>
          <w:spacing w:val="-2"/>
        </w:rPr>
        <w:t>Public Notice</w:t>
      </w:r>
      <w:r>
        <w:rPr>
          <w:spacing w:val="-2"/>
        </w:rPr>
        <w:t>, DA 13-2465 (Dec. 23, 2013).</w:t>
      </w:r>
    </w:p>
  </w:footnote>
  <w:footnote w:id="16">
    <w:p w14:paraId="2D6D28DD" w14:textId="77777777" w:rsidR="00F606E9" w:rsidRDefault="00F606E9">
      <w:pPr>
        <w:pStyle w:val="FootnoteText"/>
      </w:pPr>
      <w:r>
        <w:rPr>
          <w:rStyle w:val="FootnoteReference"/>
        </w:rPr>
        <w:footnoteRef/>
      </w:r>
      <w:r>
        <w:t xml:space="preserve"> Cellphone-Mate Comments at 2.</w:t>
      </w:r>
    </w:p>
  </w:footnote>
  <w:footnote w:id="17">
    <w:p w14:paraId="4FC56E4A" w14:textId="3C2F241D" w:rsidR="00F606E9" w:rsidRDefault="00F606E9">
      <w:pPr>
        <w:pStyle w:val="FootnoteText"/>
      </w:pPr>
      <w:r>
        <w:rPr>
          <w:rStyle w:val="FootnoteReference"/>
        </w:rPr>
        <w:footnoteRef/>
      </w:r>
      <w:r>
        <w:t xml:space="preserve"> </w:t>
      </w:r>
      <w:r w:rsidR="00F42692">
        <w:rPr>
          <w:i/>
        </w:rPr>
        <w:t>Id</w:t>
      </w:r>
      <w:r>
        <w:t>.</w:t>
      </w:r>
    </w:p>
  </w:footnote>
  <w:footnote w:id="18">
    <w:p w14:paraId="6424FC13" w14:textId="77777777" w:rsidR="00F606E9" w:rsidRDefault="00F606E9">
      <w:pPr>
        <w:pStyle w:val="FootnoteText"/>
      </w:pPr>
      <w:r>
        <w:rPr>
          <w:rStyle w:val="FootnoteReference"/>
        </w:rPr>
        <w:footnoteRef/>
      </w:r>
      <w:r>
        <w:t xml:space="preserve"> </w:t>
      </w:r>
      <w:r w:rsidR="00EB563D">
        <w:t>This guidance included</w:t>
      </w:r>
      <w:r w:rsidR="00EB563D" w:rsidRPr="00EB563D">
        <w:t xml:space="preserve"> standardized presentations for test results and </w:t>
      </w:r>
      <w:r w:rsidR="00EB563D">
        <w:t>necessary</w:t>
      </w:r>
      <w:r w:rsidR="00EB563D" w:rsidRPr="00EB563D">
        <w:t xml:space="preserve"> documentation to demonstrate satisfaction of the test procedures</w:t>
      </w:r>
      <w:r w:rsidR="00EB563D">
        <w:t>.</w:t>
      </w:r>
      <w:r w:rsidR="00EB563D" w:rsidRPr="00EB563D">
        <w:t xml:space="preserve"> </w:t>
      </w:r>
      <w:r w:rsidR="00EB563D">
        <w:t xml:space="preserve"> </w:t>
      </w:r>
      <w:r>
        <w:t>Cellphone-Mate Comments at 2.</w:t>
      </w:r>
    </w:p>
  </w:footnote>
  <w:footnote w:id="19">
    <w:p w14:paraId="79E75405" w14:textId="50EE041C" w:rsidR="00F606E9" w:rsidRDefault="00F606E9">
      <w:pPr>
        <w:pStyle w:val="FootnoteText"/>
      </w:pPr>
      <w:r>
        <w:rPr>
          <w:rStyle w:val="FootnoteReference"/>
        </w:rPr>
        <w:footnoteRef/>
      </w:r>
      <w:r>
        <w:t xml:space="preserve"> </w:t>
      </w:r>
      <w:r w:rsidR="00F42692">
        <w:rPr>
          <w:i/>
        </w:rPr>
        <w:t>Id.</w:t>
      </w:r>
      <w:r>
        <w:t xml:space="preserve"> at 2-3.</w:t>
      </w:r>
    </w:p>
  </w:footnote>
  <w:footnote w:id="20">
    <w:p w14:paraId="3A8F2BF8" w14:textId="56207DE9" w:rsidR="00933307" w:rsidRDefault="00933307" w:rsidP="00933307">
      <w:pPr>
        <w:pStyle w:val="FootnoteText"/>
      </w:pPr>
      <w:r>
        <w:rPr>
          <w:rStyle w:val="FootnoteReference"/>
        </w:rPr>
        <w:footnoteRef/>
      </w:r>
      <w:r>
        <w:t xml:space="preserve"> </w:t>
      </w:r>
      <w:r w:rsidR="00F42692" w:rsidRPr="00F42692">
        <w:rPr>
          <w:i/>
        </w:rPr>
        <w:t>Id.</w:t>
      </w:r>
      <w:r w:rsidR="00F42692" w:rsidRPr="00F42692">
        <w:t xml:space="preserve"> </w:t>
      </w:r>
      <w:r>
        <w:t>at 5, 6-7.</w:t>
      </w:r>
    </w:p>
  </w:footnote>
  <w:footnote w:id="21">
    <w:p w14:paraId="21968F27" w14:textId="378B4862" w:rsidR="00933307" w:rsidRDefault="00933307" w:rsidP="00933307">
      <w:pPr>
        <w:pStyle w:val="FootnoteText"/>
      </w:pPr>
      <w:r>
        <w:rPr>
          <w:rStyle w:val="FootnoteReference"/>
        </w:rPr>
        <w:footnoteRef/>
      </w:r>
      <w:r>
        <w:t xml:space="preserve"> </w:t>
      </w:r>
      <w:r w:rsidR="00F42692" w:rsidRPr="00F42692">
        <w:rPr>
          <w:i/>
        </w:rPr>
        <w:t>Id.</w:t>
      </w:r>
      <w:r w:rsidR="00F42692" w:rsidRPr="00F42692">
        <w:t xml:space="preserve"> </w:t>
      </w:r>
      <w:r>
        <w:t>at 4-5.</w:t>
      </w:r>
    </w:p>
  </w:footnote>
  <w:footnote w:id="22">
    <w:p w14:paraId="27FE9EA4" w14:textId="7564B14A" w:rsidR="00F606E9" w:rsidRDefault="00F606E9">
      <w:pPr>
        <w:pStyle w:val="FootnoteText"/>
      </w:pPr>
      <w:r>
        <w:rPr>
          <w:rStyle w:val="FootnoteReference"/>
        </w:rPr>
        <w:footnoteRef/>
      </w:r>
      <w:r>
        <w:t xml:space="preserve"> </w:t>
      </w:r>
      <w:r w:rsidR="00F42692" w:rsidRPr="00F42692">
        <w:rPr>
          <w:i/>
        </w:rPr>
        <w:t>Id.</w:t>
      </w:r>
      <w:r w:rsidR="00F42692" w:rsidRPr="00F42692">
        <w:t xml:space="preserve"> </w:t>
      </w:r>
      <w:r>
        <w:t>at 3-4.</w:t>
      </w:r>
    </w:p>
  </w:footnote>
  <w:footnote w:id="23">
    <w:p w14:paraId="6E18BA63" w14:textId="77777777" w:rsidR="00F606E9" w:rsidRDefault="00F606E9">
      <w:pPr>
        <w:pStyle w:val="FootnoteText"/>
      </w:pPr>
      <w:r>
        <w:rPr>
          <w:rStyle w:val="FootnoteReference"/>
        </w:rPr>
        <w:footnoteRef/>
      </w:r>
      <w:r>
        <w:t xml:space="preserve"> Nextivity Comments at 1.</w:t>
      </w:r>
    </w:p>
  </w:footnote>
  <w:footnote w:id="24">
    <w:p w14:paraId="45B36CBD" w14:textId="32F24DFB" w:rsidR="00F606E9" w:rsidRDefault="00F606E9">
      <w:pPr>
        <w:pStyle w:val="FootnoteText"/>
      </w:pPr>
      <w:r>
        <w:rPr>
          <w:rStyle w:val="FootnoteReference"/>
        </w:rPr>
        <w:footnoteRef/>
      </w:r>
      <w:r>
        <w:t xml:space="preserve"> </w:t>
      </w:r>
      <w:r w:rsidR="00F42692" w:rsidRPr="00F42692">
        <w:rPr>
          <w:i/>
        </w:rPr>
        <w:t>Id</w:t>
      </w:r>
      <w:r>
        <w:t>.</w:t>
      </w:r>
    </w:p>
  </w:footnote>
  <w:footnote w:id="25">
    <w:p w14:paraId="0F5F6368" w14:textId="14A677D1" w:rsidR="00F606E9" w:rsidRDefault="00F606E9">
      <w:pPr>
        <w:pStyle w:val="FootnoteText"/>
      </w:pPr>
      <w:r>
        <w:rPr>
          <w:rStyle w:val="FootnoteReference"/>
        </w:rPr>
        <w:footnoteRef/>
      </w:r>
      <w:r>
        <w:t xml:space="preserve"> </w:t>
      </w:r>
      <w:r w:rsidR="00F42692" w:rsidRPr="00F42692">
        <w:rPr>
          <w:i/>
        </w:rPr>
        <w:t>Id.</w:t>
      </w:r>
      <w:r w:rsidR="00F42692" w:rsidRPr="00F42692">
        <w:t xml:space="preserve"> </w:t>
      </w:r>
      <w:r>
        <w:t>at 2.</w:t>
      </w:r>
    </w:p>
  </w:footnote>
  <w:footnote w:id="26">
    <w:p w14:paraId="597550F7" w14:textId="514F5A67" w:rsidR="00F606E9" w:rsidRDefault="00F606E9">
      <w:pPr>
        <w:pStyle w:val="FootnoteText"/>
      </w:pPr>
      <w:r>
        <w:rPr>
          <w:rStyle w:val="FootnoteReference"/>
        </w:rPr>
        <w:footnoteRef/>
      </w:r>
      <w:r>
        <w:t xml:space="preserve"> </w:t>
      </w:r>
      <w:r w:rsidR="00F42692">
        <w:rPr>
          <w:i/>
        </w:rPr>
        <w:t>Id</w:t>
      </w:r>
      <w:r>
        <w:t>.</w:t>
      </w:r>
    </w:p>
  </w:footnote>
  <w:footnote w:id="27">
    <w:p w14:paraId="04AFF8D0" w14:textId="77777777" w:rsidR="00F606E9" w:rsidRDefault="00F606E9">
      <w:pPr>
        <w:pStyle w:val="FootnoteText"/>
      </w:pPr>
      <w:r>
        <w:rPr>
          <w:rStyle w:val="FootnoteReference"/>
        </w:rPr>
        <w:footnoteRef/>
      </w:r>
      <w:r>
        <w:t xml:space="preserve"> Verizon Comments at 4; CTIA Comments at 5.</w:t>
      </w:r>
    </w:p>
  </w:footnote>
  <w:footnote w:id="28">
    <w:p w14:paraId="6DE8F84F" w14:textId="77777777" w:rsidR="00F606E9" w:rsidRDefault="00F606E9">
      <w:pPr>
        <w:pStyle w:val="FootnoteText"/>
      </w:pPr>
      <w:r>
        <w:rPr>
          <w:rStyle w:val="FootnoteReference"/>
        </w:rPr>
        <w:footnoteRef/>
      </w:r>
      <w:r>
        <w:t xml:space="preserve"> CTIA Comments at 2-3, 5 (citing press releases statements from Cellphone-Mate, Wilson Electronics, zBoost, and SmoothTalker indicating an ability and intent to deploy compliant signal boosters by the deadline); Verizon Comments at 6.</w:t>
      </w:r>
    </w:p>
  </w:footnote>
  <w:footnote w:id="29">
    <w:p w14:paraId="1D8AEA1C" w14:textId="77777777" w:rsidR="00F606E9" w:rsidRDefault="00F606E9" w:rsidP="004A4C8E">
      <w:pPr>
        <w:pStyle w:val="FootnoteText"/>
      </w:pPr>
      <w:r>
        <w:rPr>
          <w:rStyle w:val="FootnoteReference"/>
        </w:rPr>
        <w:footnoteRef/>
      </w:r>
      <w:r>
        <w:t xml:space="preserve"> CTIA Comments at 3; Verizon Comments at 5.</w:t>
      </w:r>
    </w:p>
  </w:footnote>
  <w:footnote w:id="30">
    <w:p w14:paraId="7543EDF0" w14:textId="77777777" w:rsidR="00F606E9" w:rsidRDefault="00F606E9">
      <w:pPr>
        <w:pStyle w:val="FootnoteText"/>
      </w:pPr>
      <w:r>
        <w:rPr>
          <w:rStyle w:val="FootnoteReference"/>
        </w:rPr>
        <w:footnoteRef/>
      </w:r>
      <w:r>
        <w:t xml:space="preserve"> CTIA Comments at 8.</w:t>
      </w:r>
    </w:p>
  </w:footnote>
  <w:footnote w:id="31">
    <w:p w14:paraId="4A0C121D" w14:textId="7E689861" w:rsidR="00F606E9" w:rsidRDefault="00F606E9">
      <w:pPr>
        <w:pStyle w:val="FootnoteText"/>
      </w:pPr>
      <w:r>
        <w:rPr>
          <w:rStyle w:val="FootnoteReference"/>
        </w:rPr>
        <w:footnoteRef/>
      </w:r>
      <w:r>
        <w:t xml:space="preserve"> </w:t>
      </w:r>
      <w:r w:rsidR="00D263F2">
        <w:rPr>
          <w:i/>
        </w:rPr>
        <w:t>Id.</w:t>
      </w:r>
      <w:r>
        <w:t xml:space="preserve"> at 9-10.</w:t>
      </w:r>
    </w:p>
  </w:footnote>
  <w:footnote w:id="32">
    <w:p w14:paraId="4C1FBB2D" w14:textId="77777777" w:rsidR="00F606E9" w:rsidRDefault="00F606E9">
      <w:pPr>
        <w:pStyle w:val="FootnoteText"/>
      </w:pPr>
      <w:r>
        <w:rPr>
          <w:rStyle w:val="FootnoteReference"/>
        </w:rPr>
        <w:footnoteRef/>
      </w:r>
      <w:r>
        <w:t xml:space="preserve"> CTIA Reply Comments at 2.</w:t>
      </w:r>
    </w:p>
  </w:footnote>
  <w:footnote w:id="33">
    <w:p w14:paraId="785C829D" w14:textId="3D6EEC2C" w:rsidR="00F606E9" w:rsidRDefault="00F606E9">
      <w:pPr>
        <w:pStyle w:val="FootnoteText"/>
      </w:pPr>
      <w:r>
        <w:rPr>
          <w:rStyle w:val="FootnoteReference"/>
        </w:rPr>
        <w:footnoteRef/>
      </w:r>
      <w:r>
        <w:t xml:space="preserve"> </w:t>
      </w:r>
      <w:r w:rsidR="00D263F2" w:rsidRPr="00D263F2">
        <w:rPr>
          <w:i/>
        </w:rPr>
        <w:t>Id.</w:t>
      </w:r>
      <w:r w:rsidR="00D263F2">
        <w:rPr>
          <w:i/>
        </w:rPr>
        <w:t xml:space="preserve"> </w:t>
      </w:r>
      <w:r>
        <w:t>at 2-4.</w:t>
      </w:r>
    </w:p>
  </w:footnote>
  <w:footnote w:id="34">
    <w:p w14:paraId="100BB600" w14:textId="77777777" w:rsidR="00F606E9" w:rsidRDefault="00F606E9">
      <w:pPr>
        <w:pStyle w:val="FootnoteText"/>
      </w:pPr>
      <w:r>
        <w:rPr>
          <w:rStyle w:val="FootnoteReference"/>
        </w:rPr>
        <w:footnoteRef/>
      </w:r>
      <w:r>
        <w:t xml:space="preserve"> 47 C.F.R. § 1.3 (providing that any rule provision “may be waived by the Commission on its own motion or on petition if good cause thereof is shown”).</w:t>
      </w:r>
    </w:p>
  </w:footnote>
  <w:footnote w:id="35">
    <w:p w14:paraId="2C51E64F" w14:textId="77777777" w:rsidR="00F606E9" w:rsidRPr="0027426A" w:rsidRDefault="00F606E9" w:rsidP="001A7F36">
      <w:pPr>
        <w:pStyle w:val="FootnoteText"/>
        <w:rPr>
          <w:color w:val="000000" w:themeColor="text1"/>
        </w:rPr>
      </w:pPr>
      <w:r w:rsidRPr="0027426A">
        <w:rPr>
          <w:rStyle w:val="FootnoteReference"/>
          <w:color w:val="000000" w:themeColor="text1"/>
        </w:rPr>
        <w:footnoteRef/>
      </w:r>
      <w:r w:rsidRPr="0027426A">
        <w:rPr>
          <w:color w:val="000000" w:themeColor="text1"/>
        </w:rPr>
        <w:t xml:space="preserve"> </w:t>
      </w:r>
      <w:r>
        <w:rPr>
          <w:i/>
          <w:color w:val="000000" w:themeColor="text1"/>
        </w:rPr>
        <w:t>Report and Order</w:t>
      </w:r>
      <w:r w:rsidRPr="0027426A">
        <w:rPr>
          <w:color w:val="000000" w:themeColor="text1"/>
        </w:rPr>
        <w:t>, 2</w:t>
      </w:r>
      <w:r>
        <w:rPr>
          <w:color w:val="000000" w:themeColor="text1"/>
        </w:rPr>
        <w:t>8</w:t>
      </w:r>
      <w:r w:rsidRPr="0027426A">
        <w:rPr>
          <w:color w:val="000000" w:themeColor="text1"/>
        </w:rPr>
        <w:t xml:space="preserve"> FCC Rcd </w:t>
      </w:r>
      <w:r>
        <w:rPr>
          <w:color w:val="000000" w:themeColor="text1"/>
        </w:rPr>
        <w:t xml:space="preserve">at </w:t>
      </w:r>
      <w:r w:rsidR="001A593C">
        <w:rPr>
          <w:color w:val="000000" w:themeColor="text1"/>
        </w:rPr>
        <w:t>1709</w:t>
      </w:r>
      <w:r>
        <w:rPr>
          <w:color w:val="000000" w:themeColor="text1"/>
        </w:rPr>
        <w:t>, ¶ 132.</w:t>
      </w:r>
    </w:p>
  </w:footnote>
  <w:footnote w:id="36">
    <w:p w14:paraId="5CFD230A" w14:textId="469227D4" w:rsidR="00F606E9" w:rsidRDefault="00F606E9">
      <w:pPr>
        <w:pStyle w:val="FootnoteText"/>
      </w:pPr>
      <w:r>
        <w:rPr>
          <w:rStyle w:val="FootnoteReference"/>
        </w:rPr>
        <w:footnoteRef/>
      </w:r>
      <w:r>
        <w:t xml:space="preserve"> </w:t>
      </w:r>
      <w:r w:rsidR="00D263F2" w:rsidRPr="00D263F2">
        <w:rPr>
          <w:i/>
          <w:color w:val="000000" w:themeColor="text1"/>
        </w:rPr>
        <w:t>Id.</w:t>
      </w:r>
    </w:p>
  </w:footnote>
  <w:footnote w:id="37">
    <w:p w14:paraId="76361544" w14:textId="1B9D23F9" w:rsidR="00507F72" w:rsidRDefault="00507F72">
      <w:pPr>
        <w:pStyle w:val="FootnoteText"/>
      </w:pPr>
      <w:r>
        <w:rPr>
          <w:rStyle w:val="FootnoteReference"/>
        </w:rPr>
        <w:footnoteRef/>
      </w:r>
      <w:r>
        <w:t xml:space="preserve"> </w:t>
      </w:r>
      <w:r w:rsidR="00D263F2" w:rsidRPr="00D263F2">
        <w:rPr>
          <w:i/>
        </w:rPr>
        <w:t>Id.</w:t>
      </w:r>
    </w:p>
  </w:footnote>
  <w:footnote w:id="38">
    <w:p w14:paraId="13DABB5B" w14:textId="51AE1727" w:rsidR="00F606E9" w:rsidRDefault="00F606E9" w:rsidP="00906DD9">
      <w:pPr>
        <w:pStyle w:val="FootnoteText"/>
      </w:pPr>
      <w:r>
        <w:rPr>
          <w:rStyle w:val="FootnoteReference"/>
        </w:rPr>
        <w:footnoteRef/>
      </w:r>
      <w:r>
        <w:t xml:space="preserve"> </w:t>
      </w:r>
      <w:r w:rsidR="00D263F2" w:rsidRPr="00D263F2">
        <w:rPr>
          <w:i/>
          <w:color w:val="000000" w:themeColor="text1"/>
        </w:rPr>
        <w:t>Id.</w:t>
      </w:r>
      <w:r w:rsidR="00D263F2">
        <w:rPr>
          <w:i/>
          <w:color w:val="000000" w:themeColor="text1"/>
        </w:rPr>
        <w:t xml:space="preserve"> </w:t>
      </w:r>
      <w:r>
        <w:rPr>
          <w:color w:val="000000" w:themeColor="text1"/>
        </w:rPr>
        <w:t xml:space="preserve">at </w:t>
      </w:r>
      <w:r w:rsidR="001A593C" w:rsidRPr="001A593C">
        <w:rPr>
          <w:color w:val="000000" w:themeColor="text1"/>
        </w:rPr>
        <w:t>1709</w:t>
      </w:r>
      <w:r w:rsidR="001A593C">
        <w:rPr>
          <w:color w:val="000000" w:themeColor="text1"/>
        </w:rPr>
        <w:t>-10</w:t>
      </w:r>
      <w:r>
        <w:rPr>
          <w:color w:val="000000" w:themeColor="text1"/>
        </w:rPr>
        <w:t xml:space="preserve">, ¶ 133.  </w:t>
      </w:r>
      <w:r>
        <w:rPr>
          <w:color w:val="000000"/>
        </w:rPr>
        <w:t xml:space="preserve">  </w:t>
      </w:r>
    </w:p>
  </w:footnote>
  <w:footnote w:id="39">
    <w:p w14:paraId="49524A08" w14:textId="74F77357" w:rsidR="00F606E9" w:rsidRDefault="00F606E9">
      <w:pPr>
        <w:pStyle w:val="FootnoteText"/>
      </w:pPr>
      <w:r>
        <w:rPr>
          <w:rStyle w:val="FootnoteReference"/>
        </w:rPr>
        <w:footnoteRef/>
      </w:r>
      <w:r>
        <w:t xml:space="preserve"> </w:t>
      </w:r>
      <w:r w:rsidR="00D263F2" w:rsidRPr="00D263F2">
        <w:rPr>
          <w:i/>
          <w:color w:val="000000" w:themeColor="text1"/>
        </w:rPr>
        <w:t>Id.</w:t>
      </w:r>
      <w:r w:rsidRPr="0027426A">
        <w:rPr>
          <w:color w:val="000000" w:themeColor="text1"/>
        </w:rPr>
        <w:t xml:space="preserve"> </w:t>
      </w:r>
      <w:r>
        <w:rPr>
          <w:color w:val="000000" w:themeColor="text1"/>
        </w:rPr>
        <w:t xml:space="preserve">at </w:t>
      </w:r>
      <w:r w:rsidR="001A593C">
        <w:rPr>
          <w:color w:val="000000" w:themeColor="text1"/>
        </w:rPr>
        <w:t>1710</w:t>
      </w:r>
      <w:r>
        <w:rPr>
          <w:color w:val="000000" w:themeColor="text1"/>
        </w:rPr>
        <w:t>, ¶ 133 n. 297.</w:t>
      </w:r>
    </w:p>
  </w:footnote>
  <w:footnote w:id="40">
    <w:p w14:paraId="74EEE2AE" w14:textId="77777777" w:rsidR="001526B9" w:rsidRDefault="001526B9" w:rsidP="001526B9">
      <w:pPr>
        <w:pStyle w:val="FootnoteText"/>
      </w:pPr>
      <w:r>
        <w:rPr>
          <w:rStyle w:val="FootnoteReference"/>
        </w:rPr>
        <w:footnoteRef/>
      </w:r>
      <w:r>
        <w:t xml:space="preserve"> </w:t>
      </w:r>
      <w:r w:rsidRPr="00DA14E9">
        <w:t xml:space="preserve">Cellphone-Mate Comments at </w:t>
      </w:r>
      <w:r w:rsidR="001A593C">
        <w:t>4-5</w:t>
      </w:r>
      <w:r w:rsidRPr="00DA14E9">
        <w:t>.</w:t>
      </w:r>
    </w:p>
  </w:footnote>
  <w:footnote w:id="41">
    <w:p w14:paraId="0B7B1BE2" w14:textId="77777777" w:rsidR="00F606E9" w:rsidRDefault="00F606E9" w:rsidP="008307F9">
      <w:pPr>
        <w:pStyle w:val="FootnoteText"/>
      </w:pPr>
      <w:r>
        <w:rPr>
          <w:rStyle w:val="FootnoteReference"/>
        </w:rPr>
        <w:footnoteRef/>
      </w:r>
      <w:r>
        <w:t xml:space="preserve"> The first Consumer Signal Booster equipment certification grant</w:t>
      </w:r>
      <w:r w:rsidR="008307F9">
        <w:t>s</w:t>
      </w:r>
      <w:r>
        <w:t xml:space="preserve"> </w:t>
      </w:r>
      <w:r w:rsidR="008307F9">
        <w:t xml:space="preserve">were issued to Wilson Electronics -- </w:t>
      </w:r>
      <w:r w:rsidR="008307F9" w:rsidRPr="008307F9">
        <w:t xml:space="preserve">FCC ID PWO460004 </w:t>
      </w:r>
      <w:r w:rsidR="008307F9">
        <w:t>(</w:t>
      </w:r>
      <w:r w:rsidR="008307F9" w:rsidRPr="008307F9">
        <w:t xml:space="preserve">issued </w:t>
      </w:r>
      <w:r w:rsidR="008307F9">
        <w:t xml:space="preserve">Jan. </w:t>
      </w:r>
      <w:r w:rsidR="008307F9" w:rsidRPr="008307F9">
        <w:t>24</w:t>
      </w:r>
      <w:r w:rsidR="008307F9">
        <w:t>, 20</w:t>
      </w:r>
      <w:r w:rsidR="008307F9" w:rsidRPr="008307F9">
        <w:t>14</w:t>
      </w:r>
      <w:r w:rsidR="008307F9">
        <w:t xml:space="preserve">) and </w:t>
      </w:r>
      <w:r w:rsidR="008307F9" w:rsidRPr="008307F9">
        <w:t xml:space="preserve">FCC ID PWO460005 </w:t>
      </w:r>
      <w:r w:rsidR="008307F9">
        <w:t>(</w:t>
      </w:r>
      <w:r w:rsidR="008307F9" w:rsidRPr="008307F9">
        <w:t xml:space="preserve">issued Jan. </w:t>
      </w:r>
      <w:r w:rsidR="008307F9">
        <w:t>28</w:t>
      </w:r>
      <w:r w:rsidR="008307F9" w:rsidRPr="008307F9">
        <w:t>, 2014</w:t>
      </w:r>
      <w:r w:rsidR="008307F9">
        <w:t>).</w:t>
      </w:r>
    </w:p>
  </w:footnote>
  <w:footnote w:id="42">
    <w:p w14:paraId="0CE96B85" w14:textId="77777777" w:rsidR="00F606E9" w:rsidRDefault="00F606E9">
      <w:pPr>
        <w:pStyle w:val="FootnoteText"/>
      </w:pPr>
      <w:r>
        <w:rPr>
          <w:rStyle w:val="FootnoteReference"/>
        </w:rPr>
        <w:footnoteRef/>
      </w:r>
      <w:r>
        <w:t xml:space="preserve"> CTIA Comments at </w:t>
      </w:r>
      <w:r w:rsidR="001A593C">
        <w:t>4-5</w:t>
      </w:r>
      <w:r>
        <w:t xml:space="preserve">; Verizon Comments at </w:t>
      </w:r>
      <w:r w:rsidR="001A593C">
        <w:t>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6ACF" w14:textId="77777777" w:rsidR="00536A7A" w:rsidRDefault="00536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8C8E" w14:textId="422A8ED4" w:rsidR="00F606E9" w:rsidRDefault="00F606E9">
    <w:pPr>
      <w:pStyle w:val="Header"/>
      <w:pBdr>
        <w:bottom w:val="single" w:sz="12" w:space="1" w:color="auto"/>
      </w:pBdr>
      <w:rPr>
        <w:b w:val="0"/>
      </w:rPr>
    </w:pPr>
    <w:r>
      <w:rPr>
        <w:noProof/>
        <w:snapToGrid/>
      </w:rPr>
      <mc:AlternateContent>
        <mc:Choice Requires="wps">
          <w:drawing>
            <wp:anchor distT="0" distB="0" distL="114300" distR="114300" simplePos="0" relativeHeight="251657728" behindDoc="1" locked="0" layoutInCell="0" allowOverlap="1" wp14:anchorId="26EC9775" wp14:editId="5D7B3E17">
              <wp:simplePos x="0" y="0"/>
              <wp:positionH relativeFrom="margin">
                <wp:posOffset>0</wp:posOffset>
              </wp:positionH>
              <wp:positionV relativeFrom="paragraph">
                <wp:posOffset>173355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13.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" o:allowincell="f" fillcolor="black" stroked="f" strokeweight=".05pt">
              <w10:wrap anchorx="margin"/>
            </v:rect>
          </w:pict>
        </mc:Fallback>
      </mc:AlternateContent>
    </w:r>
    <w:r>
      <w:tab/>
      <w:t>Federal Communications Commission</w:t>
    </w:r>
    <w:r>
      <w:tab/>
    </w:r>
    <w:r w:rsidR="002567E5">
      <w:t>DA 14-</w:t>
    </w:r>
    <w:r w:rsidR="00592F83">
      <w:t>177</w:t>
    </w:r>
  </w:p>
  <w:p w14:paraId="1BF3091E" w14:textId="77777777" w:rsidR="00F606E9" w:rsidRDefault="00F606E9">
    <w:pPr>
      <w:tabs>
        <w:tab w:val="left" w:pos="-720"/>
      </w:tabs>
      <w:suppressAutoHyphens/>
      <w:spacing w:line="19" w:lineRule="exact"/>
      <w:rPr>
        <w:spacing w:val="-2"/>
      </w:rPr>
    </w:pPr>
  </w:p>
  <w:p w14:paraId="55B17C2B" w14:textId="77777777" w:rsidR="00F606E9" w:rsidRDefault="00F606E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4ADC" w14:textId="0006A42E" w:rsidR="00F606E9" w:rsidRDefault="00F606E9">
    <w:pPr>
      <w:pStyle w:val="Header"/>
      <w:pBdr>
        <w:bottom w:val="single" w:sz="12" w:space="1" w:color="auto"/>
      </w:pBdr>
      <w:rPr>
        <w:b w:val="0"/>
      </w:rPr>
    </w:pPr>
    <w:r>
      <w:tab/>
      <w:t>Federal Communications Commission</w:t>
    </w:r>
    <w:r>
      <w:tab/>
    </w:r>
    <w:r>
      <w:rPr>
        <w:spacing w:val="-2"/>
      </w:rPr>
      <w:t>DA 14-</w:t>
    </w:r>
    <w:r w:rsidR="00592F83">
      <w:rPr>
        <w:spacing w:val="-2"/>
      </w:rPr>
      <w:t>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147F05"/>
    <w:multiLevelType w:val="hybridMultilevel"/>
    <w:tmpl w:val="7200F086"/>
    <w:lvl w:ilvl="0" w:tplc="441C68C0">
      <w:start w:val="1"/>
      <w:numFmt w:val="bullet"/>
      <w:lvlText w:val=""/>
      <w:lvlJc w:val="left"/>
      <w:pPr>
        <w:ind w:left="41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5DA30A42"/>
    <w:multiLevelType w:val="hybridMultilevel"/>
    <w:tmpl w:val="F00E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4"/>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7"/>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030D6"/>
    <w:rsid w:val="000229AB"/>
    <w:rsid w:val="00035B6F"/>
    <w:rsid w:val="00041297"/>
    <w:rsid w:val="0006214E"/>
    <w:rsid w:val="00084D7D"/>
    <w:rsid w:val="000B0A08"/>
    <w:rsid w:val="000B4861"/>
    <w:rsid w:val="000C2075"/>
    <w:rsid w:val="000F1FC7"/>
    <w:rsid w:val="000F546E"/>
    <w:rsid w:val="00101F43"/>
    <w:rsid w:val="00146793"/>
    <w:rsid w:val="00146CB8"/>
    <w:rsid w:val="001526B9"/>
    <w:rsid w:val="00157FD6"/>
    <w:rsid w:val="00175E6B"/>
    <w:rsid w:val="00177C46"/>
    <w:rsid w:val="00187A4E"/>
    <w:rsid w:val="001A593C"/>
    <w:rsid w:val="001A7F36"/>
    <w:rsid w:val="001D4D58"/>
    <w:rsid w:val="001E1597"/>
    <w:rsid w:val="001F260C"/>
    <w:rsid w:val="001F6752"/>
    <w:rsid w:val="00221D87"/>
    <w:rsid w:val="00234AAE"/>
    <w:rsid w:val="002369FA"/>
    <w:rsid w:val="00236DB0"/>
    <w:rsid w:val="002567E5"/>
    <w:rsid w:val="00276EE0"/>
    <w:rsid w:val="00285B13"/>
    <w:rsid w:val="00297289"/>
    <w:rsid w:val="002C6E2B"/>
    <w:rsid w:val="002F1DB9"/>
    <w:rsid w:val="002F657C"/>
    <w:rsid w:val="002F6A12"/>
    <w:rsid w:val="00312E8A"/>
    <w:rsid w:val="0034533E"/>
    <w:rsid w:val="003A729D"/>
    <w:rsid w:val="003D136C"/>
    <w:rsid w:val="003D2648"/>
    <w:rsid w:val="003E3B28"/>
    <w:rsid w:val="003F392D"/>
    <w:rsid w:val="003F40F1"/>
    <w:rsid w:val="00412B57"/>
    <w:rsid w:val="00425CF3"/>
    <w:rsid w:val="00452F45"/>
    <w:rsid w:val="00453C98"/>
    <w:rsid w:val="004558A4"/>
    <w:rsid w:val="004612FA"/>
    <w:rsid w:val="00475EF5"/>
    <w:rsid w:val="0049221B"/>
    <w:rsid w:val="004A4C8E"/>
    <w:rsid w:val="004B0AE1"/>
    <w:rsid w:val="004F1373"/>
    <w:rsid w:val="004F6F48"/>
    <w:rsid w:val="00507F72"/>
    <w:rsid w:val="00516E25"/>
    <w:rsid w:val="00533C49"/>
    <w:rsid w:val="00536A7A"/>
    <w:rsid w:val="005564A2"/>
    <w:rsid w:val="00592F83"/>
    <w:rsid w:val="005959A7"/>
    <w:rsid w:val="005A6163"/>
    <w:rsid w:val="005C04E5"/>
    <w:rsid w:val="005C4A5F"/>
    <w:rsid w:val="005E21EE"/>
    <w:rsid w:val="005F33D5"/>
    <w:rsid w:val="005F6570"/>
    <w:rsid w:val="00605F34"/>
    <w:rsid w:val="00623362"/>
    <w:rsid w:val="0063084D"/>
    <w:rsid w:val="0064194D"/>
    <w:rsid w:val="006668D9"/>
    <w:rsid w:val="006A79F3"/>
    <w:rsid w:val="006A7BDC"/>
    <w:rsid w:val="006B1F26"/>
    <w:rsid w:val="006C6662"/>
    <w:rsid w:val="006E50CD"/>
    <w:rsid w:val="006E5E0B"/>
    <w:rsid w:val="006F1939"/>
    <w:rsid w:val="00705DFF"/>
    <w:rsid w:val="0072023C"/>
    <w:rsid w:val="00745FF9"/>
    <w:rsid w:val="007557C3"/>
    <w:rsid w:val="00760873"/>
    <w:rsid w:val="00783D7B"/>
    <w:rsid w:val="00786153"/>
    <w:rsid w:val="00797000"/>
    <w:rsid w:val="007D4CF7"/>
    <w:rsid w:val="008307F9"/>
    <w:rsid w:val="00847D31"/>
    <w:rsid w:val="00871E0E"/>
    <w:rsid w:val="0088365E"/>
    <w:rsid w:val="00885F16"/>
    <w:rsid w:val="00897479"/>
    <w:rsid w:val="008B1E3D"/>
    <w:rsid w:val="008B26C5"/>
    <w:rsid w:val="008B39B2"/>
    <w:rsid w:val="008C1E66"/>
    <w:rsid w:val="008C38A4"/>
    <w:rsid w:val="008D02A5"/>
    <w:rsid w:val="008F1038"/>
    <w:rsid w:val="0090131B"/>
    <w:rsid w:val="00906DD9"/>
    <w:rsid w:val="00911A6B"/>
    <w:rsid w:val="009154C1"/>
    <w:rsid w:val="00916AD2"/>
    <w:rsid w:val="00916F28"/>
    <w:rsid w:val="00927296"/>
    <w:rsid w:val="00933307"/>
    <w:rsid w:val="00934B1D"/>
    <w:rsid w:val="009A4FC5"/>
    <w:rsid w:val="009C5904"/>
    <w:rsid w:val="009D1D50"/>
    <w:rsid w:val="009D4D96"/>
    <w:rsid w:val="009D62BF"/>
    <w:rsid w:val="009E31E3"/>
    <w:rsid w:val="009E6972"/>
    <w:rsid w:val="009E7662"/>
    <w:rsid w:val="00A37078"/>
    <w:rsid w:val="00A62465"/>
    <w:rsid w:val="00A6555B"/>
    <w:rsid w:val="00AA379C"/>
    <w:rsid w:val="00AA65E4"/>
    <w:rsid w:val="00AD3588"/>
    <w:rsid w:val="00AE0041"/>
    <w:rsid w:val="00AE25D6"/>
    <w:rsid w:val="00B32830"/>
    <w:rsid w:val="00B4132E"/>
    <w:rsid w:val="00B52F49"/>
    <w:rsid w:val="00B949D2"/>
    <w:rsid w:val="00BA2EBD"/>
    <w:rsid w:val="00BA6640"/>
    <w:rsid w:val="00BD4A93"/>
    <w:rsid w:val="00C15B4F"/>
    <w:rsid w:val="00C35677"/>
    <w:rsid w:val="00C764C4"/>
    <w:rsid w:val="00CB5D8C"/>
    <w:rsid w:val="00D02EE6"/>
    <w:rsid w:val="00D23273"/>
    <w:rsid w:val="00D263F2"/>
    <w:rsid w:val="00D3722E"/>
    <w:rsid w:val="00D65356"/>
    <w:rsid w:val="00D678F7"/>
    <w:rsid w:val="00DA14E9"/>
    <w:rsid w:val="00DA5514"/>
    <w:rsid w:val="00DB106B"/>
    <w:rsid w:val="00DB22CE"/>
    <w:rsid w:val="00DB36BF"/>
    <w:rsid w:val="00DF0339"/>
    <w:rsid w:val="00DF527B"/>
    <w:rsid w:val="00DF7997"/>
    <w:rsid w:val="00E006DC"/>
    <w:rsid w:val="00E00F23"/>
    <w:rsid w:val="00E029FD"/>
    <w:rsid w:val="00E329D7"/>
    <w:rsid w:val="00E369E6"/>
    <w:rsid w:val="00E61A80"/>
    <w:rsid w:val="00E64CB8"/>
    <w:rsid w:val="00EA4CCD"/>
    <w:rsid w:val="00EA7BB7"/>
    <w:rsid w:val="00EB435A"/>
    <w:rsid w:val="00EB563D"/>
    <w:rsid w:val="00EB66CA"/>
    <w:rsid w:val="00EC66EA"/>
    <w:rsid w:val="00EE79BD"/>
    <w:rsid w:val="00F221B6"/>
    <w:rsid w:val="00F334B1"/>
    <w:rsid w:val="00F42692"/>
    <w:rsid w:val="00F606E9"/>
    <w:rsid w:val="00F908F3"/>
    <w:rsid w:val="00FB3074"/>
    <w:rsid w:val="00FC1941"/>
    <w:rsid w:val="00FE5F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yperlink"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E3"/>
    <w:pPr>
      <w:widowControl w:val="0"/>
    </w:pPr>
    <w:rPr>
      <w:snapToGrid w:val="0"/>
      <w:kern w:val="28"/>
      <w:sz w:val="22"/>
      <w:szCs w:val="20"/>
    </w:rPr>
  </w:style>
  <w:style w:type="paragraph" w:styleId="Heading1">
    <w:name w:val="heading 1"/>
    <w:basedOn w:val="Normal"/>
    <w:next w:val="ParaNum"/>
    <w:link w:val="Heading1Char"/>
    <w:qFormat/>
    <w:rsid w:val="009E31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E31E3"/>
    <w:pPr>
      <w:keepNext/>
      <w:numPr>
        <w:ilvl w:val="1"/>
        <w:numId w:val="3"/>
      </w:numPr>
      <w:spacing w:after="120"/>
      <w:outlineLvl w:val="1"/>
    </w:pPr>
    <w:rPr>
      <w:b/>
    </w:rPr>
  </w:style>
  <w:style w:type="paragraph" w:styleId="Heading3">
    <w:name w:val="heading 3"/>
    <w:basedOn w:val="Normal"/>
    <w:next w:val="ParaNum"/>
    <w:link w:val="Heading3Char"/>
    <w:qFormat/>
    <w:rsid w:val="009E31E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E31E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E31E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E31E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E31E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E31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E31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9E31E3"/>
    <w:pPr>
      <w:numPr>
        <w:numId w:val="2"/>
      </w:numPr>
      <w:tabs>
        <w:tab w:val="clear" w:pos="1080"/>
        <w:tab w:val="num" w:pos="1440"/>
      </w:tabs>
      <w:spacing w:after="120"/>
    </w:pPr>
  </w:style>
  <w:style w:type="paragraph" w:styleId="EndnoteText">
    <w:name w:val="endnote text"/>
    <w:basedOn w:val="Normal"/>
    <w:semiHidden/>
    <w:rsid w:val="009E31E3"/>
    <w:rPr>
      <w:sz w:val="20"/>
    </w:rPr>
  </w:style>
  <w:style w:type="character" w:styleId="EndnoteReference">
    <w:name w:val="endnote reference"/>
    <w:semiHidden/>
    <w:rsid w:val="009E31E3"/>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9E31E3"/>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9E31E3"/>
    <w:rPr>
      <w:rFonts w:ascii="Times New Roman" w:hAnsi="Times New Roman"/>
      <w:dstrike w:val="0"/>
      <w:color w:val="auto"/>
      <w:sz w:val="22"/>
      <w:vertAlign w:val="superscript"/>
    </w:rPr>
  </w:style>
  <w:style w:type="paragraph" w:styleId="TOC1">
    <w:name w:val="toc 1"/>
    <w:basedOn w:val="Normal"/>
    <w:next w:val="Normal"/>
    <w:semiHidden/>
    <w:rsid w:val="009E31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31E3"/>
    <w:pPr>
      <w:tabs>
        <w:tab w:val="left" w:pos="720"/>
        <w:tab w:val="right" w:leader="dot" w:pos="9360"/>
      </w:tabs>
      <w:suppressAutoHyphens/>
      <w:ind w:left="720" w:right="720" w:hanging="360"/>
    </w:pPr>
    <w:rPr>
      <w:noProof/>
    </w:rPr>
  </w:style>
  <w:style w:type="paragraph" w:styleId="TOC3">
    <w:name w:val="toc 3"/>
    <w:basedOn w:val="Normal"/>
    <w:next w:val="Normal"/>
    <w:semiHidden/>
    <w:rsid w:val="009E3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3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3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31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31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31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31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31E3"/>
    <w:pPr>
      <w:tabs>
        <w:tab w:val="right" w:pos="9360"/>
      </w:tabs>
      <w:suppressAutoHyphens/>
    </w:pPr>
  </w:style>
  <w:style w:type="character" w:customStyle="1" w:styleId="EquationCaption">
    <w:name w:val="_Equation Caption"/>
    <w:rsid w:val="009E31E3"/>
  </w:style>
  <w:style w:type="paragraph" w:styleId="Header">
    <w:name w:val="header"/>
    <w:basedOn w:val="Normal"/>
    <w:autoRedefine/>
    <w:rsid w:val="009E31E3"/>
    <w:pPr>
      <w:tabs>
        <w:tab w:val="center" w:pos="4680"/>
        <w:tab w:val="right" w:pos="9360"/>
      </w:tabs>
    </w:pPr>
    <w:rPr>
      <w:b/>
    </w:rPr>
  </w:style>
  <w:style w:type="paragraph" w:styleId="Footer">
    <w:name w:val="footer"/>
    <w:basedOn w:val="Normal"/>
    <w:rsid w:val="009E31E3"/>
    <w:pPr>
      <w:tabs>
        <w:tab w:val="center" w:pos="4320"/>
        <w:tab w:val="right" w:pos="8640"/>
      </w:tabs>
    </w:pPr>
  </w:style>
  <w:style w:type="character" w:styleId="PageNumber">
    <w:name w:val="page number"/>
    <w:basedOn w:val="DefaultParagraphFont"/>
    <w:rsid w:val="009E31E3"/>
  </w:style>
  <w:style w:type="paragraph" w:styleId="BlockText">
    <w:name w:val="Block Text"/>
    <w:basedOn w:val="Normal"/>
    <w:rsid w:val="009E31E3"/>
    <w:pPr>
      <w:spacing w:after="240"/>
      <w:ind w:left="1440" w:right="1440"/>
    </w:pPr>
  </w:style>
  <w:style w:type="paragraph" w:customStyle="1" w:styleId="Paratitle">
    <w:name w:val="Para title"/>
    <w:basedOn w:val="Normal"/>
    <w:rsid w:val="009E31E3"/>
    <w:pPr>
      <w:tabs>
        <w:tab w:val="center" w:pos="9270"/>
      </w:tabs>
      <w:spacing w:after="240"/>
    </w:pPr>
    <w:rPr>
      <w:spacing w:val="-2"/>
    </w:rPr>
  </w:style>
  <w:style w:type="paragraph" w:customStyle="1" w:styleId="Bullet">
    <w:name w:val="Bullet"/>
    <w:basedOn w:val="Normal"/>
    <w:rsid w:val="009E31E3"/>
    <w:pPr>
      <w:numPr>
        <w:numId w:val="1"/>
      </w:numPr>
      <w:tabs>
        <w:tab w:val="clear" w:pos="360"/>
        <w:tab w:val="left" w:pos="2160"/>
      </w:tabs>
      <w:spacing w:after="220"/>
      <w:ind w:left="2160" w:hanging="720"/>
    </w:pPr>
  </w:style>
  <w:style w:type="paragraph" w:customStyle="1" w:styleId="TableFormat">
    <w:name w:val="TableFormat"/>
    <w:basedOn w:val="Bullet"/>
    <w:rsid w:val="009E31E3"/>
    <w:pPr>
      <w:numPr>
        <w:numId w:val="0"/>
      </w:numPr>
      <w:tabs>
        <w:tab w:val="clear" w:pos="2160"/>
        <w:tab w:val="left" w:pos="5040"/>
      </w:tabs>
      <w:ind w:left="5040" w:hanging="3600"/>
    </w:pPr>
  </w:style>
  <w:style w:type="paragraph" w:customStyle="1" w:styleId="TOCTitle">
    <w:name w:val="TOC Title"/>
    <w:basedOn w:val="Normal"/>
    <w:rsid w:val="009E31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31E3"/>
    <w:pPr>
      <w:jc w:val="center"/>
    </w:pPr>
    <w:rPr>
      <w:rFonts w:ascii="Times New Roman Bold" w:hAnsi="Times New Roman Bold"/>
      <w:b/>
      <w:bCs/>
      <w:caps/>
      <w:szCs w:val="22"/>
    </w:rPr>
  </w:style>
  <w:style w:type="character" w:styleId="Hyperlink">
    <w:name w:val="Hyperlink"/>
    <w:uiPriority w:val="99"/>
    <w:rsid w:val="009E31E3"/>
    <w:rPr>
      <w:color w:val="0000FF"/>
      <w:u w:val="single"/>
    </w:rPr>
  </w:style>
  <w:style w:type="paragraph" w:styleId="ListParagraph">
    <w:name w:val="List Paragraph"/>
    <w:basedOn w:val="Normal"/>
    <w:uiPriority w:val="99"/>
    <w:qFormat/>
    <w:rsid w:val="00D7090C"/>
    <w:pPr>
      <w:widowControl/>
      <w:ind w:left="720"/>
    </w:pPr>
    <w:rPr>
      <w:rFonts w:ascii="Calibri" w:eastAsia="Calibri" w:hAnsi="Calibri" w:cs="Calibri"/>
      <w:snapToGrid/>
      <w:kern w:val="0"/>
      <w:szCs w:val="22"/>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72023C"/>
    <w:rPr>
      <w:lang w:val="en-US" w:eastAsia="en-US" w:bidi="ar-SA"/>
    </w:rPr>
  </w:style>
  <w:style w:type="character" w:customStyle="1" w:styleId="ParaNumChar1">
    <w:name w:val="ParaNum Char1"/>
    <w:rsid w:val="0072023C"/>
    <w:rPr>
      <w:snapToGrid w:val="0"/>
      <w:kern w:val="28"/>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yperlink"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1E3"/>
    <w:pPr>
      <w:widowControl w:val="0"/>
    </w:pPr>
    <w:rPr>
      <w:snapToGrid w:val="0"/>
      <w:kern w:val="28"/>
      <w:sz w:val="22"/>
      <w:szCs w:val="20"/>
    </w:rPr>
  </w:style>
  <w:style w:type="paragraph" w:styleId="Heading1">
    <w:name w:val="heading 1"/>
    <w:basedOn w:val="Normal"/>
    <w:next w:val="ParaNum"/>
    <w:link w:val="Heading1Char"/>
    <w:qFormat/>
    <w:rsid w:val="009E31E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E31E3"/>
    <w:pPr>
      <w:keepNext/>
      <w:numPr>
        <w:ilvl w:val="1"/>
        <w:numId w:val="3"/>
      </w:numPr>
      <w:spacing w:after="120"/>
      <w:outlineLvl w:val="1"/>
    </w:pPr>
    <w:rPr>
      <w:b/>
    </w:rPr>
  </w:style>
  <w:style w:type="paragraph" w:styleId="Heading3">
    <w:name w:val="heading 3"/>
    <w:basedOn w:val="Normal"/>
    <w:next w:val="ParaNum"/>
    <w:link w:val="Heading3Char"/>
    <w:qFormat/>
    <w:rsid w:val="009E31E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E31E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E31E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E31E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E31E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E31E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E31E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9E31E3"/>
    <w:pPr>
      <w:numPr>
        <w:numId w:val="2"/>
      </w:numPr>
      <w:tabs>
        <w:tab w:val="clear" w:pos="1080"/>
        <w:tab w:val="num" w:pos="1440"/>
      </w:tabs>
      <w:spacing w:after="120"/>
    </w:pPr>
  </w:style>
  <w:style w:type="paragraph" w:styleId="EndnoteText">
    <w:name w:val="endnote text"/>
    <w:basedOn w:val="Normal"/>
    <w:semiHidden/>
    <w:rsid w:val="009E31E3"/>
    <w:rPr>
      <w:sz w:val="20"/>
    </w:rPr>
  </w:style>
  <w:style w:type="character" w:styleId="EndnoteReference">
    <w:name w:val="endnote reference"/>
    <w:semiHidden/>
    <w:rsid w:val="009E31E3"/>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9E31E3"/>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9E31E3"/>
    <w:rPr>
      <w:rFonts w:ascii="Times New Roman" w:hAnsi="Times New Roman"/>
      <w:dstrike w:val="0"/>
      <w:color w:val="auto"/>
      <w:sz w:val="22"/>
      <w:vertAlign w:val="superscript"/>
    </w:rPr>
  </w:style>
  <w:style w:type="paragraph" w:styleId="TOC1">
    <w:name w:val="toc 1"/>
    <w:basedOn w:val="Normal"/>
    <w:next w:val="Normal"/>
    <w:semiHidden/>
    <w:rsid w:val="009E31E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31E3"/>
    <w:pPr>
      <w:tabs>
        <w:tab w:val="left" w:pos="720"/>
        <w:tab w:val="right" w:leader="dot" w:pos="9360"/>
      </w:tabs>
      <w:suppressAutoHyphens/>
      <w:ind w:left="720" w:right="720" w:hanging="360"/>
    </w:pPr>
    <w:rPr>
      <w:noProof/>
    </w:rPr>
  </w:style>
  <w:style w:type="paragraph" w:styleId="TOC3">
    <w:name w:val="toc 3"/>
    <w:basedOn w:val="Normal"/>
    <w:next w:val="Normal"/>
    <w:semiHidden/>
    <w:rsid w:val="009E31E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31E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31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31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31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31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31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31E3"/>
    <w:pPr>
      <w:tabs>
        <w:tab w:val="right" w:pos="9360"/>
      </w:tabs>
      <w:suppressAutoHyphens/>
    </w:pPr>
  </w:style>
  <w:style w:type="character" w:customStyle="1" w:styleId="EquationCaption">
    <w:name w:val="_Equation Caption"/>
    <w:rsid w:val="009E31E3"/>
  </w:style>
  <w:style w:type="paragraph" w:styleId="Header">
    <w:name w:val="header"/>
    <w:basedOn w:val="Normal"/>
    <w:autoRedefine/>
    <w:rsid w:val="009E31E3"/>
    <w:pPr>
      <w:tabs>
        <w:tab w:val="center" w:pos="4680"/>
        <w:tab w:val="right" w:pos="9360"/>
      </w:tabs>
    </w:pPr>
    <w:rPr>
      <w:b/>
    </w:rPr>
  </w:style>
  <w:style w:type="paragraph" w:styleId="Footer">
    <w:name w:val="footer"/>
    <w:basedOn w:val="Normal"/>
    <w:rsid w:val="009E31E3"/>
    <w:pPr>
      <w:tabs>
        <w:tab w:val="center" w:pos="4320"/>
        <w:tab w:val="right" w:pos="8640"/>
      </w:tabs>
    </w:pPr>
  </w:style>
  <w:style w:type="character" w:styleId="PageNumber">
    <w:name w:val="page number"/>
    <w:basedOn w:val="DefaultParagraphFont"/>
    <w:rsid w:val="009E31E3"/>
  </w:style>
  <w:style w:type="paragraph" w:styleId="BlockText">
    <w:name w:val="Block Text"/>
    <w:basedOn w:val="Normal"/>
    <w:rsid w:val="009E31E3"/>
    <w:pPr>
      <w:spacing w:after="240"/>
      <w:ind w:left="1440" w:right="1440"/>
    </w:pPr>
  </w:style>
  <w:style w:type="paragraph" w:customStyle="1" w:styleId="Paratitle">
    <w:name w:val="Para title"/>
    <w:basedOn w:val="Normal"/>
    <w:rsid w:val="009E31E3"/>
    <w:pPr>
      <w:tabs>
        <w:tab w:val="center" w:pos="9270"/>
      </w:tabs>
      <w:spacing w:after="240"/>
    </w:pPr>
    <w:rPr>
      <w:spacing w:val="-2"/>
    </w:rPr>
  </w:style>
  <w:style w:type="paragraph" w:customStyle="1" w:styleId="Bullet">
    <w:name w:val="Bullet"/>
    <w:basedOn w:val="Normal"/>
    <w:rsid w:val="009E31E3"/>
    <w:pPr>
      <w:numPr>
        <w:numId w:val="1"/>
      </w:numPr>
      <w:tabs>
        <w:tab w:val="clear" w:pos="360"/>
        <w:tab w:val="left" w:pos="2160"/>
      </w:tabs>
      <w:spacing w:after="220"/>
      <w:ind w:left="2160" w:hanging="720"/>
    </w:pPr>
  </w:style>
  <w:style w:type="paragraph" w:customStyle="1" w:styleId="TableFormat">
    <w:name w:val="TableFormat"/>
    <w:basedOn w:val="Bullet"/>
    <w:rsid w:val="009E31E3"/>
    <w:pPr>
      <w:numPr>
        <w:numId w:val="0"/>
      </w:numPr>
      <w:tabs>
        <w:tab w:val="clear" w:pos="2160"/>
        <w:tab w:val="left" w:pos="5040"/>
      </w:tabs>
      <w:ind w:left="5040" w:hanging="3600"/>
    </w:pPr>
  </w:style>
  <w:style w:type="paragraph" w:customStyle="1" w:styleId="TOCTitle">
    <w:name w:val="TOC Title"/>
    <w:basedOn w:val="Normal"/>
    <w:rsid w:val="009E31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31E3"/>
    <w:pPr>
      <w:jc w:val="center"/>
    </w:pPr>
    <w:rPr>
      <w:rFonts w:ascii="Times New Roman Bold" w:hAnsi="Times New Roman Bold"/>
      <w:b/>
      <w:bCs/>
      <w:caps/>
      <w:szCs w:val="22"/>
    </w:rPr>
  </w:style>
  <w:style w:type="character" w:styleId="Hyperlink">
    <w:name w:val="Hyperlink"/>
    <w:uiPriority w:val="99"/>
    <w:rsid w:val="009E31E3"/>
    <w:rPr>
      <w:color w:val="0000FF"/>
      <w:u w:val="single"/>
    </w:rPr>
  </w:style>
  <w:style w:type="paragraph" w:styleId="ListParagraph">
    <w:name w:val="List Paragraph"/>
    <w:basedOn w:val="Normal"/>
    <w:uiPriority w:val="99"/>
    <w:qFormat/>
    <w:rsid w:val="00D7090C"/>
    <w:pPr>
      <w:widowControl/>
      <w:ind w:left="720"/>
    </w:pPr>
    <w:rPr>
      <w:rFonts w:ascii="Calibri" w:eastAsia="Calibri" w:hAnsi="Calibri" w:cs="Calibri"/>
      <w:snapToGrid/>
      <w:kern w:val="0"/>
      <w:szCs w:val="22"/>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72023C"/>
    <w:rPr>
      <w:lang w:val="en-US" w:eastAsia="en-US" w:bidi="ar-SA"/>
    </w:rPr>
  </w:style>
  <w:style w:type="character" w:customStyle="1" w:styleId="ParaNumChar1">
    <w:name w:val="ParaNum Char1"/>
    <w:rsid w:val="0072023C"/>
    <w:rPr>
      <w:snapToGrid w:val="0"/>
      <w:kern w:val="28"/>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920">
      <w:bodyDiv w:val="1"/>
      <w:marLeft w:val="0"/>
      <w:marRight w:val="0"/>
      <w:marTop w:val="0"/>
      <w:marBottom w:val="0"/>
      <w:divBdr>
        <w:top w:val="none" w:sz="0" w:space="0" w:color="auto"/>
        <w:left w:val="none" w:sz="0" w:space="0" w:color="auto"/>
        <w:bottom w:val="none" w:sz="0" w:space="0" w:color="auto"/>
        <w:right w:val="none" w:sz="0" w:space="0" w:color="auto"/>
      </w:divBdr>
    </w:div>
    <w:div w:id="534538752">
      <w:bodyDiv w:val="1"/>
      <w:marLeft w:val="0"/>
      <w:marRight w:val="0"/>
      <w:marTop w:val="0"/>
      <w:marBottom w:val="0"/>
      <w:divBdr>
        <w:top w:val="none" w:sz="0" w:space="0" w:color="auto"/>
        <w:left w:val="none" w:sz="0" w:space="0" w:color="auto"/>
        <w:bottom w:val="none" w:sz="0" w:space="0" w:color="auto"/>
        <w:right w:val="none" w:sz="0" w:space="0" w:color="auto"/>
      </w:divBdr>
      <w:divsChild>
        <w:div w:id="290869201">
          <w:marLeft w:val="0"/>
          <w:marRight w:val="0"/>
          <w:marTop w:val="0"/>
          <w:marBottom w:val="0"/>
          <w:divBdr>
            <w:top w:val="none" w:sz="0" w:space="0" w:color="auto"/>
            <w:left w:val="none" w:sz="0" w:space="0" w:color="auto"/>
            <w:bottom w:val="none" w:sz="0" w:space="0" w:color="auto"/>
            <w:right w:val="none" w:sz="0" w:space="0" w:color="auto"/>
          </w:divBdr>
        </w:div>
        <w:div w:id="526022872">
          <w:marLeft w:val="0"/>
          <w:marRight w:val="0"/>
          <w:marTop w:val="0"/>
          <w:marBottom w:val="0"/>
          <w:divBdr>
            <w:top w:val="none" w:sz="0" w:space="0" w:color="auto"/>
            <w:left w:val="none" w:sz="0" w:space="0" w:color="auto"/>
            <w:bottom w:val="none" w:sz="0" w:space="0" w:color="auto"/>
            <w:right w:val="none" w:sz="0" w:space="0" w:color="auto"/>
          </w:divBdr>
        </w:div>
        <w:div w:id="587421998">
          <w:marLeft w:val="0"/>
          <w:marRight w:val="0"/>
          <w:marTop w:val="0"/>
          <w:marBottom w:val="0"/>
          <w:divBdr>
            <w:top w:val="none" w:sz="0" w:space="0" w:color="auto"/>
            <w:left w:val="none" w:sz="0" w:space="0" w:color="auto"/>
            <w:bottom w:val="none" w:sz="0" w:space="0" w:color="auto"/>
            <w:right w:val="none" w:sz="0" w:space="0" w:color="auto"/>
          </w:divBdr>
        </w:div>
        <w:div w:id="756364591">
          <w:marLeft w:val="0"/>
          <w:marRight w:val="0"/>
          <w:marTop w:val="0"/>
          <w:marBottom w:val="0"/>
          <w:divBdr>
            <w:top w:val="none" w:sz="0" w:space="0" w:color="auto"/>
            <w:left w:val="none" w:sz="0" w:space="0" w:color="auto"/>
            <w:bottom w:val="none" w:sz="0" w:space="0" w:color="auto"/>
            <w:right w:val="none" w:sz="0" w:space="0" w:color="auto"/>
          </w:divBdr>
        </w:div>
        <w:div w:id="996810625">
          <w:marLeft w:val="0"/>
          <w:marRight w:val="0"/>
          <w:marTop w:val="0"/>
          <w:marBottom w:val="0"/>
          <w:divBdr>
            <w:top w:val="none" w:sz="0" w:space="0" w:color="auto"/>
            <w:left w:val="none" w:sz="0" w:space="0" w:color="auto"/>
            <w:bottom w:val="none" w:sz="0" w:space="0" w:color="auto"/>
            <w:right w:val="none" w:sz="0" w:space="0" w:color="auto"/>
          </w:divBdr>
        </w:div>
        <w:div w:id="1046686789">
          <w:marLeft w:val="0"/>
          <w:marRight w:val="0"/>
          <w:marTop w:val="0"/>
          <w:marBottom w:val="0"/>
          <w:divBdr>
            <w:top w:val="none" w:sz="0" w:space="0" w:color="auto"/>
            <w:left w:val="none" w:sz="0" w:space="0" w:color="auto"/>
            <w:bottom w:val="none" w:sz="0" w:space="0" w:color="auto"/>
            <w:right w:val="none" w:sz="0" w:space="0" w:color="auto"/>
          </w:divBdr>
        </w:div>
        <w:div w:id="1320113742">
          <w:marLeft w:val="0"/>
          <w:marRight w:val="0"/>
          <w:marTop w:val="0"/>
          <w:marBottom w:val="0"/>
          <w:divBdr>
            <w:top w:val="none" w:sz="0" w:space="0" w:color="auto"/>
            <w:left w:val="none" w:sz="0" w:space="0" w:color="auto"/>
            <w:bottom w:val="none" w:sz="0" w:space="0" w:color="auto"/>
            <w:right w:val="none" w:sz="0" w:space="0" w:color="auto"/>
          </w:divBdr>
        </w:div>
        <w:div w:id="1414401734">
          <w:marLeft w:val="0"/>
          <w:marRight w:val="0"/>
          <w:marTop w:val="0"/>
          <w:marBottom w:val="0"/>
          <w:divBdr>
            <w:top w:val="none" w:sz="0" w:space="0" w:color="auto"/>
            <w:left w:val="none" w:sz="0" w:space="0" w:color="auto"/>
            <w:bottom w:val="none" w:sz="0" w:space="0" w:color="auto"/>
            <w:right w:val="none" w:sz="0" w:space="0" w:color="auto"/>
          </w:divBdr>
        </w:div>
        <w:div w:id="1501384402">
          <w:marLeft w:val="0"/>
          <w:marRight w:val="0"/>
          <w:marTop w:val="0"/>
          <w:marBottom w:val="0"/>
          <w:divBdr>
            <w:top w:val="none" w:sz="0" w:space="0" w:color="auto"/>
            <w:left w:val="none" w:sz="0" w:space="0" w:color="auto"/>
            <w:bottom w:val="none" w:sz="0" w:space="0" w:color="auto"/>
            <w:right w:val="none" w:sz="0" w:space="0" w:color="auto"/>
          </w:divBdr>
        </w:div>
        <w:div w:id="1753354450">
          <w:marLeft w:val="0"/>
          <w:marRight w:val="0"/>
          <w:marTop w:val="0"/>
          <w:marBottom w:val="0"/>
          <w:divBdr>
            <w:top w:val="none" w:sz="0" w:space="0" w:color="auto"/>
            <w:left w:val="none" w:sz="0" w:space="0" w:color="auto"/>
            <w:bottom w:val="none" w:sz="0" w:space="0" w:color="auto"/>
            <w:right w:val="none" w:sz="0" w:space="0" w:color="auto"/>
          </w:divBdr>
        </w:div>
        <w:div w:id="1769351508">
          <w:marLeft w:val="0"/>
          <w:marRight w:val="0"/>
          <w:marTop w:val="0"/>
          <w:marBottom w:val="0"/>
          <w:divBdr>
            <w:top w:val="none" w:sz="0" w:space="0" w:color="auto"/>
            <w:left w:val="none" w:sz="0" w:space="0" w:color="auto"/>
            <w:bottom w:val="none" w:sz="0" w:space="0" w:color="auto"/>
            <w:right w:val="none" w:sz="0" w:space="0" w:color="auto"/>
          </w:divBdr>
        </w:div>
      </w:divsChild>
    </w:div>
    <w:div w:id="683626885">
      <w:bodyDiv w:val="1"/>
      <w:marLeft w:val="0"/>
      <w:marRight w:val="0"/>
      <w:marTop w:val="0"/>
      <w:marBottom w:val="0"/>
      <w:divBdr>
        <w:top w:val="none" w:sz="0" w:space="0" w:color="auto"/>
        <w:left w:val="none" w:sz="0" w:space="0" w:color="auto"/>
        <w:bottom w:val="none" w:sz="0" w:space="0" w:color="auto"/>
        <w:right w:val="none" w:sz="0" w:space="0" w:color="auto"/>
      </w:divBdr>
      <w:divsChild>
        <w:div w:id="74061853">
          <w:marLeft w:val="0"/>
          <w:marRight w:val="0"/>
          <w:marTop w:val="0"/>
          <w:marBottom w:val="0"/>
          <w:divBdr>
            <w:top w:val="none" w:sz="0" w:space="0" w:color="auto"/>
            <w:left w:val="none" w:sz="0" w:space="0" w:color="auto"/>
            <w:bottom w:val="none" w:sz="0" w:space="0" w:color="auto"/>
            <w:right w:val="none" w:sz="0" w:space="0" w:color="auto"/>
          </w:divBdr>
        </w:div>
        <w:div w:id="356198499">
          <w:marLeft w:val="0"/>
          <w:marRight w:val="0"/>
          <w:marTop w:val="0"/>
          <w:marBottom w:val="0"/>
          <w:divBdr>
            <w:top w:val="none" w:sz="0" w:space="0" w:color="auto"/>
            <w:left w:val="none" w:sz="0" w:space="0" w:color="auto"/>
            <w:bottom w:val="none" w:sz="0" w:space="0" w:color="auto"/>
            <w:right w:val="none" w:sz="0" w:space="0" w:color="auto"/>
          </w:divBdr>
        </w:div>
        <w:div w:id="596671960">
          <w:marLeft w:val="0"/>
          <w:marRight w:val="0"/>
          <w:marTop w:val="0"/>
          <w:marBottom w:val="0"/>
          <w:divBdr>
            <w:top w:val="none" w:sz="0" w:space="0" w:color="auto"/>
            <w:left w:val="none" w:sz="0" w:space="0" w:color="auto"/>
            <w:bottom w:val="none" w:sz="0" w:space="0" w:color="auto"/>
            <w:right w:val="none" w:sz="0" w:space="0" w:color="auto"/>
          </w:divBdr>
        </w:div>
        <w:div w:id="1816993715">
          <w:marLeft w:val="0"/>
          <w:marRight w:val="0"/>
          <w:marTop w:val="0"/>
          <w:marBottom w:val="0"/>
          <w:divBdr>
            <w:top w:val="none" w:sz="0" w:space="0" w:color="auto"/>
            <w:left w:val="none" w:sz="0" w:space="0" w:color="auto"/>
            <w:bottom w:val="none" w:sz="0" w:space="0" w:color="auto"/>
            <w:right w:val="none" w:sz="0" w:space="0" w:color="auto"/>
          </w:divBdr>
        </w:div>
      </w:divsChild>
    </w:div>
    <w:div w:id="1100642505">
      <w:bodyDiv w:val="1"/>
      <w:marLeft w:val="0"/>
      <w:marRight w:val="0"/>
      <w:marTop w:val="0"/>
      <w:marBottom w:val="0"/>
      <w:divBdr>
        <w:top w:val="none" w:sz="0" w:space="0" w:color="auto"/>
        <w:left w:val="none" w:sz="0" w:space="0" w:color="auto"/>
        <w:bottom w:val="none" w:sz="0" w:space="0" w:color="auto"/>
        <w:right w:val="none" w:sz="0" w:space="0" w:color="auto"/>
      </w:divBdr>
      <w:divsChild>
        <w:div w:id="730857564">
          <w:marLeft w:val="0"/>
          <w:marRight w:val="0"/>
          <w:marTop w:val="0"/>
          <w:marBottom w:val="0"/>
          <w:divBdr>
            <w:top w:val="none" w:sz="0" w:space="0" w:color="auto"/>
            <w:left w:val="none" w:sz="0" w:space="0" w:color="auto"/>
            <w:bottom w:val="none" w:sz="0" w:space="0" w:color="auto"/>
            <w:right w:val="none" w:sz="0" w:space="0" w:color="auto"/>
          </w:divBdr>
        </w:div>
        <w:div w:id="1017999006">
          <w:marLeft w:val="0"/>
          <w:marRight w:val="0"/>
          <w:marTop w:val="0"/>
          <w:marBottom w:val="0"/>
          <w:divBdr>
            <w:top w:val="none" w:sz="0" w:space="0" w:color="auto"/>
            <w:left w:val="none" w:sz="0" w:space="0" w:color="auto"/>
            <w:bottom w:val="none" w:sz="0" w:space="0" w:color="auto"/>
            <w:right w:val="none" w:sz="0" w:space="0" w:color="auto"/>
          </w:divBdr>
        </w:div>
        <w:div w:id="1241018856">
          <w:marLeft w:val="0"/>
          <w:marRight w:val="0"/>
          <w:marTop w:val="0"/>
          <w:marBottom w:val="0"/>
          <w:divBdr>
            <w:top w:val="none" w:sz="0" w:space="0" w:color="auto"/>
            <w:left w:val="none" w:sz="0" w:space="0" w:color="auto"/>
            <w:bottom w:val="none" w:sz="0" w:space="0" w:color="auto"/>
            <w:right w:val="none" w:sz="0" w:space="0" w:color="auto"/>
          </w:divBdr>
        </w:div>
        <w:div w:id="1971090928">
          <w:marLeft w:val="0"/>
          <w:marRight w:val="0"/>
          <w:marTop w:val="0"/>
          <w:marBottom w:val="0"/>
          <w:divBdr>
            <w:top w:val="none" w:sz="0" w:space="0" w:color="auto"/>
            <w:left w:val="none" w:sz="0" w:space="0" w:color="auto"/>
            <w:bottom w:val="none" w:sz="0" w:space="0" w:color="auto"/>
            <w:right w:val="none" w:sz="0" w:space="0" w:color="auto"/>
          </w:divBdr>
        </w:div>
      </w:divsChild>
    </w:div>
    <w:div w:id="1295405982">
      <w:bodyDiv w:val="1"/>
      <w:marLeft w:val="0"/>
      <w:marRight w:val="0"/>
      <w:marTop w:val="0"/>
      <w:marBottom w:val="0"/>
      <w:divBdr>
        <w:top w:val="none" w:sz="0" w:space="0" w:color="auto"/>
        <w:left w:val="none" w:sz="0" w:space="0" w:color="auto"/>
        <w:bottom w:val="none" w:sz="0" w:space="0" w:color="auto"/>
        <w:right w:val="none" w:sz="0" w:space="0" w:color="auto"/>
      </w:divBdr>
      <w:divsChild>
        <w:div w:id="1376781367">
          <w:marLeft w:val="0"/>
          <w:marRight w:val="0"/>
          <w:marTop w:val="0"/>
          <w:marBottom w:val="0"/>
          <w:divBdr>
            <w:top w:val="none" w:sz="0" w:space="0" w:color="auto"/>
            <w:left w:val="none" w:sz="0" w:space="0" w:color="auto"/>
            <w:bottom w:val="none" w:sz="0" w:space="0" w:color="auto"/>
            <w:right w:val="none" w:sz="0" w:space="0" w:color="auto"/>
          </w:divBdr>
          <w:divsChild>
            <w:div w:id="1129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903">
      <w:bodyDiv w:val="1"/>
      <w:marLeft w:val="0"/>
      <w:marRight w:val="0"/>
      <w:marTop w:val="0"/>
      <w:marBottom w:val="0"/>
      <w:divBdr>
        <w:top w:val="none" w:sz="0" w:space="0" w:color="auto"/>
        <w:left w:val="none" w:sz="0" w:space="0" w:color="auto"/>
        <w:bottom w:val="none" w:sz="0" w:space="0" w:color="auto"/>
        <w:right w:val="none" w:sz="0" w:space="0" w:color="auto"/>
      </w:divBdr>
    </w:div>
    <w:div w:id="1676617494">
      <w:bodyDiv w:val="1"/>
      <w:marLeft w:val="0"/>
      <w:marRight w:val="0"/>
      <w:marTop w:val="0"/>
      <w:marBottom w:val="0"/>
      <w:divBdr>
        <w:top w:val="none" w:sz="0" w:space="0" w:color="auto"/>
        <w:left w:val="none" w:sz="0" w:space="0" w:color="auto"/>
        <w:bottom w:val="none" w:sz="0" w:space="0" w:color="auto"/>
        <w:right w:val="none" w:sz="0" w:space="0" w:color="auto"/>
      </w:divBdr>
      <w:divsChild>
        <w:div w:id="153373003">
          <w:marLeft w:val="0"/>
          <w:marRight w:val="0"/>
          <w:marTop w:val="0"/>
          <w:marBottom w:val="0"/>
          <w:divBdr>
            <w:top w:val="none" w:sz="0" w:space="0" w:color="auto"/>
            <w:left w:val="none" w:sz="0" w:space="0" w:color="auto"/>
            <w:bottom w:val="none" w:sz="0" w:space="0" w:color="auto"/>
            <w:right w:val="none" w:sz="0" w:space="0" w:color="auto"/>
          </w:divBdr>
        </w:div>
        <w:div w:id="280501012">
          <w:marLeft w:val="0"/>
          <w:marRight w:val="0"/>
          <w:marTop w:val="0"/>
          <w:marBottom w:val="0"/>
          <w:divBdr>
            <w:top w:val="none" w:sz="0" w:space="0" w:color="auto"/>
            <w:left w:val="none" w:sz="0" w:space="0" w:color="auto"/>
            <w:bottom w:val="none" w:sz="0" w:space="0" w:color="auto"/>
            <w:right w:val="none" w:sz="0" w:space="0" w:color="auto"/>
          </w:divBdr>
        </w:div>
        <w:div w:id="285889079">
          <w:marLeft w:val="0"/>
          <w:marRight w:val="0"/>
          <w:marTop w:val="0"/>
          <w:marBottom w:val="0"/>
          <w:divBdr>
            <w:top w:val="none" w:sz="0" w:space="0" w:color="auto"/>
            <w:left w:val="none" w:sz="0" w:space="0" w:color="auto"/>
            <w:bottom w:val="none" w:sz="0" w:space="0" w:color="auto"/>
            <w:right w:val="none" w:sz="0" w:space="0" w:color="auto"/>
          </w:divBdr>
        </w:div>
        <w:div w:id="447118864">
          <w:marLeft w:val="0"/>
          <w:marRight w:val="0"/>
          <w:marTop w:val="0"/>
          <w:marBottom w:val="0"/>
          <w:divBdr>
            <w:top w:val="none" w:sz="0" w:space="0" w:color="auto"/>
            <w:left w:val="none" w:sz="0" w:space="0" w:color="auto"/>
            <w:bottom w:val="none" w:sz="0" w:space="0" w:color="auto"/>
            <w:right w:val="none" w:sz="0" w:space="0" w:color="auto"/>
          </w:divBdr>
        </w:div>
        <w:div w:id="970865934">
          <w:marLeft w:val="0"/>
          <w:marRight w:val="0"/>
          <w:marTop w:val="0"/>
          <w:marBottom w:val="0"/>
          <w:divBdr>
            <w:top w:val="none" w:sz="0" w:space="0" w:color="auto"/>
            <w:left w:val="none" w:sz="0" w:space="0" w:color="auto"/>
            <w:bottom w:val="none" w:sz="0" w:space="0" w:color="auto"/>
            <w:right w:val="none" w:sz="0" w:space="0" w:color="auto"/>
          </w:divBdr>
        </w:div>
        <w:div w:id="1086654321">
          <w:marLeft w:val="0"/>
          <w:marRight w:val="0"/>
          <w:marTop w:val="0"/>
          <w:marBottom w:val="0"/>
          <w:divBdr>
            <w:top w:val="none" w:sz="0" w:space="0" w:color="auto"/>
            <w:left w:val="none" w:sz="0" w:space="0" w:color="auto"/>
            <w:bottom w:val="none" w:sz="0" w:space="0" w:color="auto"/>
            <w:right w:val="none" w:sz="0" w:space="0" w:color="auto"/>
          </w:divBdr>
        </w:div>
        <w:div w:id="1115752121">
          <w:marLeft w:val="0"/>
          <w:marRight w:val="0"/>
          <w:marTop w:val="0"/>
          <w:marBottom w:val="0"/>
          <w:divBdr>
            <w:top w:val="none" w:sz="0" w:space="0" w:color="auto"/>
            <w:left w:val="none" w:sz="0" w:space="0" w:color="auto"/>
            <w:bottom w:val="none" w:sz="0" w:space="0" w:color="auto"/>
            <w:right w:val="none" w:sz="0" w:space="0" w:color="auto"/>
          </w:divBdr>
        </w:div>
        <w:div w:id="1564869133">
          <w:marLeft w:val="0"/>
          <w:marRight w:val="0"/>
          <w:marTop w:val="0"/>
          <w:marBottom w:val="0"/>
          <w:divBdr>
            <w:top w:val="none" w:sz="0" w:space="0" w:color="auto"/>
            <w:left w:val="none" w:sz="0" w:space="0" w:color="auto"/>
            <w:bottom w:val="none" w:sz="0" w:space="0" w:color="auto"/>
            <w:right w:val="none" w:sz="0" w:space="0" w:color="auto"/>
          </w:divBdr>
        </w:div>
        <w:div w:id="1573587262">
          <w:marLeft w:val="0"/>
          <w:marRight w:val="0"/>
          <w:marTop w:val="0"/>
          <w:marBottom w:val="0"/>
          <w:divBdr>
            <w:top w:val="none" w:sz="0" w:space="0" w:color="auto"/>
            <w:left w:val="none" w:sz="0" w:space="0" w:color="auto"/>
            <w:bottom w:val="none" w:sz="0" w:space="0" w:color="auto"/>
            <w:right w:val="none" w:sz="0" w:space="0" w:color="auto"/>
          </w:divBdr>
        </w:div>
        <w:div w:id="1603101330">
          <w:marLeft w:val="0"/>
          <w:marRight w:val="0"/>
          <w:marTop w:val="0"/>
          <w:marBottom w:val="0"/>
          <w:divBdr>
            <w:top w:val="none" w:sz="0" w:space="0" w:color="auto"/>
            <w:left w:val="none" w:sz="0" w:space="0" w:color="auto"/>
            <w:bottom w:val="none" w:sz="0" w:space="0" w:color="auto"/>
            <w:right w:val="none" w:sz="0" w:space="0" w:color="auto"/>
          </w:divBdr>
        </w:div>
        <w:div w:id="1875265159">
          <w:marLeft w:val="0"/>
          <w:marRight w:val="0"/>
          <w:marTop w:val="0"/>
          <w:marBottom w:val="0"/>
          <w:divBdr>
            <w:top w:val="none" w:sz="0" w:space="0" w:color="auto"/>
            <w:left w:val="none" w:sz="0" w:space="0" w:color="auto"/>
            <w:bottom w:val="none" w:sz="0" w:space="0" w:color="auto"/>
            <w:right w:val="none" w:sz="0" w:space="0" w:color="auto"/>
          </w:divBdr>
        </w:div>
        <w:div w:id="1901820664">
          <w:marLeft w:val="0"/>
          <w:marRight w:val="0"/>
          <w:marTop w:val="0"/>
          <w:marBottom w:val="0"/>
          <w:divBdr>
            <w:top w:val="none" w:sz="0" w:space="0" w:color="auto"/>
            <w:left w:val="none" w:sz="0" w:space="0" w:color="auto"/>
            <w:bottom w:val="none" w:sz="0" w:space="0" w:color="auto"/>
            <w:right w:val="none" w:sz="0" w:space="0" w:color="auto"/>
          </w:divBdr>
        </w:div>
      </w:divsChild>
    </w:div>
    <w:div w:id="18823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2256</Words>
  <Characters>12752</Characters>
  <Application>Microsoft Office Word</Application>
  <DocSecurity>0</DocSecurity>
  <Lines>206</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2013-09-30T13:54:00Z</cp:lastPrinted>
  <dcterms:created xsi:type="dcterms:W3CDTF">2014-02-11T17:44:00Z</dcterms:created>
  <dcterms:modified xsi:type="dcterms:W3CDTF">2014-02-11T17:44:00Z</dcterms:modified>
  <cp:category> </cp:category>
  <cp:contentStatus> </cp:contentStatus>
</cp:coreProperties>
</file>