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E0" w:rsidRDefault="0061318E" w:rsidP="00CF13CF">
      <w:pPr>
        <w:ind w:left="7920"/>
        <w:rPr>
          <w:sz w:val="24"/>
        </w:rPr>
      </w:pPr>
      <w:bookmarkStart w:id="0" w:name="Text1"/>
      <w:bookmarkStart w:id="1" w:name="_GoBack"/>
      <w:bookmarkEnd w:id="1"/>
      <w:r>
        <w:rPr>
          <w:sz w:val="24"/>
        </w:rPr>
        <w:t xml:space="preserve">   </w:t>
      </w:r>
      <w:r w:rsidR="005C7D25">
        <w:rPr>
          <w:sz w:val="24"/>
        </w:rPr>
        <w:t>DA 1</w:t>
      </w:r>
      <w:r w:rsidR="000069AB">
        <w:rPr>
          <w:sz w:val="24"/>
        </w:rPr>
        <w:t>4</w:t>
      </w:r>
      <w:r w:rsidR="005C7D25">
        <w:rPr>
          <w:sz w:val="24"/>
        </w:rPr>
        <w:t>-</w:t>
      </w:r>
      <w:bookmarkEnd w:id="0"/>
      <w:r>
        <w:rPr>
          <w:sz w:val="24"/>
        </w:rPr>
        <w:t>1792</w:t>
      </w:r>
    </w:p>
    <w:p w:rsidR="00C41AE0" w:rsidRDefault="000069AB">
      <w:pPr>
        <w:spacing w:before="60"/>
        <w:jc w:val="right"/>
        <w:rPr>
          <w:sz w:val="24"/>
        </w:rPr>
      </w:pPr>
      <w:r>
        <w:rPr>
          <w:sz w:val="24"/>
        </w:rPr>
        <w:t xml:space="preserve">December </w:t>
      </w:r>
      <w:r w:rsidR="0061318E">
        <w:rPr>
          <w:sz w:val="24"/>
        </w:rPr>
        <w:t>10</w:t>
      </w:r>
      <w:r>
        <w:rPr>
          <w:sz w:val="24"/>
        </w:rPr>
        <w:t>, 2014</w:t>
      </w:r>
    </w:p>
    <w:p w:rsidR="00C41AE0" w:rsidRDefault="00C41AE0">
      <w:pPr>
        <w:jc w:val="right"/>
        <w:rPr>
          <w:sz w:val="24"/>
        </w:rPr>
      </w:pPr>
    </w:p>
    <w:p w:rsidR="003F7C76" w:rsidRDefault="003F7C76" w:rsidP="005C7D25">
      <w:pPr>
        <w:spacing w:after="120"/>
        <w:jc w:val="center"/>
        <w:rPr>
          <w:b/>
          <w:szCs w:val="22"/>
        </w:rPr>
      </w:pPr>
    </w:p>
    <w:p w:rsidR="005C7D25" w:rsidRPr="005C7D25" w:rsidRDefault="005C7D25" w:rsidP="005C7D25">
      <w:pPr>
        <w:spacing w:after="120"/>
        <w:jc w:val="center"/>
        <w:rPr>
          <w:b/>
          <w:szCs w:val="22"/>
        </w:rPr>
      </w:pPr>
      <w:r w:rsidRPr="005C7D25">
        <w:rPr>
          <w:b/>
          <w:szCs w:val="22"/>
        </w:rPr>
        <w:t xml:space="preserve">WIRELESS TELECOMMUNICATIONS BUREAU </w:t>
      </w:r>
      <w:r w:rsidR="009F3720">
        <w:rPr>
          <w:b/>
          <w:szCs w:val="22"/>
        </w:rPr>
        <w:t>ANNOUNCES EFFECTIVE DATE OF REVISED 800 MHZ CELLULAR SERVICE RULES; REMINDS LICENSEES OF CONTINUING OBLIGATION</w:t>
      </w:r>
      <w:r w:rsidRPr="005C7D25">
        <w:rPr>
          <w:b/>
          <w:szCs w:val="22"/>
        </w:rPr>
        <w:t>S</w:t>
      </w:r>
    </w:p>
    <w:p w:rsidR="005C7D25" w:rsidRPr="005C7D25" w:rsidRDefault="005C7D25" w:rsidP="00CF13CF">
      <w:pPr>
        <w:spacing w:after="120"/>
        <w:jc w:val="center"/>
        <w:rPr>
          <w:b/>
          <w:szCs w:val="22"/>
        </w:rPr>
      </w:pPr>
      <w:r w:rsidRPr="005C7D25">
        <w:rPr>
          <w:b/>
          <w:szCs w:val="22"/>
        </w:rPr>
        <w:t>WT Docket No. 1</w:t>
      </w:r>
      <w:r w:rsidR="009F3720">
        <w:rPr>
          <w:b/>
          <w:szCs w:val="22"/>
        </w:rPr>
        <w:t>2-40</w:t>
      </w:r>
    </w:p>
    <w:p w:rsidR="003F7C76" w:rsidRDefault="003F7C76" w:rsidP="001421E0">
      <w:pPr>
        <w:ind w:firstLine="720"/>
        <w:rPr>
          <w:szCs w:val="22"/>
        </w:rPr>
      </w:pPr>
    </w:p>
    <w:p w:rsidR="005C7D25" w:rsidRPr="0038054C" w:rsidRDefault="000F7C75" w:rsidP="001421E0">
      <w:pPr>
        <w:ind w:firstLine="720"/>
        <w:rPr>
          <w:szCs w:val="22"/>
        </w:rPr>
      </w:pPr>
      <w:r>
        <w:rPr>
          <w:szCs w:val="22"/>
        </w:rPr>
        <w:t xml:space="preserve">On November 10, 2014, the Commission released </w:t>
      </w:r>
      <w:r w:rsidR="00493D77">
        <w:rPr>
          <w:szCs w:val="22"/>
        </w:rPr>
        <w:t xml:space="preserve">a </w:t>
      </w:r>
      <w:r w:rsidR="009F3720" w:rsidRPr="0038054C">
        <w:rPr>
          <w:i/>
          <w:szCs w:val="22"/>
        </w:rPr>
        <w:t>Report and Order</w:t>
      </w:r>
      <w:r w:rsidR="002C7F5A" w:rsidRPr="0038054C">
        <w:rPr>
          <w:i/>
          <w:szCs w:val="22"/>
        </w:rPr>
        <w:t xml:space="preserve"> and Further Notice of Proposed Rulemaking</w:t>
      </w:r>
      <w:r>
        <w:rPr>
          <w:szCs w:val="22"/>
        </w:rPr>
        <w:t xml:space="preserve"> in which it adopted fundamental, sweeping reforms of rules governing t</w:t>
      </w:r>
      <w:r w:rsidRPr="0038054C">
        <w:rPr>
          <w:szCs w:val="22"/>
        </w:rPr>
        <w:t xml:space="preserve">he 800 MHz Cellular </w:t>
      </w:r>
      <w:r>
        <w:rPr>
          <w:szCs w:val="22"/>
        </w:rPr>
        <w:t xml:space="preserve">(“Cellular”) </w:t>
      </w:r>
      <w:r w:rsidRPr="0038054C">
        <w:rPr>
          <w:szCs w:val="22"/>
        </w:rPr>
        <w:t>Service</w:t>
      </w:r>
      <w:r>
        <w:rPr>
          <w:szCs w:val="22"/>
        </w:rPr>
        <w:t>, leading to a vastly streamlined Cellular licensing regime.</w:t>
      </w:r>
      <w:r w:rsidRPr="0038054C">
        <w:rPr>
          <w:rStyle w:val="FootnoteReference"/>
          <w:szCs w:val="22"/>
        </w:rPr>
        <w:footnoteReference w:id="1"/>
      </w:r>
      <w:r>
        <w:rPr>
          <w:szCs w:val="22"/>
        </w:rPr>
        <w:t xml:space="preserve">  </w:t>
      </w:r>
      <w:r w:rsidR="00493D77">
        <w:rPr>
          <w:szCs w:val="22"/>
        </w:rPr>
        <w:t>T</w:t>
      </w:r>
      <w:r w:rsidRPr="0038054C">
        <w:rPr>
          <w:szCs w:val="22"/>
        </w:rPr>
        <w:t xml:space="preserve">he revised </w:t>
      </w:r>
      <w:r>
        <w:rPr>
          <w:szCs w:val="22"/>
        </w:rPr>
        <w:t>f</w:t>
      </w:r>
      <w:r w:rsidRPr="0038054C">
        <w:rPr>
          <w:szCs w:val="22"/>
        </w:rPr>
        <w:t xml:space="preserve">inal </w:t>
      </w:r>
      <w:r>
        <w:rPr>
          <w:szCs w:val="22"/>
        </w:rPr>
        <w:t>r</w:t>
      </w:r>
      <w:r w:rsidRPr="0038054C">
        <w:rPr>
          <w:szCs w:val="22"/>
        </w:rPr>
        <w:t xml:space="preserve">ules adopted </w:t>
      </w:r>
      <w:r>
        <w:rPr>
          <w:szCs w:val="22"/>
        </w:rPr>
        <w:t>i</w:t>
      </w:r>
      <w:r w:rsidRPr="0038054C">
        <w:rPr>
          <w:szCs w:val="22"/>
        </w:rPr>
        <w:t xml:space="preserve">n </w:t>
      </w:r>
      <w:r>
        <w:rPr>
          <w:szCs w:val="22"/>
        </w:rPr>
        <w:t xml:space="preserve">the </w:t>
      </w:r>
      <w:r>
        <w:rPr>
          <w:i/>
          <w:szCs w:val="22"/>
        </w:rPr>
        <w:t xml:space="preserve">Report and Order </w:t>
      </w:r>
      <w:r w:rsidR="009F3720" w:rsidRPr="0038054C">
        <w:rPr>
          <w:szCs w:val="22"/>
        </w:rPr>
        <w:t xml:space="preserve">were published in the </w:t>
      </w:r>
      <w:r w:rsidR="009F3720" w:rsidRPr="0038054C">
        <w:rPr>
          <w:i/>
          <w:szCs w:val="22"/>
        </w:rPr>
        <w:t>Federal Register</w:t>
      </w:r>
      <w:r w:rsidR="00493D77">
        <w:rPr>
          <w:szCs w:val="22"/>
        </w:rPr>
        <w:t xml:space="preserve"> o</w:t>
      </w:r>
      <w:r w:rsidR="00493D77" w:rsidRPr="0038054C">
        <w:rPr>
          <w:szCs w:val="22"/>
        </w:rPr>
        <w:t>n December 5, 2014</w:t>
      </w:r>
      <w:r w:rsidR="009F3720" w:rsidRPr="0038054C">
        <w:rPr>
          <w:szCs w:val="22"/>
        </w:rPr>
        <w:t>.</w:t>
      </w:r>
      <w:r w:rsidR="001421E0" w:rsidRPr="0038054C">
        <w:rPr>
          <w:rStyle w:val="FootnoteReference"/>
          <w:szCs w:val="22"/>
        </w:rPr>
        <w:footnoteReference w:id="2"/>
      </w:r>
      <w:r w:rsidR="00493D77">
        <w:rPr>
          <w:szCs w:val="22"/>
        </w:rPr>
        <w:t xml:space="preserve">  </w:t>
      </w:r>
      <w:r w:rsidR="009F3720" w:rsidRPr="0038054C">
        <w:rPr>
          <w:szCs w:val="22"/>
        </w:rPr>
        <w:t xml:space="preserve">Accordingly, the revised rules </w:t>
      </w:r>
      <w:r w:rsidR="003E4C59" w:rsidRPr="0038054C">
        <w:rPr>
          <w:szCs w:val="22"/>
        </w:rPr>
        <w:t xml:space="preserve">will </w:t>
      </w:r>
      <w:r w:rsidR="009F3720" w:rsidRPr="0038054C">
        <w:rPr>
          <w:szCs w:val="22"/>
        </w:rPr>
        <w:t xml:space="preserve">take effect on January 4, 2015, with the exception of revised </w:t>
      </w:r>
      <w:r w:rsidR="00066516">
        <w:rPr>
          <w:szCs w:val="22"/>
        </w:rPr>
        <w:t>S</w:t>
      </w:r>
      <w:r w:rsidR="002C7F5A" w:rsidRPr="0038054C">
        <w:rPr>
          <w:szCs w:val="22"/>
        </w:rPr>
        <w:t>ections 22.165(e), 22.948, and 22.953,</w:t>
      </w:r>
      <w:r w:rsidR="002C7F5A" w:rsidRPr="0038054C">
        <w:rPr>
          <w:rStyle w:val="FootnoteReference"/>
          <w:szCs w:val="22"/>
        </w:rPr>
        <w:footnoteReference w:id="3"/>
      </w:r>
      <w:r w:rsidR="002C7F5A" w:rsidRPr="0038054C">
        <w:rPr>
          <w:szCs w:val="22"/>
        </w:rPr>
        <w:t xml:space="preserve"> which </w:t>
      </w:r>
      <w:r w:rsidR="009F3720" w:rsidRPr="0038054C">
        <w:rPr>
          <w:szCs w:val="22"/>
        </w:rPr>
        <w:t>require prior approval of the Office of Management and Budget un</w:t>
      </w:r>
      <w:r w:rsidR="001421E0" w:rsidRPr="0038054C">
        <w:rPr>
          <w:szCs w:val="22"/>
        </w:rPr>
        <w:t>der the Paperwork Reduction Act.</w:t>
      </w:r>
      <w:r w:rsidR="001421E0" w:rsidRPr="0038054C">
        <w:rPr>
          <w:rStyle w:val="FootnoteReference"/>
          <w:szCs w:val="22"/>
        </w:rPr>
        <w:footnoteReference w:id="4"/>
      </w:r>
      <w:r w:rsidR="00057F48" w:rsidRPr="0038054C">
        <w:rPr>
          <w:szCs w:val="22"/>
        </w:rPr>
        <w:t xml:space="preserve">  T</w:t>
      </w:r>
      <w:r w:rsidR="00094C8A" w:rsidRPr="0038054C">
        <w:rPr>
          <w:szCs w:val="22"/>
        </w:rPr>
        <w:t>o the extent that licensees submit non-compliant or unnecessary filings, such filings wil</w:t>
      </w:r>
      <w:r w:rsidR="002C7F5A" w:rsidRPr="0038054C">
        <w:rPr>
          <w:szCs w:val="22"/>
        </w:rPr>
        <w:t>l be dismissed if not withdrawn.</w:t>
      </w:r>
      <w:r w:rsidR="00F34ACA">
        <w:rPr>
          <w:szCs w:val="22"/>
        </w:rPr>
        <w:t xml:space="preserve"> </w:t>
      </w:r>
      <w:r w:rsidR="009F3720" w:rsidRPr="0038054C">
        <w:rPr>
          <w:szCs w:val="22"/>
        </w:rPr>
        <w:t xml:space="preserve">  </w:t>
      </w:r>
    </w:p>
    <w:p w:rsidR="001421E0" w:rsidRPr="0038054C" w:rsidRDefault="001421E0" w:rsidP="001421E0">
      <w:pPr>
        <w:ind w:firstLine="720"/>
        <w:rPr>
          <w:szCs w:val="22"/>
        </w:rPr>
      </w:pPr>
    </w:p>
    <w:p w:rsidR="003E4C59" w:rsidRPr="0038054C" w:rsidRDefault="001421E0" w:rsidP="001421E0">
      <w:pPr>
        <w:ind w:firstLine="720"/>
        <w:rPr>
          <w:szCs w:val="22"/>
        </w:rPr>
      </w:pPr>
      <w:r w:rsidRPr="0038054C">
        <w:rPr>
          <w:i/>
          <w:szCs w:val="22"/>
        </w:rPr>
        <w:t>Continuing Obligations of Licensees.</w:t>
      </w:r>
      <w:r w:rsidRPr="0038054C">
        <w:rPr>
          <w:szCs w:val="22"/>
        </w:rPr>
        <w:t xml:space="preserve">  </w:t>
      </w:r>
      <w:r w:rsidR="00AB6E31">
        <w:rPr>
          <w:szCs w:val="22"/>
        </w:rPr>
        <w:t xml:space="preserve">We remind </w:t>
      </w:r>
      <w:r w:rsidR="003E4C59" w:rsidRPr="0038054C">
        <w:rPr>
          <w:szCs w:val="22"/>
        </w:rPr>
        <w:t xml:space="preserve">Cellular </w:t>
      </w:r>
      <w:r w:rsidRPr="0038054C">
        <w:rPr>
          <w:szCs w:val="22"/>
        </w:rPr>
        <w:t xml:space="preserve">licensees </w:t>
      </w:r>
      <w:r w:rsidR="00066516">
        <w:rPr>
          <w:szCs w:val="22"/>
        </w:rPr>
        <w:t xml:space="preserve">that they </w:t>
      </w:r>
      <w:r w:rsidR="00094C8A" w:rsidRPr="0038054C">
        <w:rPr>
          <w:szCs w:val="22"/>
        </w:rPr>
        <w:t xml:space="preserve">will </w:t>
      </w:r>
      <w:r w:rsidR="003E4C59" w:rsidRPr="0038054C">
        <w:rPr>
          <w:szCs w:val="22"/>
        </w:rPr>
        <w:t xml:space="preserve">continue to be subject to all applicable </w:t>
      </w:r>
      <w:r w:rsidR="002213A5" w:rsidRPr="0038054C">
        <w:rPr>
          <w:szCs w:val="22"/>
        </w:rPr>
        <w:t xml:space="preserve">rules, </w:t>
      </w:r>
      <w:r w:rsidR="003E4C59" w:rsidRPr="0038054C">
        <w:rPr>
          <w:szCs w:val="22"/>
        </w:rPr>
        <w:t>obligations</w:t>
      </w:r>
      <w:r w:rsidR="002213A5" w:rsidRPr="0038054C">
        <w:rPr>
          <w:szCs w:val="22"/>
        </w:rPr>
        <w:t>,</w:t>
      </w:r>
      <w:r w:rsidR="003E4C59" w:rsidRPr="0038054C">
        <w:rPr>
          <w:szCs w:val="22"/>
        </w:rPr>
        <w:t xml:space="preserve"> and conditions of operation</w:t>
      </w:r>
      <w:r w:rsidR="002213A5" w:rsidRPr="0038054C">
        <w:rPr>
          <w:szCs w:val="22"/>
        </w:rPr>
        <w:t xml:space="preserve">, notwithstanding the </w:t>
      </w:r>
      <w:r w:rsidR="009203E1" w:rsidRPr="0038054C">
        <w:rPr>
          <w:szCs w:val="22"/>
        </w:rPr>
        <w:t xml:space="preserve">elimination or modification of </w:t>
      </w:r>
      <w:r w:rsidR="00066516">
        <w:rPr>
          <w:szCs w:val="22"/>
        </w:rPr>
        <w:t xml:space="preserve">certain </w:t>
      </w:r>
      <w:r w:rsidR="009203E1" w:rsidRPr="0038054C">
        <w:rPr>
          <w:szCs w:val="22"/>
        </w:rPr>
        <w:t xml:space="preserve">filing requirements </w:t>
      </w:r>
      <w:r w:rsidR="00066516">
        <w:rPr>
          <w:szCs w:val="22"/>
        </w:rPr>
        <w:t xml:space="preserve">under the revised rules </w:t>
      </w:r>
      <w:r w:rsidR="009203E1" w:rsidRPr="0038054C">
        <w:rPr>
          <w:szCs w:val="22"/>
        </w:rPr>
        <w:t xml:space="preserve">adopted by the </w:t>
      </w:r>
      <w:r w:rsidR="009203E1" w:rsidRPr="0038054C">
        <w:rPr>
          <w:i/>
          <w:szCs w:val="22"/>
        </w:rPr>
        <w:t>R</w:t>
      </w:r>
      <w:r w:rsidR="00844259">
        <w:rPr>
          <w:i/>
          <w:szCs w:val="22"/>
        </w:rPr>
        <w:t>eport and</w:t>
      </w:r>
      <w:r w:rsidR="00844259" w:rsidRPr="00844259">
        <w:rPr>
          <w:i/>
          <w:szCs w:val="22"/>
        </w:rPr>
        <w:t xml:space="preserve"> Order</w:t>
      </w:r>
      <w:r w:rsidR="00844259">
        <w:rPr>
          <w:szCs w:val="22"/>
        </w:rPr>
        <w:t xml:space="preserve">.  </w:t>
      </w:r>
      <w:r w:rsidR="003E4C59" w:rsidRPr="00844259">
        <w:rPr>
          <w:szCs w:val="22"/>
        </w:rPr>
        <w:t>Key</w:t>
      </w:r>
      <w:r w:rsidR="003E4C59" w:rsidRPr="0038054C">
        <w:rPr>
          <w:szCs w:val="22"/>
        </w:rPr>
        <w:t xml:space="preserve"> among the</w:t>
      </w:r>
      <w:r w:rsidR="009203E1" w:rsidRPr="0038054C">
        <w:rPr>
          <w:szCs w:val="22"/>
        </w:rPr>
        <w:t>se continuing obligations a</w:t>
      </w:r>
      <w:r w:rsidR="003E4C59" w:rsidRPr="0038054C">
        <w:rPr>
          <w:szCs w:val="22"/>
        </w:rPr>
        <w:t>re the following:</w:t>
      </w:r>
    </w:p>
    <w:p w:rsidR="003E4C59" w:rsidRPr="0038054C" w:rsidRDefault="003E4C59" w:rsidP="001421E0">
      <w:pPr>
        <w:ind w:firstLine="720"/>
        <w:rPr>
          <w:szCs w:val="22"/>
        </w:rPr>
      </w:pPr>
    </w:p>
    <w:p w:rsidR="003E4C59" w:rsidRPr="0038054C" w:rsidRDefault="00094C8A" w:rsidP="00094C8A">
      <w:pPr>
        <w:pStyle w:val="ListParagraph"/>
        <w:numPr>
          <w:ilvl w:val="0"/>
          <w:numId w:val="17"/>
        </w:numPr>
        <w:rPr>
          <w:szCs w:val="22"/>
        </w:rPr>
      </w:pPr>
      <w:r w:rsidRPr="0038054C">
        <w:rPr>
          <w:szCs w:val="22"/>
        </w:rPr>
        <w:t xml:space="preserve">Coordination with Canada and Mexico </w:t>
      </w:r>
      <w:r w:rsidR="007E03FD" w:rsidRPr="0038054C">
        <w:rPr>
          <w:szCs w:val="22"/>
        </w:rPr>
        <w:t xml:space="preserve">pursuant to </w:t>
      </w:r>
      <w:r w:rsidRPr="0038054C">
        <w:rPr>
          <w:szCs w:val="22"/>
        </w:rPr>
        <w:t>Sec</w:t>
      </w:r>
      <w:r w:rsidR="007D265F" w:rsidRPr="0038054C">
        <w:rPr>
          <w:szCs w:val="22"/>
        </w:rPr>
        <w:t>tion</w:t>
      </w:r>
      <w:r w:rsidR="00BB2EC5" w:rsidRPr="0038054C">
        <w:rPr>
          <w:szCs w:val="22"/>
        </w:rPr>
        <w:t>s</w:t>
      </w:r>
      <w:r w:rsidRPr="0038054C">
        <w:rPr>
          <w:szCs w:val="22"/>
        </w:rPr>
        <w:t xml:space="preserve"> </w:t>
      </w:r>
      <w:r w:rsidR="00BB2EC5" w:rsidRPr="0038054C">
        <w:rPr>
          <w:szCs w:val="22"/>
        </w:rPr>
        <w:t xml:space="preserve">22.169, 22.955, and </w:t>
      </w:r>
      <w:r w:rsidR="007D265F" w:rsidRPr="0038054C">
        <w:rPr>
          <w:szCs w:val="22"/>
        </w:rPr>
        <w:t>22.957;</w:t>
      </w:r>
      <w:r w:rsidR="007D265F" w:rsidRPr="0038054C">
        <w:rPr>
          <w:rStyle w:val="FootnoteReference"/>
          <w:szCs w:val="22"/>
        </w:rPr>
        <w:footnoteReference w:id="5"/>
      </w:r>
    </w:p>
    <w:p w:rsidR="002213A5" w:rsidRPr="0038054C" w:rsidRDefault="002213A5" w:rsidP="002213A5">
      <w:pPr>
        <w:pStyle w:val="ListParagraph"/>
        <w:ind w:left="1440"/>
        <w:rPr>
          <w:szCs w:val="22"/>
        </w:rPr>
      </w:pPr>
    </w:p>
    <w:p w:rsidR="00CA0FAA" w:rsidRPr="00CA0FAA" w:rsidRDefault="00CA0FAA" w:rsidP="00CA0FAA">
      <w:pPr>
        <w:pStyle w:val="ListParagraph"/>
        <w:ind w:left="1440"/>
        <w:rPr>
          <w:szCs w:val="22"/>
        </w:rPr>
      </w:pPr>
    </w:p>
    <w:p w:rsidR="00CA0FAA" w:rsidRDefault="00CA0FAA" w:rsidP="00CA0FAA">
      <w:pPr>
        <w:pStyle w:val="ListParagraph"/>
      </w:pPr>
    </w:p>
    <w:p w:rsidR="00094C8A" w:rsidRPr="0038054C" w:rsidRDefault="00CF4270" w:rsidP="00094C8A">
      <w:pPr>
        <w:pStyle w:val="ListParagraph"/>
        <w:numPr>
          <w:ilvl w:val="0"/>
          <w:numId w:val="17"/>
        </w:numPr>
        <w:rPr>
          <w:szCs w:val="22"/>
        </w:rPr>
      </w:pPr>
      <w:r w:rsidRPr="009442A3">
        <w:t>Quiet Zone</w:t>
      </w:r>
      <w:r>
        <w:t xml:space="preserve"> </w:t>
      </w:r>
      <w:r w:rsidR="0067388B">
        <w:t>r</w:t>
      </w:r>
      <w:r w:rsidR="009075E9">
        <w:t>equirements pursuant to Section 1.924</w:t>
      </w:r>
      <w:r w:rsidR="009075E9" w:rsidRPr="0038054C">
        <w:rPr>
          <w:rStyle w:val="FootnoteReference"/>
          <w:szCs w:val="22"/>
        </w:rPr>
        <w:footnoteReference w:id="6"/>
      </w:r>
      <w:r w:rsidR="009075E9">
        <w:t xml:space="preserve"> (n</w:t>
      </w:r>
      <w:r>
        <w:t>otification</w:t>
      </w:r>
      <w:r w:rsidR="009075E9">
        <w:t xml:space="preserve">s </w:t>
      </w:r>
      <w:r w:rsidR="00F60872">
        <w:t xml:space="preserve">and </w:t>
      </w:r>
      <w:r>
        <w:t>protection</w:t>
      </w:r>
      <w:r w:rsidR="009075E9">
        <w:t>, as applicable), including, but not limited to</w:t>
      </w:r>
      <w:r w:rsidR="00F60872">
        <w:t>,</w:t>
      </w:r>
      <w:r w:rsidR="009075E9">
        <w:t xml:space="preserve"> notifications </w:t>
      </w:r>
      <w:r w:rsidR="00F60872">
        <w:t xml:space="preserve">to </w:t>
      </w:r>
      <w:r w:rsidR="009075E9">
        <w:t>t</w:t>
      </w:r>
      <w:r w:rsidRPr="009442A3">
        <w:t>he National Radio Astronomy Observatory site at Green Bank, WV, and the National Radio Research Observatory site at Sugar Grove, WV,</w:t>
      </w:r>
      <w:r w:rsidR="002213A5" w:rsidRPr="0038054C">
        <w:rPr>
          <w:szCs w:val="22"/>
        </w:rPr>
        <w:t xml:space="preserve"> for all new </w:t>
      </w:r>
      <w:r w:rsidR="002213A5" w:rsidRPr="0038054C">
        <w:rPr>
          <w:i/>
          <w:szCs w:val="22"/>
        </w:rPr>
        <w:t>and</w:t>
      </w:r>
      <w:r w:rsidR="002213A5" w:rsidRPr="0038054C">
        <w:rPr>
          <w:szCs w:val="22"/>
        </w:rPr>
        <w:t xml:space="preserve"> modified tower sites;</w:t>
      </w:r>
      <w:r w:rsidR="00987010" w:rsidRPr="0038054C">
        <w:rPr>
          <w:rStyle w:val="FootnoteReference"/>
          <w:szCs w:val="22"/>
        </w:rPr>
        <w:footnoteReference w:id="7"/>
      </w:r>
    </w:p>
    <w:p w:rsidR="00987010" w:rsidRPr="0038054C" w:rsidRDefault="00987010" w:rsidP="00987010">
      <w:pPr>
        <w:pStyle w:val="ListParagraph"/>
        <w:rPr>
          <w:szCs w:val="22"/>
        </w:rPr>
      </w:pPr>
    </w:p>
    <w:p w:rsidR="00987010" w:rsidRPr="0038054C" w:rsidRDefault="004609D1" w:rsidP="00094C8A">
      <w:pPr>
        <w:pStyle w:val="ListParagraph"/>
        <w:numPr>
          <w:ilvl w:val="0"/>
          <w:numId w:val="17"/>
        </w:numPr>
        <w:rPr>
          <w:szCs w:val="22"/>
        </w:rPr>
      </w:pPr>
      <w:r>
        <w:rPr>
          <w:szCs w:val="22"/>
        </w:rPr>
        <w:t xml:space="preserve">Filings and other requirements pursuant to </w:t>
      </w:r>
      <w:r w:rsidR="0083660F" w:rsidRPr="0038054C">
        <w:rPr>
          <w:szCs w:val="22"/>
        </w:rPr>
        <w:t>the rules implementing the National Environmental Policy Act of 1969, as amended;</w:t>
      </w:r>
      <w:r w:rsidR="0083660F" w:rsidRPr="0038054C">
        <w:rPr>
          <w:rStyle w:val="FootnoteReference"/>
          <w:szCs w:val="22"/>
        </w:rPr>
        <w:footnoteReference w:id="8"/>
      </w:r>
      <w:r w:rsidR="0038054C" w:rsidRPr="0038054C">
        <w:rPr>
          <w:szCs w:val="22"/>
        </w:rPr>
        <w:t xml:space="preserve"> and </w:t>
      </w:r>
    </w:p>
    <w:p w:rsidR="0038054C" w:rsidRPr="0038054C" w:rsidRDefault="0038054C" w:rsidP="0038054C">
      <w:pPr>
        <w:pStyle w:val="ListParagraph"/>
        <w:rPr>
          <w:szCs w:val="22"/>
        </w:rPr>
      </w:pPr>
    </w:p>
    <w:p w:rsidR="0038054C" w:rsidRPr="0038054C" w:rsidRDefault="0038054C" w:rsidP="00094C8A">
      <w:pPr>
        <w:pStyle w:val="ListParagraph"/>
        <w:numPr>
          <w:ilvl w:val="0"/>
          <w:numId w:val="17"/>
        </w:numPr>
        <w:rPr>
          <w:szCs w:val="22"/>
        </w:rPr>
      </w:pPr>
      <w:r w:rsidRPr="0038054C">
        <w:rPr>
          <w:szCs w:val="22"/>
        </w:rPr>
        <w:t xml:space="preserve">Coordination </w:t>
      </w:r>
      <w:r w:rsidR="00C109C7">
        <w:rPr>
          <w:szCs w:val="22"/>
        </w:rPr>
        <w:t xml:space="preserve">among licensees </w:t>
      </w:r>
      <w:r w:rsidRPr="0038054C">
        <w:rPr>
          <w:szCs w:val="22"/>
        </w:rPr>
        <w:t>of channel usage, pursuant to Section 22.907.</w:t>
      </w:r>
      <w:r w:rsidRPr="0038054C">
        <w:rPr>
          <w:rStyle w:val="FootnoteReference"/>
          <w:szCs w:val="22"/>
        </w:rPr>
        <w:footnoteReference w:id="9"/>
      </w:r>
      <w:r w:rsidRPr="0038054C">
        <w:rPr>
          <w:szCs w:val="22"/>
        </w:rPr>
        <w:t xml:space="preserve"> </w:t>
      </w:r>
    </w:p>
    <w:p w:rsidR="0038054C" w:rsidRPr="0038054C" w:rsidRDefault="0038054C" w:rsidP="0038054C">
      <w:pPr>
        <w:rPr>
          <w:szCs w:val="22"/>
        </w:rPr>
      </w:pPr>
    </w:p>
    <w:p w:rsidR="0038054C" w:rsidRPr="0038054C" w:rsidRDefault="0038054C" w:rsidP="00066516">
      <w:pPr>
        <w:rPr>
          <w:szCs w:val="22"/>
        </w:rPr>
      </w:pPr>
      <w:r w:rsidRPr="0038054C">
        <w:rPr>
          <w:szCs w:val="22"/>
        </w:rPr>
        <w:t>Th</w:t>
      </w:r>
      <w:r>
        <w:rPr>
          <w:szCs w:val="22"/>
        </w:rPr>
        <w:t xml:space="preserve">e list above </w:t>
      </w:r>
      <w:r w:rsidR="0049625C">
        <w:rPr>
          <w:szCs w:val="22"/>
        </w:rPr>
        <w:t xml:space="preserve">is not exhaustive.  </w:t>
      </w:r>
      <w:r w:rsidRPr="0038054C">
        <w:rPr>
          <w:szCs w:val="22"/>
        </w:rPr>
        <w:t>Licensees are responsible for being aware of, and complying with, any and all applicable rules and requirements of th</w:t>
      </w:r>
      <w:r>
        <w:rPr>
          <w:szCs w:val="22"/>
        </w:rPr>
        <w:t xml:space="preserve">eir Cellular Service operations.  They </w:t>
      </w:r>
      <w:r w:rsidR="000B3B0D">
        <w:rPr>
          <w:szCs w:val="22"/>
        </w:rPr>
        <w:t xml:space="preserve">should consult with </w:t>
      </w:r>
      <w:r w:rsidRPr="0038054C">
        <w:rPr>
          <w:szCs w:val="22"/>
        </w:rPr>
        <w:t xml:space="preserve">staff </w:t>
      </w:r>
      <w:r w:rsidR="000B3B0D">
        <w:rPr>
          <w:szCs w:val="22"/>
        </w:rPr>
        <w:t xml:space="preserve">of the Wireless Telecommunications Bureau </w:t>
      </w:r>
      <w:r w:rsidRPr="0038054C">
        <w:rPr>
          <w:szCs w:val="22"/>
        </w:rPr>
        <w:t>if they have questions about particular rules and requirements that remain in effect.</w:t>
      </w:r>
    </w:p>
    <w:p w:rsidR="00094C8A" w:rsidRPr="0038054C" w:rsidRDefault="00094C8A" w:rsidP="002213A5">
      <w:pPr>
        <w:pStyle w:val="ListParagraph"/>
        <w:ind w:left="1440"/>
        <w:rPr>
          <w:szCs w:val="22"/>
        </w:rPr>
      </w:pPr>
    </w:p>
    <w:p w:rsidR="005C7D25" w:rsidRPr="0038054C" w:rsidRDefault="005C7D25" w:rsidP="00AB6E31">
      <w:pPr>
        <w:ind w:firstLine="720"/>
        <w:rPr>
          <w:szCs w:val="22"/>
        </w:rPr>
      </w:pPr>
      <w:r w:rsidRPr="0038054C">
        <w:rPr>
          <w:szCs w:val="22"/>
        </w:rPr>
        <w:t>Action by the Chief, Mobility Division, Wireless Telecommunications Bureau.</w:t>
      </w:r>
    </w:p>
    <w:p w:rsidR="005C7D25" w:rsidRPr="0038054C" w:rsidRDefault="005C7D25" w:rsidP="005C7D25">
      <w:pPr>
        <w:rPr>
          <w:szCs w:val="22"/>
        </w:rPr>
      </w:pPr>
    </w:p>
    <w:p w:rsidR="005C7D25" w:rsidRPr="0038054C" w:rsidRDefault="005C7D25" w:rsidP="005C7D25">
      <w:pPr>
        <w:jc w:val="center"/>
        <w:rPr>
          <w:b/>
          <w:bCs/>
          <w:kern w:val="2"/>
          <w:szCs w:val="22"/>
        </w:rPr>
      </w:pPr>
      <w:r w:rsidRPr="0038054C">
        <w:rPr>
          <w:szCs w:val="22"/>
        </w:rPr>
        <w:t>- FCC -</w:t>
      </w:r>
    </w:p>
    <w:p w:rsidR="00C41AE0" w:rsidRPr="0038054C" w:rsidRDefault="00C41AE0">
      <w:pPr>
        <w:spacing w:after="240"/>
        <w:jc w:val="center"/>
        <w:rPr>
          <w:b/>
          <w:szCs w:val="22"/>
        </w:rPr>
      </w:pPr>
    </w:p>
    <w:p w:rsidR="00C41AE0" w:rsidRPr="0038054C" w:rsidRDefault="00C41AE0">
      <w:pPr>
        <w:spacing w:after="240"/>
        <w:jc w:val="center"/>
        <w:rPr>
          <w:b/>
          <w:szCs w:val="22"/>
        </w:rPr>
      </w:pPr>
    </w:p>
    <w:p w:rsidR="00C41AE0" w:rsidRPr="0038054C" w:rsidRDefault="00C41AE0">
      <w:pPr>
        <w:jc w:val="center"/>
        <w:rPr>
          <w:b/>
          <w:szCs w:val="22"/>
        </w:rPr>
      </w:pPr>
    </w:p>
    <w:p w:rsidR="00C41AE0" w:rsidRPr="0038054C" w:rsidRDefault="00C41AE0">
      <w:pPr>
        <w:jc w:val="center"/>
        <w:rPr>
          <w:szCs w:val="22"/>
        </w:rPr>
      </w:pPr>
    </w:p>
    <w:p w:rsidR="005C7D25" w:rsidRPr="0038054C" w:rsidRDefault="005C7D25">
      <w:pPr>
        <w:spacing w:before="120" w:after="240"/>
        <w:rPr>
          <w:szCs w:val="22"/>
        </w:rPr>
      </w:pPr>
    </w:p>
    <w:sectPr w:rsidR="005C7D25" w:rsidRPr="0038054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07" w:rsidRDefault="00A11D07">
      <w:r>
        <w:separator/>
      </w:r>
    </w:p>
  </w:endnote>
  <w:endnote w:type="continuationSeparator" w:id="0">
    <w:p w:rsidR="00A11D07" w:rsidRDefault="00A1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6A" w:rsidRDefault="00A11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88432"/>
      <w:docPartObj>
        <w:docPartGallery w:val="Page Numbers (Bottom of Page)"/>
        <w:docPartUnique/>
      </w:docPartObj>
    </w:sdtPr>
    <w:sdtEndPr>
      <w:rPr>
        <w:noProof/>
      </w:rPr>
    </w:sdtEndPr>
    <w:sdtContent>
      <w:p w:rsidR="00CF13CF" w:rsidRDefault="00CF13CF">
        <w:pPr>
          <w:pStyle w:val="Footer"/>
          <w:jc w:val="center"/>
        </w:pPr>
        <w:r>
          <w:fldChar w:fldCharType="begin"/>
        </w:r>
        <w:r>
          <w:instrText xml:space="preserve"> PAGE   \* MERGEFORMAT </w:instrText>
        </w:r>
        <w:r>
          <w:fldChar w:fldCharType="separate"/>
        </w:r>
        <w:r w:rsidR="00664CA0">
          <w:rPr>
            <w:noProof/>
          </w:rPr>
          <w:t>2</w:t>
        </w:r>
        <w:r>
          <w:rPr>
            <w:noProof/>
          </w:rPr>
          <w:fldChar w:fldCharType="end"/>
        </w:r>
      </w:p>
    </w:sdtContent>
  </w:sdt>
  <w:p w:rsidR="00CF13CF" w:rsidRDefault="00CF13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6A" w:rsidRDefault="00A11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07" w:rsidRDefault="00A11D07">
      <w:r>
        <w:separator/>
      </w:r>
    </w:p>
  </w:footnote>
  <w:footnote w:type="continuationSeparator" w:id="0">
    <w:p w:rsidR="00A11D07" w:rsidRDefault="00A11D07">
      <w:r>
        <w:continuationSeparator/>
      </w:r>
    </w:p>
  </w:footnote>
  <w:footnote w:id="1">
    <w:p w:rsidR="000F7C75" w:rsidRPr="0049625C" w:rsidRDefault="000F7C75" w:rsidP="000F7C75">
      <w:pPr>
        <w:pStyle w:val="FootnoteText"/>
        <w:spacing w:after="120"/>
        <w:rPr>
          <w:sz w:val="20"/>
        </w:rPr>
      </w:pPr>
      <w:r w:rsidRPr="0049625C">
        <w:rPr>
          <w:rStyle w:val="FootnoteReference"/>
          <w:sz w:val="20"/>
        </w:rPr>
        <w:footnoteRef/>
      </w:r>
      <w:r w:rsidRPr="0049625C">
        <w:rPr>
          <w:sz w:val="20"/>
        </w:rPr>
        <w:t xml:space="preserve"> Amendment of Parts 1 and 22 of the Commission’s Rules with Regard to the Cellular Service, Including Changes in Licensing of Unserved Area (other captions omitted), </w:t>
      </w:r>
      <w:r w:rsidRPr="0049625C">
        <w:rPr>
          <w:i/>
          <w:sz w:val="20"/>
        </w:rPr>
        <w:t>Report and Order and Further Notice of Proposed Rulemaking</w:t>
      </w:r>
      <w:r w:rsidRPr="0049625C">
        <w:rPr>
          <w:sz w:val="20"/>
        </w:rPr>
        <w:t>, WT Docket No. 12-40, RM Nos. 11510 and 11660, FCC 14-181 (rel. Nov. 10, 2014) (“</w:t>
      </w:r>
      <w:r w:rsidRPr="0049625C">
        <w:rPr>
          <w:i/>
          <w:sz w:val="20"/>
        </w:rPr>
        <w:t>R</w:t>
      </w:r>
      <w:r w:rsidR="00844259">
        <w:rPr>
          <w:i/>
          <w:sz w:val="20"/>
        </w:rPr>
        <w:t>eport and Order</w:t>
      </w:r>
      <w:r w:rsidRPr="0049625C">
        <w:rPr>
          <w:sz w:val="20"/>
        </w:rPr>
        <w:t>” and “</w:t>
      </w:r>
      <w:r w:rsidRPr="0049625C">
        <w:rPr>
          <w:i/>
          <w:sz w:val="20"/>
        </w:rPr>
        <w:t>Further Notice</w:t>
      </w:r>
      <w:r w:rsidRPr="0049625C">
        <w:rPr>
          <w:sz w:val="20"/>
        </w:rPr>
        <w:t xml:space="preserve">,” respectively).  </w:t>
      </w:r>
      <w:r>
        <w:rPr>
          <w:sz w:val="20"/>
        </w:rPr>
        <w:t xml:space="preserve">A separate </w:t>
      </w:r>
      <w:r w:rsidRPr="0049625C">
        <w:rPr>
          <w:sz w:val="20"/>
        </w:rPr>
        <w:t xml:space="preserve">Public Notice </w:t>
      </w:r>
      <w:r>
        <w:rPr>
          <w:sz w:val="20"/>
        </w:rPr>
        <w:t xml:space="preserve">will be issued </w:t>
      </w:r>
      <w:r w:rsidRPr="0049625C">
        <w:rPr>
          <w:sz w:val="20"/>
        </w:rPr>
        <w:t xml:space="preserve">once a summary of the </w:t>
      </w:r>
      <w:r w:rsidRPr="0049625C">
        <w:rPr>
          <w:i/>
          <w:sz w:val="20"/>
        </w:rPr>
        <w:t>Further Notice</w:t>
      </w:r>
      <w:r w:rsidRPr="0049625C">
        <w:rPr>
          <w:sz w:val="20"/>
        </w:rPr>
        <w:t xml:space="preserve"> and the proposed rules are published in the </w:t>
      </w:r>
      <w:r w:rsidRPr="0049625C">
        <w:rPr>
          <w:i/>
          <w:sz w:val="20"/>
        </w:rPr>
        <w:t>Federal Register</w:t>
      </w:r>
      <w:r w:rsidRPr="0049625C">
        <w:rPr>
          <w:sz w:val="20"/>
        </w:rPr>
        <w:t xml:space="preserve">.      </w:t>
      </w:r>
    </w:p>
  </w:footnote>
  <w:footnote w:id="2">
    <w:p w:rsidR="001421E0" w:rsidRPr="0049625C" w:rsidRDefault="001421E0" w:rsidP="0049625C">
      <w:pPr>
        <w:pStyle w:val="FootnoteText"/>
        <w:spacing w:after="120"/>
        <w:rPr>
          <w:sz w:val="20"/>
        </w:rPr>
      </w:pPr>
      <w:r w:rsidRPr="0049625C">
        <w:rPr>
          <w:rStyle w:val="FootnoteReference"/>
          <w:sz w:val="20"/>
        </w:rPr>
        <w:footnoteRef/>
      </w:r>
      <w:r w:rsidRPr="0049625C">
        <w:rPr>
          <w:sz w:val="20"/>
        </w:rPr>
        <w:t xml:space="preserve"> </w:t>
      </w:r>
      <w:r w:rsidR="00FD1B5C" w:rsidRPr="0049625C">
        <w:rPr>
          <w:i/>
          <w:sz w:val="20"/>
        </w:rPr>
        <w:t xml:space="preserve">See </w:t>
      </w:r>
      <w:r w:rsidR="00FD1B5C" w:rsidRPr="0049625C">
        <w:rPr>
          <w:sz w:val="20"/>
        </w:rPr>
        <w:t xml:space="preserve">79 Fed. Reg. 72143 (Dec. 5, 2014).  </w:t>
      </w:r>
    </w:p>
  </w:footnote>
  <w:footnote w:id="3">
    <w:p w:rsidR="002C7F5A" w:rsidRPr="0049625C" w:rsidRDefault="002C7F5A" w:rsidP="0049625C">
      <w:pPr>
        <w:pStyle w:val="FootnoteText"/>
        <w:spacing w:after="120"/>
        <w:rPr>
          <w:sz w:val="20"/>
        </w:rPr>
      </w:pPr>
      <w:r w:rsidRPr="0049625C">
        <w:rPr>
          <w:rStyle w:val="FootnoteReference"/>
          <w:sz w:val="20"/>
        </w:rPr>
        <w:footnoteRef/>
      </w:r>
      <w:r w:rsidRPr="0049625C">
        <w:rPr>
          <w:sz w:val="20"/>
        </w:rPr>
        <w:t xml:space="preserve"> 47 C.F.R. §§ 22.165(e), 22.948, and 22.953.  </w:t>
      </w:r>
    </w:p>
  </w:footnote>
  <w:footnote w:id="4">
    <w:p w:rsidR="001421E0" w:rsidRPr="000B3B0D" w:rsidRDefault="001421E0" w:rsidP="0049625C">
      <w:pPr>
        <w:pStyle w:val="FootnoteText"/>
        <w:spacing w:after="120"/>
        <w:rPr>
          <w:sz w:val="20"/>
        </w:rPr>
      </w:pPr>
      <w:r w:rsidRPr="0049625C">
        <w:rPr>
          <w:rStyle w:val="FootnoteReference"/>
          <w:sz w:val="20"/>
        </w:rPr>
        <w:footnoteRef/>
      </w:r>
      <w:r w:rsidRPr="0049625C">
        <w:rPr>
          <w:sz w:val="20"/>
        </w:rPr>
        <w:t xml:space="preserve"> </w:t>
      </w:r>
      <w:r w:rsidR="00057F48" w:rsidRPr="0049625C">
        <w:rPr>
          <w:i/>
          <w:sz w:val="20"/>
        </w:rPr>
        <w:t xml:space="preserve">See </w:t>
      </w:r>
      <w:r w:rsidR="00057F48" w:rsidRPr="0049625C">
        <w:rPr>
          <w:sz w:val="20"/>
        </w:rPr>
        <w:t xml:space="preserve">79 Fed. Reg. 72173 (Dec. 5. 2014) (“Information Collections Being Reviewed by the Federal Communications Commission”).  The existing </w:t>
      </w:r>
      <w:r w:rsidR="00F34ACA" w:rsidRPr="0049625C">
        <w:rPr>
          <w:sz w:val="20"/>
        </w:rPr>
        <w:t xml:space="preserve">provisions </w:t>
      </w:r>
      <w:r w:rsidR="005B0DFF" w:rsidRPr="0049625C">
        <w:rPr>
          <w:sz w:val="20"/>
        </w:rPr>
        <w:t xml:space="preserve">of these three </w:t>
      </w:r>
      <w:r w:rsidR="00057F48" w:rsidRPr="0049625C">
        <w:rPr>
          <w:sz w:val="20"/>
        </w:rPr>
        <w:t xml:space="preserve">rules </w:t>
      </w:r>
      <w:r w:rsidR="005B0DFF" w:rsidRPr="0049625C">
        <w:rPr>
          <w:sz w:val="20"/>
        </w:rPr>
        <w:t xml:space="preserve">will therefore </w:t>
      </w:r>
      <w:r w:rsidR="00057F48" w:rsidRPr="0049625C">
        <w:rPr>
          <w:sz w:val="20"/>
        </w:rPr>
        <w:t xml:space="preserve">remain in </w:t>
      </w:r>
      <w:r w:rsidR="00F34ACA" w:rsidRPr="0049625C">
        <w:rPr>
          <w:sz w:val="20"/>
        </w:rPr>
        <w:t>force</w:t>
      </w:r>
      <w:r w:rsidR="00057F48" w:rsidRPr="0049625C">
        <w:rPr>
          <w:sz w:val="20"/>
        </w:rPr>
        <w:t xml:space="preserve"> until </w:t>
      </w:r>
      <w:r w:rsidR="000B3B0D">
        <w:rPr>
          <w:sz w:val="20"/>
        </w:rPr>
        <w:t xml:space="preserve">a </w:t>
      </w:r>
      <w:r w:rsidR="005B0DFF" w:rsidRPr="0049625C">
        <w:rPr>
          <w:sz w:val="20"/>
        </w:rPr>
        <w:t xml:space="preserve">notice </w:t>
      </w:r>
      <w:r w:rsidR="000B3B0D">
        <w:rPr>
          <w:sz w:val="20"/>
        </w:rPr>
        <w:t xml:space="preserve">is published </w:t>
      </w:r>
      <w:r w:rsidR="005B0DFF" w:rsidRPr="0049625C">
        <w:rPr>
          <w:sz w:val="20"/>
        </w:rPr>
        <w:t xml:space="preserve">in the </w:t>
      </w:r>
      <w:r w:rsidR="005B0DFF" w:rsidRPr="0049625C">
        <w:rPr>
          <w:i/>
          <w:sz w:val="20"/>
        </w:rPr>
        <w:t xml:space="preserve">Federal Register </w:t>
      </w:r>
      <w:r w:rsidR="005B0DFF" w:rsidRPr="0049625C">
        <w:rPr>
          <w:sz w:val="20"/>
        </w:rPr>
        <w:t>announcing the effective date of revised Sections 22.165(e), 22.948, and 22.953.</w:t>
      </w:r>
      <w:r w:rsidR="00D3329A" w:rsidRPr="0049625C">
        <w:rPr>
          <w:sz w:val="20"/>
        </w:rPr>
        <w:t xml:space="preserve">  </w:t>
      </w:r>
      <w:r w:rsidR="00D3329A" w:rsidRPr="0049625C">
        <w:rPr>
          <w:i/>
          <w:sz w:val="20"/>
        </w:rPr>
        <w:t>See R</w:t>
      </w:r>
      <w:r w:rsidR="00CA0FAA">
        <w:rPr>
          <w:i/>
          <w:sz w:val="20"/>
        </w:rPr>
        <w:t>eport and Order</w:t>
      </w:r>
      <w:r w:rsidR="00F34ACA" w:rsidRPr="0049625C">
        <w:rPr>
          <w:i/>
          <w:sz w:val="20"/>
        </w:rPr>
        <w:t xml:space="preserve"> </w:t>
      </w:r>
      <w:r w:rsidR="00F34ACA" w:rsidRPr="0049625C">
        <w:rPr>
          <w:sz w:val="20"/>
        </w:rPr>
        <w:t>¶</w:t>
      </w:r>
      <w:r w:rsidR="001C62C8" w:rsidRPr="0049625C">
        <w:rPr>
          <w:sz w:val="20"/>
        </w:rPr>
        <w:t xml:space="preserve"> 169 (Ordering Clause</w:t>
      </w:r>
      <w:r w:rsidR="00F34ACA" w:rsidRPr="0049625C">
        <w:rPr>
          <w:sz w:val="20"/>
        </w:rPr>
        <w:t>).</w:t>
      </w:r>
      <w:r w:rsidR="00D3329A" w:rsidRPr="0049625C">
        <w:rPr>
          <w:sz w:val="20"/>
        </w:rPr>
        <w:t xml:space="preserve"> </w:t>
      </w:r>
      <w:r w:rsidR="00D3329A" w:rsidRPr="0049625C">
        <w:rPr>
          <w:i/>
          <w:sz w:val="20"/>
        </w:rPr>
        <w:t xml:space="preserve"> </w:t>
      </w:r>
    </w:p>
  </w:footnote>
  <w:footnote w:id="5">
    <w:p w:rsidR="007D265F" w:rsidRPr="0049625C" w:rsidRDefault="007D265F" w:rsidP="0049625C">
      <w:pPr>
        <w:pStyle w:val="FootnoteText"/>
        <w:spacing w:after="120"/>
        <w:rPr>
          <w:b/>
          <w:sz w:val="20"/>
        </w:rPr>
      </w:pPr>
      <w:r w:rsidRPr="0049625C">
        <w:rPr>
          <w:rStyle w:val="FootnoteReference"/>
          <w:sz w:val="20"/>
        </w:rPr>
        <w:footnoteRef/>
      </w:r>
      <w:r w:rsidRPr="0049625C">
        <w:rPr>
          <w:sz w:val="20"/>
        </w:rPr>
        <w:t xml:space="preserve"> 47 C</w:t>
      </w:r>
      <w:r w:rsidR="00BB2EC5" w:rsidRPr="0049625C">
        <w:rPr>
          <w:sz w:val="20"/>
        </w:rPr>
        <w:t>.</w:t>
      </w:r>
      <w:r w:rsidRPr="0049625C">
        <w:rPr>
          <w:sz w:val="20"/>
        </w:rPr>
        <w:t>F</w:t>
      </w:r>
      <w:r w:rsidR="00BB2EC5" w:rsidRPr="0049625C">
        <w:rPr>
          <w:sz w:val="20"/>
        </w:rPr>
        <w:t>.</w:t>
      </w:r>
      <w:r w:rsidRPr="0049625C">
        <w:rPr>
          <w:sz w:val="20"/>
        </w:rPr>
        <w:t>R</w:t>
      </w:r>
      <w:r w:rsidR="00BB2EC5" w:rsidRPr="0049625C">
        <w:rPr>
          <w:sz w:val="20"/>
        </w:rPr>
        <w:t>.</w:t>
      </w:r>
      <w:r w:rsidRPr="0049625C">
        <w:rPr>
          <w:sz w:val="20"/>
        </w:rPr>
        <w:t xml:space="preserve"> §§ </w:t>
      </w:r>
      <w:r w:rsidR="00BB2EC5" w:rsidRPr="0049625C">
        <w:rPr>
          <w:sz w:val="20"/>
        </w:rPr>
        <w:t>22.169</w:t>
      </w:r>
      <w:r w:rsidR="00711684">
        <w:rPr>
          <w:sz w:val="20"/>
        </w:rPr>
        <w:t xml:space="preserve"> (general), </w:t>
      </w:r>
      <w:r w:rsidRPr="0049625C">
        <w:rPr>
          <w:sz w:val="20"/>
        </w:rPr>
        <w:t>22.955</w:t>
      </w:r>
      <w:r w:rsidR="004B1162">
        <w:rPr>
          <w:sz w:val="20"/>
        </w:rPr>
        <w:t xml:space="preserve"> (Canada)</w:t>
      </w:r>
      <w:r w:rsidR="00BB2EC5" w:rsidRPr="0049625C">
        <w:rPr>
          <w:sz w:val="20"/>
        </w:rPr>
        <w:t>,</w:t>
      </w:r>
      <w:r w:rsidRPr="0049625C">
        <w:rPr>
          <w:sz w:val="20"/>
        </w:rPr>
        <w:t xml:space="preserve"> and 22.957</w:t>
      </w:r>
      <w:r w:rsidR="004B1162">
        <w:rPr>
          <w:sz w:val="20"/>
        </w:rPr>
        <w:t xml:space="preserve"> (Mexico)</w:t>
      </w:r>
      <w:r w:rsidRPr="0049625C">
        <w:rPr>
          <w:sz w:val="20"/>
        </w:rPr>
        <w:t xml:space="preserve">.  </w:t>
      </w:r>
      <w:r w:rsidR="00A05BB8" w:rsidRPr="0049625C">
        <w:rPr>
          <w:sz w:val="20"/>
        </w:rPr>
        <w:t xml:space="preserve">For example, if a licensee </w:t>
      </w:r>
      <w:r w:rsidR="00E67A2A" w:rsidRPr="0049625C">
        <w:rPr>
          <w:sz w:val="20"/>
        </w:rPr>
        <w:t xml:space="preserve">operating </w:t>
      </w:r>
      <w:r w:rsidR="00A05BB8" w:rsidRPr="0049625C">
        <w:rPr>
          <w:sz w:val="20"/>
        </w:rPr>
        <w:t xml:space="preserve">near the U.S.-Canadian border modifies </w:t>
      </w:r>
      <w:r w:rsidR="00E67A2A" w:rsidRPr="0049625C">
        <w:rPr>
          <w:sz w:val="20"/>
        </w:rPr>
        <w:t xml:space="preserve">its </w:t>
      </w:r>
      <w:r w:rsidR="00A05BB8" w:rsidRPr="0049625C">
        <w:rPr>
          <w:sz w:val="20"/>
        </w:rPr>
        <w:t xml:space="preserve">existing system to </w:t>
      </w:r>
      <w:r w:rsidR="0042461D" w:rsidRPr="0049625C">
        <w:rPr>
          <w:sz w:val="20"/>
        </w:rPr>
        <w:t xml:space="preserve">extend </w:t>
      </w:r>
      <w:r w:rsidR="00A05BB8" w:rsidRPr="0049625C">
        <w:rPr>
          <w:sz w:val="20"/>
        </w:rPr>
        <w:t>into Unserved Area on a secondary basis by less than 50 contiguous square miles, meaning (under the newly adopted rules) that no filing will be made with the Commission, the licensee must nonetheless comply with 47 C.F.R. §</w:t>
      </w:r>
      <w:r w:rsidR="0042461D" w:rsidRPr="0049625C">
        <w:rPr>
          <w:sz w:val="20"/>
        </w:rPr>
        <w:t>§</w:t>
      </w:r>
      <w:r w:rsidR="00A05BB8" w:rsidRPr="0049625C">
        <w:rPr>
          <w:sz w:val="20"/>
        </w:rPr>
        <w:t xml:space="preserve"> </w:t>
      </w:r>
      <w:r w:rsidR="0042461D" w:rsidRPr="0049625C">
        <w:rPr>
          <w:sz w:val="20"/>
        </w:rPr>
        <w:t xml:space="preserve">22.169 and </w:t>
      </w:r>
      <w:r w:rsidR="00A05BB8" w:rsidRPr="0049625C">
        <w:rPr>
          <w:sz w:val="20"/>
        </w:rPr>
        <w:t xml:space="preserve">22.955. </w:t>
      </w:r>
    </w:p>
  </w:footnote>
  <w:footnote w:id="6">
    <w:p w:rsidR="009075E9" w:rsidRPr="0049625C" w:rsidRDefault="009075E9" w:rsidP="009075E9">
      <w:pPr>
        <w:pStyle w:val="FootnoteText"/>
        <w:spacing w:after="120"/>
        <w:rPr>
          <w:sz w:val="20"/>
        </w:rPr>
      </w:pPr>
      <w:r w:rsidRPr="0049625C">
        <w:rPr>
          <w:rStyle w:val="FootnoteReference"/>
          <w:sz w:val="20"/>
        </w:rPr>
        <w:footnoteRef/>
      </w:r>
      <w:r w:rsidRPr="0049625C">
        <w:rPr>
          <w:sz w:val="20"/>
        </w:rPr>
        <w:t xml:space="preserve"> 47 C.F.R. § 1.924.</w:t>
      </w:r>
    </w:p>
  </w:footnote>
  <w:footnote w:id="7">
    <w:p w:rsidR="00987010" w:rsidRPr="0049625C" w:rsidRDefault="00987010" w:rsidP="0049625C">
      <w:pPr>
        <w:pStyle w:val="FootnoteText"/>
        <w:spacing w:after="120"/>
        <w:rPr>
          <w:sz w:val="20"/>
        </w:rPr>
      </w:pPr>
      <w:r w:rsidRPr="0049625C">
        <w:rPr>
          <w:rStyle w:val="FootnoteReference"/>
          <w:sz w:val="20"/>
        </w:rPr>
        <w:footnoteRef/>
      </w:r>
      <w:r w:rsidRPr="0049625C">
        <w:rPr>
          <w:sz w:val="20"/>
        </w:rPr>
        <w:t xml:space="preserve"> </w:t>
      </w:r>
      <w:r w:rsidR="003810C0" w:rsidRPr="0049625C">
        <w:rPr>
          <w:sz w:val="20"/>
        </w:rPr>
        <w:t>For example, if a licensee modifies its existing system to extend into Unserved Area on a secondary basis by less than 50 contiguous square miles, meaning (under the newly adopted rules) that no filing will be made with the Commission, the licensee must nonetheless comply with 47 C.F.R. §</w:t>
      </w:r>
      <w:r w:rsidR="003810C0">
        <w:rPr>
          <w:sz w:val="20"/>
        </w:rPr>
        <w:t xml:space="preserve"> 1.924(a).  L</w:t>
      </w:r>
      <w:r w:rsidRPr="0049625C">
        <w:rPr>
          <w:sz w:val="20"/>
        </w:rPr>
        <w:t>icensees modifying existing sites</w:t>
      </w:r>
      <w:r w:rsidR="003810C0">
        <w:rPr>
          <w:sz w:val="20"/>
        </w:rPr>
        <w:t xml:space="preserve"> may not rely on a prior notification made under 47 C.F.R. § 1.924; </w:t>
      </w:r>
      <w:r w:rsidR="00830067">
        <w:rPr>
          <w:sz w:val="20"/>
        </w:rPr>
        <w:t xml:space="preserve">a new </w:t>
      </w:r>
      <w:r w:rsidRPr="0049625C">
        <w:rPr>
          <w:sz w:val="20"/>
        </w:rPr>
        <w:t xml:space="preserve">notification </w:t>
      </w:r>
      <w:r w:rsidR="00830067">
        <w:rPr>
          <w:sz w:val="20"/>
        </w:rPr>
        <w:t xml:space="preserve">is required and </w:t>
      </w:r>
      <w:r w:rsidRPr="0049625C">
        <w:rPr>
          <w:sz w:val="20"/>
        </w:rPr>
        <w:t xml:space="preserve">must </w:t>
      </w:r>
      <w:r w:rsidR="00CA77AB">
        <w:rPr>
          <w:sz w:val="20"/>
        </w:rPr>
        <w:t xml:space="preserve">include detailed accurate technical data to </w:t>
      </w:r>
      <w:r w:rsidR="00CA77AB" w:rsidRPr="0049625C">
        <w:rPr>
          <w:sz w:val="20"/>
        </w:rPr>
        <w:t>reflect the new modification(s)</w:t>
      </w:r>
      <w:r w:rsidR="003810C0">
        <w:rPr>
          <w:sz w:val="20"/>
        </w:rPr>
        <w:t xml:space="preserve">.  </w:t>
      </w:r>
      <w:r w:rsidRPr="0049625C">
        <w:rPr>
          <w:sz w:val="20"/>
        </w:rPr>
        <w:t xml:space="preserve"> </w:t>
      </w:r>
    </w:p>
  </w:footnote>
  <w:footnote w:id="8">
    <w:p w:rsidR="0083660F" w:rsidRPr="0049625C" w:rsidRDefault="0083660F" w:rsidP="0049625C">
      <w:pPr>
        <w:pStyle w:val="FootnoteText"/>
        <w:spacing w:after="120"/>
        <w:rPr>
          <w:sz w:val="20"/>
        </w:rPr>
      </w:pPr>
      <w:r w:rsidRPr="0049625C">
        <w:rPr>
          <w:rStyle w:val="FootnoteReference"/>
          <w:sz w:val="20"/>
        </w:rPr>
        <w:footnoteRef/>
      </w:r>
      <w:r w:rsidRPr="0049625C">
        <w:rPr>
          <w:sz w:val="20"/>
        </w:rPr>
        <w:t xml:space="preserve"> </w:t>
      </w:r>
      <w:r w:rsidRPr="0049625C">
        <w:rPr>
          <w:i/>
          <w:sz w:val="20"/>
        </w:rPr>
        <w:t xml:space="preserve">See </w:t>
      </w:r>
      <w:r w:rsidRPr="0049625C">
        <w:rPr>
          <w:sz w:val="20"/>
        </w:rPr>
        <w:t xml:space="preserve">47 C.F.R. Part 1, Subpart I, §§ 1.1301 </w:t>
      </w:r>
      <w:r w:rsidRPr="0049625C">
        <w:rPr>
          <w:i/>
          <w:sz w:val="20"/>
        </w:rPr>
        <w:t>et seq</w:t>
      </w:r>
      <w:r w:rsidRPr="0049625C">
        <w:rPr>
          <w:sz w:val="20"/>
        </w:rPr>
        <w:t>.</w:t>
      </w:r>
    </w:p>
  </w:footnote>
  <w:footnote w:id="9">
    <w:p w:rsidR="0038054C" w:rsidRPr="0049625C" w:rsidRDefault="0038054C" w:rsidP="0049625C">
      <w:pPr>
        <w:pStyle w:val="FootnoteText"/>
        <w:spacing w:after="120"/>
        <w:rPr>
          <w:sz w:val="20"/>
        </w:rPr>
      </w:pPr>
      <w:r w:rsidRPr="0049625C">
        <w:rPr>
          <w:rStyle w:val="FootnoteReference"/>
          <w:sz w:val="20"/>
        </w:rPr>
        <w:footnoteRef/>
      </w:r>
      <w:r w:rsidRPr="0049625C">
        <w:rPr>
          <w:sz w:val="20"/>
        </w:rPr>
        <w:t xml:space="preserve"> 47 C.F.R. § 22.907.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6A" w:rsidRDefault="00A110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6A" w:rsidRDefault="00A110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E0" w:rsidRDefault="005C7D2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D1DF1DC" wp14:editId="00D47731">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EBB">
      <w:rPr>
        <w:rFonts w:ascii="News Gothic MT" w:hAnsi="News Gothic MT"/>
        <w:b/>
        <w:kern w:val="28"/>
        <w:sz w:val="96"/>
      </w:rPr>
      <w:t>PUBLIC NOTICE</w:t>
    </w:r>
  </w:p>
  <w:p w:rsidR="00C41AE0" w:rsidRDefault="0073788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D8C1BF2" wp14:editId="03191EE2">
              <wp:simplePos x="0" y="0"/>
              <wp:positionH relativeFrom="column">
                <wp:posOffset>3595642</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AE0" w:rsidRDefault="006A7EBB">
                          <w:pPr>
                            <w:spacing w:before="40"/>
                            <w:jc w:val="right"/>
                            <w:rPr>
                              <w:rFonts w:ascii="Arial" w:hAnsi="Arial"/>
                              <w:b/>
                              <w:sz w:val="16"/>
                            </w:rPr>
                          </w:pPr>
                          <w:r>
                            <w:rPr>
                              <w:rFonts w:ascii="Arial" w:hAnsi="Arial"/>
                              <w:b/>
                              <w:sz w:val="16"/>
                            </w:rPr>
                            <w:t>News Media Information 202 / 418-0500</w:t>
                          </w:r>
                        </w:p>
                        <w:p w:rsidR="00C41AE0" w:rsidRDefault="006A7EB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C41AE0" w:rsidRDefault="006A7EBB">
                          <w:pPr>
                            <w:jc w:val="right"/>
                            <w:rPr>
                              <w:rFonts w:ascii="Arial" w:hAnsi="Arial"/>
                              <w:b/>
                              <w:sz w:val="16"/>
                            </w:rPr>
                          </w:pPr>
                          <w:r>
                            <w:rPr>
                              <w:rFonts w:ascii="Arial" w:hAnsi="Arial"/>
                              <w:b/>
                              <w:sz w:val="16"/>
                            </w:rPr>
                            <w:t>TTY: 1-888-835-5322</w:t>
                          </w:r>
                        </w:p>
                        <w:p w:rsidR="00C41AE0" w:rsidRDefault="00C41AE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3.1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CYEktDfAAAACgEAAA8AAABkcnMvZG93bnJldi54bWxMjzFPwzAQhXck/oN1SGzUrkWjNsSpUAUD&#10;E6Jl6ebERxIan6PYbUN/PcdEx9P79N53xXryvTjhGLtABuYzBQKpDq6jxsDn7vVhCSImS872gdDA&#10;D0ZYl7c3hc1dONMHnrapEVxCMbcG2pSGXMpYt+htnIUBibOvMHqb+Bwb6UZ75nLfS61UJr3tiBda&#10;O+CmxfqwPXoDb/vx/WUf1SXoKm2+60PYXeSjMfd30/MTiIRT+ofhT5/VoWSnKhzJRdEbWGSZZtSA&#10;VgsQDKyWeg6iYlJlK5BlIa9fKH8BAAD//wMAUEsBAi0AFAAGAAgAAAAhALaDOJL+AAAA4QEAABMA&#10;AAAAAAAAAAAAAAAAAAAAAFtDb250ZW50X1R5cGVzXS54bWxQSwECLQAUAAYACAAAACEAOP0h/9YA&#10;AACUAQAACwAAAAAAAAAAAAAAAAAvAQAAX3JlbHMvLnJlbHNQSwECLQAUAAYACAAAACEAqTESPX8C&#10;AAAHBQAADgAAAAAAAAAAAAAAAAAuAgAAZHJzL2Uyb0RvYy54bWxQSwECLQAUAAYACAAAACEAJgSS&#10;0N8AAAAKAQAADwAAAAAAAAAAAAAAAADZBAAAZHJzL2Rvd25yZXYueG1sUEsFBgAAAAAEAAQA8wAA&#10;AOUFAAAAAA==&#10;" o:allowincell="f" stroked="f">
              <v:textbox inset=",0,,0">
                <w:txbxContent>
                  <w:p w:rsidR="00C41AE0" w:rsidRDefault="006A7EBB">
                    <w:pPr>
                      <w:spacing w:before="40"/>
                      <w:jc w:val="right"/>
                      <w:rPr>
                        <w:rFonts w:ascii="Arial" w:hAnsi="Arial"/>
                        <w:b/>
                        <w:sz w:val="16"/>
                      </w:rPr>
                    </w:pPr>
                    <w:r>
                      <w:rPr>
                        <w:rFonts w:ascii="Arial" w:hAnsi="Arial"/>
                        <w:b/>
                        <w:sz w:val="16"/>
                      </w:rPr>
                      <w:t>News Media Information 202 / 418-0500</w:t>
                    </w:r>
                  </w:p>
                  <w:p w:rsidR="00C41AE0" w:rsidRDefault="006A7EBB">
                    <w:pPr>
                      <w:jc w:val="right"/>
                      <w:rPr>
                        <w:rFonts w:ascii="Arial" w:hAnsi="Arial"/>
                        <w:b/>
                        <w:sz w:val="16"/>
                      </w:rPr>
                    </w:pPr>
                    <w:r>
                      <w:rPr>
                        <w:rFonts w:ascii="Arial" w:hAnsi="Arial"/>
                        <w:b/>
                        <w:sz w:val="16"/>
                      </w:rPr>
                      <w:tab/>
                      <w:t xml:space="preserve">Internet: </w:t>
                    </w:r>
                    <w:bookmarkStart w:id="6" w:name="_Hlt233824"/>
                    <w:r>
                      <w:rPr>
                        <w:rFonts w:ascii="Arial" w:hAnsi="Arial"/>
                        <w:b/>
                        <w:sz w:val="16"/>
                      </w:rPr>
                      <w:t>h</w:t>
                    </w:r>
                    <w:bookmarkEnd w:id="6"/>
                    <w:r>
                      <w:rPr>
                        <w:rFonts w:ascii="Arial" w:hAnsi="Arial"/>
                        <w:b/>
                        <w:sz w:val="16"/>
                      </w:rPr>
                      <w:t>ttp://www.fcc.gov</w:t>
                    </w:r>
                  </w:p>
                  <w:p w:rsidR="00C41AE0" w:rsidRDefault="006A7EBB">
                    <w:pPr>
                      <w:jc w:val="right"/>
                      <w:rPr>
                        <w:rFonts w:ascii="Arial" w:hAnsi="Arial"/>
                        <w:b/>
                        <w:sz w:val="16"/>
                      </w:rPr>
                    </w:pPr>
                    <w:r>
                      <w:rPr>
                        <w:rFonts w:ascii="Arial" w:hAnsi="Arial"/>
                        <w:b/>
                        <w:sz w:val="16"/>
                      </w:rPr>
                      <w:t>TTY: 1-888-835-5322</w:t>
                    </w:r>
                  </w:p>
                  <w:p w:rsidR="00C41AE0" w:rsidRDefault="00C41AE0">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3EA8C16" wp14:editId="580CC91C">
              <wp:simplePos x="0" y="0"/>
              <wp:positionH relativeFrom="column">
                <wp:posOffset>-88265</wp:posOffset>
              </wp:positionH>
              <wp:positionV relativeFrom="paragraph">
                <wp:posOffset>31115</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AE0" w:rsidRDefault="006A7EBB">
                          <w:pPr>
                            <w:rPr>
                              <w:rFonts w:ascii="Arial" w:hAnsi="Arial"/>
                              <w:b/>
                            </w:rPr>
                          </w:pPr>
                          <w:r>
                            <w:rPr>
                              <w:rFonts w:ascii="Arial" w:hAnsi="Arial"/>
                              <w:b/>
                            </w:rPr>
                            <w:t>Federal Communications Commission</w:t>
                          </w:r>
                        </w:p>
                        <w:p w:rsidR="00C41AE0" w:rsidRDefault="006A7E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41AE0" w:rsidRDefault="006A7EB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95pt;margin-top:2.4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Iac97N4AAAAJAQAADwAAAGRycy9kb3ducmV2LnhtbEyPwU7DQAxE70j8w8qVuKB2U0gb&#10;GrKpAAnEtaUf4CRuEjXrjbLbJv17zImebGtG4zfZdrKdutDgW8cGlosIFHHpqpZrA4efz/kLKB+Q&#10;K+wck4Eredjm93cZppUbeUeXfaiVhLBP0UATQp9q7cuGLPqF64lFO7rBYpBzqHU14CjhttNPUbTW&#10;FluWDw329NFQedqfrYHj9/i42ozFVzgku3j9jm1SuKsxD7Pp7RVUoCn8m+EPX9AhF6bCnbnyqjMw&#10;Xz5vxGogliF6nKwSUIUYI1l0nunbBvkvAAAA//8DAFBLAQItABQABgAIAAAAIQC2gziS/gAAAOEB&#10;AAATAAAAAAAAAAAAAAAAAAAAAABbQ29udGVudF9UeXBlc10ueG1sUEsBAi0AFAAGAAgAAAAhADj9&#10;If/WAAAAlAEAAAsAAAAAAAAAAAAAAAAALwEAAF9yZWxzLy5yZWxzUEsBAi0AFAAGAAgAAAAhADIy&#10;rrWEAgAAFgUAAA4AAAAAAAAAAAAAAAAALgIAAGRycy9lMm9Eb2MueG1sUEsBAi0AFAAGAAgAAAAh&#10;ACGnPezeAAAACQEAAA8AAAAAAAAAAAAAAAAA3gQAAGRycy9kb3ducmV2LnhtbFBLBQYAAAAABAAE&#10;APMAAADpBQAAAAA=&#10;" o:allowincell="f" stroked="f">
              <v:textbox>
                <w:txbxContent>
                  <w:p w:rsidR="00C41AE0" w:rsidRDefault="006A7EBB">
                    <w:pPr>
                      <w:rPr>
                        <w:rFonts w:ascii="Arial" w:hAnsi="Arial"/>
                        <w:b/>
                      </w:rPr>
                    </w:pPr>
                    <w:r>
                      <w:rPr>
                        <w:rFonts w:ascii="Arial" w:hAnsi="Arial"/>
                        <w:b/>
                      </w:rPr>
                      <w:t>Federal Communications Commission</w:t>
                    </w:r>
                  </w:p>
                  <w:p w:rsidR="00C41AE0" w:rsidRDefault="006A7E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41AE0" w:rsidRDefault="006A7EBB">
                    <w:pPr>
                      <w:rPr>
                        <w:rFonts w:ascii="Arial" w:hAnsi="Arial"/>
                        <w:sz w:val="24"/>
                      </w:rPr>
                    </w:pPr>
                    <w:r>
                      <w:rPr>
                        <w:rFonts w:ascii="Arial" w:hAnsi="Arial"/>
                        <w:b/>
                      </w:rPr>
                      <w:t>Washington, D.C. 20554</w:t>
                    </w:r>
                  </w:p>
                </w:txbxContent>
              </v:textbox>
            </v:shape>
          </w:pict>
        </mc:Fallback>
      </mc:AlternateContent>
    </w:r>
    <w:r w:rsidR="005C7D25">
      <w:rPr>
        <w:rFonts w:ascii="Arial" w:hAnsi="Arial"/>
        <w:b/>
        <w:noProof/>
      </w:rPr>
      <mc:AlternateContent>
        <mc:Choice Requires="wps">
          <w:drawing>
            <wp:anchor distT="0" distB="0" distL="114300" distR="114300" simplePos="0" relativeHeight="251657216" behindDoc="0" locked="0" layoutInCell="0" allowOverlap="1" wp14:anchorId="049BB2F2" wp14:editId="642CB0F9">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009075E9">
      <w:rPr>
        <w:rFonts w:ascii="Arial" w:hAnsi="Arial"/>
        <w:b/>
        <w:sz w:val="28"/>
      </w:rPr>
      <w:t xml:space="preserve">rev. </w:t>
    </w:r>
  </w:p>
  <w:p w:rsidR="00C41AE0" w:rsidRPr="00E613DE" w:rsidRDefault="00C41AE0" w:rsidP="0061318E">
    <w:pPr>
      <w:pStyle w:val="Header"/>
      <w:tabs>
        <w:tab w:val="clear" w:pos="4320"/>
        <w:tab w:val="clear" w:pos="8640"/>
        <w:tab w:val="left" w:pos="1080"/>
      </w:tabs>
      <w:rPr>
        <w:rFonts w:ascii="Arial" w:hAnsi="Arial"/>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FF8"/>
    <w:multiLevelType w:val="hybridMultilevel"/>
    <w:tmpl w:val="7C2E764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2">
    <w:nsid w:val="2106182D"/>
    <w:multiLevelType w:val="hybridMultilevel"/>
    <w:tmpl w:val="6008A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3"/>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5"/>
  </w:num>
  <w:num w:numId="13">
    <w:abstractNumId w:val="1"/>
  </w:num>
  <w:num w:numId="14">
    <w:abstractNumId w:val="10"/>
  </w:num>
  <w:num w:numId="15">
    <w:abstractNumId w:val="4"/>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25"/>
    <w:rsid w:val="000069AB"/>
    <w:rsid w:val="0004386A"/>
    <w:rsid w:val="00057F48"/>
    <w:rsid w:val="00066516"/>
    <w:rsid w:val="00094C8A"/>
    <w:rsid w:val="000B3B0D"/>
    <w:rsid w:val="000F7C75"/>
    <w:rsid w:val="001421E0"/>
    <w:rsid w:val="001C62C8"/>
    <w:rsid w:val="002213A5"/>
    <w:rsid w:val="00263999"/>
    <w:rsid w:val="00296EEE"/>
    <w:rsid w:val="002C7F5A"/>
    <w:rsid w:val="0038054C"/>
    <w:rsid w:val="003810C0"/>
    <w:rsid w:val="003E4C59"/>
    <w:rsid w:val="003F7C76"/>
    <w:rsid w:val="0042461D"/>
    <w:rsid w:val="004609D1"/>
    <w:rsid w:val="00493D77"/>
    <w:rsid w:val="0049625C"/>
    <w:rsid w:val="004B1162"/>
    <w:rsid w:val="005529C3"/>
    <w:rsid w:val="00586BAA"/>
    <w:rsid w:val="005B0DFF"/>
    <w:rsid w:val="005C7D25"/>
    <w:rsid w:val="0061318E"/>
    <w:rsid w:val="00664CA0"/>
    <w:rsid w:val="0067388B"/>
    <w:rsid w:val="0067543B"/>
    <w:rsid w:val="006A7EBB"/>
    <w:rsid w:val="00711684"/>
    <w:rsid w:val="00737884"/>
    <w:rsid w:val="007D265F"/>
    <w:rsid w:val="007E03FD"/>
    <w:rsid w:val="00830067"/>
    <w:rsid w:val="0083660F"/>
    <w:rsid w:val="00844259"/>
    <w:rsid w:val="008F3F2D"/>
    <w:rsid w:val="009075E9"/>
    <w:rsid w:val="00914AB9"/>
    <w:rsid w:val="009203E1"/>
    <w:rsid w:val="00987010"/>
    <w:rsid w:val="009F3720"/>
    <w:rsid w:val="00A05BB8"/>
    <w:rsid w:val="00A1106A"/>
    <w:rsid w:val="00A11D07"/>
    <w:rsid w:val="00AB6E31"/>
    <w:rsid w:val="00AC277B"/>
    <w:rsid w:val="00AD416B"/>
    <w:rsid w:val="00AD5A1D"/>
    <w:rsid w:val="00AD5DB7"/>
    <w:rsid w:val="00BB2EC5"/>
    <w:rsid w:val="00C109C7"/>
    <w:rsid w:val="00C41AE0"/>
    <w:rsid w:val="00CA0FAA"/>
    <w:rsid w:val="00CA77AB"/>
    <w:rsid w:val="00CF13CF"/>
    <w:rsid w:val="00CF4270"/>
    <w:rsid w:val="00D16424"/>
    <w:rsid w:val="00D3329A"/>
    <w:rsid w:val="00D77882"/>
    <w:rsid w:val="00DC698D"/>
    <w:rsid w:val="00E26C7A"/>
    <w:rsid w:val="00E613DE"/>
    <w:rsid w:val="00E67A2A"/>
    <w:rsid w:val="00F059EB"/>
    <w:rsid w:val="00F34ACA"/>
    <w:rsid w:val="00F60872"/>
    <w:rsid w:val="00FD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CF13CF"/>
    <w:rPr>
      <w:sz w:val="22"/>
    </w:rPr>
  </w:style>
  <w:style w:type="paragraph" w:styleId="BalloonText">
    <w:name w:val="Balloon Text"/>
    <w:basedOn w:val="Normal"/>
    <w:link w:val="BalloonTextChar"/>
    <w:uiPriority w:val="99"/>
    <w:semiHidden/>
    <w:unhideWhenUsed/>
    <w:rsid w:val="00737884"/>
    <w:rPr>
      <w:rFonts w:ascii="Tahoma" w:hAnsi="Tahoma" w:cs="Tahoma"/>
      <w:sz w:val="16"/>
      <w:szCs w:val="16"/>
    </w:rPr>
  </w:style>
  <w:style w:type="character" w:customStyle="1" w:styleId="BalloonTextChar">
    <w:name w:val="Balloon Text Char"/>
    <w:basedOn w:val="DefaultParagraphFont"/>
    <w:link w:val="BalloonText"/>
    <w:uiPriority w:val="99"/>
    <w:semiHidden/>
    <w:rsid w:val="00737884"/>
    <w:rPr>
      <w:rFonts w:ascii="Tahoma" w:hAnsi="Tahoma" w:cs="Tahoma"/>
      <w:sz w:val="16"/>
      <w:szCs w:val="16"/>
    </w:rPr>
  </w:style>
  <w:style w:type="paragraph" w:styleId="ListParagraph">
    <w:name w:val="List Paragraph"/>
    <w:basedOn w:val="Normal"/>
    <w:uiPriority w:val="34"/>
    <w:qFormat/>
    <w:rsid w:val="003E4C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CF13CF"/>
    <w:rPr>
      <w:sz w:val="22"/>
    </w:rPr>
  </w:style>
  <w:style w:type="paragraph" w:styleId="BalloonText">
    <w:name w:val="Balloon Text"/>
    <w:basedOn w:val="Normal"/>
    <w:link w:val="BalloonTextChar"/>
    <w:uiPriority w:val="99"/>
    <w:semiHidden/>
    <w:unhideWhenUsed/>
    <w:rsid w:val="00737884"/>
    <w:rPr>
      <w:rFonts w:ascii="Tahoma" w:hAnsi="Tahoma" w:cs="Tahoma"/>
      <w:sz w:val="16"/>
      <w:szCs w:val="16"/>
    </w:rPr>
  </w:style>
  <w:style w:type="character" w:customStyle="1" w:styleId="BalloonTextChar">
    <w:name w:val="Balloon Text Char"/>
    <w:basedOn w:val="DefaultParagraphFont"/>
    <w:link w:val="BalloonText"/>
    <w:uiPriority w:val="99"/>
    <w:semiHidden/>
    <w:rsid w:val="00737884"/>
    <w:rPr>
      <w:rFonts w:ascii="Tahoma" w:hAnsi="Tahoma" w:cs="Tahoma"/>
      <w:sz w:val="16"/>
      <w:szCs w:val="16"/>
    </w:rPr>
  </w:style>
  <w:style w:type="paragraph" w:styleId="ListParagraph">
    <w:name w:val="List Paragraph"/>
    <w:basedOn w:val="Normal"/>
    <w:uiPriority w:val="34"/>
    <w:qFormat/>
    <w:rsid w:val="003E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2020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2371</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2014-12-08T19:50:00Z</cp:lastPrinted>
  <dcterms:created xsi:type="dcterms:W3CDTF">2014-12-10T20:23:00Z</dcterms:created>
  <dcterms:modified xsi:type="dcterms:W3CDTF">2014-12-10T20:23:00Z</dcterms:modified>
  <cp:category> </cp:category>
  <cp:contentStatus> </cp:contentStatus>
</cp:coreProperties>
</file>