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6AE4" w14:textId="4FACD10E" w:rsidR="004C2EE3" w:rsidRDefault="004C2EE3" w:rsidP="00D0491D">
      <w:pPr>
        <w:jc w:val="center"/>
        <w:rPr>
          <w:b/>
        </w:rPr>
      </w:pPr>
      <w:bookmarkStart w:id="0" w:name="_GoBack"/>
      <w:bookmarkEnd w:id="0"/>
      <w:r w:rsidRPr="0070224F">
        <w:rPr>
          <w:rFonts w:ascii="Times New Roman Bold" w:hAnsi="Times New Roman Bold"/>
          <w:b/>
        </w:rPr>
        <w:t>Before</w:t>
      </w:r>
      <w:r>
        <w:rPr>
          <w:b/>
        </w:rPr>
        <w:t xml:space="preserve"> the</w:t>
      </w:r>
    </w:p>
    <w:p w14:paraId="38B399ED" w14:textId="77777777" w:rsidR="00921803" w:rsidRDefault="00921803" w:rsidP="00921803">
      <w:pPr>
        <w:pStyle w:val="StyleBoldCentered"/>
      </w:pPr>
      <w:r>
        <w:t>F</w:t>
      </w:r>
      <w:r>
        <w:rPr>
          <w:caps w:val="0"/>
        </w:rPr>
        <w:t>ederal Communications Commission</w:t>
      </w:r>
    </w:p>
    <w:p w14:paraId="5D24DE8E" w14:textId="77777777" w:rsidR="004C2EE3" w:rsidRDefault="00810B6F" w:rsidP="00096D8C">
      <w:pPr>
        <w:pStyle w:val="StyleBoldCentered"/>
      </w:pPr>
      <w:r>
        <w:rPr>
          <w:caps w:val="0"/>
        </w:rPr>
        <w:t>Washington, D.C. 20554</w:t>
      </w:r>
    </w:p>
    <w:p w14:paraId="6A7AD609" w14:textId="77777777" w:rsidR="004C2EE3" w:rsidRDefault="004C2EE3" w:rsidP="0070224F"/>
    <w:p w14:paraId="0571F90E"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C259145" w14:textId="77777777">
        <w:tc>
          <w:tcPr>
            <w:tcW w:w="4698" w:type="dxa"/>
          </w:tcPr>
          <w:p w14:paraId="006C4324" w14:textId="77777777" w:rsidR="004C2EE3" w:rsidRDefault="004C2EE3">
            <w:pPr>
              <w:tabs>
                <w:tab w:val="center" w:pos="4680"/>
              </w:tabs>
              <w:suppressAutoHyphens/>
              <w:rPr>
                <w:spacing w:val="-2"/>
              </w:rPr>
            </w:pPr>
            <w:r>
              <w:rPr>
                <w:spacing w:val="-2"/>
              </w:rPr>
              <w:t>In the Matter of</w:t>
            </w:r>
          </w:p>
          <w:p w14:paraId="54586045" w14:textId="77777777" w:rsidR="004C2EE3" w:rsidRDefault="004C2EE3">
            <w:pPr>
              <w:tabs>
                <w:tab w:val="center" w:pos="4680"/>
              </w:tabs>
              <w:suppressAutoHyphens/>
              <w:rPr>
                <w:spacing w:val="-2"/>
              </w:rPr>
            </w:pPr>
          </w:p>
          <w:p w14:paraId="5D7206A4" w14:textId="77777777" w:rsidR="004C2EE3" w:rsidRDefault="0009056B" w:rsidP="007115F7">
            <w:pPr>
              <w:tabs>
                <w:tab w:val="center" w:pos="4680"/>
              </w:tabs>
              <w:suppressAutoHyphens/>
              <w:rPr>
                <w:spacing w:val="-2"/>
              </w:rPr>
            </w:pPr>
            <w:r>
              <w:rPr>
                <w:spacing w:val="-2"/>
              </w:rPr>
              <w:t>Vermont Telephone Company, Inc</w:t>
            </w:r>
            <w:r w:rsidR="007A1F7C">
              <w:rPr>
                <w:spacing w:val="-2"/>
              </w:rPr>
              <w:t>.</w:t>
            </w:r>
          </w:p>
          <w:p w14:paraId="7A75A322" w14:textId="77777777" w:rsidR="007A1F7C" w:rsidRDefault="007A1F7C" w:rsidP="007115F7">
            <w:pPr>
              <w:tabs>
                <w:tab w:val="center" w:pos="4680"/>
              </w:tabs>
              <w:suppressAutoHyphens/>
              <w:rPr>
                <w:spacing w:val="-2"/>
              </w:rPr>
            </w:pPr>
          </w:p>
          <w:p w14:paraId="0E003C3A" w14:textId="77777777" w:rsidR="007A1F7C" w:rsidRPr="007115F7" w:rsidRDefault="007A1F7C" w:rsidP="007115F7">
            <w:pPr>
              <w:tabs>
                <w:tab w:val="center" w:pos="4680"/>
              </w:tabs>
              <w:suppressAutoHyphens/>
              <w:rPr>
                <w:spacing w:val="-2"/>
              </w:rPr>
            </w:pPr>
            <w:r>
              <w:rPr>
                <w:spacing w:val="-2"/>
              </w:rPr>
              <w:t>Participant in Auction No. 86</w:t>
            </w:r>
          </w:p>
        </w:tc>
        <w:tc>
          <w:tcPr>
            <w:tcW w:w="630" w:type="dxa"/>
          </w:tcPr>
          <w:p w14:paraId="3A132DB3" w14:textId="77777777" w:rsidR="004C2EE3" w:rsidRDefault="004C2EE3">
            <w:pPr>
              <w:tabs>
                <w:tab w:val="center" w:pos="4680"/>
              </w:tabs>
              <w:suppressAutoHyphens/>
              <w:rPr>
                <w:b/>
                <w:spacing w:val="-2"/>
              </w:rPr>
            </w:pPr>
            <w:r>
              <w:rPr>
                <w:b/>
                <w:spacing w:val="-2"/>
              </w:rPr>
              <w:t>)</w:t>
            </w:r>
          </w:p>
          <w:p w14:paraId="0CCD0173" w14:textId="77777777" w:rsidR="004C2EE3" w:rsidRDefault="004C2EE3">
            <w:pPr>
              <w:tabs>
                <w:tab w:val="center" w:pos="4680"/>
              </w:tabs>
              <w:suppressAutoHyphens/>
              <w:rPr>
                <w:b/>
                <w:spacing w:val="-2"/>
              </w:rPr>
            </w:pPr>
            <w:r>
              <w:rPr>
                <w:b/>
                <w:spacing w:val="-2"/>
              </w:rPr>
              <w:t>)</w:t>
            </w:r>
          </w:p>
          <w:p w14:paraId="2FBD4EF4" w14:textId="77777777" w:rsidR="004C2EE3" w:rsidRDefault="004C2EE3">
            <w:pPr>
              <w:tabs>
                <w:tab w:val="center" w:pos="4680"/>
              </w:tabs>
              <w:suppressAutoHyphens/>
              <w:rPr>
                <w:b/>
                <w:spacing w:val="-2"/>
              </w:rPr>
            </w:pPr>
            <w:r>
              <w:rPr>
                <w:b/>
                <w:spacing w:val="-2"/>
              </w:rPr>
              <w:t>)</w:t>
            </w:r>
          </w:p>
          <w:p w14:paraId="0C8AA6A2" w14:textId="77777777" w:rsidR="004C2EE3" w:rsidRDefault="004C2EE3">
            <w:pPr>
              <w:tabs>
                <w:tab w:val="center" w:pos="4680"/>
              </w:tabs>
              <w:suppressAutoHyphens/>
              <w:rPr>
                <w:b/>
                <w:spacing w:val="-2"/>
              </w:rPr>
            </w:pPr>
            <w:r>
              <w:rPr>
                <w:b/>
                <w:spacing w:val="-2"/>
              </w:rPr>
              <w:t>)</w:t>
            </w:r>
          </w:p>
          <w:p w14:paraId="3E274CF9" w14:textId="77777777" w:rsidR="004C2EE3" w:rsidRDefault="004C2EE3">
            <w:pPr>
              <w:tabs>
                <w:tab w:val="center" w:pos="4680"/>
              </w:tabs>
              <w:suppressAutoHyphens/>
              <w:rPr>
                <w:b/>
                <w:spacing w:val="-2"/>
              </w:rPr>
            </w:pPr>
            <w:r>
              <w:rPr>
                <w:b/>
                <w:spacing w:val="-2"/>
              </w:rPr>
              <w:t>)</w:t>
            </w:r>
          </w:p>
          <w:p w14:paraId="04C0C82C" w14:textId="77777777" w:rsidR="004C2EE3" w:rsidRDefault="004C2EE3">
            <w:pPr>
              <w:tabs>
                <w:tab w:val="center" w:pos="4680"/>
              </w:tabs>
              <w:suppressAutoHyphens/>
              <w:rPr>
                <w:b/>
                <w:spacing w:val="-2"/>
              </w:rPr>
            </w:pPr>
            <w:r>
              <w:rPr>
                <w:b/>
                <w:spacing w:val="-2"/>
              </w:rPr>
              <w:t>)</w:t>
            </w:r>
          </w:p>
          <w:p w14:paraId="72CC000C" w14:textId="77777777" w:rsidR="004C2EE3" w:rsidRDefault="004C2EE3">
            <w:pPr>
              <w:tabs>
                <w:tab w:val="center" w:pos="4680"/>
              </w:tabs>
              <w:suppressAutoHyphens/>
              <w:rPr>
                <w:b/>
                <w:spacing w:val="-2"/>
              </w:rPr>
            </w:pPr>
            <w:r>
              <w:rPr>
                <w:b/>
                <w:spacing w:val="-2"/>
              </w:rPr>
              <w:t>)</w:t>
            </w:r>
          </w:p>
          <w:p w14:paraId="172AB1D1" w14:textId="77777777" w:rsidR="004C2EE3" w:rsidRDefault="004C2EE3">
            <w:pPr>
              <w:tabs>
                <w:tab w:val="center" w:pos="4680"/>
              </w:tabs>
              <w:suppressAutoHyphens/>
              <w:rPr>
                <w:b/>
                <w:spacing w:val="-2"/>
              </w:rPr>
            </w:pPr>
            <w:r>
              <w:rPr>
                <w:b/>
                <w:spacing w:val="-2"/>
              </w:rPr>
              <w:t>)</w:t>
            </w:r>
          </w:p>
          <w:p w14:paraId="5BF45027" w14:textId="77777777" w:rsidR="004C2EE3" w:rsidRDefault="004C2EE3">
            <w:pPr>
              <w:tabs>
                <w:tab w:val="center" w:pos="4680"/>
              </w:tabs>
              <w:suppressAutoHyphens/>
              <w:rPr>
                <w:spacing w:val="-2"/>
              </w:rPr>
            </w:pPr>
            <w:r>
              <w:rPr>
                <w:b/>
                <w:spacing w:val="-2"/>
              </w:rPr>
              <w:t>)</w:t>
            </w:r>
          </w:p>
        </w:tc>
        <w:tc>
          <w:tcPr>
            <w:tcW w:w="4248" w:type="dxa"/>
          </w:tcPr>
          <w:p w14:paraId="46B3CEF8" w14:textId="77777777" w:rsidR="004C2EE3" w:rsidRDefault="004C2EE3">
            <w:pPr>
              <w:pStyle w:val="TOAHeading"/>
              <w:tabs>
                <w:tab w:val="clear" w:pos="9360"/>
                <w:tab w:val="center" w:pos="4680"/>
              </w:tabs>
              <w:rPr>
                <w:spacing w:val="-2"/>
              </w:rPr>
            </w:pPr>
          </w:p>
          <w:p w14:paraId="7B17E206" w14:textId="77777777" w:rsidR="007A1F7C" w:rsidRPr="007A1F7C" w:rsidRDefault="007A1F7C" w:rsidP="007A1F7C"/>
          <w:p w14:paraId="5E46E987" w14:textId="77777777" w:rsidR="004C2EE3" w:rsidRDefault="007A1F7C">
            <w:pPr>
              <w:tabs>
                <w:tab w:val="center" w:pos="4680"/>
              </w:tabs>
              <w:suppressAutoHyphens/>
              <w:rPr>
                <w:spacing w:val="-2"/>
              </w:rPr>
            </w:pPr>
            <w:r>
              <w:rPr>
                <w:spacing w:val="-2"/>
              </w:rPr>
              <w:t>File No.:  E</w:t>
            </w:r>
            <w:r w:rsidR="0009056B">
              <w:rPr>
                <w:spacing w:val="-2"/>
              </w:rPr>
              <w:t>B</w:t>
            </w:r>
            <w:r>
              <w:rPr>
                <w:spacing w:val="-2"/>
              </w:rPr>
              <w:t>-IHD-13-00010654</w:t>
            </w:r>
            <w:r w:rsidR="00A2328C">
              <w:rPr>
                <w:rStyle w:val="FootnoteReference"/>
                <w:lang w:val="es-ES_tradnl"/>
              </w:rPr>
              <w:footnoteReference w:id="2"/>
            </w:r>
          </w:p>
          <w:p w14:paraId="6179C8B7" w14:textId="77777777" w:rsidR="007A1F7C" w:rsidRDefault="007A1F7C">
            <w:pPr>
              <w:tabs>
                <w:tab w:val="center" w:pos="4680"/>
              </w:tabs>
              <w:suppressAutoHyphens/>
              <w:rPr>
                <w:spacing w:val="-2"/>
              </w:rPr>
            </w:pPr>
          </w:p>
          <w:p w14:paraId="18160B2B" w14:textId="77777777" w:rsidR="007A1F7C" w:rsidRDefault="007A1F7C">
            <w:pPr>
              <w:tabs>
                <w:tab w:val="center" w:pos="4680"/>
              </w:tabs>
              <w:suppressAutoHyphens/>
              <w:rPr>
                <w:spacing w:val="-2"/>
              </w:rPr>
            </w:pPr>
            <w:r>
              <w:rPr>
                <w:spacing w:val="-2"/>
              </w:rPr>
              <w:t>NAL/Acct. No.:  201232080004</w:t>
            </w:r>
          </w:p>
          <w:p w14:paraId="20B73FAC" w14:textId="77777777" w:rsidR="007A1F7C" w:rsidRDefault="007A1F7C">
            <w:pPr>
              <w:tabs>
                <w:tab w:val="center" w:pos="4680"/>
              </w:tabs>
              <w:suppressAutoHyphens/>
              <w:rPr>
                <w:spacing w:val="-2"/>
              </w:rPr>
            </w:pPr>
          </w:p>
          <w:p w14:paraId="3112752A" w14:textId="77777777" w:rsidR="007A1F7C" w:rsidRDefault="007A1F7C">
            <w:pPr>
              <w:tabs>
                <w:tab w:val="center" w:pos="4680"/>
              </w:tabs>
              <w:suppressAutoHyphens/>
              <w:rPr>
                <w:spacing w:val="-2"/>
              </w:rPr>
            </w:pPr>
            <w:r>
              <w:rPr>
                <w:spacing w:val="-2"/>
              </w:rPr>
              <w:t xml:space="preserve">FRN:  </w:t>
            </w:r>
            <w:r w:rsidR="00D90F9E">
              <w:rPr>
                <w:spacing w:val="-2"/>
              </w:rPr>
              <w:t>0</w:t>
            </w:r>
            <w:r>
              <w:rPr>
                <w:spacing w:val="-2"/>
              </w:rPr>
              <w:t>005209374</w:t>
            </w:r>
          </w:p>
        </w:tc>
      </w:tr>
    </w:tbl>
    <w:p w14:paraId="3842C2B5" w14:textId="77777777" w:rsidR="004C2EE3" w:rsidRDefault="004C2EE3" w:rsidP="0070224F"/>
    <w:p w14:paraId="74346DE5" w14:textId="77777777" w:rsidR="00841AB1" w:rsidRDefault="00A2328C" w:rsidP="00F021FA">
      <w:pPr>
        <w:pStyle w:val="StyleBoldCentered"/>
      </w:pPr>
      <w:r>
        <w:t>foRfeiture order</w:t>
      </w:r>
    </w:p>
    <w:p w14:paraId="1A68E9B9" w14:textId="77777777" w:rsidR="004C2EE3" w:rsidRDefault="004C2EE3">
      <w:pPr>
        <w:tabs>
          <w:tab w:val="left" w:pos="-720"/>
        </w:tabs>
        <w:suppressAutoHyphens/>
        <w:spacing w:line="227" w:lineRule="auto"/>
        <w:rPr>
          <w:spacing w:val="-2"/>
        </w:rPr>
      </w:pPr>
    </w:p>
    <w:p w14:paraId="45DB1787" w14:textId="27C72EF9" w:rsidR="004C2EE3" w:rsidRPr="00FD69C6" w:rsidRDefault="004C2EE3" w:rsidP="00133F79">
      <w:pPr>
        <w:tabs>
          <w:tab w:val="left" w:pos="720"/>
          <w:tab w:val="right" w:pos="9360"/>
        </w:tabs>
        <w:suppressAutoHyphens/>
        <w:spacing w:line="227" w:lineRule="auto"/>
        <w:rPr>
          <w:spacing w:val="-2"/>
        </w:rPr>
      </w:pPr>
      <w:r w:rsidRPr="00FD69C6">
        <w:rPr>
          <w:b/>
          <w:spacing w:val="-2"/>
        </w:rPr>
        <w:t xml:space="preserve">Adopted:  </w:t>
      </w:r>
      <w:r w:rsidR="00921144">
        <w:rPr>
          <w:b/>
          <w:spacing w:val="-2"/>
        </w:rPr>
        <w:t>December 22</w:t>
      </w:r>
      <w:r w:rsidR="007A1F7C" w:rsidRPr="00FD69C6">
        <w:rPr>
          <w:b/>
          <w:spacing w:val="-2"/>
        </w:rPr>
        <w:t>, 2014</w:t>
      </w:r>
      <w:r w:rsidRPr="00FD69C6">
        <w:rPr>
          <w:b/>
          <w:spacing w:val="-2"/>
        </w:rPr>
        <w:tab/>
      </w:r>
      <w:r w:rsidR="00822CE0" w:rsidRPr="00FD69C6">
        <w:rPr>
          <w:b/>
          <w:spacing w:val="-2"/>
        </w:rPr>
        <w:t>Released</w:t>
      </w:r>
      <w:r w:rsidRPr="00FD69C6">
        <w:rPr>
          <w:b/>
          <w:spacing w:val="-2"/>
        </w:rPr>
        <w:t>:</w:t>
      </w:r>
      <w:r w:rsidR="00822CE0" w:rsidRPr="00FD69C6">
        <w:rPr>
          <w:b/>
          <w:spacing w:val="-2"/>
        </w:rPr>
        <w:t xml:space="preserve"> </w:t>
      </w:r>
      <w:r w:rsidRPr="00FD69C6">
        <w:rPr>
          <w:b/>
          <w:spacing w:val="-2"/>
        </w:rPr>
        <w:t xml:space="preserve"> </w:t>
      </w:r>
      <w:r w:rsidR="00921144">
        <w:rPr>
          <w:b/>
          <w:spacing w:val="-2"/>
        </w:rPr>
        <w:t>December 23</w:t>
      </w:r>
      <w:r w:rsidR="007A1F7C" w:rsidRPr="00FD69C6">
        <w:rPr>
          <w:b/>
          <w:spacing w:val="-2"/>
        </w:rPr>
        <w:t>, 2014</w:t>
      </w:r>
    </w:p>
    <w:p w14:paraId="01226E2A" w14:textId="77777777" w:rsidR="00822CE0" w:rsidRPr="00FD69C6" w:rsidRDefault="00822CE0"/>
    <w:p w14:paraId="20E8E5C0" w14:textId="77777777" w:rsidR="00822CE0" w:rsidRPr="00FD69C6" w:rsidRDefault="004C2EE3">
      <w:pPr>
        <w:rPr>
          <w:spacing w:val="-2"/>
        </w:rPr>
      </w:pPr>
      <w:r w:rsidRPr="00FD69C6">
        <w:t xml:space="preserve">By </w:t>
      </w:r>
      <w:r w:rsidR="004E4A22" w:rsidRPr="00FD69C6">
        <w:t>the</w:t>
      </w:r>
      <w:r w:rsidR="002A2D2E" w:rsidRPr="00FD69C6">
        <w:t xml:space="preserve"> </w:t>
      </w:r>
      <w:r w:rsidR="00F1052E" w:rsidRPr="00FD69C6">
        <w:rPr>
          <w:spacing w:val="-2"/>
        </w:rPr>
        <w:t>Chief</w:t>
      </w:r>
      <w:r w:rsidR="007A1F7C" w:rsidRPr="00FD69C6">
        <w:rPr>
          <w:spacing w:val="-2"/>
        </w:rPr>
        <w:t>, Enforcement Bureau</w:t>
      </w:r>
      <w:r w:rsidRPr="00FD69C6">
        <w:rPr>
          <w:spacing w:val="-2"/>
        </w:rPr>
        <w:t>:</w:t>
      </w:r>
    </w:p>
    <w:p w14:paraId="21C2BBD6" w14:textId="77777777" w:rsidR="00412FC5" w:rsidRPr="00FD69C6" w:rsidRDefault="00412FC5" w:rsidP="00412FC5"/>
    <w:p w14:paraId="46ACD1DA" w14:textId="77777777" w:rsidR="002C00E8" w:rsidRPr="00FD69C6" w:rsidRDefault="007A1F7C" w:rsidP="002C00E8">
      <w:pPr>
        <w:pStyle w:val="Heading1"/>
      </w:pPr>
      <w:r w:rsidRPr="00FD69C6">
        <w:t>INtroduction</w:t>
      </w:r>
    </w:p>
    <w:p w14:paraId="2F87D32B" w14:textId="596C2C31" w:rsidR="00EA02A6" w:rsidRDefault="00EA02A6" w:rsidP="00A16C31">
      <w:pPr>
        <w:pStyle w:val="ParaNum"/>
      </w:pPr>
      <w:r>
        <w:t xml:space="preserve">We </w:t>
      </w:r>
      <w:r w:rsidR="00F1052E" w:rsidRPr="00FD69C6">
        <w:t>impose a penalty of $</w:t>
      </w:r>
      <w:r w:rsidR="00D537D4" w:rsidRPr="00FD69C6">
        <w:t>25</w:t>
      </w:r>
      <w:r w:rsidR="00F1052E" w:rsidRPr="00FD69C6">
        <w:t xml:space="preserve">,000 against Vermont Telephone Company, Inc. (VTel) for failing to submit accurate </w:t>
      </w:r>
      <w:r w:rsidR="0075423D" w:rsidRPr="00FD69C6">
        <w:t xml:space="preserve">gross </w:t>
      </w:r>
      <w:r w:rsidR="00F1052E" w:rsidRPr="00FD69C6">
        <w:t xml:space="preserve">revenue information to the Commission in connection with </w:t>
      </w:r>
      <w:r w:rsidR="00CD78B9">
        <w:t xml:space="preserve">the bidding </w:t>
      </w:r>
      <w:r w:rsidR="0089333B">
        <w:t xml:space="preserve">credit </w:t>
      </w:r>
      <w:r w:rsidR="00CD78B9">
        <w:t xml:space="preserve">it received through </w:t>
      </w:r>
      <w:r w:rsidR="00F1052E" w:rsidRPr="00FD69C6">
        <w:t xml:space="preserve">its participation </w:t>
      </w:r>
      <w:r w:rsidR="004950DC">
        <w:t xml:space="preserve">as a Designated Entity </w:t>
      </w:r>
      <w:r w:rsidR="00F1052E" w:rsidRPr="00FD69C6">
        <w:t>in Auction No. 86</w:t>
      </w:r>
      <w:r w:rsidR="004950DC">
        <w:t xml:space="preserve">.  </w:t>
      </w:r>
    </w:p>
    <w:p w14:paraId="6EFB76DD" w14:textId="7C915343" w:rsidR="009735FE" w:rsidRDefault="004E5647" w:rsidP="00A16C31">
      <w:pPr>
        <w:pStyle w:val="ParaNum"/>
      </w:pPr>
      <w:r>
        <w:t>T</w:t>
      </w:r>
      <w:r w:rsidR="0075423D" w:rsidRPr="00FD69C6">
        <w:t>he Com</w:t>
      </w:r>
      <w:r w:rsidR="00AC6388">
        <w:t>munications Act (the Act</w:t>
      </w:r>
      <w:r w:rsidR="0075423D" w:rsidRPr="00FD69C6">
        <w:t xml:space="preserve">) requires that when the Commission prescribes regulations </w:t>
      </w:r>
      <w:r>
        <w:t xml:space="preserve">for </w:t>
      </w:r>
      <w:r w:rsidR="0075423D" w:rsidRPr="00FD69C6">
        <w:t>competitive bidding, it shall “ensure that small businesses, rural telephone companies, and businesses owned by members of minority groups and women are given the opportunity to participate in the provision of spectrum-based services, and, for such purposes, consider the use of . . . bidding preferences.”</w:t>
      </w:r>
      <w:r w:rsidR="0075423D" w:rsidRPr="00FD69C6">
        <w:rPr>
          <w:rStyle w:val="FootnoteReference"/>
        </w:rPr>
        <w:footnoteReference w:id="3"/>
      </w:r>
      <w:r w:rsidR="0075423D" w:rsidRPr="00FD69C6">
        <w:t xml:space="preserve">  At the same time, the Act requires the Commission to “prevent unjust enrichment as a result of the methods employed to issue licenses . . . .”</w:t>
      </w:r>
      <w:r w:rsidR="00BA021B">
        <w:rPr>
          <w:rStyle w:val="FootnoteReference"/>
        </w:rPr>
        <w:footnoteReference w:id="4"/>
      </w:r>
      <w:r w:rsidR="0075423D" w:rsidRPr="00FD69C6">
        <w:t xml:space="preserve">  The Commission has recognized that the uniform and accurate reporting of gross revenues is an “essential element” of identifying small businesses that are eligible for bidding credits.</w:t>
      </w:r>
      <w:r w:rsidR="0075423D" w:rsidRPr="00FD69C6">
        <w:rPr>
          <w:rStyle w:val="FootnoteReference"/>
        </w:rPr>
        <w:footnoteReference w:id="5"/>
      </w:r>
      <w:r w:rsidR="0075423D" w:rsidRPr="00FD69C6">
        <w:t xml:space="preserve"> </w:t>
      </w:r>
    </w:p>
    <w:p w14:paraId="26E7D8E6" w14:textId="7CABA120" w:rsidR="00F1052E" w:rsidRPr="00FD69C6" w:rsidRDefault="00EA02A6" w:rsidP="00A73555">
      <w:pPr>
        <w:pStyle w:val="ParaNum"/>
      </w:pPr>
      <w:r w:rsidRPr="00FD69C6">
        <w:t xml:space="preserve">VTel </w:t>
      </w:r>
      <w:r>
        <w:t xml:space="preserve">has </w:t>
      </w:r>
      <w:r w:rsidRPr="00FD69C6">
        <w:t>urge</w:t>
      </w:r>
      <w:r>
        <w:t>d</w:t>
      </w:r>
      <w:r w:rsidRPr="00FD69C6">
        <w:t xml:space="preserve"> us to cancel </w:t>
      </w:r>
      <w:r w:rsidR="00A73555">
        <w:t>the</w:t>
      </w:r>
      <w:r>
        <w:t xml:space="preserve"> </w:t>
      </w:r>
      <w:r w:rsidRPr="00FD69C6">
        <w:t>proposed forfeiture based on</w:t>
      </w:r>
      <w:r w:rsidR="00A73555">
        <w:t>:</w:t>
      </w:r>
      <w:r w:rsidRPr="00FD69C6">
        <w:t xml:space="preserve"> </w:t>
      </w:r>
      <w:r>
        <w:t xml:space="preserve">(i) </w:t>
      </w:r>
      <w:r w:rsidRPr="00FD69C6">
        <w:t>its asserted</w:t>
      </w:r>
      <w:r>
        <w:t xml:space="preserve"> and mistaken</w:t>
      </w:r>
      <w:r w:rsidRPr="00FD69C6">
        <w:t xml:space="preserve"> belief that the gross revenues</w:t>
      </w:r>
      <w:r>
        <w:t xml:space="preserve"> at issue in this case</w:t>
      </w:r>
      <w:r w:rsidRPr="00FD69C6">
        <w:t xml:space="preserve"> were not </w:t>
      </w:r>
      <w:r>
        <w:t>attributable to VTel under the Commission’s r</w:t>
      </w:r>
      <w:r w:rsidRPr="00FD69C6">
        <w:t>ules</w:t>
      </w:r>
      <w:r>
        <w:t xml:space="preserve"> (Rules) and (ii) its contention that, </w:t>
      </w:r>
      <w:r w:rsidRPr="00FD69C6">
        <w:t>even if the revenues in question were required to be disclosed, VTel had a reasonable basis for believing its filings were correct and that the omission was not material.</w:t>
      </w:r>
      <w:r w:rsidR="00BA021B">
        <w:rPr>
          <w:rStyle w:val="FootnoteReference"/>
        </w:rPr>
        <w:footnoteReference w:id="6"/>
      </w:r>
      <w:r>
        <w:t xml:space="preserve">  After reviewing VTel’s response to the NAL, we find no reason to cancel, withdraw, or </w:t>
      </w:r>
      <w:r>
        <w:lastRenderedPageBreak/>
        <w:t xml:space="preserve">reduce the proposed </w:t>
      </w:r>
      <w:r w:rsidR="004950DC">
        <w:t>$25,000</w:t>
      </w:r>
      <w:r w:rsidR="003B5DF4" w:rsidRPr="00FD69C6">
        <w:t xml:space="preserve"> </w:t>
      </w:r>
      <w:r>
        <w:t xml:space="preserve">penalty </w:t>
      </w:r>
      <w:r w:rsidR="003B5DF4" w:rsidRPr="00FD69C6">
        <w:t>for willfully and repeated</w:t>
      </w:r>
      <w:r w:rsidR="003E448E" w:rsidRPr="00FD69C6">
        <w:t>ly</w:t>
      </w:r>
      <w:r w:rsidR="003B5DF4" w:rsidRPr="00FD69C6">
        <w:t xml:space="preserve"> vio</w:t>
      </w:r>
      <w:r w:rsidR="00D537D4" w:rsidRPr="00FD69C6">
        <w:t xml:space="preserve">lating </w:t>
      </w:r>
      <w:r w:rsidR="00AC1CB3">
        <w:t>S</w:t>
      </w:r>
      <w:r w:rsidR="00AC1CB3" w:rsidRPr="00FD69C6">
        <w:t xml:space="preserve">ection </w:t>
      </w:r>
      <w:r w:rsidR="00396E40" w:rsidRPr="00FD69C6">
        <w:t>1.17</w:t>
      </w:r>
      <w:r w:rsidR="003B5DF4" w:rsidRPr="00FD69C6">
        <w:t xml:space="preserve"> of the </w:t>
      </w:r>
      <w:r w:rsidR="00AC6388">
        <w:t>Rules</w:t>
      </w:r>
      <w:r w:rsidR="003B5DF4" w:rsidRPr="00FD69C6">
        <w:rPr>
          <w:rStyle w:val="FootnoteReference"/>
          <w:szCs w:val="22"/>
        </w:rPr>
        <w:footnoteReference w:id="7"/>
      </w:r>
      <w:r w:rsidR="00D537D4" w:rsidRPr="00FD69C6">
        <w:t xml:space="preserve"> </w:t>
      </w:r>
      <w:r>
        <w:t xml:space="preserve">but we do </w:t>
      </w:r>
      <w:r w:rsidR="00396E40" w:rsidRPr="00FD69C6">
        <w:t xml:space="preserve">cancel the proposed </w:t>
      </w:r>
      <w:r>
        <w:t xml:space="preserve">$9,000 penalty </w:t>
      </w:r>
      <w:r w:rsidR="00396E40" w:rsidRPr="00FD69C6">
        <w:t xml:space="preserve">for </w:t>
      </w:r>
      <w:r w:rsidR="004950DC">
        <w:t xml:space="preserve">VTel’s apparent </w:t>
      </w:r>
      <w:r w:rsidR="00396E40" w:rsidRPr="00FD69C6">
        <w:t xml:space="preserve">violation of </w:t>
      </w:r>
      <w:r w:rsidR="00AC1CB3">
        <w:t>S</w:t>
      </w:r>
      <w:r w:rsidR="00396E40" w:rsidRPr="00FD69C6">
        <w:t>ection 1.65</w:t>
      </w:r>
      <w:r w:rsidR="00AC6388">
        <w:t xml:space="preserve"> of the </w:t>
      </w:r>
      <w:r w:rsidR="008A249B" w:rsidRPr="00FD69C6">
        <w:t>Rules.</w:t>
      </w:r>
      <w:r w:rsidR="008A249B" w:rsidRPr="00FD69C6">
        <w:rPr>
          <w:rStyle w:val="FootnoteReference"/>
        </w:rPr>
        <w:footnoteReference w:id="8"/>
      </w:r>
      <w:r w:rsidR="00396E40" w:rsidRPr="00FD69C6">
        <w:t xml:space="preserve"> </w:t>
      </w:r>
    </w:p>
    <w:p w14:paraId="2778C7AC" w14:textId="77777777" w:rsidR="007A1F7C" w:rsidRPr="00FD69C6" w:rsidRDefault="007A1F7C" w:rsidP="007A1F7C">
      <w:pPr>
        <w:pStyle w:val="Heading1"/>
      </w:pPr>
      <w:r w:rsidRPr="00FD69C6">
        <w:t>background</w:t>
      </w:r>
    </w:p>
    <w:p w14:paraId="5F90DC56" w14:textId="6A10D450" w:rsidR="00902EDD" w:rsidRPr="00BE50AE" w:rsidRDefault="00902EDD" w:rsidP="00902EDD">
      <w:pPr>
        <w:pStyle w:val="ParaNum"/>
        <w:rPr>
          <w:szCs w:val="22"/>
        </w:rPr>
      </w:pPr>
      <w:r w:rsidRPr="001C4C61">
        <w:rPr>
          <w:szCs w:val="22"/>
        </w:rPr>
        <w:t xml:space="preserve">VTel was a winning bidder for three </w:t>
      </w:r>
      <w:r w:rsidR="00AC6388" w:rsidRPr="00AC1CB3">
        <w:rPr>
          <w:szCs w:val="22"/>
        </w:rPr>
        <w:t>Broadband Radio Service (BRS</w:t>
      </w:r>
      <w:r w:rsidRPr="00AC1CB3">
        <w:rPr>
          <w:szCs w:val="22"/>
        </w:rPr>
        <w:t xml:space="preserve">) licenses </w:t>
      </w:r>
      <w:r w:rsidRPr="001C4C61">
        <w:rPr>
          <w:szCs w:val="22"/>
        </w:rPr>
        <w:t xml:space="preserve">in </w:t>
      </w:r>
      <w:r w:rsidR="00035913">
        <w:rPr>
          <w:szCs w:val="22"/>
        </w:rPr>
        <w:t>A</w:t>
      </w:r>
      <w:r w:rsidRPr="001C4C61">
        <w:rPr>
          <w:szCs w:val="22"/>
        </w:rPr>
        <w:t xml:space="preserve">uction </w:t>
      </w:r>
      <w:r w:rsidR="00035913">
        <w:rPr>
          <w:szCs w:val="22"/>
        </w:rPr>
        <w:t xml:space="preserve">No. </w:t>
      </w:r>
      <w:r w:rsidRPr="001C4C61">
        <w:rPr>
          <w:szCs w:val="22"/>
        </w:rPr>
        <w:t xml:space="preserve">86.  </w:t>
      </w:r>
      <w:r w:rsidR="007D0B34" w:rsidRPr="001C4C61">
        <w:rPr>
          <w:szCs w:val="22"/>
        </w:rPr>
        <w:t>On its</w:t>
      </w:r>
      <w:r w:rsidR="00847BEF" w:rsidRPr="001C4C61">
        <w:rPr>
          <w:szCs w:val="22"/>
        </w:rPr>
        <w:t xml:space="preserve"> “short-form” applicatio</w:t>
      </w:r>
      <w:r w:rsidR="00847BEF" w:rsidRPr="00643BB7">
        <w:rPr>
          <w:szCs w:val="22"/>
        </w:rPr>
        <w:t>n to participate in the a</w:t>
      </w:r>
      <w:r w:rsidR="001C4C61">
        <w:rPr>
          <w:szCs w:val="22"/>
        </w:rPr>
        <w:t>u</w:t>
      </w:r>
      <w:r w:rsidR="00847BEF" w:rsidRPr="001C4C61">
        <w:rPr>
          <w:szCs w:val="22"/>
        </w:rPr>
        <w:t>ction (FCC Form 175), VTel</w:t>
      </w:r>
      <w:r w:rsidRPr="00643BB7">
        <w:rPr>
          <w:szCs w:val="22"/>
        </w:rPr>
        <w:t xml:space="preserve"> claimed status as a small business entity and sought a 15 percent bidding credit on</w:t>
      </w:r>
      <w:r w:rsidRPr="00035913">
        <w:rPr>
          <w:szCs w:val="22"/>
        </w:rPr>
        <w:t xml:space="preserve"> any licenses it won in the auction. </w:t>
      </w:r>
      <w:r w:rsidR="00847BEF" w:rsidRPr="00035913">
        <w:rPr>
          <w:szCs w:val="22"/>
        </w:rPr>
        <w:t xml:space="preserve"> </w:t>
      </w:r>
      <w:r w:rsidR="00AC1CB3">
        <w:rPr>
          <w:szCs w:val="22"/>
        </w:rPr>
        <w:t>Pursuant to S</w:t>
      </w:r>
      <w:r w:rsidRPr="00035913">
        <w:rPr>
          <w:szCs w:val="22"/>
        </w:rPr>
        <w:t xml:space="preserve">ection 1.2110 of the Rules, </w:t>
      </w:r>
      <w:r w:rsidR="004E5647">
        <w:rPr>
          <w:szCs w:val="22"/>
        </w:rPr>
        <w:t xml:space="preserve">it </w:t>
      </w:r>
      <w:r w:rsidRPr="00035913">
        <w:rPr>
          <w:szCs w:val="22"/>
        </w:rPr>
        <w:t xml:space="preserve">was required to disclose, for each of the three years preceding the auction, the gross revenues of each of </w:t>
      </w:r>
      <w:r w:rsidRPr="00111F4D">
        <w:rPr>
          <w:szCs w:val="22"/>
        </w:rPr>
        <w:t>the following entities: (1) the applicant, (2) its affiliates, (3) its controlling interests, (4) the affiliates of its controlling interests, and (5) the entities with which it has an attributable material relationship.</w:t>
      </w:r>
      <w:r w:rsidRPr="00111F4D">
        <w:rPr>
          <w:rStyle w:val="FootnoteReference"/>
          <w:sz w:val="22"/>
          <w:szCs w:val="22"/>
        </w:rPr>
        <w:footnoteReference w:id="9"/>
      </w:r>
      <w:r w:rsidRPr="00111F4D">
        <w:rPr>
          <w:szCs w:val="22"/>
        </w:rPr>
        <w:t xml:space="preserve">  Successful small business auction participants were </w:t>
      </w:r>
      <w:r w:rsidR="00847BEF" w:rsidRPr="00111F4D">
        <w:rPr>
          <w:szCs w:val="22"/>
        </w:rPr>
        <w:t xml:space="preserve">also </w:t>
      </w:r>
      <w:r w:rsidRPr="00111F4D">
        <w:rPr>
          <w:szCs w:val="22"/>
        </w:rPr>
        <w:t>required to provide the required detailed financial information after the auction</w:t>
      </w:r>
      <w:r w:rsidR="00847BEF" w:rsidRPr="00923F0D">
        <w:rPr>
          <w:szCs w:val="22"/>
        </w:rPr>
        <w:t xml:space="preserve"> on their post-auction “long-form” license application (FCC Form 601).  </w:t>
      </w:r>
      <w:r w:rsidRPr="00BE50AE">
        <w:rPr>
          <w:szCs w:val="22"/>
        </w:rPr>
        <w:t xml:space="preserve">  </w:t>
      </w:r>
    </w:p>
    <w:p w14:paraId="5361BAB0" w14:textId="0EC6E3C0" w:rsidR="009735FE" w:rsidRDefault="00C875CE" w:rsidP="007A1F7C">
      <w:pPr>
        <w:pStyle w:val="ParaNum"/>
      </w:pPr>
      <w:r>
        <w:t>On November 20, 2009, VTel filed its post-auction “long-form” application.</w:t>
      </w:r>
      <w:r>
        <w:rPr>
          <w:rStyle w:val="FootnoteReference"/>
        </w:rPr>
        <w:footnoteReference w:id="10"/>
      </w:r>
      <w:r>
        <w:t xml:space="preserve">  In VTel’s Ownership Report, </w:t>
      </w:r>
      <w:r w:rsidR="0005785E">
        <w:t xml:space="preserve">which it was required </w:t>
      </w:r>
      <w:r w:rsidR="00976A47">
        <w:t>to file separately in March 2009</w:t>
      </w:r>
      <w:r w:rsidR="0005785E">
        <w:t xml:space="preserve">, </w:t>
      </w:r>
      <w:r w:rsidR="00976A47">
        <w:t xml:space="preserve">Dr. </w:t>
      </w:r>
      <w:r>
        <w:t xml:space="preserve">J. Michel </w:t>
      </w:r>
      <w:r w:rsidR="00CC1C36">
        <w:t>Guit</w:t>
      </w:r>
      <w:r w:rsidR="00CC1C36" w:rsidRPr="00CC1C36">
        <w:t>é</w:t>
      </w:r>
      <w:r>
        <w:t xml:space="preserve"> was identified as an officer, director, and an owner of VTel.</w:t>
      </w:r>
      <w:r>
        <w:rPr>
          <w:rStyle w:val="FootnoteReference"/>
        </w:rPr>
        <w:footnoteReference w:id="11"/>
      </w:r>
      <w:r>
        <w:rPr>
          <w:rStyle w:val="FootnoteReference"/>
        </w:rPr>
        <w:t xml:space="preserve"> </w:t>
      </w:r>
      <w:r>
        <w:t xml:space="preserve"> The Ownership Report also identified Dr. Walter Hewlett as one of VTel’s controlling interest holders based on his status as an individual major shareholder of the company and his role as Trustee of the </w:t>
      </w:r>
      <w:r w:rsidR="00CC1C36">
        <w:t>Guit</w:t>
      </w:r>
      <w:r w:rsidR="00CC1C36" w:rsidRPr="00CC1C36">
        <w:t>é</w:t>
      </w:r>
      <w:r>
        <w:t xml:space="preserve"> Family Trust, another major shareholder in VTel.</w:t>
      </w:r>
      <w:r>
        <w:rPr>
          <w:rStyle w:val="FootnoteReference"/>
        </w:rPr>
        <w:footnoteReference w:id="12"/>
      </w:r>
      <w:r>
        <w:t xml:space="preserve">  In its long-form application, as initially filed, VTel represented that Dr. Hewlett had no gross revenues for each of the three years preceding the auction (2006, 2007, and 2008).  </w:t>
      </w:r>
    </w:p>
    <w:p w14:paraId="6743DDE8" w14:textId="1EC15E8F" w:rsidR="00DA7997" w:rsidRPr="00FD69C6" w:rsidRDefault="00F1052E" w:rsidP="007A1F7C">
      <w:pPr>
        <w:pStyle w:val="ParaNum"/>
      </w:pPr>
      <w:r w:rsidRPr="00FD69C6">
        <w:t xml:space="preserve">On October 14, 2011, </w:t>
      </w:r>
      <w:r w:rsidR="00DA7997" w:rsidRPr="00FD69C6">
        <w:t>t</w:t>
      </w:r>
      <w:r w:rsidRPr="00FD69C6">
        <w:t>he Bureau issued a Notice of Apparent Liability for Forfeiture (</w:t>
      </w:r>
      <w:r w:rsidRPr="00FD69C6">
        <w:rPr>
          <w:i/>
        </w:rPr>
        <w:t>NAL</w:t>
      </w:r>
      <w:r w:rsidRPr="00FD69C6">
        <w:t>) against VTel in the amount of $</w:t>
      </w:r>
      <w:r w:rsidR="00DA7997" w:rsidRPr="00FD69C6">
        <w:t>34</w:t>
      </w:r>
      <w:r w:rsidRPr="00FD69C6">
        <w:t>,0</w:t>
      </w:r>
      <w:r w:rsidR="0009056B" w:rsidRPr="00FD69C6">
        <w:t>0</w:t>
      </w:r>
      <w:r w:rsidRPr="00FD69C6">
        <w:t>0 for its apparent willful and repeated</w:t>
      </w:r>
      <w:r w:rsidR="00AC1CB3">
        <w:t xml:space="preserve"> violation of S</w:t>
      </w:r>
      <w:r w:rsidR="00D537D4" w:rsidRPr="00FD69C6">
        <w:t>ection</w:t>
      </w:r>
      <w:r w:rsidR="00DA7997" w:rsidRPr="00FD69C6">
        <w:t>s</w:t>
      </w:r>
      <w:r w:rsidR="00D84AD6" w:rsidRPr="00FD69C6">
        <w:t xml:space="preserve"> </w:t>
      </w:r>
      <w:r w:rsidR="00396E40" w:rsidRPr="00FD69C6">
        <w:t>1.17</w:t>
      </w:r>
      <w:r w:rsidR="00D84AD6" w:rsidRPr="00FD69C6">
        <w:t xml:space="preserve"> </w:t>
      </w:r>
      <w:r w:rsidR="00DA7997" w:rsidRPr="00FD69C6">
        <w:t xml:space="preserve">and 1.65 </w:t>
      </w:r>
      <w:r w:rsidR="00D84AD6" w:rsidRPr="00FD69C6">
        <w:t>of the Rules</w:t>
      </w:r>
      <w:r w:rsidR="00BA021B">
        <w:t>,</w:t>
      </w:r>
      <w:r w:rsidR="00BA021B">
        <w:rPr>
          <w:rStyle w:val="FootnoteReference"/>
        </w:rPr>
        <w:footnoteReference w:id="13"/>
      </w:r>
      <w:r w:rsidR="00D84AD6" w:rsidRPr="00FD69C6">
        <w:t xml:space="preserve"> </w:t>
      </w:r>
      <w:r w:rsidR="008E5FDC" w:rsidRPr="00FD69C6">
        <w:t xml:space="preserve">for </w:t>
      </w:r>
      <w:r w:rsidR="00A15C61">
        <w:t xml:space="preserve">respectively </w:t>
      </w:r>
      <w:r w:rsidR="00DA7997" w:rsidRPr="00FD69C6">
        <w:t>fai</w:t>
      </w:r>
      <w:r w:rsidR="0005464A" w:rsidRPr="00FD69C6">
        <w:t>l</w:t>
      </w:r>
      <w:r w:rsidR="008E5FDC" w:rsidRPr="00FD69C6">
        <w:t>ing</w:t>
      </w:r>
      <w:r w:rsidR="00DA7997" w:rsidRPr="00FD69C6">
        <w:t xml:space="preserve"> to submit accurate revenue infor</w:t>
      </w:r>
      <w:r w:rsidR="008E5FDC" w:rsidRPr="00FD69C6">
        <w:t xml:space="preserve">mation to the Commission and </w:t>
      </w:r>
      <w:r w:rsidR="00DA7997" w:rsidRPr="00FD69C6">
        <w:t>failing to maintain the continuing accuracy of its application in connection with its participation in Auction No. 86.</w:t>
      </w:r>
      <w:r w:rsidR="00745EE1">
        <w:rPr>
          <w:rStyle w:val="FootnoteReference"/>
        </w:rPr>
        <w:footnoteReference w:id="14"/>
      </w:r>
      <w:r w:rsidR="00DA7997" w:rsidRPr="00FD69C6">
        <w:t xml:space="preserve">  </w:t>
      </w:r>
      <w:r w:rsidR="0080712D">
        <w:t xml:space="preserve">Specifically, the Bureau found that VTel </w:t>
      </w:r>
      <w:r w:rsidR="0005785E">
        <w:t xml:space="preserve">had </w:t>
      </w:r>
      <w:r w:rsidR="0080712D">
        <w:t>failed to report Dr. Hewlett’s gross revenues as required by the Rules.</w:t>
      </w:r>
    </w:p>
    <w:p w14:paraId="31A503AB" w14:textId="77777777" w:rsidR="00D84AD6" w:rsidRPr="00FD69C6" w:rsidRDefault="00D84AD6" w:rsidP="007A1F7C">
      <w:pPr>
        <w:pStyle w:val="ParaNum"/>
      </w:pPr>
      <w:r w:rsidRPr="00FD69C6">
        <w:t xml:space="preserve">On November 14, 2011, VTel filed a response to the </w:t>
      </w:r>
      <w:r w:rsidRPr="00FD69C6">
        <w:rPr>
          <w:i/>
        </w:rPr>
        <w:t>NAL</w:t>
      </w:r>
      <w:r w:rsidR="00C96B48" w:rsidRPr="00FD69C6">
        <w:rPr>
          <w:b/>
          <w:i/>
        </w:rPr>
        <w:t xml:space="preserve"> </w:t>
      </w:r>
      <w:r w:rsidR="00C96B48" w:rsidRPr="00FD69C6">
        <w:t>requesting that “the Commission not impose the proposed for</w:t>
      </w:r>
      <w:r w:rsidR="00945716" w:rsidRPr="00FD69C6">
        <w:t>fei</w:t>
      </w:r>
      <w:r w:rsidR="00C96B48" w:rsidRPr="00FD69C6">
        <w:t xml:space="preserve">ture </w:t>
      </w:r>
      <w:r w:rsidR="00945716" w:rsidRPr="00FD69C6">
        <w:t>of $34,000</w:t>
      </w:r>
      <w:r w:rsidR="00C96B48" w:rsidRPr="00FD69C6">
        <w:t>”</w:t>
      </w:r>
      <w:r w:rsidR="00AB336E" w:rsidRPr="00FD69C6">
        <w:t xml:space="preserve"> </w:t>
      </w:r>
      <w:r w:rsidR="004950DC">
        <w:t>based on VTel’s</w:t>
      </w:r>
      <w:r w:rsidR="00945716" w:rsidRPr="00FD69C6">
        <w:t xml:space="preserve"> belief </w:t>
      </w:r>
      <w:r w:rsidR="00AC6388">
        <w:t>a</w:t>
      </w:r>
      <w:r w:rsidR="004950DC">
        <w:t xml:space="preserve">t the time its </w:t>
      </w:r>
      <w:r w:rsidR="004950DC">
        <w:lastRenderedPageBreak/>
        <w:t xml:space="preserve">application was filed </w:t>
      </w:r>
      <w:r w:rsidR="00945716" w:rsidRPr="00FD69C6">
        <w:t>that the gross revenues in question were not attributable to VTel under the Rules.</w:t>
      </w:r>
      <w:r w:rsidR="008E5FDC" w:rsidRPr="00FD69C6">
        <w:rPr>
          <w:rStyle w:val="FootnoteReference"/>
        </w:rPr>
        <w:footnoteReference w:id="15"/>
      </w:r>
      <w:r w:rsidR="00945716" w:rsidRPr="00FD69C6">
        <w:t xml:space="preserve"> </w:t>
      </w:r>
      <w:r w:rsidR="008E5FDC" w:rsidRPr="00FD69C6">
        <w:t xml:space="preserve"> </w:t>
      </w:r>
      <w:r w:rsidR="00945716" w:rsidRPr="00FD69C6">
        <w:t>VTel further contends that even if the revenues in question were required to be disclosed, VTel had a reasonable basis for believing its filings were correct</w:t>
      </w:r>
      <w:r w:rsidR="004950DC">
        <w:t>,</w:t>
      </w:r>
      <w:r w:rsidR="00945716" w:rsidRPr="00FD69C6">
        <w:t xml:space="preserve"> and that the omission of th</w:t>
      </w:r>
      <w:r w:rsidR="004950DC">
        <w:t>e revenue</w:t>
      </w:r>
      <w:r w:rsidR="00945716" w:rsidRPr="00FD69C6">
        <w:t xml:space="preserve"> information was not material and ultimately did not affect its receipt of a bidding credit.</w:t>
      </w:r>
      <w:r w:rsidR="00945716" w:rsidRPr="00FD69C6">
        <w:rPr>
          <w:rStyle w:val="FootnoteReference"/>
        </w:rPr>
        <w:footnoteReference w:id="16"/>
      </w:r>
      <w:r w:rsidR="00945716" w:rsidRPr="00FD69C6">
        <w:rPr>
          <w:b/>
        </w:rPr>
        <w:t xml:space="preserve">  </w:t>
      </w:r>
      <w:r w:rsidR="004950DC">
        <w:t>After the issuance of t</w:t>
      </w:r>
      <w:r w:rsidR="00AB336E" w:rsidRPr="00FD69C6">
        <w:t xml:space="preserve">he </w:t>
      </w:r>
      <w:r w:rsidR="004950DC" w:rsidRPr="00901C01">
        <w:rPr>
          <w:i/>
        </w:rPr>
        <w:t>NAL</w:t>
      </w:r>
      <w:r w:rsidR="004950DC">
        <w:t xml:space="preserve">, the </w:t>
      </w:r>
      <w:r w:rsidR="00AB336E" w:rsidRPr="004950DC">
        <w:t>Bureau</w:t>
      </w:r>
      <w:r w:rsidR="00AB336E" w:rsidRPr="00FD69C6">
        <w:t xml:space="preserve"> a</w:t>
      </w:r>
      <w:r w:rsidR="00D537D4" w:rsidRPr="00FD69C6">
        <w:t>n</w:t>
      </w:r>
      <w:r w:rsidR="00AB336E" w:rsidRPr="00FD69C6">
        <w:t xml:space="preserve">d VTel </w:t>
      </w:r>
      <w:r w:rsidR="007D0B34" w:rsidRPr="00FD69C6">
        <w:t>engaged</w:t>
      </w:r>
      <w:r w:rsidR="00AB336E" w:rsidRPr="00FD69C6">
        <w:t xml:space="preserve"> in extensive settlement negotiations</w:t>
      </w:r>
      <w:r w:rsidR="00643BB7">
        <w:t>,</w:t>
      </w:r>
      <w:r w:rsidR="00AB336E" w:rsidRPr="00FD69C6">
        <w:t xml:space="preserve"> but </w:t>
      </w:r>
      <w:r w:rsidR="004950DC">
        <w:t>were unable to</w:t>
      </w:r>
      <w:r w:rsidR="00AB336E" w:rsidRPr="00FD69C6">
        <w:t xml:space="preserve"> reach an agreement.</w:t>
      </w:r>
    </w:p>
    <w:p w14:paraId="228A90AA" w14:textId="77777777" w:rsidR="007A1F7C" w:rsidRPr="00FD69C6" w:rsidRDefault="007A1F7C" w:rsidP="007A1F7C">
      <w:pPr>
        <w:pStyle w:val="Heading1"/>
      </w:pPr>
      <w:r w:rsidRPr="00FD69C6">
        <w:t>discussion</w:t>
      </w:r>
    </w:p>
    <w:p w14:paraId="38DC7F8F" w14:textId="6D88AA5B" w:rsidR="00AB336E" w:rsidRPr="00FD69C6" w:rsidRDefault="00EA02A6" w:rsidP="00AB336E">
      <w:pPr>
        <w:pStyle w:val="ParaNum"/>
      </w:pPr>
      <w:r>
        <w:t xml:space="preserve">The Commission proposed a </w:t>
      </w:r>
      <w:r w:rsidR="00AB336E" w:rsidRPr="00FD69C6">
        <w:t>forfeiture in this case in accordance with Section 503(b) of the Act,</w:t>
      </w:r>
      <w:r w:rsidR="00AB336E" w:rsidRPr="00FD69C6">
        <w:rPr>
          <w:rStyle w:val="FootnoteReference"/>
        </w:rPr>
        <w:footnoteReference w:id="17"/>
      </w:r>
      <w:r w:rsidR="00AB336E" w:rsidRPr="00FD69C6">
        <w:t xml:space="preserve"> Section 1.80 of the Rules,</w:t>
      </w:r>
      <w:r w:rsidR="00AB336E" w:rsidRPr="00FD69C6">
        <w:rPr>
          <w:vertAlign w:val="superscript"/>
        </w:rPr>
        <w:footnoteReference w:id="18"/>
      </w:r>
      <w:r w:rsidR="00AB336E" w:rsidRPr="00FD69C6">
        <w:t xml:space="preserve"> and the Commission’s </w:t>
      </w:r>
      <w:r w:rsidR="00AB336E" w:rsidRPr="00FD69C6">
        <w:rPr>
          <w:i/>
        </w:rPr>
        <w:t xml:space="preserve">Forfeiture Policy </w:t>
      </w:r>
      <w:r w:rsidR="00AB336E" w:rsidRPr="00FD69C6">
        <w:rPr>
          <w:rFonts w:eastAsia="MS Mincho"/>
          <w:i/>
          <w:szCs w:val="22"/>
        </w:rPr>
        <w:t>Statement</w:t>
      </w:r>
      <w:r w:rsidR="00AB336E" w:rsidRPr="00FD69C6">
        <w:t>.</w:t>
      </w:r>
      <w:r w:rsidR="00AB336E" w:rsidRPr="00FD69C6">
        <w:rPr>
          <w:rStyle w:val="FootnoteReference"/>
          <w:szCs w:val="22"/>
        </w:rPr>
        <w:footnoteReference w:id="19"/>
      </w:r>
      <w:r>
        <w:t xml:space="preserve">  When we assess forfeitures</w:t>
      </w:r>
      <w:r w:rsidR="00AB336E" w:rsidRPr="00FD69C6">
        <w:t>, the Act requires that we take into account the “nature, circumstances, extent, and gravity of the violation and, with respect to the violator, the degree of culpability, any history of prior offenses, ability to pay, and such other matters as justice may require.”</w:t>
      </w:r>
      <w:r w:rsidR="00AB336E" w:rsidRPr="00FD69C6">
        <w:rPr>
          <w:vertAlign w:val="superscript"/>
        </w:rPr>
        <w:footnoteReference w:id="20"/>
      </w:r>
      <w:r w:rsidR="00AB336E" w:rsidRPr="00FD69C6">
        <w:t xml:space="preserve">  As discussed below, we have fully considered VTel’s NAL Response in light of these statutory factors and </w:t>
      </w:r>
      <w:r w:rsidR="00AB336E" w:rsidRPr="00FD69C6">
        <w:rPr>
          <w:szCs w:val="22"/>
        </w:rPr>
        <w:t>find no basis for</w:t>
      </w:r>
      <w:r w:rsidR="000A2BF6" w:rsidRPr="00FD69C6">
        <w:rPr>
          <w:szCs w:val="22"/>
        </w:rPr>
        <w:t xml:space="preserve"> a complete</w:t>
      </w:r>
      <w:r w:rsidR="00AB336E" w:rsidRPr="00FD69C6">
        <w:rPr>
          <w:szCs w:val="22"/>
        </w:rPr>
        <w:t xml:space="preserve"> cancellation of the proposed forfeiture.  In this Forfeiture Order, we </w:t>
      </w:r>
      <w:r w:rsidR="00A73555">
        <w:rPr>
          <w:szCs w:val="22"/>
        </w:rPr>
        <w:t xml:space="preserve">conclude </w:t>
      </w:r>
      <w:r w:rsidR="00AB336E" w:rsidRPr="00FD69C6">
        <w:rPr>
          <w:szCs w:val="22"/>
        </w:rPr>
        <w:t xml:space="preserve">that </w:t>
      </w:r>
      <w:r w:rsidR="00AB336E" w:rsidRPr="00FD69C6">
        <w:t xml:space="preserve">VTel willfully </w:t>
      </w:r>
      <w:r w:rsidR="00AC1CB3">
        <w:t>and repeatedly violated S</w:t>
      </w:r>
      <w:r w:rsidR="0005464A" w:rsidRPr="00FD69C6">
        <w:t>ection</w:t>
      </w:r>
      <w:r w:rsidR="00AB336E" w:rsidRPr="00FD69C6">
        <w:t xml:space="preserve"> 1.17 </w:t>
      </w:r>
      <w:r w:rsidR="0006586B" w:rsidRPr="00FD69C6">
        <w:t xml:space="preserve">of the </w:t>
      </w:r>
      <w:r w:rsidR="00AB336E" w:rsidRPr="00FD69C6">
        <w:t>Rules</w:t>
      </w:r>
      <w:r w:rsidR="00AB336E" w:rsidRPr="00FD69C6">
        <w:rPr>
          <w:rStyle w:val="FootnoteReference"/>
          <w:szCs w:val="22"/>
        </w:rPr>
        <w:footnoteReference w:id="21"/>
      </w:r>
      <w:r w:rsidR="00AB336E" w:rsidRPr="00FD69C6">
        <w:t xml:space="preserve"> by failing to submit accurate revenue information to the Commission in connection with its participation in Auction No. 86. </w:t>
      </w:r>
      <w:r w:rsidR="0005464A" w:rsidRPr="00FD69C6">
        <w:t xml:space="preserve"> As discussed below, </w:t>
      </w:r>
      <w:r w:rsidR="00EE23C1">
        <w:t xml:space="preserve">however, </w:t>
      </w:r>
      <w:r w:rsidR="0005464A" w:rsidRPr="00FD69C6">
        <w:t xml:space="preserve">we </w:t>
      </w:r>
      <w:r w:rsidR="00A7485F">
        <w:t>also</w:t>
      </w:r>
      <w:r w:rsidR="00EE23C1">
        <w:t xml:space="preserve"> cancel </w:t>
      </w:r>
      <w:r w:rsidR="0005464A" w:rsidRPr="00FD69C6">
        <w:t>the</w:t>
      </w:r>
      <w:r w:rsidR="004950DC">
        <w:t xml:space="preserve"> NAL’s</w:t>
      </w:r>
      <w:r w:rsidR="0005464A" w:rsidRPr="00FD69C6">
        <w:t xml:space="preserve"> proposed forfeiture with respect to </w:t>
      </w:r>
      <w:r w:rsidR="004950DC">
        <w:t xml:space="preserve">the apparent violation of </w:t>
      </w:r>
      <w:r w:rsidR="00AC1CB3">
        <w:t>S</w:t>
      </w:r>
      <w:r w:rsidR="0005464A" w:rsidRPr="00FD69C6">
        <w:t>ection 1.65 of the Rules.</w:t>
      </w:r>
      <w:r w:rsidR="0005464A" w:rsidRPr="00FD69C6">
        <w:rPr>
          <w:rStyle w:val="FootnoteReference"/>
        </w:rPr>
        <w:footnoteReference w:id="22"/>
      </w:r>
      <w:r w:rsidR="0005464A" w:rsidRPr="00FD69C6">
        <w:t xml:space="preserve">  </w:t>
      </w:r>
    </w:p>
    <w:p w14:paraId="10FA3950" w14:textId="77777777" w:rsidR="00A15C61" w:rsidRDefault="00486877" w:rsidP="00E25A4A">
      <w:pPr>
        <w:pStyle w:val="ParaNum"/>
      </w:pPr>
      <w:r>
        <w:t>Section 1.17 of the Rules requires parties to submit factual information to the Commission that is truthful and accurate.</w:t>
      </w:r>
      <w:r w:rsidR="00BC52B7">
        <w:rPr>
          <w:rStyle w:val="FootnoteReference"/>
        </w:rPr>
        <w:footnoteReference w:id="23"/>
      </w:r>
      <w:r>
        <w:t xml:space="preserve">  </w:t>
      </w:r>
      <w:r w:rsidR="00816A78">
        <w:t xml:space="preserve">In the </w:t>
      </w:r>
      <w:r w:rsidR="00816A78" w:rsidRPr="00816A78">
        <w:rPr>
          <w:i/>
        </w:rPr>
        <w:t>NAL</w:t>
      </w:r>
      <w:r w:rsidR="00816A78">
        <w:t xml:space="preserve">, the Bureau found that VTel was obligated under Section 1.17 to disclose Dr. Hewlett’s revenues and </w:t>
      </w:r>
      <w:r>
        <w:t xml:space="preserve">that it </w:t>
      </w:r>
      <w:r w:rsidR="00816A78">
        <w:t xml:space="preserve">failed to do so </w:t>
      </w:r>
      <w:r w:rsidR="00BC52B7">
        <w:t xml:space="preserve">accurately </w:t>
      </w:r>
      <w:r w:rsidR="00816A78">
        <w:t>when it listed Dr. Hewlett’s revenues for the period in question as zero on its Form 601.</w:t>
      </w:r>
      <w:r w:rsidR="00816A78">
        <w:rPr>
          <w:rStyle w:val="FootnoteReference"/>
        </w:rPr>
        <w:footnoteReference w:id="24"/>
      </w:r>
      <w:r w:rsidR="00816A78">
        <w:t xml:space="preserve">  </w:t>
      </w:r>
    </w:p>
    <w:p w14:paraId="7E165475" w14:textId="533CEE21" w:rsidR="00AB336E" w:rsidRPr="00FD69C6" w:rsidRDefault="00AB336E" w:rsidP="00E25A4A">
      <w:pPr>
        <w:pStyle w:val="ParaNum"/>
      </w:pPr>
      <w:r w:rsidRPr="00FD69C6">
        <w:t>I</w:t>
      </w:r>
      <w:r w:rsidR="004B146A" w:rsidRPr="00FD69C6">
        <w:t xml:space="preserve">n its NAL Response, VTel </w:t>
      </w:r>
      <w:r w:rsidR="00A15C61">
        <w:t xml:space="preserve">first </w:t>
      </w:r>
      <w:r w:rsidR="004B146A" w:rsidRPr="00FD69C6">
        <w:t xml:space="preserve">argues that the forfeiture proposed in the </w:t>
      </w:r>
      <w:r w:rsidR="004B146A" w:rsidRPr="00901C01">
        <w:rPr>
          <w:i/>
        </w:rPr>
        <w:t>NAL</w:t>
      </w:r>
      <w:r w:rsidR="004B146A" w:rsidRPr="00FD69C6">
        <w:t xml:space="preserve"> is unlawful because the </w:t>
      </w:r>
      <w:r w:rsidR="004B146A" w:rsidRPr="00AC6388">
        <w:rPr>
          <w:i/>
        </w:rPr>
        <w:t>NAL</w:t>
      </w:r>
      <w:r w:rsidR="004B146A" w:rsidRPr="00FD69C6">
        <w:t xml:space="preserve"> is silent o</w:t>
      </w:r>
      <w:r w:rsidR="00BC52B7">
        <w:t>n</w:t>
      </w:r>
      <w:r w:rsidR="004B146A" w:rsidRPr="00FD69C6">
        <w:t xml:space="preserve"> the issue of whether VTel was legally required to </w:t>
      </w:r>
      <w:r w:rsidR="003E448E" w:rsidRPr="00FD69C6">
        <w:t>disclose</w:t>
      </w:r>
      <w:r w:rsidR="004B146A" w:rsidRPr="00FD69C6">
        <w:t xml:space="preserve"> the gross revenues in question.</w:t>
      </w:r>
      <w:r w:rsidR="004B146A" w:rsidRPr="00FD69C6">
        <w:rPr>
          <w:rStyle w:val="FootnoteReference"/>
        </w:rPr>
        <w:footnoteReference w:id="25"/>
      </w:r>
      <w:r w:rsidR="004B146A" w:rsidRPr="00FD69C6">
        <w:t xml:space="preserve"> </w:t>
      </w:r>
      <w:r w:rsidR="00B45E14" w:rsidRPr="00FD69C6">
        <w:t xml:space="preserve"> We disagree.  As we noted in the </w:t>
      </w:r>
      <w:r w:rsidR="00B45E14" w:rsidRPr="00AC6388">
        <w:rPr>
          <w:i/>
        </w:rPr>
        <w:t>NAL</w:t>
      </w:r>
      <w:r w:rsidR="00B45E14" w:rsidRPr="00FD69C6">
        <w:t>, “</w:t>
      </w:r>
      <w:r w:rsidR="00B45E14" w:rsidRPr="00FD69C6">
        <w:rPr>
          <w:szCs w:val="22"/>
        </w:rPr>
        <w:t xml:space="preserve">the Commission’s designated entity rules require applicants to disclose revenues from </w:t>
      </w:r>
      <w:r w:rsidR="00B45E14" w:rsidRPr="00FD69C6">
        <w:rPr>
          <w:i/>
          <w:szCs w:val="22"/>
        </w:rPr>
        <w:t xml:space="preserve">all </w:t>
      </w:r>
      <w:r w:rsidR="00B45E14" w:rsidRPr="00FD69C6">
        <w:rPr>
          <w:szCs w:val="22"/>
        </w:rPr>
        <w:t>sources, without qualification, during the relevant time frame.”</w:t>
      </w:r>
      <w:r w:rsidR="00B45E14" w:rsidRPr="00FD69C6">
        <w:rPr>
          <w:rStyle w:val="FootnoteReference"/>
          <w:szCs w:val="22"/>
        </w:rPr>
        <w:footnoteReference w:id="26"/>
      </w:r>
      <w:r w:rsidR="00B45E14" w:rsidRPr="00FD69C6">
        <w:rPr>
          <w:szCs w:val="22"/>
        </w:rPr>
        <w:t xml:space="preserve">  </w:t>
      </w:r>
      <w:r w:rsidR="00D415D8" w:rsidRPr="00FD69C6">
        <w:rPr>
          <w:szCs w:val="22"/>
        </w:rPr>
        <w:t xml:space="preserve">VTel listed Dr. Hewlett as a </w:t>
      </w:r>
      <w:r w:rsidR="009D7BA9" w:rsidRPr="00FD69C6">
        <w:rPr>
          <w:szCs w:val="22"/>
        </w:rPr>
        <w:t xml:space="preserve">controlling </w:t>
      </w:r>
      <w:r w:rsidR="00D415D8" w:rsidRPr="00FD69C6">
        <w:rPr>
          <w:szCs w:val="22"/>
        </w:rPr>
        <w:t>interest holder on its long form application</w:t>
      </w:r>
      <w:r w:rsidR="003F0A87" w:rsidRPr="00FD69C6">
        <w:rPr>
          <w:szCs w:val="22"/>
        </w:rPr>
        <w:t xml:space="preserve"> and therefore included him </w:t>
      </w:r>
      <w:r w:rsidR="00411DD4">
        <w:t>among those individuals and entities</w:t>
      </w:r>
      <w:r w:rsidR="00411DD4" w:rsidRPr="00FD69C6" w:rsidDel="00411DD4">
        <w:rPr>
          <w:szCs w:val="22"/>
        </w:rPr>
        <w:t xml:space="preserve"> </w:t>
      </w:r>
      <w:r w:rsidR="003F0A87" w:rsidRPr="00FD69C6">
        <w:rPr>
          <w:szCs w:val="22"/>
        </w:rPr>
        <w:t>whose gross revenues were required to be reported</w:t>
      </w:r>
      <w:r w:rsidR="00D415D8" w:rsidRPr="00FD69C6">
        <w:rPr>
          <w:szCs w:val="22"/>
        </w:rPr>
        <w:t>.</w:t>
      </w:r>
      <w:r w:rsidR="00D415D8" w:rsidRPr="00FD69C6">
        <w:rPr>
          <w:rStyle w:val="FootnoteReference"/>
          <w:szCs w:val="22"/>
        </w:rPr>
        <w:footnoteReference w:id="27"/>
      </w:r>
      <w:r w:rsidR="003F0A87" w:rsidRPr="00FD69C6">
        <w:rPr>
          <w:szCs w:val="22"/>
        </w:rPr>
        <w:t xml:space="preserve">  VTel has failed to cite any authority which would raise a legitimate ambiguity about the need to report Dr. Hewlett’s gross revenues.</w:t>
      </w:r>
      <w:r w:rsidR="00FA48AA">
        <w:rPr>
          <w:szCs w:val="22"/>
        </w:rPr>
        <w:t xml:space="preserve"> </w:t>
      </w:r>
      <w:r w:rsidR="00D415D8" w:rsidRPr="00FD69C6">
        <w:rPr>
          <w:szCs w:val="22"/>
        </w:rPr>
        <w:t xml:space="preserve"> </w:t>
      </w:r>
      <w:r w:rsidR="00E25A4A">
        <w:rPr>
          <w:szCs w:val="22"/>
        </w:rPr>
        <w:t xml:space="preserve">Therefore, as discussed in the </w:t>
      </w:r>
      <w:r w:rsidR="00E25A4A">
        <w:rPr>
          <w:i/>
          <w:szCs w:val="22"/>
        </w:rPr>
        <w:t>NAL</w:t>
      </w:r>
      <w:r w:rsidR="00E25A4A">
        <w:rPr>
          <w:szCs w:val="22"/>
        </w:rPr>
        <w:t>, VTel was required to disclose the revenues in question.</w:t>
      </w:r>
      <w:r w:rsidR="007922D2">
        <w:rPr>
          <w:rStyle w:val="FootnoteReference"/>
          <w:szCs w:val="22"/>
        </w:rPr>
        <w:footnoteReference w:id="28"/>
      </w:r>
      <w:r w:rsidR="00D415D8" w:rsidRPr="00FD69C6">
        <w:rPr>
          <w:szCs w:val="22"/>
        </w:rPr>
        <w:t xml:space="preserve"> </w:t>
      </w:r>
    </w:p>
    <w:p w14:paraId="39B2FF98" w14:textId="544FE666" w:rsidR="00D03983" w:rsidRDefault="004B146A" w:rsidP="00D51100">
      <w:pPr>
        <w:pStyle w:val="ParaNum"/>
      </w:pPr>
      <w:r w:rsidRPr="00FD69C6">
        <w:t>VTel also argues that</w:t>
      </w:r>
      <w:r w:rsidR="00AF74F8">
        <w:t>,</w:t>
      </w:r>
      <w:r w:rsidRPr="00FD69C6">
        <w:t xml:space="preserve"> </w:t>
      </w:r>
      <w:r w:rsidR="00E25A4A">
        <w:t xml:space="preserve">even if it was required to disclose the revenues in question, </w:t>
      </w:r>
      <w:r w:rsidRPr="00FD69C6">
        <w:t xml:space="preserve">its failure to include information regarding </w:t>
      </w:r>
      <w:r w:rsidR="00411DD4">
        <w:t>entities with which Dr. Hewlett was associated</w:t>
      </w:r>
      <w:r w:rsidR="00411DD4" w:rsidRPr="00FD69C6" w:rsidDel="00411DD4">
        <w:t xml:space="preserve"> </w:t>
      </w:r>
      <w:r w:rsidRPr="00FD69C6">
        <w:t>did not constitute</w:t>
      </w:r>
      <w:r w:rsidR="008E5FDC" w:rsidRPr="00FD69C6">
        <w:t xml:space="preserve"> the omission</w:t>
      </w:r>
      <w:r w:rsidRPr="00FD69C6">
        <w:t xml:space="preserve"> </w:t>
      </w:r>
      <w:r w:rsidR="003E448E" w:rsidRPr="00FD69C6">
        <w:t>of a</w:t>
      </w:r>
      <w:r w:rsidRPr="00FD69C6">
        <w:t xml:space="preserve"> material fact.</w:t>
      </w:r>
      <w:r w:rsidRPr="00FD69C6">
        <w:rPr>
          <w:rStyle w:val="FootnoteReference"/>
        </w:rPr>
        <w:footnoteReference w:id="29"/>
      </w:r>
      <w:r w:rsidRPr="00FD69C6">
        <w:t xml:space="preserve"> </w:t>
      </w:r>
      <w:r w:rsidR="008E5FDC" w:rsidRPr="00FD69C6">
        <w:t xml:space="preserve"> </w:t>
      </w:r>
      <w:r w:rsidR="0097570F" w:rsidRPr="00FD69C6">
        <w:t xml:space="preserve">As we recognized in the </w:t>
      </w:r>
      <w:r w:rsidR="0097570F" w:rsidRPr="00AC6388">
        <w:rPr>
          <w:i/>
        </w:rPr>
        <w:t>NAL</w:t>
      </w:r>
      <w:r w:rsidR="0097570F" w:rsidRPr="00FD69C6">
        <w:t xml:space="preserve">, the </w:t>
      </w:r>
      <w:r w:rsidR="00AF74F8">
        <w:t xml:space="preserve">ultimate </w:t>
      </w:r>
      <w:r w:rsidR="0097570F" w:rsidRPr="00FD69C6">
        <w:t>disclosure of Dr. Hewlett’s revenues did not adversely affect VTel’s entitlement to a small business b</w:t>
      </w:r>
      <w:r w:rsidR="00BC52B7">
        <w:t>i</w:t>
      </w:r>
      <w:r w:rsidR="0097570F" w:rsidRPr="00FD69C6">
        <w:t>dding credit</w:t>
      </w:r>
      <w:r w:rsidR="00CC7817" w:rsidRPr="00FD69C6">
        <w:t>.</w:t>
      </w:r>
      <w:r w:rsidR="0097570F" w:rsidRPr="00FD69C6">
        <w:rPr>
          <w:rStyle w:val="FootnoteReference"/>
        </w:rPr>
        <w:footnoteReference w:id="30"/>
      </w:r>
      <w:r w:rsidRPr="00FD69C6">
        <w:t xml:space="preserve"> </w:t>
      </w:r>
      <w:r w:rsidR="00CC7817" w:rsidRPr="00FD69C6">
        <w:t xml:space="preserve"> </w:t>
      </w:r>
      <w:r w:rsidR="00AF74F8">
        <w:t xml:space="preserve">This </w:t>
      </w:r>
      <w:r w:rsidR="00D03983">
        <w:t>fact</w:t>
      </w:r>
      <w:r w:rsidR="00A7485F">
        <w:t xml:space="preserve"> does not</w:t>
      </w:r>
      <w:r w:rsidR="00035913">
        <w:t>, however,</w:t>
      </w:r>
      <w:r w:rsidR="00A7485F">
        <w:t xml:space="preserve"> render the </w:t>
      </w:r>
      <w:r w:rsidR="00035913">
        <w:t xml:space="preserve">underlying </w:t>
      </w:r>
      <w:r w:rsidR="00A7485F">
        <w:t xml:space="preserve">information immaterial.  </w:t>
      </w:r>
      <w:r w:rsidR="00FE118B" w:rsidRPr="00FD69C6">
        <w:t xml:space="preserve">Under our </w:t>
      </w:r>
      <w:r w:rsidR="00AF74F8">
        <w:t>R</w:t>
      </w:r>
      <w:r w:rsidR="00FE118B" w:rsidRPr="00FD69C6">
        <w:t xml:space="preserve">ules, an entity’s eligibility for a bidding credit is based on the </w:t>
      </w:r>
      <w:r w:rsidR="00035913">
        <w:t xml:space="preserve"> </w:t>
      </w:r>
      <w:r w:rsidR="00FE118B" w:rsidRPr="00FD69C6">
        <w:t>gross revenues of the applicant (or licensee), its affiliates, its controlling interests, the affiliates of its controlling interests, and the entities with which it has an attributable material relationship.</w:t>
      </w:r>
      <w:r w:rsidR="00FE118B" w:rsidRPr="00FD69C6">
        <w:rPr>
          <w:rStyle w:val="FootnoteReference"/>
        </w:rPr>
        <w:footnoteReference w:id="31"/>
      </w:r>
      <w:r w:rsidR="00FE118B" w:rsidRPr="00FD69C6">
        <w:t xml:space="preserve">  </w:t>
      </w:r>
      <w:r w:rsidR="00CC7817" w:rsidRPr="00FD69C6">
        <w:t>The</w:t>
      </w:r>
      <w:r w:rsidRPr="00FD69C6">
        <w:t xml:space="preserve"> determination</w:t>
      </w:r>
      <w:r w:rsidR="00CC7817" w:rsidRPr="00FD69C6">
        <w:t xml:space="preserve"> of whether an entity is eligible for a bidding credit, </w:t>
      </w:r>
      <w:r w:rsidR="00FE118B" w:rsidRPr="00FD69C6">
        <w:t>therefore</w:t>
      </w:r>
      <w:r w:rsidR="00CC7817" w:rsidRPr="00FD69C6">
        <w:t>,</w:t>
      </w:r>
      <w:r w:rsidRPr="00FD69C6">
        <w:t xml:space="preserve"> cannot be made without the </w:t>
      </w:r>
      <w:r w:rsidR="00CC7817" w:rsidRPr="00FD69C6">
        <w:t xml:space="preserve">submission </w:t>
      </w:r>
      <w:r w:rsidRPr="00FD69C6">
        <w:t xml:space="preserve">of all of the required revenue information. </w:t>
      </w:r>
      <w:r w:rsidR="008E5FDC" w:rsidRPr="00FD69C6">
        <w:t xml:space="preserve"> </w:t>
      </w:r>
      <w:r w:rsidRPr="00FD69C6">
        <w:t>Thus, the revenues in question were material to the determination of whether or not the Company was eligible for a bidding credit in A</w:t>
      </w:r>
      <w:r w:rsidR="00D415D8" w:rsidRPr="00FD69C6">
        <w:t>u</w:t>
      </w:r>
      <w:r w:rsidRPr="00FD69C6">
        <w:t xml:space="preserve">ction No. 86.  </w:t>
      </w:r>
      <w:r w:rsidR="00D03983">
        <w:t xml:space="preserve">In any event, </w:t>
      </w:r>
      <w:r w:rsidR="009832F7">
        <w:t xml:space="preserve">our </w:t>
      </w:r>
      <w:r w:rsidR="00BE50AE">
        <w:t>R</w:t>
      </w:r>
      <w:r w:rsidR="009832F7">
        <w:t>ules</w:t>
      </w:r>
      <w:r w:rsidR="00D03983">
        <w:t xml:space="preserve"> </w:t>
      </w:r>
      <w:r w:rsidR="009832F7">
        <w:t xml:space="preserve">do </w:t>
      </w:r>
      <w:r w:rsidR="00D03983">
        <w:t xml:space="preserve">not permit auction applicants the flexibility to determine what information </w:t>
      </w:r>
      <w:r w:rsidR="00BC52B7">
        <w:t xml:space="preserve">regarding gross revenue, as specified in Section 1.2110 of the Rules, </w:t>
      </w:r>
      <w:r w:rsidR="00D03983">
        <w:t xml:space="preserve">may or may not be relevant to the Commission.  </w:t>
      </w:r>
    </w:p>
    <w:p w14:paraId="2304440F" w14:textId="77777777" w:rsidR="004B146A" w:rsidRPr="00D51100" w:rsidRDefault="00FE118B" w:rsidP="00BE50AE">
      <w:pPr>
        <w:pStyle w:val="ParaNum"/>
      </w:pPr>
      <w:r w:rsidRPr="00FD69C6">
        <w:t>Full and accurate information concerning applicable gross revenues is necessary to meet our statutory obligation “to prevent unjust enrichment as a result of the method employed to issue licenses</w:t>
      </w:r>
      <w:r w:rsidR="00346FFE" w:rsidRPr="00FD69C6">
        <w:t xml:space="preserve"> </w:t>
      </w:r>
      <w:r w:rsidRPr="00FD69C6">
        <w:t>. . .”</w:t>
      </w:r>
      <w:r w:rsidRPr="00FD69C6">
        <w:rPr>
          <w:rStyle w:val="FootnoteReference"/>
        </w:rPr>
        <w:footnoteReference w:id="32"/>
      </w:r>
      <w:r w:rsidR="00B855E5" w:rsidRPr="00BE50AE">
        <w:rPr>
          <w:color w:val="000000"/>
          <w:vertAlign w:val="superscript"/>
        </w:rPr>
        <w:t xml:space="preserve"> </w:t>
      </w:r>
      <w:r w:rsidR="00B855E5" w:rsidRPr="00BE50AE">
        <w:rPr>
          <w:b/>
          <w:color w:val="FF0000"/>
        </w:rPr>
        <w:t xml:space="preserve"> </w:t>
      </w:r>
      <w:r w:rsidR="00BE50AE">
        <w:t>The Commission has a strong</w:t>
      </w:r>
      <w:r w:rsidR="00BE50AE" w:rsidRPr="00D51100">
        <w:t xml:space="preserve"> interest in ensuring that our auctions are fair to all participants and that only bidders that qualify for a bidding credit are able to bid with such a preference</w:t>
      </w:r>
      <w:r w:rsidR="00BE50AE">
        <w:t xml:space="preserve">, and we </w:t>
      </w:r>
      <w:r w:rsidR="00B855E5" w:rsidRPr="00D51100">
        <w:t>rel</w:t>
      </w:r>
      <w:r w:rsidR="00BE50AE">
        <w:t>y</w:t>
      </w:r>
      <w:r w:rsidR="00B855E5" w:rsidRPr="00D51100">
        <w:t xml:space="preserve"> on auction applicants to make </w:t>
      </w:r>
      <w:r w:rsidR="00A7485F">
        <w:t xml:space="preserve">complete, </w:t>
      </w:r>
      <w:r w:rsidR="00B855E5" w:rsidRPr="00D51100">
        <w:t xml:space="preserve">truthful and accurate disclosures in order to properly assess the merits of an applicant’s claim of entitlement </w:t>
      </w:r>
      <w:r w:rsidR="00BE50AE">
        <w:t>to</w:t>
      </w:r>
      <w:r w:rsidR="00BE50AE" w:rsidRPr="00D51100">
        <w:t xml:space="preserve"> </w:t>
      </w:r>
      <w:r w:rsidR="00B855E5" w:rsidRPr="00D51100">
        <w:t>a bidding credit.</w:t>
      </w:r>
      <w:r w:rsidR="00BE50AE">
        <w:rPr>
          <w:rStyle w:val="FootnoteReference"/>
        </w:rPr>
        <w:footnoteReference w:id="33"/>
      </w:r>
      <w:r w:rsidR="00B855E5" w:rsidRPr="00D51100">
        <w:t xml:space="preserve"> </w:t>
      </w:r>
      <w:r w:rsidR="00BE50AE">
        <w:t xml:space="preserve"> </w:t>
      </w:r>
    </w:p>
    <w:p w14:paraId="75B3C51E" w14:textId="77777777" w:rsidR="00945716" w:rsidRPr="00FD69C6" w:rsidRDefault="00923F0D" w:rsidP="00A7485F">
      <w:pPr>
        <w:pStyle w:val="ParaNum"/>
      </w:pPr>
      <w:r>
        <w:t>VTel further claims that</w:t>
      </w:r>
      <w:r w:rsidR="004B146A" w:rsidRPr="00FD69C6">
        <w:t xml:space="preserve"> it had a reasonable basis for omitting information regarding the entities associated with Dr. Hewlett.</w:t>
      </w:r>
      <w:r w:rsidR="004B146A" w:rsidRPr="00FD69C6">
        <w:rPr>
          <w:rStyle w:val="FootnoteReference"/>
        </w:rPr>
        <w:footnoteReference w:id="34"/>
      </w:r>
      <w:r w:rsidR="00E35DD2" w:rsidRPr="00FD69C6">
        <w:t xml:space="preserve"> </w:t>
      </w:r>
      <w:r w:rsidR="00C936FC">
        <w:t xml:space="preserve"> </w:t>
      </w:r>
      <w:r w:rsidR="00E35DD2" w:rsidRPr="00FD69C6">
        <w:t xml:space="preserve">We disagree.  </w:t>
      </w:r>
      <w:r w:rsidR="00A94710" w:rsidRPr="00FD69C6">
        <w:t>As noted above, because Dr. Hewlett was a controlling interest holder in VTel, VTel was required to disclose his gross revenues and the gross revenues of his affiliates.</w:t>
      </w:r>
      <w:r w:rsidR="00A94710" w:rsidRPr="00FD69C6">
        <w:rPr>
          <w:rStyle w:val="FootnoteReference"/>
        </w:rPr>
        <w:footnoteReference w:id="35"/>
      </w:r>
      <w:r w:rsidR="00C67C2D">
        <w:t xml:space="preserve"> </w:t>
      </w:r>
      <w:r w:rsidR="00A94710" w:rsidRPr="00FD69C6">
        <w:t xml:space="preserve"> </w:t>
      </w:r>
      <w:r w:rsidR="00E35DD2" w:rsidRPr="00FD69C6">
        <w:t xml:space="preserve">Thus, if VTel or its counsel had exercised due diligence, they would have known that they </w:t>
      </w:r>
      <w:r w:rsidR="004950DC">
        <w:t xml:space="preserve">clearly </w:t>
      </w:r>
      <w:r w:rsidR="003E448E" w:rsidRPr="00FD69C6">
        <w:t>were</w:t>
      </w:r>
      <w:r w:rsidR="00E35DD2" w:rsidRPr="00FD69C6">
        <w:t xml:space="preserve"> required to submit the revenues in question. </w:t>
      </w:r>
    </w:p>
    <w:p w14:paraId="0C9E0FA8" w14:textId="7A414E8F" w:rsidR="00EE23C1" w:rsidRDefault="00411C96" w:rsidP="00A7485F">
      <w:pPr>
        <w:pStyle w:val="ParaNum"/>
      </w:pPr>
      <w:r w:rsidRPr="00411C96">
        <w:t xml:space="preserve">VTel </w:t>
      </w:r>
      <w:r w:rsidR="00A15C61">
        <w:t>next</w:t>
      </w:r>
      <w:r w:rsidRPr="00411C96">
        <w:t xml:space="preserve"> argues that it did not violate Section 1.65 of the Commission’s Rules because the necessary factors are missing for </w:t>
      </w:r>
      <w:r w:rsidR="00A15C61">
        <w:t>this type of</w:t>
      </w:r>
      <w:r w:rsidR="003825A6">
        <w:t xml:space="preserve"> </w:t>
      </w:r>
      <w:r w:rsidRPr="00411C96">
        <w:t>violation</w:t>
      </w:r>
      <w:r w:rsidR="003825A6">
        <w:t>.</w:t>
      </w:r>
      <w:r w:rsidR="00A7485F">
        <w:rPr>
          <w:rStyle w:val="FootnoteReference"/>
        </w:rPr>
        <w:footnoteReference w:id="36"/>
      </w:r>
      <w:r w:rsidR="009200B3">
        <w:t xml:space="preserve">  Although we find that VTel </w:t>
      </w:r>
      <w:r w:rsidR="004E5647">
        <w:t xml:space="preserve">was obligated </w:t>
      </w:r>
      <w:r w:rsidR="009200B3">
        <w:t xml:space="preserve">to include the revenue information </w:t>
      </w:r>
      <w:r w:rsidR="00D82125">
        <w:t>for</w:t>
      </w:r>
      <w:r w:rsidR="009200B3">
        <w:t xml:space="preserve"> Dr. Hewlett, </w:t>
      </w:r>
      <w:r w:rsidR="003825A6">
        <w:t>and thus that it did</w:t>
      </w:r>
      <w:r w:rsidR="00AC1CB3">
        <w:t xml:space="preserve"> not meet its obligation under S</w:t>
      </w:r>
      <w:r w:rsidR="003825A6">
        <w:t>ection 1.65</w:t>
      </w:r>
      <w:r w:rsidR="00C0605C">
        <w:t xml:space="preserve"> to ensure the “continuing accuracy and completeness” of </w:t>
      </w:r>
      <w:r w:rsidR="004E5647">
        <w:t xml:space="preserve">its pending </w:t>
      </w:r>
      <w:r w:rsidR="00C0605C">
        <w:t>applications</w:t>
      </w:r>
      <w:r w:rsidR="003825A6">
        <w:t xml:space="preserve">, </w:t>
      </w:r>
      <w:r w:rsidR="00EE23C1" w:rsidRPr="00004064">
        <w:t>the Act does not require us to issue a forfeiture for every apparent violation we investigate.</w:t>
      </w:r>
      <w:r w:rsidR="00EE23C1" w:rsidRPr="00004064">
        <w:rPr>
          <w:rStyle w:val="FootnoteReference"/>
        </w:rPr>
        <w:footnoteReference w:id="37"/>
      </w:r>
      <w:r w:rsidR="00EE23C1" w:rsidRPr="00004064">
        <w:t xml:space="preserve">  The Commission is a regulatory agency with broad prosecutorial discretion in enforcement proceedings.</w:t>
      </w:r>
      <w:r w:rsidR="00EE23C1" w:rsidRPr="00004064">
        <w:rPr>
          <w:rStyle w:val="FootnoteReference"/>
        </w:rPr>
        <w:footnoteReference w:id="38"/>
      </w:r>
      <w:r w:rsidR="00EE23C1" w:rsidRPr="00004064">
        <w:t xml:space="preserve">  The courts have found that, as a general matter, the Commission is best positioned to weigh the benefits of pursuin</w:t>
      </w:r>
      <w:r w:rsidR="009200B3">
        <w:t>g an adj</w:t>
      </w:r>
      <w:r w:rsidR="00EE23C1" w:rsidRPr="00004064">
        <w:t>udication against the costs to the agency.</w:t>
      </w:r>
      <w:r w:rsidR="00EE23C1" w:rsidRPr="00004064">
        <w:rPr>
          <w:rStyle w:val="FootnoteReference"/>
        </w:rPr>
        <w:footnoteReference w:id="39"/>
      </w:r>
      <w:r w:rsidR="00EE23C1" w:rsidRPr="00004064">
        <w:t xml:space="preserve">  </w:t>
      </w:r>
      <w:r w:rsidR="00DF57E0">
        <w:t xml:space="preserve">In this case, </w:t>
      </w:r>
      <w:r w:rsidR="000C29B5">
        <w:t xml:space="preserve">based on the totality of the circumstances, </w:t>
      </w:r>
      <w:r w:rsidR="00DF57E0">
        <w:t xml:space="preserve">we find that it is unnecessary to issue a forfeiture for violation </w:t>
      </w:r>
      <w:r w:rsidR="004E5647">
        <w:t xml:space="preserve">of </w:t>
      </w:r>
      <w:r w:rsidR="00DF57E0">
        <w:t>both Section 1.17 and 1.65 of the Rules for VTel’s failure to file the necessary revenue information.</w:t>
      </w:r>
      <w:r w:rsidR="00DF57E0">
        <w:rPr>
          <w:rStyle w:val="FootnoteReference"/>
        </w:rPr>
        <w:footnoteReference w:id="40"/>
      </w:r>
      <w:r w:rsidR="00DF57E0">
        <w:t xml:space="preserve"> </w:t>
      </w:r>
    </w:p>
    <w:p w14:paraId="40638262" w14:textId="794C0A35" w:rsidR="00A73555" w:rsidRPr="00FD69C6" w:rsidRDefault="00A73555" w:rsidP="00A73555">
      <w:pPr>
        <w:pStyle w:val="Heading1"/>
      </w:pPr>
      <w:r>
        <w:t>CONCLUSION</w:t>
      </w:r>
    </w:p>
    <w:p w14:paraId="26CB47F8" w14:textId="0E0BF433" w:rsidR="006104CA" w:rsidRPr="00FD69C6" w:rsidRDefault="00A73555" w:rsidP="0006586B">
      <w:pPr>
        <w:pStyle w:val="ParaNum"/>
      </w:pPr>
      <w:r>
        <w:t>B</w:t>
      </w:r>
      <w:r w:rsidR="006104CA" w:rsidRPr="00FD69C6">
        <w:t xml:space="preserve">ased on the record before us and in light of the applicable statutory factors, we hereby </w:t>
      </w:r>
      <w:r>
        <w:t xml:space="preserve">conclude </w:t>
      </w:r>
      <w:r w:rsidR="006104CA" w:rsidRPr="00FD69C6">
        <w:t xml:space="preserve">that VTel </w:t>
      </w:r>
      <w:r w:rsidR="006104CA" w:rsidRPr="00FD69C6">
        <w:rPr>
          <w:szCs w:val="22"/>
        </w:rPr>
        <w:t xml:space="preserve">willfully and repeatedly </w:t>
      </w:r>
      <w:r w:rsidR="006104CA" w:rsidRPr="00FD69C6">
        <w:t>violated</w:t>
      </w:r>
      <w:r w:rsidR="00AC1CB3">
        <w:t xml:space="preserve"> S</w:t>
      </w:r>
      <w:r w:rsidR="00134BA4" w:rsidRPr="00FD69C6">
        <w:t>ection</w:t>
      </w:r>
      <w:r w:rsidR="006104CA" w:rsidRPr="00FD69C6">
        <w:t xml:space="preserve"> 1.17 </w:t>
      </w:r>
      <w:r w:rsidR="00DA7997" w:rsidRPr="00FD69C6">
        <w:t xml:space="preserve">of the </w:t>
      </w:r>
      <w:r w:rsidR="006104CA" w:rsidRPr="00FD69C6">
        <w:t>Rules</w:t>
      </w:r>
      <w:r w:rsidR="006104CA" w:rsidRPr="00FD69C6">
        <w:rPr>
          <w:rStyle w:val="FootnoteReference"/>
          <w:szCs w:val="22"/>
        </w:rPr>
        <w:footnoteReference w:id="41"/>
      </w:r>
      <w:r w:rsidR="006104CA" w:rsidRPr="00FD69C6">
        <w:t xml:space="preserve"> by failing to submit accurate revenue information to the Commission </w:t>
      </w:r>
      <w:r w:rsidR="0052478E" w:rsidRPr="00FD69C6">
        <w:t xml:space="preserve">in </w:t>
      </w:r>
      <w:r w:rsidR="006104CA" w:rsidRPr="00FD69C6">
        <w:t>connection with its participati</w:t>
      </w:r>
      <w:r w:rsidR="00DA7997" w:rsidRPr="00FD69C6">
        <w:t xml:space="preserve">on in Auction No. 86.   We </w:t>
      </w:r>
      <w:r>
        <w:t xml:space="preserve">conclude, however, </w:t>
      </w:r>
      <w:r w:rsidR="00DA7997" w:rsidRPr="00FD69C6">
        <w:t xml:space="preserve"> </w:t>
      </w:r>
      <w:r>
        <w:t xml:space="preserve">that </w:t>
      </w:r>
      <w:r w:rsidR="00DA7997" w:rsidRPr="00FD69C6">
        <w:t xml:space="preserve">the proposed forfeiture with respect to VTel’s apparent liability </w:t>
      </w:r>
      <w:r w:rsidR="00AC1CB3">
        <w:t>for violation of S</w:t>
      </w:r>
      <w:r w:rsidR="00DA7997" w:rsidRPr="00FD69C6">
        <w:t>ection 1.65 of the Commission’s Rules</w:t>
      </w:r>
      <w:r w:rsidR="00DA7997" w:rsidRPr="00FD69C6">
        <w:rPr>
          <w:rStyle w:val="FootnoteReference"/>
        </w:rPr>
        <w:footnoteReference w:id="42"/>
      </w:r>
      <w:r>
        <w:t xml:space="preserve"> should be cancelled.</w:t>
      </w:r>
      <w:r w:rsidR="008E5FDC" w:rsidRPr="00FD69C6">
        <w:t xml:space="preserve"> </w:t>
      </w:r>
      <w:r w:rsidR="00134BA4" w:rsidRPr="00FD69C6">
        <w:t xml:space="preserve"> </w:t>
      </w:r>
      <w:r w:rsidR="008E5FDC" w:rsidRPr="00FD69C6">
        <w:t xml:space="preserve">We therefore assess </w:t>
      </w:r>
      <w:r w:rsidR="00AC6388">
        <w:t xml:space="preserve">a </w:t>
      </w:r>
      <w:r>
        <w:t xml:space="preserve">total </w:t>
      </w:r>
      <w:r w:rsidR="00AB4299" w:rsidRPr="00FD69C6">
        <w:t>forfeiture</w:t>
      </w:r>
      <w:r w:rsidR="008E5FDC" w:rsidRPr="00FD69C6">
        <w:t xml:space="preserve"> of $</w:t>
      </w:r>
      <w:r w:rsidR="00AC1CB3">
        <w:t>25,000</w:t>
      </w:r>
      <w:r w:rsidR="008E5FDC" w:rsidRPr="00FD69C6">
        <w:t>.</w:t>
      </w:r>
    </w:p>
    <w:p w14:paraId="5F94C7D0" w14:textId="77777777" w:rsidR="00CF7C0B" w:rsidRPr="00FD69C6" w:rsidRDefault="00CF7C0B" w:rsidP="00AB336E">
      <w:pPr>
        <w:pStyle w:val="Heading1"/>
      </w:pPr>
      <w:r w:rsidRPr="00FD69C6">
        <w:t>ordering clauses</w:t>
      </w:r>
    </w:p>
    <w:p w14:paraId="69C264C8" w14:textId="77777777" w:rsidR="00CF7C0B" w:rsidRPr="00FD69C6" w:rsidRDefault="00CF7C0B" w:rsidP="00CF7C0B">
      <w:pPr>
        <w:pStyle w:val="ParaNum"/>
        <w:widowControl/>
      </w:pPr>
      <w:r w:rsidRPr="00FD69C6">
        <w:rPr>
          <w:rFonts w:eastAsia="MS Mincho"/>
        </w:rPr>
        <w:t>Accordingly</w:t>
      </w:r>
      <w:r w:rsidRPr="00FD69C6">
        <w:t xml:space="preserve">, </w:t>
      </w:r>
      <w:r w:rsidRPr="00FD69C6">
        <w:rPr>
          <w:b/>
        </w:rPr>
        <w:t>IT IS ORDERED</w:t>
      </w:r>
      <w:r w:rsidRPr="00FD69C6">
        <w:t xml:space="preserve"> that, pursuant to Section 503(b) of the Communications Act of 1934, as amended, and Sections 0.111, 0.311, and 1.80 of the Commission’s rules,</w:t>
      </w:r>
      <w:r w:rsidRPr="00FD69C6">
        <w:rPr>
          <w:rStyle w:val="FootnoteReference"/>
          <w:szCs w:val="22"/>
        </w:rPr>
        <w:footnoteReference w:id="43"/>
      </w:r>
      <w:r w:rsidRPr="00FD69C6">
        <w:rPr>
          <w:spacing w:val="-2"/>
        </w:rPr>
        <w:t xml:space="preserve"> Vermont Telephone Company, Inc. </w:t>
      </w:r>
      <w:r w:rsidRPr="00FD69C6">
        <w:rPr>
          <w:b/>
          <w:bCs/>
        </w:rPr>
        <w:t>IS</w:t>
      </w:r>
      <w:r w:rsidRPr="00FD69C6">
        <w:t xml:space="preserve"> </w:t>
      </w:r>
      <w:r w:rsidRPr="00FD69C6">
        <w:rPr>
          <w:b/>
        </w:rPr>
        <w:t>LIABLE FOR A MONETARY FORFEITURE</w:t>
      </w:r>
      <w:r w:rsidRPr="00FD69C6">
        <w:t xml:space="preserve"> in the amount of </w:t>
      </w:r>
      <w:r w:rsidR="00DA7997" w:rsidRPr="00FD69C6">
        <w:t xml:space="preserve">twenty-five </w:t>
      </w:r>
      <w:r w:rsidRPr="00FD69C6">
        <w:t>thousand dollars ($</w:t>
      </w:r>
      <w:r w:rsidR="00DA7997" w:rsidRPr="00FD69C6">
        <w:t>25,000</w:t>
      </w:r>
      <w:r w:rsidRPr="00FD69C6">
        <w:t xml:space="preserve">) for willful and repeated violation of </w:t>
      </w:r>
      <w:r w:rsidR="00DA7997" w:rsidRPr="00FD69C6">
        <w:t>Section 1.17</w:t>
      </w:r>
      <w:r w:rsidRPr="00FD69C6">
        <w:t xml:space="preserve"> of the Commission’s rules.</w:t>
      </w:r>
      <w:r w:rsidRPr="00FD69C6">
        <w:rPr>
          <w:rStyle w:val="FootnoteReference"/>
          <w:szCs w:val="22"/>
        </w:rPr>
        <w:footnoteReference w:id="44"/>
      </w:r>
    </w:p>
    <w:p w14:paraId="61A12DE9" w14:textId="77777777" w:rsidR="000102F7" w:rsidRPr="00FD69C6" w:rsidRDefault="000102F7" w:rsidP="00CF7C0B">
      <w:pPr>
        <w:pStyle w:val="ParaNum"/>
        <w:widowControl/>
        <w:rPr>
          <w:rFonts w:eastAsia="MS Mincho"/>
          <w:color w:val="000000"/>
        </w:rPr>
      </w:pPr>
      <w:r w:rsidRPr="00FD69C6">
        <w:rPr>
          <w:rFonts w:eastAsia="MS Mincho"/>
          <w:b/>
          <w:color w:val="000000"/>
        </w:rPr>
        <w:t>IT IS FURTHER ORDERED</w:t>
      </w:r>
      <w:r w:rsidRPr="00FD69C6">
        <w:rPr>
          <w:rFonts w:eastAsia="MS Mincho"/>
          <w:color w:val="000000"/>
        </w:rPr>
        <w:t xml:space="preserve"> that the proposed forfeiture related to Section 1.65 of the Rules for failure to maintain the continuing accuracy of its filings with the Commission, is </w:t>
      </w:r>
      <w:r w:rsidRPr="00FD69C6">
        <w:rPr>
          <w:rFonts w:eastAsia="MS Mincho"/>
          <w:b/>
          <w:color w:val="000000"/>
        </w:rPr>
        <w:t>CANCELLED</w:t>
      </w:r>
      <w:r w:rsidRPr="00FD69C6">
        <w:rPr>
          <w:rFonts w:eastAsia="MS Mincho"/>
          <w:color w:val="000000"/>
        </w:rPr>
        <w:t>.</w:t>
      </w:r>
    </w:p>
    <w:p w14:paraId="7F6B3B00" w14:textId="77777777" w:rsidR="00CF7C0B" w:rsidRPr="00FD69C6" w:rsidRDefault="000102F7" w:rsidP="00CF7C0B">
      <w:pPr>
        <w:pStyle w:val="ParaNum"/>
        <w:widowControl/>
        <w:rPr>
          <w:rFonts w:eastAsia="MS Mincho"/>
          <w:color w:val="000000"/>
        </w:rPr>
      </w:pPr>
      <w:r w:rsidRPr="00FD69C6">
        <w:rPr>
          <w:rFonts w:eastAsia="MS Mincho"/>
        </w:rPr>
        <w:t>Paymen</w:t>
      </w:r>
      <w:r w:rsidR="00CF7C0B" w:rsidRPr="00FD69C6">
        <w:rPr>
          <w:rFonts w:eastAsia="MS Mincho"/>
        </w:rPr>
        <w:t>t of the forfeiture shall be made in the manner provided for in Section 1.80 of the Commission’s rules within thirty (30) calendar days after the release date of this Forfeiture Order.</w:t>
      </w:r>
      <w:r w:rsidR="00CF7C0B" w:rsidRPr="00FD69C6">
        <w:rPr>
          <w:rStyle w:val="FootnoteReference"/>
          <w:rFonts w:eastAsia="MS Mincho"/>
          <w:szCs w:val="22"/>
        </w:rPr>
        <w:footnoteReference w:id="45"/>
      </w:r>
      <w:r w:rsidR="00CF7C0B" w:rsidRPr="00FD69C6">
        <w:rPr>
          <w:rFonts w:eastAsia="MS Mincho"/>
        </w:rPr>
        <w:t xml:space="preserve">  If the forfeiture is not paid within the period specified, the case may be referred to the U.S. Department of Justice for enforcement of the forfeiture pursuant to Section 504(a) of the Communications Act of 1934, as amended.</w:t>
      </w:r>
      <w:r w:rsidR="00CF7C0B" w:rsidRPr="00FD69C6">
        <w:rPr>
          <w:rStyle w:val="FootnoteReference"/>
          <w:rFonts w:eastAsia="MS Mincho"/>
          <w:szCs w:val="22"/>
        </w:rPr>
        <w:footnoteReference w:id="46"/>
      </w:r>
      <w:r w:rsidR="00CF7C0B" w:rsidRPr="00FD69C6">
        <w:rPr>
          <w:rFonts w:eastAsia="MS Mincho"/>
        </w:rPr>
        <w:t xml:space="preserve">  </w:t>
      </w:r>
      <w:r w:rsidR="00CF7C0B" w:rsidRPr="00FD69C6">
        <w:rPr>
          <w:spacing w:val="-2"/>
        </w:rPr>
        <w:t xml:space="preserve">Vermont Telephone Company, Inc. </w:t>
      </w:r>
      <w:r w:rsidR="00CF7C0B" w:rsidRPr="00FD69C6">
        <w:rPr>
          <w:rFonts w:eastAsia="MS Mincho"/>
        </w:rPr>
        <w:t xml:space="preserve">shall send electronic notification of payment to Gary Schonman at Gary.Schonman@fcc.gov, </w:t>
      </w:r>
      <w:r w:rsidR="00CF7C0B" w:rsidRPr="00FD69C6">
        <w:rPr>
          <w:rFonts w:eastAsia="MS Mincho" w:cs="Arial"/>
        </w:rPr>
        <w:t>Pam Slipakoff at Pam.Slipakoff@fcc.gov</w:t>
      </w:r>
      <w:r w:rsidR="00CF7C0B" w:rsidRPr="00FD69C6">
        <w:rPr>
          <w:rFonts w:eastAsia="MS Mincho"/>
        </w:rPr>
        <w:t xml:space="preserve">, and </w:t>
      </w:r>
      <w:r w:rsidR="008E5FDC" w:rsidRPr="00FD69C6">
        <w:rPr>
          <w:rFonts w:eastAsia="MS Mincho"/>
        </w:rPr>
        <w:t xml:space="preserve">Jeffrey </w:t>
      </w:r>
      <w:r w:rsidR="00A7485F">
        <w:rPr>
          <w:rFonts w:eastAsia="MS Mincho"/>
        </w:rPr>
        <w:t xml:space="preserve">J. </w:t>
      </w:r>
      <w:r w:rsidR="008E5FDC" w:rsidRPr="00FD69C6">
        <w:rPr>
          <w:rFonts w:eastAsia="MS Mincho"/>
        </w:rPr>
        <w:t>Gee</w:t>
      </w:r>
      <w:r w:rsidR="00CF7C0B" w:rsidRPr="00FD69C6">
        <w:rPr>
          <w:rFonts w:eastAsia="MS Mincho"/>
        </w:rPr>
        <w:t xml:space="preserve"> at </w:t>
      </w:r>
      <w:r w:rsidR="008E5FDC" w:rsidRPr="00FD69C6">
        <w:rPr>
          <w:rFonts w:eastAsia="MS Mincho"/>
        </w:rPr>
        <w:t>Jeffrey.Gee</w:t>
      </w:r>
      <w:r w:rsidR="00CF7C0B" w:rsidRPr="00FD69C6">
        <w:rPr>
          <w:rFonts w:eastAsia="MS Mincho"/>
        </w:rPr>
        <w:t>@fcc.gov on the date said payment is made.</w:t>
      </w:r>
    </w:p>
    <w:p w14:paraId="4FC37CC4" w14:textId="77777777" w:rsidR="00CF7C0B" w:rsidRPr="006168A4" w:rsidRDefault="00CF7C0B" w:rsidP="00CF7C0B">
      <w:pPr>
        <w:pStyle w:val="ParaNum"/>
        <w:rPr>
          <w:rFonts w:eastAsia="MS Mincho"/>
          <w:color w:val="000000"/>
          <w:szCs w:val="22"/>
        </w:rPr>
      </w:pPr>
      <w:r w:rsidRPr="00FD69C6">
        <w:t xml:space="preserve">The payment must be made by check or similar instrument, wire transfer, or credit card, and must include the NAL/Account Number and FRN referenced above.  </w:t>
      </w:r>
      <w:r w:rsidR="007D0B34">
        <w:rPr>
          <w:spacing w:val="-2"/>
        </w:rPr>
        <w:t>Vermont Telephone Company</w:t>
      </w:r>
      <w:r w:rsidRPr="00FD69C6">
        <w:rPr>
          <w:spacing w:val="-2"/>
        </w:rPr>
        <w:t xml:space="preserve">, Inc. </w:t>
      </w:r>
      <w:r w:rsidRPr="00FD69C6">
        <w:rPr>
          <w:rFonts w:eastAsia="MS Mincho"/>
          <w:szCs w:val="22"/>
        </w:rPr>
        <w:t>shall send electr</w:t>
      </w:r>
      <w:r w:rsidR="003B5DF4" w:rsidRPr="00FD69C6">
        <w:rPr>
          <w:rFonts w:eastAsia="MS Mincho"/>
          <w:szCs w:val="22"/>
        </w:rPr>
        <w:t>onic notification of payment to</w:t>
      </w:r>
      <w:r w:rsidRPr="00FD69C6">
        <w:rPr>
          <w:rFonts w:eastAsia="MS Mincho"/>
        </w:rPr>
        <w:t xml:space="preserve"> Gary Schonman at Gary.Schonman@fcc.gov, </w:t>
      </w:r>
      <w:r w:rsidRPr="00FD69C6">
        <w:rPr>
          <w:rFonts w:eastAsia="MS Mincho" w:cs="Arial"/>
        </w:rPr>
        <w:t>Pam Slipakoff at Pam.Slipakoff@fcc.gov</w:t>
      </w:r>
      <w:r w:rsidRPr="00FD69C6">
        <w:rPr>
          <w:szCs w:val="22"/>
        </w:rPr>
        <w:t xml:space="preserve">, and </w:t>
      </w:r>
      <w:r w:rsidR="008E5FDC" w:rsidRPr="00FD69C6">
        <w:rPr>
          <w:rFonts w:eastAsia="MS Mincho"/>
        </w:rPr>
        <w:t xml:space="preserve">Jeffrey </w:t>
      </w:r>
      <w:r w:rsidR="00A7485F">
        <w:rPr>
          <w:rFonts w:eastAsia="MS Mincho"/>
        </w:rPr>
        <w:t xml:space="preserve">J. </w:t>
      </w:r>
      <w:r w:rsidR="008E5FDC" w:rsidRPr="00FD69C6">
        <w:rPr>
          <w:rFonts w:eastAsia="MS Mincho"/>
        </w:rPr>
        <w:t>Gee a</w:t>
      </w:r>
      <w:r w:rsidR="008E5FDC" w:rsidRPr="008E5FDC">
        <w:rPr>
          <w:rFonts w:eastAsia="MS Mincho"/>
        </w:rPr>
        <w:t>t Jeffrey.Gee@fcc.gov</w:t>
      </w:r>
      <w:r w:rsidR="008E5FDC" w:rsidRPr="00EA7BC5">
        <w:rPr>
          <w:rFonts w:eastAsia="MS Mincho"/>
          <w:szCs w:val="22"/>
        </w:rPr>
        <w:t xml:space="preserve"> </w:t>
      </w:r>
      <w:r w:rsidRPr="00EA7BC5">
        <w:rPr>
          <w:rFonts w:eastAsia="MS Mincho"/>
          <w:szCs w:val="22"/>
        </w:rPr>
        <w:t xml:space="preserve">on the date said payment is made.  </w:t>
      </w:r>
      <w:r w:rsidRPr="00C82A24">
        <w:t>Regardless of the form of payment, a completed FCC Form 159 (Remittance Advice) must be submitted.</w:t>
      </w:r>
      <w:r w:rsidRPr="005D4F7D">
        <w:rPr>
          <w:vertAlign w:val="superscript"/>
        </w:rPr>
        <w:footnoteReference w:id="47"/>
      </w:r>
      <w:r w:rsidRPr="00C82A24">
        <w:t xml:space="preserve">  When completing the FCC Form 159, enter the Account Number in block number 23A (call sign/other ID) and enter the letters </w:t>
      </w:r>
      <w:r>
        <w:t>“</w:t>
      </w:r>
      <w:r w:rsidRPr="00C82A24">
        <w:t>FORF</w:t>
      </w:r>
      <w:r>
        <w:t>”</w:t>
      </w:r>
      <w:r w:rsidRPr="00C82A24">
        <w:t xml:space="preserve"> in block number 24A (payment type code).</w:t>
      </w:r>
      <w:r>
        <w:t xml:space="preserve">  </w:t>
      </w:r>
      <w:r w:rsidRPr="00135F7F">
        <w:rPr>
          <w:color w:val="000000"/>
          <w:szCs w:val="22"/>
        </w:rPr>
        <w:t xml:space="preserve">Below are additional instructions </w:t>
      </w:r>
      <w:r w:rsidR="006B5C42">
        <w:rPr>
          <w:spacing w:val="-2"/>
        </w:rPr>
        <w:t>Vermont Telephone Company</w:t>
      </w:r>
      <w:r>
        <w:rPr>
          <w:spacing w:val="-2"/>
        </w:rPr>
        <w:t xml:space="preserve">, Inc. </w:t>
      </w:r>
      <w:r w:rsidRPr="00135F7F">
        <w:rPr>
          <w:color w:val="000000"/>
          <w:szCs w:val="22"/>
        </w:rPr>
        <w:t xml:space="preserve">should follow based on the form of payment </w:t>
      </w:r>
      <w:r>
        <w:rPr>
          <w:color w:val="000000"/>
          <w:szCs w:val="22"/>
        </w:rPr>
        <w:t>it</w:t>
      </w:r>
      <w:r w:rsidRPr="00135F7F">
        <w:rPr>
          <w:color w:val="000000"/>
          <w:szCs w:val="22"/>
        </w:rPr>
        <w:t xml:space="preserve"> select</w:t>
      </w:r>
      <w:r>
        <w:rPr>
          <w:color w:val="000000"/>
          <w:szCs w:val="22"/>
        </w:rPr>
        <w:t>s</w:t>
      </w:r>
      <w:r w:rsidRPr="00135F7F">
        <w:rPr>
          <w:color w:val="000000"/>
          <w:szCs w:val="22"/>
        </w:rPr>
        <w:t>:</w:t>
      </w:r>
    </w:p>
    <w:p w14:paraId="19963828" w14:textId="77777777" w:rsidR="00CF7C0B" w:rsidRDefault="00CF7C0B" w:rsidP="00CF7C0B">
      <w:pPr>
        <w:pStyle w:val="ParaNum"/>
        <w:widowControl/>
        <w:numPr>
          <w:ilvl w:val="0"/>
          <w:numId w:val="7"/>
        </w:numPr>
        <w:rPr>
          <w:rFonts w:eastAsia="MS Mincho"/>
        </w:rPr>
      </w:pPr>
      <w:r w:rsidRPr="00135F7F">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32F51EEA" w14:textId="77777777" w:rsidR="00CF7C0B" w:rsidRPr="00135F7F" w:rsidRDefault="00CF7C0B" w:rsidP="00CF7C0B">
      <w:pPr>
        <w:pStyle w:val="ParaNum"/>
        <w:numPr>
          <w:ilvl w:val="0"/>
          <w:numId w:val="7"/>
        </w:numPr>
        <w:rPr>
          <w:rFonts w:eastAsia="MS Mincho"/>
        </w:rPr>
      </w:pPr>
      <w:r w:rsidRPr="00135F7F">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00AFBC52" w14:textId="77777777" w:rsidR="00CF7C0B" w:rsidRPr="00135F7F" w:rsidRDefault="00CF7C0B" w:rsidP="00CF7C0B">
      <w:pPr>
        <w:pStyle w:val="ParaNum"/>
        <w:numPr>
          <w:ilvl w:val="0"/>
          <w:numId w:val="7"/>
        </w:numPr>
        <w:rPr>
          <w:rFonts w:eastAsia="MS Mincho"/>
        </w:rPr>
      </w:pPr>
      <w:r w:rsidRPr="00135F7F">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42A9B583" w14:textId="789D09B2" w:rsidR="00742A46" w:rsidRDefault="00CF7C0B" w:rsidP="00742A46">
      <w:pPr>
        <w:pStyle w:val="ParaNum"/>
      </w:pPr>
      <w:r w:rsidRPr="00C82A24">
        <w:t xml:space="preserve">Any request for </w:t>
      </w:r>
      <w:r>
        <w:t xml:space="preserve">making </w:t>
      </w:r>
      <w:r w:rsidRPr="00C82A24">
        <w:t>full payment</w:t>
      </w:r>
      <w:r>
        <w:t xml:space="preserve"> over time</w:t>
      </w:r>
      <w:r w:rsidRPr="00C82A24">
        <w:t xml:space="preserve"> under an installment plan should be sent to:  Chief Financial Officer—Financial Operations, Federal Communications Commission, 445 12th Street, S</w:t>
      </w:r>
      <w:r>
        <w:t>.W., Room 1-A625, Washington, D</w:t>
      </w:r>
      <w:r w:rsidRPr="00C82A24">
        <w:t>C 20554</w:t>
      </w:r>
      <w:r>
        <w:t>.</w:t>
      </w:r>
      <w:r w:rsidRPr="005D4F7D">
        <w:rPr>
          <w:vertAlign w:val="superscript"/>
        </w:rPr>
        <w:footnoteReference w:id="48"/>
      </w:r>
      <w:r>
        <w:t xml:space="preserve">  </w:t>
      </w:r>
      <w:r w:rsidRPr="00135F7F">
        <w:rPr>
          <w:rFonts w:eastAsia="MS Mincho"/>
          <w:szCs w:val="22"/>
        </w:rPr>
        <w:t xml:space="preserve">If </w:t>
      </w:r>
      <w:r w:rsidR="007D0B34">
        <w:t>Vermont Telephone Company</w:t>
      </w:r>
      <w:r w:rsidRPr="008A1A2C">
        <w:t>, Inc.</w:t>
      </w:r>
      <w:r>
        <w:t xml:space="preserve"> </w:t>
      </w:r>
      <w:r w:rsidRPr="00C82A24">
        <w:t xml:space="preserve">has questions regarding payment procedures, </w:t>
      </w:r>
      <w:r w:rsidRPr="00CC660D">
        <w:t>it should</w:t>
      </w:r>
      <w:r w:rsidRPr="00C82A24">
        <w:t xml:space="preserve"> contact the Financial Operations Group Help Desk by phone, 1-877-480-3201, or by e</w:t>
      </w:r>
      <w:r w:rsidRPr="00C82A24">
        <w:noBreakHyphen/>
        <w:t>mail, ARINQUIRIES@fcc.gov.</w:t>
      </w:r>
      <w:r>
        <w:t xml:space="preserve">  </w:t>
      </w:r>
      <w:r w:rsidR="00742A46">
        <w:br w:type="page"/>
      </w:r>
    </w:p>
    <w:p w14:paraId="34996637" w14:textId="712D09B5" w:rsidR="00CF7C0B" w:rsidRPr="008A1A2C" w:rsidRDefault="00CF7C0B" w:rsidP="00742A46">
      <w:pPr>
        <w:pStyle w:val="ParaNum"/>
      </w:pPr>
      <w:r w:rsidRPr="00742A46">
        <w:rPr>
          <w:b/>
        </w:rPr>
        <w:t>IT IS FURTHER ORDERED</w:t>
      </w:r>
      <w:r w:rsidRPr="008A1A2C">
        <w:t xml:space="preserve"> that a copy of this </w:t>
      </w:r>
      <w:r w:rsidRPr="00EE05DB">
        <w:t>Forfeiture Order</w:t>
      </w:r>
      <w:r w:rsidRPr="00742A46">
        <w:rPr>
          <w:i/>
        </w:rPr>
        <w:t xml:space="preserve"> </w:t>
      </w:r>
      <w:r w:rsidRPr="00D23943">
        <w:t>shall be sent</w:t>
      </w:r>
      <w:r w:rsidR="006F6902">
        <w:t xml:space="preserve"> both</w:t>
      </w:r>
      <w:r w:rsidRPr="00D23943">
        <w:t xml:space="preserve"> by </w:t>
      </w:r>
      <w:r w:rsidR="006F6902">
        <w:t>F</w:t>
      </w:r>
      <w:r w:rsidRPr="00D23943">
        <w:t xml:space="preserve">irst </w:t>
      </w:r>
      <w:r w:rsidR="006F6902">
        <w:t>C</w:t>
      </w:r>
      <w:r w:rsidRPr="00D23943">
        <w:t xml:space="preserve">lass </w:t>
      </w:r>
      <w:r w:rsidR="006F6902">
        <w:t>U.S. M</w:t>
      </w:r>
      <w:r w:rsidRPr="00D23943">
        <w:t xml:space="preserve">ail and </w:t>
      </w:r>
      <w:r w:rsidR="006F6902">
        <w:t>C</w:t>
      </w:r>
      <w:r w:rsidRPr="00D23943">
        <w:t xml:space="preserve">ertified </w:t>
      </w:r>
      <w:r w:rsidR="006F6902">
        <w:t>M</w:t>
      </w:r>
      <w:r w:rsidRPr="00D23943">
        <w:t xml:space="preserve">ail, </w:t>
      </w:r>
      <w:r w:rsidR="006F6902">
        <w:t>R</w:t>
      </w:r>
      <w:r w:rsidRPr="00D23943">
        <w:t xml:space="preserve">eturn </w:t>
      </w:r>
      <w:r w:rsidR="006F6902">
        <w:t>R</w:t>
      </w:r>
      <w:r w:rsidRPr="00D23943">
        <w:t xml:space="preserve">eceipt </w:t>
      </w:r>
      <w:r w:rsidR="006F6902">
        <w:t>R</w:t>
      </w:r>
      <w:r w:rsidRPr="00D23943">
        <w:t>equested</w:t>
      </w:r>
      <w:r>
        <w:t>, to</w:t>
      </w:r>
      <w:r w:rsidRPr="008A1A2C">
        <w:t xml:space="preserve"> </w:t>
      </w:r>
      <w:r w:rsidR="006F6902">
        <w:t>Dr. J. Michel Guit</w:t>
      </w:r>
      <w:r w:rsidR="00CC1C36" w:rsidRPr="00CC1C36">
        <w:t>é</w:t>
      </w:r>
      <w:r w:rsidR="006F6902">
        <w:t>, Chief Executive Officer, Vermont, Telephone Company, Inc., 354 River St., Springfield, VT 05156</w:t>
      </w:r>
      <w:r w:rsidR="007631FA">
        <w:t>,</w:t>
      </w:r>
      <w:r w:rsidR="006F6902">
        <w:t xml:space="preserve"> and </w:t>
      </w:r>
      <w:r w:rsidR="007631FA">
        <w:t xml:space="preserve">its counsel </w:t>
      </w:r>
      <w:r>
        <w:t>B</w:t>
      </w:r>
      <w:r w:rsidR="00921144">
        <w:t xml:space="preserve">ennett L. Ross, Wiley Rein </w:t>
      </w:r>
      <w:r>
        <w:t>LLP, counsel to Vermont Telephone Company</w:t>
      </w:r>
      <w:r w:rsidRPr="008A1A2C">
        <w:t>, Inc.</w:t>
      </w:r>
      <w:r>
        <w:t>, 1776 K Street,</w:t>
      </w:r>
      <w:r w:rsidRPr="00EC389E">
        <w:t xml:space="preserve"> N</w:t>
      </w:r>
      <w:r>
        <w:t>.</w:t>
      </w:r>
      <w:r w:rsidRPr="00EC389E">
        <w:t>W</w:t>
      </w:r>
      <w:r>
        <w:t xml:space="preserve">., Suite 800, Washington, DC 20006.  </w:t>
      </w:r>
    </w:p>
    <w:p w14:paraId="361667F8" w14:textId="77777777" w:rsidR="00CF7C0B" w:rsidRDefault="00CF7C0B" w:rsidP="00742A46">
      <w:pPr>
        <w:pStyle w:val="ParaNum"/>
        <w:numPr>
          <w:ilvl w:val="0"/>
          <w:numId w:val="0"/>
        </w:numPr>
      </w:pPr>
    </w:p>
    <w:p w14:paraId="67DA6853" w14:textId="77777777" w:rsidR="00742A46" w:rsidRPr="00B0601B" w:rsidRDefault="00742A46" w:rsidP="00742A46">
      <w:pPr>
        <w:pStyle w:val="ParaNum"/>
        <w:numPr>
          <w:ilvl w:val="0"/>
          <w:numId w:val="0"/>
        </w:numPr>
      </w:pPr>
    </w:p>
    <w:p w14:paraId="149F56CF" w14:textId="77777777" w:rsidR="00CF7C0B" w:rsidRDefault="00CF7C0B" w:rsidP="00CF7C0B">
      <w:r>
        <w:tab/>
      </w:r>
      <w:r>
        <w:tab/>
      </w:r>
      <w:r>
        <w:tab/>
      </w:r>
      <w:r>
        <w:tab/>
      </w:r>
      <w:r>
        <w:tab/>
      </w:r>
      <w:r>
        <w:tab/>
        <w:t>FEDERAL COMMUNICATIONS COMMISSION</w:t>
      </w:r>
    </w:p>
    <w:p w14:paraId="3FD20224" w14:textId="77777777" w:rsidR="00CF7C0B" w:rsidRDefault="00CF7C0B" w:rsidP="00CF7C0B"/>
    <w:p w14:paraId="76A8E8BB" w14:textId="77777777" w:rsidR="00CF7C0B" w:rsidRDefault="00CF7C0B" w:rsidP="00CF7C0B"/>
    <w:p w14:paraId="48F53CFA" w14:textId="77777777" w:rsidR="00CF7C0B" w:rsidRDefault="00CF7C0B" w:rsidP="00CF7C0B">
      <w:pPr>
        <w:tabs>
          <w:tab w:val="left" w:pos="0"/>
          <w:tab w:val="left" w:pos="720"/>
          <w:tab w:val="left" w:pos="1440"/>
        </w:tabs>
        <w:suppressAutoHyphens/>
        <w:spacing w:line="240" w:lineRule="atLeast"/>
      </w:pPr>
      <w:r>
        <w:tab/>
      </w:r>
      <w:r>
        <w:tab/>
      </w:r>
      <w:r>
        <w:tab/>
      </w:r>
      <w:r>
        <w:tab/>
      </w:r>
      <w:r>
        <w:tab/>
      </w:r>
      <w:r>
        <w:tab/>
      </w:r>
    </w:p>
    <w:p w14:paraId="03312402" w14:textId="77777777" w:rsidR="00CF7C0B" w:rsidRDefault="00CF7C0B" w:rsidP="00CF7C0B">
      <w:pPr>
        <w:tabs>
          <w:tab w:val="left" w:pos="0"/>
          <w:tab w:val="left" w:pos="720"/>
          <w:tab w:val="left" w:pos="1440"/>
        </w:tabs>
        <w:suppressAutoHyphens/>
        <w:spacing w:line="240" w:lineRule="atLeast"/>
      </w:pPr>
    </w:p>
    <w:p w14:paraId="0F3F0465" w14:textId="77777777" w:rsidR="00CF7C0B" w:rsidRPr="00D15C2F" w:rsidRDefault="00CF7C0B" w:rsidP="00CF7C0B">
      <w:pPr>
        <w:tabs>
          <w:tab w:val="left" w:pos="0"/>
          <w:tab w:val="left" w:pos="720"/>
          <w:tab w:val="left" w:pos="1440"/>
        </w:tabs>
        <w:suppressAutoHyphens/>
        <w:spacing w:line="240" w:lineRule="atLeast"/>
      </w:pPr>
      <w:r>
        <w:tab/>
      </w:r>
      <w:r>
        <w:tab/>
      </w:r>
      <w:r>
        <w:tab/>
      </w:r>
      <w:r>
        <w:tab/>
      </w:r>
      <w:r>
        <w:tab/>
      </w:r>
      <w:r>
        <w:tab/>
        <w:t>Travis LeBlanc</w:t>
      </w:r>
      <w:r w:rsidRPr="00D15C2F">
        <w:t xml:space="preserve"> </w:t>
      </w:r>
    </w:p>
    <w:p w14:paraId="7F985BD9" w14:textId="77777777" w:rsidR="00CF7C0B" w:rsidRPr="00D15C2F" w:rsidRDefault="00CF7C0B" w:rsidP="00CF7C0B">
      <w:r w:rsidRPr="00D15C2F">
        <w:tab/>
      </w:r>
      <w:r w:rsidRPr="00D15C2F">
        <w:tab/>
      </w:r>
      <w:r w:rsidRPr="00D15C2F">
        <w:tab/>
      </w:r>
      <w:r w:rsidRPr="00D15C2F">
        <w:tab/>
      </w:r>
      <w:r w:rsidRPr="00D15C2F">
        <w:tab/>
      </w:r>
      <w:r w:rsidRPr="00D15C2F">
        <w:tab/>
        <w:t>Chief</w:t>
      </w:r>
    </w:p>
    <w:p w14:paraId="13089DC7" w14:textId="77777777" w:rsidR="00CF7C0B" w:rsidRDefault="00CF7C0B" w:rsidP="00CF7C0B">
      <w:r w:rsidRPr="00D15C2F">
        <w:tab/>
      </w:r>
      <w:r w:rsidRPr="00D15C2F">
        <w:tab/>
      </w:r>
      <w:r w:rsidRPr="00D15C2F">
        <w:tab/>
      </w:r>
      <w:r w:rsidRPr="00D15C2F">
        <w:tab/>
      </w:r>
      <w:r w:rsidRPr="00D15C2F">
        <w:tab/>
      </w:r>
      <w:r w:rsidRPr="00D15C2F">
        <w:tab/>
      </w:r>
      <w:r>
        <w:t>Enforcement Bureau</w:t>
      </w:r>
    </w:p>
    <w:p w14:paraId="4C999E34" w14:textId="77777777" w:rsidR="00CF7C0B" w:rsidRPr="00CF7C0B" w:rsidRDefault="00CF7C0B" w:rsidP="00CF7C0B">
      <w:pPr>
        <w:pStyle w:val="ParaNum"/>
        <w:numPr>
          <w:ilvl w:val="0"/>
          <w:numId w:val="0"/>
        </w:numPr>
        <w:ind w:left="720"/>
      </w:pPr>
    </w:p>
    <w:p w14:paraId="3C571299" w14:textId="77777777" w:rsidR="007A1F7C" w:rsidRPr="007A1F7C" w:rsidRDefault="007A1F7C" w:rsidP="007A1F7C">
      <w:pPr>
        <w:pStyle w:val="ParaNum"/>
        <w:numPr>
          <w:ilvl w:val="0"/>
          <w:numId w:val="0"/>
        </w:numPr>
        <w:ind w:firstLine="720"/>
      </w:pPr>
    </w:p>
    <w:sectPr w:rsidR="007A1F7C" w:rsidRPr="007A1F7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D3711" w14:textId="77777777" w:rsidR="007A1E16" w:rsidRDefault="007A1E16">
      <w:pPr>
        <w:spacing w:line="20" w:lineRule="exact"/>
      </w:pPr>
    </w:p>
  </w:endnote>
  <w:endnote w:type="continuationSeparator" w:id="0">
    <w:p w14:paraId="3052BAF0" w14:textId="77777777" w:rsidR="007A1E16" w:rsidRDefault="007A1E16">
      <w:r>
        <w:t xml:space="preserve"> </w:t>
      </w:r>
    </w:p>
  </w:endnote>
  <w:endnote w:type="continuationNotice" w:id="1">
    <w:p w14:paraId="02A0518B" w14:textId="77777777" w:rsidR="007A1E16" w:rsidRDefault="007A1E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CDC6" w14:textId="77777777" w:rsidR="00DC3944" w:rsidRDefault="00DC3944" w:rsidP="0055614C">
    <w:pPr>
      <w:pStyle w:val="Footer"/>
      <w:framePr w:wrap="around" w:vAnchor="text" w:hAnchor="margin" w:xAlign="center" w:y="1"/>
    </w:pPr>
    <w:r>
      <w:fldChar w:fldCharType="begin"/>
    </w:r>
    <w:r>
      <w:instrText xml:space="preserve">PAGE  </w:instrText>
    </w:r>
    <w:r>
      <w:fldChar w:fldCharType="end"/>
    </w:r>
  </w:p>
  <w:p w14:paraId="57E20716" w14:textId="77777777" w:rsidR="00DC3944" w:rsidRDefault="00DC3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069" w14:textId="77777777" w:rsidR="00DC3944" w:rsidRDefault="00DC3944" w:rsidP="0055614C">
    <w:pPr>
      <w:pStyle w:val="Footer"/>
      <w:framePr w:wrap="around" w:vAnchor="text" w:hAnchor="margin" w:xAlign="center" w:y="1"/>
    </w:pPr>
    <w:r>
      <w:fldChar w:fldCharType="begin"/>
    </w:r>
    <w:r>
      <w:instrText xml:space="preserve">PAGE  </w:instrText>
    </w:r>
    <w:r>
      <w:fldChar w:fldCharType="separate"/>
    </w:r>
    <w:r w:rsidR="00847322">
      <w:rPr>
        <w:noProof/>
      </w:rPr>
      <w:t>2</w:t>
    </w:r>
    <w:r>
      <w:fldChar w:fldCharType="end"/>
    </w:r>
  </w:p>
  <w:p w14:paraId="43ED5FDF" w14:textId="77777777" w:rsidR="00DC3944" w:rsidRDefault="00DC394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A40B" w14:textId="77777777" w:rsidR="00DC3944" w:rsidRDefault="00DC394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0F76B" w14:textId="77777777" w:rsidR="007A1E16" w:rsidRDefault="007A1E16">
      <w:r>
        <w:separator/>
      </w:r>
    </w:p>
  </w:footnote>
  <w:footnote w:type="continuationSeparator" w:id="0">
    <w:p w14:paraId="13332F55" w14:textId="77777777" w:rsidR="007A1E16" w:rsidRDefault="007A1E16" w:rsidP="00C721AC">
      <w:pPr>
        <w:spacing w:before="120"/>
        <w:rPr>
          <w:sz w:val="20"/>
        </w:rPr>
      </w:pPr>
      <w:r>
        <w:rPr>
          <w:sz w:val="20"/>
        </w:rPr>
        <w:t xml:space="preserve">(Continued from previous page)  </w:t>
      </w:r>
      <w:r>
        <w:rPr>
          <w:sz w:val="20"/>
        </w:rPr>
        <w:separator/>
      </w:r>
    </w:p>
  </w:footnote>
  <w:footnote w:type="continuationNotice" w:id="1">
    <w:p w14:paraId="2AA9AB67" w14:textId="77777777" w:rsidR="007A1E16" w:rsidRDefault="007A1E16" w:rsidP="00C721AC">
      <w:pPr>
        <w:jc w:val="right"/>
        <w:rPr>
          <w:sz w:val="20"/>
        </w:rPr>
      </w:pPr>
      <w:r>
        <w:rPr>
          <w:sz w:val="20"/>
        </w:rPr>
        <w:t>(continued….)</w:t>
      </w:r>
    </w:p>
  </w:footnote>
  <w:footnote w:id="2">
    <w:p w14:paraId="73714C06" w14:textId="77777777" w:rsidR="00DC3944" w:rsidRPr="00EB1E9D" w:rsidRDefault="00DC3944" w:rsidP="00A2328C">
      <w:pPr>
        <w:pStyle w:val="FootnoteText"/>
      </w:pPr>
      <w:r w:rsidRPr="00A3796D">
        <w:rPr>
          <w:rStyle w:val="FootnoteReference"/>
        </w:rPr>
        <w:footnoteRef/>
      </w:r>
      <w:r w:rsidRPr="00A3796D">
        <w:t xml:space="preserve"> The </w:t>
      </w:r>
      <w:r w:rsidRPr="0075423D">
        <w:t xml:space="preserve">investigation was initiated under </w:t>
      </w:r>
      <w:r w:rsidRPr="0075423D">
        <w:rPr>
          <w:spacing w:val="-2"/>
        </w:rPr>
        <w:t xml:space="preserve">EB-11-IH-0734 and subsequently assigned </w:t>
      </w:r>
      <w:r w:rsidRPr="0075423D">
        <w:t xml:space="preserve">File No. EB-IHD-13-00010654.  </w:t>
      </w:r>
      <w:r w:rsidRPr="00EB1E9D">
        <w:t xml:space="preserve">Any future correspondence with the Commission concerning this matter should reflect the new case number.  </w:t>
      </w:r>
    </w:p>
  </w:footnote>
  <w:footnote w:id="3">
    <w:p w14:paraId="5C7E7737" w14:textId="77777777" w:rsidR="00DC3944" w:rsidRPr="00EB1E9D" w:rsidRDefault="00DC3944" w:rsidP="0075423D">
      <w:pPr>
        <w:pStyle w:val="FootnoteText"/>
      </w:pPr>
      <w:r w:rsidRPr="00EB1E9D">
        <w:rPr>
          <w:rStyle w:val="FootnoteReference"/>
        </w:rPr>
        <w:footnoteRef/>
      </w:r>
      <w:r w:rsidRPr="00EB1E9D">
        <w:t xml:space="preserve"> 47 U.S.C. § 309(j)(4)(D)</w:t>
      </w:r>
      <w:r w:rsidRPr="00EB1E9D">
        <w:rPr>
          <w:rFonts w:eastAsia="TimesNewRoman"/>
          <w:color w:val="010101"/>
        </w:rPr>
        <w:t>.</w:t>
      </w:r>
    </w:p>
  </w:footnote>
  <w:footnote w:id="4">
    <w:p w14:paraId="6E343A15" w14:textId="754C436D" w:rsidR="00BA021B" w:rsidRDefault="00BA021B">
      <w:pPr>
        <w:pStyle w:val="FootnoteText"/>
      </w:pPr>
      <w:r>
        <w:rPr>
          <w:rStyle w:val="FootnoteReference"/>
        </w:rPr>
        <w:footnoteRef/>
      </w:r>
      <w:r>
        <w:t xml:space="preserve"> </w:t>
      </w:r>
      <w:r w:rsidRPr="00EB1E9D">
        <w:t xml:space="preserve">47 U.S.C. § 309(j)(4)(E).  </w:t>
      </w:r>
      <w:r w:rsidRPr="00EB1E9D">
        <w:rPr>
          <w:i/>
        </w:rPr>
        <w:t xml:space="preserve">See generally </w:t>
      </w:r>
      <w:r w:rsidRPr="00A35FFD">
        <w:rPr>
          <w:i/>
          <w:spacing w:val="-2"/>
        </w:rPr>
        <w:t>Updating Part 1 Competitive Bidding Rules,</w:t>
      </w:r>
      <w:r w:rsidRPr="00EB1E9D">
        <w:rPr>
          <w:spacing w:val="-2"/>
        </w:rPr>
        <w:t xml:space="preserve"> </w:t>
      </w:r>
      <w:r w:rsidRPr="00EB1E9D">
        <w:rPr>
          <w:i/>
          <w:spacing w:val="-2"/>
        </w:rPr>
        <w:t>et al.</w:t>
      </w:r>
      <w:r w:rsidRPr="00EB1E9D">
        <w:rPr>
          <w:spacing w:val="-2"/>
        </w:rPr>
        <w:t xml:space="preserve">, </w:t>
      </w:r>
      <w:r w:rsidRPr="00A35FFD">
        <w:rPr>
          <w:spacing w:val="-2"/>
        </w:rPr>
        <w:t>Notice of Proposed Rulemaking</w:t>
      </w:r>
      <w:r>
        <w:rPr>
          <w:spacing w:val="-2"/>
        </w:rPr>
        <w:t>, 26 FCC Rcd 12426, 12428</w:t>
      </w:r>
      <w:r w:rsidR="0041044D">
        <w:rPr>
          <w:spacing w:val="-2"/>
        </w:rPr>
        <w:t xml:space="preserve">, </w:t>
      </w:r>
      <w:r>
        <w:rPr>
          <w:spacing w:val="-2"/>
        </w:rPr>
        <w:t xml:space="preserve"> para. 3</w:t>
      </w:r>
      <w:r w:rsidRPr="00EB1E9D">
        <w:rPr>
          <w:spacing w:val="-2"/>
        </w:rPr>
        <w:t xml:space="preserve"> (2014).</w:t>
      </w:r>
    </w:p>
  </w:footnote>
  <w:footnote w:id="5">
    <w:p w14:paraId="5D8DA41C" w14:textId="09C395C3" w:rsidR="00DC3944" w:rsidRPr="00767BB0" w:rsidRDefault="00DC3944">
      <w:pPr>
        <w:pStyle w:val="FootnoteText"/>
      </w:pPr>
      <w:r w:rsidRPr="00EB1E9D">
        <w:rPr>
          <w:rStyle w:val="FootnoteReference"/>
        </w:rPr>
        <w:footnoteRef/>
      </w:r>
      <w:r w:rsidRPr="00EB1E9D">
        <w:t xml:space="preserve"> </w:t>
      </w:r>
      <w:r w:rsidRPr="00EB1E9D">
        <w:rPr>
          <w:i/>
        </w:rPr>
        <w:t>See</w:t>
      </w:r>
      <w:r w:rsidRPr="00EB1E9D">
        <w:t xml:space="preserve"> Amendment of Part 1 of the Commission’s Rules – Competitive Bidding Procedures, </w:t>
      </w:r>
      <w:r w:rsidRPr="00EB1E9D">
        <w:rPr>
          <w:i/>
        </w:rPr>
        <w:t>et al</w:t>
      </w:r>
      <w:r w:rsidRPr="00EB1E9D">
        <w:t xml:space="preserve">., WT Docket No. 97-82, </w:t>
      </w:r>
      <w:r w:rsidRPr="00EB1E9D">
        <w:rPr>
          <w:i/>
        </w:rPr>
        <w:t>et al</w:t>
      </w:r>
      <w:r w:rsidRPr="00EB1E9D">
        <w:t xml:space="preserve">., </w:t>
      </w:r>
      <w:r w:rsidRPr="00EB1E9D">
        <w:rPr>
          <w:i/>
        </w:rPr>
        <w:t>Third Report and Order and Second Further Notice of Proposed Rule Making</w:t>
      </w:r>
      <w:r w:rsidRPr="00EB1E9D">
        <w:t>, 13 FCC Rcd 374, 390</w:t>
      </w:r>
      <w:r w:rsidR="0041044D">
        <w:t>,</w:t>
      </w:r>
      <w:r w:rsidRPr="00EB1E9D">
        <w:t xml:space="preserve"> </w:t>
      </w:r>
      <w:r w:rsidR="00EA6375">
        <w:t>para.</w:t>
      </w:r>
      <w:r w:rsidRPr="00EB1E9D">
        <w:t xml:space="preserve"> 22 (1998).</w:t>
      </w:r>
    </w:p>
  </w:footnote>
  <w:footnote w:id="6">
    <w:p w14:paraId="5F51502B" w14:textId="5EF68578" w:rsidR="00BA021B" w:rsidRDefault="00BA021B">
      <w:pPr>
        <w:pStyle w:val="FootnoteText"/>
      </w:pPr>
      <w:r>
        <w:rPr>
          <w:rStyle w:val="FootnoteReference"/>
        </w:rPr>
        <w:footnoteRef/>
      </w:r>
      <w:r>
        <w:t xml:space="preserve"> </w:t>
      </w:r>
      <w:r w:rsidRPr="0030250E">
        <w:rPr>
          <w:i/>
        </w:rPr>
        <w:t xml:space="preserve">See </w:t>
      </w:r>
      <w:r>
        <w:t>Vermont Telephone Company, Inc., Response to Notice of Apparent Liability at 1 (Nov. 14, 2011) (on file in EB-IHD-13-00010654) (NAL Response).</w:t>
      </w:r>
    </w:p>
  </w:footnote>
  <w:footnote w:id="7">
    <w:p w14:paraId="5BB4D4B9" w14:textId="77777777" w:rsidR="00DC3944" w:rsidRDefault="00DC3944" w:rsidP="00F1052E">
      <w:pPr>
        <w:pStyle w:val="FootnoteText"/>
      </w:pPr>
      <w:r>
        <w:rPr>
          <w:rStyle w:val="FootnoteReference"/>
        </w:rPr>
        <w:footnoteRef/>
      </w:r>
      <w:r>
        <w:t xml:space="preserve"> 47 C.F.R. § 1.17.</w:t>
      </w:r>
    </w:p>
  </w:footnote>
  <w:footnote w:id="8">
    <w:p w14:paraId="4351B0AC" w14:textId="77777777" w:rsidR="00DC3944" w:rsidRPr="008A249B" w:rsidRDefault="00DC3944">
      <w:pPr>
        <w:pStyle w:val="FootnoteText"/>
        <w:rPr>
          <w:b/>
        </w:rPr>
      </w:pPr>
      <w:r>
        <w:rPr>
          <w:rStyle w:val="FootnoteReference"/>
        </w:rPr>
        <w:footnoteRef/>
      </w:r>
      <w:r>
        <w:t xml:space="preserve"> 47 C.F.R. § 1.65.</w:t>
      </w:r>
    </w:p>
  </w:footnote>
  <w:footnote w:id="9">
    <w:p w14:paraId="2FF38CCE" w14:textId="02F2B413" w:rsidR="00DC3944" w:rsidRPr="0006082E" w:rsidRDefault="00DC3944" w:rsidP="00902EDD">
      <w:pPr>
        <w:pStyle w:val="FootnoteText"/>
        <w:rPr>
          <w:b/>
          <w:i/>
        </w:rPr>
      </w:pPr>
      <w:r>
        <w:rPr>
          <w:rStyle w:val="FootnoteReference"/>
        </w:rPr>
        <w:footnoteRef/>
      </w:r>
      <w:r>
        <w:t xml:space="preserve"> 47 C.F.R. §§ 1.2110(b)(1)(i), 1.2110(b)(3)(iv)(B).  </w:t>
      </w:r>
      <w:r w:rsidRPr="0006082E">
        <w:rPr>
          <w:i/>
        </w:rPr>
        <w:t xml:space="preserve">See also </w:t>
      </w:r>
      <w:r w:rsidR="006472F6">
        <w:rPr>
          <w:i/>
        </w:rPr>
        <w:t xml:space="preserve">Amendment of Part 1 of the Commission’s Rules—Competitive Bidding, </w:t>
      </w:r>
      <w:r w:rsidRPr="00A35FFD">
        <w:t>Order on Reconsideration of the Third Report and Order</w:t>
      </w:r>
      <w:r w:rsidRPr="006472F6">
        <w:t xml:space="preserve">, </w:t>
      </w:r>
      <w:r w:rsidRPr="00A35FFD">
        <w:t>Fifth Report and Order</w:t>
      </w:r>
      <w:r w:rsidRPr="006472F6">
        <w:t xml:space="preserve">, </w:t>
      </w:r>
      <w:r w:rsidRPr="00A35FFD">
        <w:t>and Fourth Further Notice of Proposed Rule Making</w:t>
      </w:r>
      <w:r w:rsidRPr="0006082E">
        <w:t>, FCC 00-274, 15 FCC Rcd 15293, 15323-27 (2000) (</w:t>
      </w:r>
      <w:r w:rsidR="006472F6">
        <w:t>subsequent history omitted)</w:t>
      </w:r>
      <w:r w:rsidRPr="0006082E">
        <w:t>.</w:t>
      </w:r>
    </w:p>
  </w:footnote>
  <w:footnote w:id="10">
    <w:p w14:paraId="2D6D77E7" w14:textId="77777777" w:rsidR="00DC3944" w:rsidRDefault="00DC3944" w:rsidP="00C875CE">
      <w:pPr>
        <w:pStyle w:val="FootnoteText"/>
      </w:pPr>
      <w:r>
        <w:rPr>
          <w:rStyle w:val="FootnoteReference"/>
        </w:rPr>
        <w:footnoteRef/>
      </w:r>
      <w:r>
        <w:t xml:space="preserve"> </w:t>
      </w:r>
      <w:r>
        <w:rPr>
          <w:i/>
        </w:rPr>
        <w:t>See</w:t>
      </w:r>
      <w:r>
        <w:t xml:space="preserve"> Form 601, File No. 0004040603 (filed Nov. 20, 2009).</w:t>
      </w:r>
    </w:p>
  </w:footnote>
  <w:footnote w:id="11">
    <w:p w14:paraId="5B9DB42E" w14:textId="77777777" w:rsidR="00DC3944" w:rsidRDefault="00DC3944" w:rsidP="00C875CE">
      <w:pPr>
        <w:pStyle w:val="FootnoteText"/>
        <w:rPr>
          <w:b/>
        </w:rPr>
      </w:pPr>
      <w:r>
        <w:rPr>
          <w:rStyle w:val="FootnoteReference"/>
        </w:rPr>
        <w:footnoteRef/>
      </w:r>
      <w:r>
        <w:t xml:space="preserve"> </w:t>
      </w:r>
      <w:r>
        <w:rPr>
          <w:i/>
        </w:rPr>
        <w:t xml:space="preserve">See </w:t>
      </w:r>
      <w:r>
        <w:t xml:space="preserve">Form 602, File No. 0003937211 (filed Mar. 31, 2009). </w:t>
      </w:r>
    </w:p>
  </w:footnote>
  <w:footnote w:id="12">
    <w:p w14:paraId="4C162BB1" w14:textId="77777777" w:rsidR="00DC3944" w:rsidRDefault="00DC3944" w:rsidP="00C875CE">
      <w:pPr>
        <w:pStyle w:val="FootnoteText"/>
        <w:rPr>
          <w:i/>
        </w:rPr>
      </w:pPr>
      <w:r>
        <w:rPr>
          <w:rStyle w:val="FootnoteReference"/>
        </w:rPr>
        <w:footnoteRef/>
      </w:r>
      <w:r>
        <w:t xml:space="preserve"> </w:t>
      </w:r>
      <w:r>
        <w:rPr>
          <w:i/>
        </w:rPr>
        <w:t>See id</w:t>
      </w:r>
      <w:r>
        <w:t xml:space="preserve">.  VTel submitted an additional Ownership Report after the close of Auction No. 86.  </w:t>
      </w:r>
      <w:r>
        <w:rPr>
          <w:i/>
        </w:rPr>
        <w:t xml:space="preserve">See </w:t>
      </w:r>
      <w:r>
        <w:t>Form 602, File No. 0004129864 (filed  Feb. 18, 2010).</w:t>
      </w:r>
    </w:p>
  </w:footnote>
  <w:footnote w:id="13">
    <w:p w14:paraId="792CC412" w14:textId="6F292FB9" w:rsidR="00BA021B" w:rsidRPr="00BA021B" w:rsidRDefault="00BA021B">
      <w:pPr>
        <w:pStyle w:val="FootnoteText"/>
        <w:rPr>
          <w:i/>
        </w:rPr>
      </w:pPr>
      <w:r>
        <w:rPr>
          <w:rStyle w:val="FootnoteReference"/>
        </w:rPr>
        <w:footnoteRef/>
      </w:r>
      <w:r>
        <w:t xml:space="preserve"> </w:t>
      </w:r>
      <w:r w:rsidRPr="00AC1CB3">
        <w:rPr>
          <w:i/>
        </w:rPr>
        <w:t>See Vermont Telephone</w:t>
      </w:r>
      <w:r>
        <w:rPr>
          <w:i/>
        </w:rPr>
        <w:t xml:space="preserve"> Co.</w:t>
      </w:r>
      <w:r w:rsidRPr="00AC1CB3">
        <w:rPr>
          <w:i/>
        </w:rPr>
        <w:t>, Inc.</w:t>
      </w:r>
      <w:r w:rsidRPr="00AC1CB3">
        <w:t xml:space="preserve"> Notice of Apparent Liability for Forfeiture, 26 FCC Rcd 14130 (Enf. Bur. 2011) (</w:t>
      </w:r>
      <w:r w:rsidRPr="00AC1CB3">
        <w:rPr>
          <w:i/>
        </w:rPr>
        <w:t>NAL</w:t>
      </w:r>
      <w:r w:rsidRPr="00AC1CB3">
        <w:t xml:space="preserve">).  Section 1.17 of the Rules states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  </w:t>
      </w:r>
      <w:r w:rsidRPr="00AC1CB3">
        <w:rPr>
          <w:i/>
        </w:rPr>
        <w:t>See</w:t>
      </w:r>
      <w:r w:rsidRPr="0005785E">
        <w:rPr>
          <w:i/>
        </w:rPr>
        <w:t xml:space="preserve"> </w:t>
      </w:r>
      <w:r w:rsidRPr="00AC1CB3">
        <w:t>47 C.F.R. §</w:t>
      </w:r>
      <w:r w:rsidRPr="0005785E">
        <w:t xml:space="preserve"> 1.17</w:t>
      </w:r>
      <w:r w:rsidRPr="00AC1CB3">
        <w:t xml:space="preserve">(a)(2).  </w:t>
      </w:r>
      <w:r>
        <w:t>S</w:t>
      </w:r>
      <w:r w:rsidRPr="00AC1CB3">
        <w:t>ection 1.65 of the Rules provides that “[e]ach applicant is responsible for the continuing accuracy and completeness of information furnished in a pending application or in Commission proceedings involving a pending application.”</w:t>
      </w:r>
      <w:r>
        <w:t xml:space="preserve">  </w:t>
      </w:r>
      <w:r w:rsidRPr="00AC1CB3">
        <w:rPr>
          <w:i/>
        </w:rPr>
        <w:t xml:space="preserve">See </w:t>
      </w:r>
      <w:r w:rsidRPr="00AC1CB3">
        <w:t>47 C.F.R. §</w:t>
      </w:r>
      <w:r>
        <w:t xml:space="preserve"> 1.65(a).</w:t>
      </w:r>
    </w:p>
  </w:footnote>
  <w:footnote w:id="14">
    <w:p w14:paraId="7B5546E6" w14:textId="6FEFA232" w:rsidR="00745EE1" w:rsidRDefault="00745EE1">
      <w:pPr>
        <w:pStyle w:val="FootnoteText"/>
      </w:pPr>
      <w:r>
        <w:rPr>
          <w:rStyle w:val="FootnoteReference"/>
        </w:rPr>
        <w:footnoteRef/>
      </w:r>
      <w:r>
        <w:t xml:space="preserve"> </w:t>
      </w:r>
      <w:r>
        <w:rPr>
          <w:i/>
        </w:rPr>
        <w:t>See NAL</w:t>
      </w:r>
      <w:r>
        <w:t>, 26 FCC Rcd at 14130</w:t>
      </w:r>
      <w:r w:rsidR="0041044D">
        <w:t>,</w:t>
      </w:r>
      <w:r>
        <w:t xml:space="preserve"> para. 1.</w:t>
      </w:r>
    </w:p>
  </w:footnote>
  <w:footnote w:id="15">
    <w:p w14:paraId="462F4917" w14:textId="1BC37A67" w:rsidR="00DC3944" w:rsidRPr="00D84AD6" w:rsidRDefault="00DC3944" w:rsidP="008E5FDC">
      <w:pPr>
        <w:pStyle w:val="FootnoteText"/>
      </w:pPr>
      <w:r>
        <w:rPr>
          <w:rStyle w:val="FootnoteReference"/>
        </w:rPr>
        <w:footnoteRef/>
      </w:r>
      <w:r>
        <w:t xml:space="preserve"> </w:t>
      </w:r>
      <w:r w:rsidRPr="00BA021B">
        <w:rPr>
          <w:i/>
        </w:rPr>
        <w:t>See</w:t>
      </w:r>
      <w:r w:rsidR="00BA021B">
        <w:t xml:space="preserve"> NAL Response at 1.</w:t>
      </w:r>
    </w:p>
  </w:footnote>
  <w:footnote w:id="16">
    <w:p w14:paraId="1F13E1D5" w14:textId="77777777" w:rsidR="00DC3944" w:rsidRDefault="00DC3944" w:rsidP="00945716">
      <w:pPr>
        <w:pStyle w:val="FootnoteText"/>
      </w:pPr>
      <w:r>
        <w:rPr>
          <w:rStyle w:val="FootnoteReference"/>
        </w:rPr>
        <w:footnoteRef/>
      </w:r>
      <w:r>
        <w:t xml:space="preserve"> </w:t>
      </w:r>
      <w:r>
        <w:rPr>
          <w:i/>
        </w:rPr>
        <w:t>See id</w:t>
      </w:r>
      <w:r>
        <w:t>. at</w:t>
      </w:r>
      <w:r w:rsidR="00B579B1">
        <w:t xml:space="preserve"> 13-23.</w:t>
      </w:r>
    </w:p>
  </w:footnote>
  <w:footnote w:id="17">
    <w:p w14:paraId="58CB6B97" w14:textId="77777777" w:rsidR="00DC3944" w:rsidRPr="00A3796D" w:rsidRDefault="00DC3944" w:rsidP="00AB336E">
      <w:pPr>
        <w:pStyle w:val="FootnoteText"/>
      </w:pPr>
      <w:r w:rsidRPr="00A3796D">
        <w:rPr>
          <w:rStyle w:val="FootnoteReference"/>
        </w:rPr>
        <w:footnoteRef/>
      </w:r>
      <w:r w:rsidRPr="00A3796D">
        <w:t xml:space="preserve"> </w:t>
      </w:r>
      <w:r w:rsidRPr="00A3796D">
        <w:rPr>
          <w:color w:val="000000"/>
        </w:rPr>
        <w:t>47 U.S.C. § 503(b).</w:t>
      </w:r>
    </w:p>
  </w:footnote>
  <w:footnote w:id="18">
    <w:p w14:paraId="0EEB5713" w14:textId="77777777" w:rsidR="00DC3944" w:rsidRPr="00A3796D" w:rsidRDefault="00DC3944" w:rsidP="00AB336E">
      <w:pPr>
        <w:pStyle w:val="FootnoteText"/>
      </w:pPr>
      <w:r w:rsidRPr="00A3796D">
        <w:rPr>
          <w:rStyle w:val="FootnoteReference"/>
        </w:rPr>
        <w:footnoteRef/>
      </w:r>
      <w:r w:rsidRPr="00A3796D">
        <w:t xml:space="preserve"> 47 C.F.R. § 1.80.</w:t>
      </w:r>
    </w:p>
  </w:footnote>
  <w:footnote w:id="19">
    <w:p w14:paraId="757837DC" w14:textId="77777777" w:rsidR="00DC3944" w:rsidRPr="00A3796D" w:rsidRDefault="00DC3944" w:rsidP="00AB336E">
      <w:pPr>
        <w:pStyle w:val="FootnoteText"/>
      </w:pPr>
      <w:r w:rsidRPr="00A3796D">
        <w:rPr>
          <w:rStyle w:val="FootnoteReference"/>
        </w:rPr>
        <w:footnoteRef/>
      </w:r>
      <w:r w:rsidRPr="00A3796D">
        <w:rPr>
          <w:i/>
        </w:rPr>
        <w:t xml:space="preserve"> The Commission’s Forfeiture Policy Statement and Amendment of Section 1.80 of the Rules to Incorporate the Forfeiture Guidelines</w:t>
      </w:r>
      <w:r w:rsidRPr="00A3796D">
        <w:t>, Report and Order, 12 FCC Rcd 17087 (1997) (</w:t>
      </w:r>
      <w:r w:rsidRPr="00A3796D">
        <w:rPr>
          <w:i/>
        </w:rPr>
        <w:t>Forfeiture Policy Statement</w:t>
      </w:r>
      <w:r w:rsidRPr="00A3796D">
        <w:t xml:space="preserve">), </w:t>
      </w:r>
      <w:r w:rsidRPr="00A3796D">
        <w:rPr>
          <w:i/>
        </w:rPr>
        <w:t>recons. denied</w:t>
      </w:r>
      <w:r w:rsidRPr="00A3796D">
        <w:t xml:space="preserve">, Memorandum Opinion and Order, 15 FCC Rcd 303 (1999). </w:t>
      </w:r>
    </w:p>
  </w:footnote>
  <w:footnote w:id="20">
    <w:p w14:paraId="2003E976" w14:textId="77777777" w:rsidR="00DC3944" w:rsidRPr="00A3796D" w:rsidRDefault="00DC3944" w:rsidP="00AB336E">
      <w:pPr>
        <w:pStyle w:val="FootnoteText"/>
      </w:pPr>
      <w:r w:rsidRPr="00A3796D">
        <w:rPr>
          <w:rStyle w:val="FootnoteReference"/>
        </w:rPr>
        <w:footnoteRef/>
      </w:r>
      <w:r w:rsidRPr="00A3796D">
        <w:t xml:space="preserve"> 47 U.S.C. § 503(b)(2)(E).</w:t>
      </w:r>
    </w:p>
  </w:footnote>
  <w:footnote w:id="21">
    <w:p w14:paraId="512014FB" w14:textId="77777777" w:rsidR="00DC3944" w:rsidRDefault="00DC3944" w:rsidP="00AB336E">
      <w:pPr>
        <w:pStyle w:val="FootnoteText"/>
      </w:pPr>
      <w:r>
        <w:rPr>
          <w:rStyle w:val="FootnoteReference"/>
        </w:rPr>
        <w:footnoteRef/>
      </w:r>
      <w:r>
        <w:t xml:space="preserve"> 47 C.F.R. § </w:t>
      </w:r>
      <w:r w:rsidRPr="00DA7997">
        <w:t>1.17.</w:t>
      </w:r>
    </w:p>
  </w:footnote>
  <w:footnote w:id="22">
    <w:p w14:paraId="56D1B51A" w14:textId="77777777" w:rsidR="00DC3944" w:rsidRDefault="00DC3944">
      <w:pPr>
        <w:pStyle w:val="FootnoteText"/>
      </w:pPr>
      <w:r>
        <w:rPr>
          <w:rStyle w:val="FootnoteReference"/>
        </w:rPr>
        <w:footnoteRef/>
      </w:r>
      <w:r>
        <w:t xml:space="preserve"> 47 C.F.R. § 1.65</w:t>
      </w:r>
      <w:r w:rsidRPr="00DA7997">
        <w:t>.</w:t>
      </w:r>
    </w:p>
  </w:footnote>
  <w:footnote w:id="23">
    <w:p w14:paraId="5B9521E2" w14:textId="7BD6B2B8" w:rsidR="00BC52B7" w:rsidRDefault="00BC52B7">
      <w:pPr>
        <w:pStyle w:val="FootnoteText"/>
      </w:pPr>
      <w:r>
        <w:rPr>
          <w:rStyle w:val="FootnoteReference"/>
        </w:rPr>
        <w:footnoteRef/>
      </w:r>
      <w:r>
        <w:t xml:space="preserve"> 47 C.F.R. § 1.17</w:t>
      </w:r>
      <w:r w:rsidRPr="00A3796D">
        <w:t>.</w:t>
      </w:r>
    </w:p>
  </w:footnote>
  <w:footnote w:id="24">
    <w:p w14:paraId="461D9111" w14:textId="572E5345" w:rsidR="00816A78" w:rsidRPr="00816A78" w:rsidRDefault="00816A78">
      <w:pPr>
        <w:pStyle w:val="FootnoteText"/>
      </w:pPr>
      <w:r>
        <w:rPr>
          <w:rStyle w:val="FootnoteReference"/>
        </w:rPr>
        <w:footnoteRef/>
      </w:r>
      <w:r>
        <w:t xml:space="preserve"> </w:t>
      </w:r>
      <w:r>
        <w:rPr>
          <w:i/>
        </w:rPr>
        <w:t>See NAL</w:t>
      </w:r>
      <w:r>
        <w:t>, 26 FCC Rcd at 14133-34</w:t>
      </w:r>
      <w:r w:rsidR="0041044D">
        <w:t>,</w:t>
      </w:r>
      <w:r w:rsidR="00EA6375">
        <w:t xml:space="preserve"> para</w:t>
      </w:r>
      <w:r w:rsidR="00D4135E">
        <w:t>s. 9-10.</w:t>
      </w:r>
    </w:p>
  </w:footnote>
  <w:footnote w:id="25">
    <w:p w14:paraId="77532538" w14:textId="77777777" w:rsidR="00DC3944" w:rsidRPr="004B146A" w:rsidRDefault="00DC3944">
      <w:pPr>
        <w:pStyle w:val="FootnoteText"/>
      </w:pPr>
      <w:r>
        <w:rPr>
          <w:rStyle w:val="FootnoteReference"/>
        </w:rPr>
        <w:footnoteRef/>
      </w:r>
      <w:r>
        <w:t xml:space="preserve"> </w:t>
      </w:r>
      <w:r>
        <w:rPr>
          <w:i/>
        </w:rPr>
        <w:t xml:space="preserve">See </w:t>
      </w:r>
      <w:r w:rsidRPr="00901C01">
        <w:t xml:space="preserve">NAL Response </w:t>
      </w:r>
      <w:r w:rsidRPr="00816A78">
        <w:t>at</w:t>
      </w:r>
      <w:r>
        <w:t xml:space="preserve"> 11-13.</w:t>
      </w:r>
    </w:p>
  </w:footnote>
  <w:footnote w:id="26">
    <w:p w14:paraId="4BC7D2B3" w14:textId="273D68B1" w:rsidR="00DC3944" w:rsidRDefault="00DC3944" w:rsidP="00B45E14">
      <w:pPr>
        <w:pStyle w:val="FootnoteText"/>
      </w:pPr>
      <w:r>
        <w:rPr>
          <w:rStyle w:val="FootnoteReference"/>
        </w:rPr>
        <w:footnoteRef/>
      </w:r>
      <w:r>
        <w:t xml:space="preserve"> </w:t>
      </w:r>
      <w:r>
        <w:rPr>
          <w:i/>
        </w:rPr>
        <w:t>NAL</w:t>
      </w:r>
      <w:r w:rsidR="00D4135E">
        <w:t>, 26 FCC Rcd at 141</w:t>
      </w:r>
      <w:r>
        <w:t>33</w:t>
      </w:r>
      <w:r w:rsidR="0041044D">
        <w:t>,</w:t>
      </w:r>
      <w:r w:rsidR="00EA6375">
        <w:t xml:space="preserve"> para. </w:t>
      </w:r>
      <w:r w:rsidR="00D4135E">
        <w:t>9 (</w:t>
      </w:r>
      <w:r>
        <w:rPr>
          <w:i/>
        </w:rPr>
        <w:t xml:space="preserve">citing </w:t>
      </w:r>
      <w:r>
        <w:t>47 C.F.R. § 1.2110(b)</w:t>
      </w:r>
      <w:r w:rsidR="006472F6">
        <w:t>)</w:t>
      </w:r>
      <w:r>
        <w:t xml:space="preserve">.  </w:t>
      </w:r>
      <w:r w:rsidRPr="0094493C">
        <w:rPr>
          <w:i/>
        </w:rPr>
        <w:t>See also</w:t>
      </w:r>
      <w:r>
        <w:t>, 47 C.F.R. § 1.2110 (o) (defining “Gross revenues”).</w:t>
      </w:r>
    </w:p>
  </w:footnote>
  <w:footnote w:id="27">
    <w:p w14:paraId="4BEAF285" w14:textId="5355D870" w:rsidR="00DC3944" w:rsidRPr="00443265" w:rsidRDefault="00DC3944">
      <w:pPr>
        <w:pStyle w:val="FootnoteText"/>
        <w:rPr>
          <w:bCs/>
        </w:rPr>
      </w:pPr>
      <w:r>
        <w:rPr>
          <w:rStyle w:val="FootnoteReference"/>
        </w:rPr>
        <w:footnoteRef/>
      </w:r>
      <w:r>
        <w:t xml:space="preserve"> </w:t>
      </w:r>
      <w:r w:rsidRPr="00443265">
        <w:rPr>
          <w:i/>
        </w:rPr>
        <w:t xml:space="preserve">See </w:t>
      </w:r>
      <w:r w:rsidRPr="00443265">
        <w:t>File No. 0004040603 (filed Nov. 20, 2009).</w:t>
      </w:r>
      <w:r w:rsidR="00443265" w:rsidRPr="00443265">
        <w:t xml:space="preserve">  </w:t>
      </w:r>
      <w:r w:rsidR="00443265" w:rsidRPr="00443265">
        <w:rPr>
          <w:bCs/>
          <w:i/>
          <w:iCs/>
        </w:rPr>
        <w:t>See also</w:t>
      </w:r>
      <w:r w:rsidR="00443265" w:rsidRPr="00443265">
        <w:rPr>
          <w:bCs/>
        </w:rPr>
        <w:t xml:space="preserve"> 47 C.F.R. </w:t>
      </w:r>
      <w:r w:rsidR="004125FE" w:rsidRPr="00EB1E9D">
        <w:t>§</w:t>
      </w:r>
      <w:r w:rsidR="004125FE">
        <w:t xml:space="preserve"> </w:t>
      </w:r>
      <w:r w:rsidR="00443265" w:rsidRPr="00443265">
        <w:rPr>
          <w:bCs/>
        </w:rPr>
        <w:t xml:space="preserve">1.2110(b)(1)(i) (gross revenues of, </w:t>
      </w:r>
      <w:r w:rsidR="00443265" w:rsidRPr="00443265">
        <w:rPr>
          <w:bCs/>
          <w:iCs/>
        </w:rPr>
        <w:t>inter alia</w:t>
      </w:r>
      <w:r w:rsidR="00443265" w:rsidRPr="00443265">
        <w:rPr>
          <w:bCs/>
        </w:rPr>
        <w:t>, controlling interest holders must be attributed to applicant for purposes of determining whether applicant qualifies as a small business).</w:t>
      </w:r>
    </w:p>
  </w:footnote>
  <w:footnote w:id="28">
    <w:p w14:paraId="0F66BBD3" w14:textId="52C98708" w:rsidR="007922D2" w:rsidRDefault="007922D2">
      <w:pPr>
        <w:pStyle w:val="FootnoteText"/>
      </w:pPr>
      <w:r>
        <w:rPr>
          <w:rStyle w:val="FootnoteReference"/>
        </w:rPr>
        <w:footnoteRef/>
      </w:r>
      <w:r>
        <w:t xml:space="preserve">  </w:t>
      </w:r>
      <w:r>
        <w:rPr>
          <w:i/>
        </w:rPr>
        <w:t>See NAL</w:t>
      </w:r>
      <w:r>
        <w:t>,</w:t>
      </w:r>
      <w:r>
        <w:rPr>
          <w:i/>
        </w:rPr>
        <w:t xml:space="preserve"> </w:t>
      </w:r>
      <w:r w:rsidRPr="00E25A4A">
        <w:t>26 FCC Rcd</w:t>
      </w:r>
      <w:r>
        <w:rPr>
          <w:i/>
        </w:rPr>
        <w:t xml:space="preserve"> </w:t>
      </w:r>
      <w:r w:rsidRPr="00E25A4A">
        <w:t>at</w:t>
      </w:r>
      <w:r>
        <w:rPr>
          <w:i/>
        </w:rPr>
        <w:t xml:space="preserve"> </w:t>
      </w:r>
      <w:r>
        <w:t>1413</w:t>
      </w:r>
      <w:r w:rsidR="006E6994">
        <w:t>3</w:t>
      </w:r>
      <w:r w:rsidR="0041044D">
        <w:t xml:space="preserve">, </w:t>
      </w:r>
      <w:r>
        <w:t xml:space="preserve">para. 9. </w:t>
      </w:r>
    </w:p>
  </w:footnote>
  <w:footnote w:id="29">
    <w:p w14:paraId="73404984" w14:textId="5D123379" w:rsidR="00DC3944" w:rsidRDefault="00DC3944">
      <w:pPr>
        <w:pStyle w:val="FootnoteText"/>
      </w:pPr>
      <w:r>
        <w:rPr>
          <w:rStyle w:val="FootnoteReference"/>
        </w:rPr>
        <w:footnoteRef/>
      </w:r>
      <w:r>
        <w:t xml:space="preserve"> </w:t>
      </w:r>
      <w:r>
        <w:rPr>
          <w:i/>
        </w:rPr>
        <w:t xml:space="preserve">See </w:t>
      </w:r>
      <w:r w:rsidRPr="00AC6388">
        <w:t>NAL Response</w:t>
      </w:r>
      <w:r>
        <w:rPr>
          <w:i/>
        </w:rPr>
        <w:t xml:space="preserve"> </w:t>
      </w:r>
      <w:r w:rsidR="00FA48AA">
        <w:t>at 13-18</w:t>
      </w:r>
      <w:r>
        <w:t>.</w:t>
      </w:r>
    </w:p>
  </w:footnote>
  <w:footnote w:id="30">
    <w:p w14:paraId="0451522E" w14:textId="4E445258" w:rsidR="00DC3944" w:rsidRPr="0097570F" w:rsidRDefault="00DC3944">
      <w:pPr>
        <w:pStyle w:val="FootnoteText"/>
      </w:pPr>
      <w:r>
        <w:rPr>
          <w:rStyle w:val="FootnoteReference"/>
        </w:rPr>
        <w:footnoteRef/>
      </w:r>
      <w:r>
        <w:t xml:space="preserve"> </w:t>
      </w:r>
      <w:r>
        <w:rPr>
          <w:i/>
        </w:rPr>
        <w:t>See NAL</w:t>
      </w:r>
      <w:r>
        <w:t>, 26 FCC Rcd at 14132</w:t>
      </w:r>
      <w:r w:rsidR="00D4135E">
        <w:t>, para. 6.</w:t>
      </w:r>
    </w:p>
  </w:footnote>
  <w:footnote w:id="31">
    <w:p w14:paraId="3ECA608A" w14:textId="77777777" w:rsidR="00DC3944" w:rsidRPr="00FE118B" w:rsidRDefault="00DC3944">
      <w:pPr>
        <w:pStyle w:val="FootnoteText"/>
      </w:pPr>
      <w:r>
        <w:rPr>
          <w:rStyle w:val="FootnoteReference"/>
        </w:rPr>
        <w:footnoteRef/>
      </w:r>
      <w:r>
        <w:t xml:space="preserve"> </w:t>
      </w:r>
      <w:r>
        <w:rPr>
          <w:i/>
        </w:rPr>
        <w:t>See</w:t>
      </w:r>
      <w:r>
        <w:t xml:space="preserve"> 47 C.F.R. § 1.2110(</w:t>
      </w:r>
      <w:r w:rsidR="00A7485F">
        <w:t>b</w:t>
      </w:r>
      <w:r>
        <w:t>)(1)(i).</w:t>
      </w:r>
    </w:p>
  </w:footnote>
  <w:footnote w:id="32">
    <w:p w14:paraId="74E65FF4" w14:textId="77777777" w:rsidR="00DC3944" w:rsidRPr="00FE118B" w:rsidRDefault="00DC3944">
      <w:pPr>
        <w:pStyle w:val="FootnoteText"/>
      </w:pPr>
      <w:r>
        <w:rPr>
          <w:rStyle w:val="FootnoteReference"/>
        </w:rPr>
        <w:footnoteRef/>
      </w:r>
      <w:r>
        <w:t xml:space="preserve"> </w:t>
      </w:r>
      <w:r>
        <w:rPr>
          <w:i/>
        </w:rPr>
        <w:t>See</w:t>
      </w:r>
      <w:r>
        <w:t xml:space="preserve"> 47 U.S.C. § 309(j)(4)(E).</w:t>
      </w:r>
    </w:p>
  </w:footnote>
  <w:footnote w:id="33">
    <w:p w14:paraId="44FBFAF7" w14:textId="63B61AE2" w:rsidR="00BE50AE" w:rsidRDefault="00BE50AE" w:rsidP="00BE50AE">
      <w:pPr>
        <w:pStyle w:val="FootnoteText"/>
      </w:pPr>
      <w:r>
        <w:rPr>
          <w:rStyle w:val="FootnoteReference"/>
        </w:rPr>
        <w:footnoteRef/>
      </w:r>
      <w:r>
        <w:t xml:space="preserve"> As the Commission previously has found</w:t>
      </w:r>
      <w:r w:rsidRPr="00D51100">
        <w:t>, a Company’s “</w:t>
      </w:r>
      <w:r w:rsidRPr="00D51100">
        <w:rPr>
          <w:color w:val="000000"/>
        </w:rPr>
        <w:t xml:space="preserve">multiple failures to fulfill its disclosure obligations under </w:t>
      </w:r>
      <w:hyperlink r:id="rId1" w:history="1">
        <w:r w:rsidR="00AC1CB3">
          <w:rPr>
            <w:color w:val="000000" w:themeColor="text1"/>
          </w:rPr>
          <w:t>S</w:t>
        </w:r>
        <w:r w:rsidRPr="00D51100">
          <w:rPr>
            <w:color w:val="000000" w:themeColor="text1"/>
          </w:rPr>
          <w:t>ections 1.2110</w:t>
        </w:r>
      </w:hyperlink>
      <w:r w:rsidRPr="00D51100">
        <w:rPr>
          <w:color w:val="000000" w:themeColor="text1"/>
        </w:rPr>
        <w:t xml:space="preserve"> and </w:t>
      </w:r>
      <w:hyperlink r:id="rId2" w:history="1">
        <w:r w:rsidRPr="00D51100">
          <w:rPr>
            <w:color w:val="000000" w:themeColor="text1"/>
          </w:rPr>
          <w:t>1.2112</w:t>
        </w:r>
      </w:hyperlink>
      <w:r w:rsidRPr="00D51100">
        <w:rPr>
          <w:color w:val="000000"/>
        </w:rPr>
        <w:t xml:space="preserve"> raise particular concerns given the importance of maintaining the integrity of our spectrum auctions. We adopted carefully structured disclosure rules to ensure that our auctions are conducted in a fair and transparent manner and that all applicants participate on an even playing field. When auction applicants undermine our disclosure rules, such actions threaten the very foundation upon which we conduct our auctions.”</w:t>
      </w:r>
      <w:r>
        <w:rPr>
          <w:color w:val="000000"/>
        </w:rPr>
        <w:t xml:space="preserve">  </w:t>
      </w:r>
      <w:r>
        <w:rPr>
          <w:i/>
        </w:rPr>
        <w:t xml:space="preserve">See Maritime Communications/Land Mobile, LLCI, </w:t>
      </w:r>
      <w:r w:rsidRPr="00B855E5">
        <w:t>Order to Show Cause, Hearing Designation Order,</w:t>
      </w:r>
      <w:r>
        <w:t xml:space="preserve"> and Notice </w:t>
      </w:r>
      <w:r w:rsidRPr="00B855E5">
        <w:t xml:space="preserve">of Opportunity for Hearing, </w:t>
      </w:r>
      <w:r>
        <w:t>26 FCC Rcd 6520, 6540</w:t>
      </w:r>
      <w:r w:rsidR="0041044D">
        <w:t>,</w:t>
      </w:r>
      <w:r>
        <w:t xml:space="preserve"> para. 49 (</w:t>
      </w:r>
      <w:r>
        <w:rPr>
          <w:i/>
        </w:rPr>
        <w:t>Maritime HDO</w:t>
      </w:r>
      <w:r>
        <w:t>).</w:t>
      </w:r>
    </w:p>
  </w:footnote>
  <w:footnote w:id="34">
    <w:p w14:paraId="11D7C228" w14:textId="77777777" w:rsidR="00DC3944" w:rsidRDefault="00DC3944">
      <w:pPr>
        <w:pStyle w:val="FootnoteText"/>
      </w:pPr>
      <w:r>
        <w:rPr>
          <w:rStyle w:val="FootnoteReference"/>
        </w:rPr>
        <w:footnoteRef/>
      </w:r>
      <w:r>
        <w:t xml:space="preserve"> </w:t>
      </w:r>
      <w:r>
        <w:rPr>
          <w:i/>
        </w:rPr>
        <w:t xml:space="preserve">See </w:t>
      </w:r>
      <w:r w:rsidRPr="00AC6388">
        <w:t>NAL Response</w:t>
      </w:r>
      <w:r>
        <w:rPr>
          <w:i/>
        </w:rPr>
        <w:t xml:space="preserve"> </w:t>
      </w:r>
      <w:r>
        <w:t>at 18-23.</w:t>
      </w:r>
    </w:p>
  </w:footnote>
  <w:footnote w:id="35">
    <w:p w14:paraId="1D4025A4" w14:textId="3BFB1BFC" w:rsidR="00DC3944" w:rsidRPr="0052478E" w:rsidRDefault="00DC3944" w:rsidP="00A94710">
      <w:pPr>
        <w:pStyle w:val="FootnoteText"/>
      </w:pPr>
      <w:r>
        <w:rPr>
          <w:rStyle w:val="FootnoteReference"/>
        </w:rPr>
        <w:footnoteRef/>
      </w:r>
      <w:r>
        <w:t xml:space="preserve"> </w:t>
      </w:r>
      <w:r>
        <w:rPr>
          <w:i/>
        </w:rPr>
        <w:t>See</w:t>
      </w:r>
      <w:r>
        <w:t xml:space="preserve"> 47 C.F.R. § 1.2110(b)(1)(i) (“</w:t>
      </w:r>
      <w:r w:rsidRPr="0052478E">
        <w:t xml:space="preserve">An applicant seeking status as a small business, very small business, or entrepreneur, as those terms are defined in the service-specific rules, must disclose on its short- and long-form applications, separately and in the aggregate, the gross revenues for each of the previous three years of the applicant (or licensee), its affiliates, </w:t>
      </w:r>
      <w:r w:rsidRPr="00A94710">
        <w:rPr>
          <w:b/>
        </w:rPr>
        <w:t>its controlling interests, the affiliates of its controlling interests</w:t>
      </w:r>
      <w:r w:rsidRPr="0052478E">
        <w:t>, and the entities with which it has an attributable material relationship.</w:t>
      </w:r>
      <w:r>
        <w:t>”) (</w:t>
      </w:r>
      <w:r w:rsidR="00EA6375">
        <w:t>e</w:t>
      </w:r>
      <w:r>
        <w:t>mphasis added).</w:t>
      </w:r>
    </w:p>
  </w:footnote>
  <w:footnote w:id="36">
    <w:p w14:paraId="40F0C564" w14:textId="77777777" w:rsidR="00A7485F" w:rsidRPr="00EE23C1" w:rsidRDefault="00A7485F" w:rsidP="00A7485F">
      <w:pPr>
        <w:pStyle w:val="FootnoteText"/>
      </w:pPr>
      <w:r>
        <w:rPr>
          <w:rStyle w:val="FootnoteReference"/>
        </w:rPr>
        <w:footnoteRef/>
      </w:r>
      <w:r>
        <w:t xml:space="preserve">  </w:t>
      </w:r>
      <w:r>
        <w:rPr>
          <w:i/>
        </w:rPr>
        <w:t xml:space="preserve">See </w:t>
      </w:r>
      <w:r>
        <w:t>47 C.F.R. § 1.65; NAL Response at 32-36.</w:t>
      </w:r>
    </w:p>
  </w:footnote>
  <w:footnote w:id="37">
    <w:p w14:paraId="6FD16BBC" w14:textId="5110D844" w:rsidR="00EE23C1" w:rsidRPr="00755160" w:rsidRDefault="00EE23C1" w:rsidP="00EE23C1">
      <w:pPr>
        <w:pStyle w:val="FootnoteText"/>
      </w:pPr>
      <w:r w:rsidRPr="00755160">
        <w:rPr>
          <w:rStyle w:val="FootnoteReference"/>
        </w:rPr>
        <w:footnoteRef/>
      </w:r>
      <w:r w:rsidR="00DF57E0">
        <w:rPr>
          <w:i/>
        </w:rPr>
        <w:t xml:space="preserve"> </w:t>
      </w:r>
      <w:r w:rsidR="009200B3">
        <w:rPr>
          <w:i/>
        </w:rPr>
        <w:t>See In the Matter of Radio One Licenses</w:t>
      </w:r>
      <w:r w:rsidR="00DF57E0">
        <w:rPr>
          <w:i/>
        </w:rPr>
        <w:t>, LLC</w:t>
      </w:r>
      <w:r w:rsidR="00DF57E0">
        <w:t xml:space="preserve">, </w:t>
      </w:r>
      <w:r w:rsidR="00EA6375">
        <w:t xml:space="preserve">Forfeiture Order, </w:t>
      </w:r>
      <w:r w:rsidR="00DF57E0">
        <w:t>19 FCC Rcd 23922,  23932</w:t>
      </w:r>
      <w:r w:rsidR="00EA6375">
        <w:t xml:space="preserve"> para. </w:t>
      </w:r>
      <w:r w:rsidR="00D4135E">
        <w:t>24</w:t>
      </w:r>
      <w:r w:rsidR="00DF57E0">
        <w:t xml:space="preserve"> (2004) (</w:t>
      </w:r>
      <w:r w:rsidR="00DF57E0">
        <w:rPr>
          <w:i/>
        </w:rPr>
        <w:t>Radio One</w:t>
      </w:r>
      <w:r w:rsidR="00DF57E0">
        <w:t>) (</w:t>
      </w:r>
      <w:r w:rsidR="00DF57E0" w:rsidRPr="00314B31">
        <w:t>citing</w:t>
      </w:r>
      <w:r w:rsidR="00DF57E0">
        <w:rPr>
          <w:i/>
        </w:rPr>
        <w:t xml:space="preserve"> </w:t>
      </w:r>
      <w:r w:rsidRPr="00755160">
        <w:rPr>
          <w:i/>
        </w:rPr>
        <w:t>Webnet Communications, Inc.</w:t>
      </w:r>
      <w:r w:rsidRPr="00755160">
        <w:t xml:space="preserve">, </w:t>
      </w:r>
      <w:r w:rsidR="00EA6375">
        <w:t xml:space="preserve">Order of Forfeiture, </w:t>
      </w:r>
      <w:r w:rsidRPr="00755160">
        <w:t>18 FCC Rcd 6870, 6877</w:t>
      </w:r>
      <w:r w:rsidR="00EA6375">
        <w:t xml:space="preserve"> para.</w:t>
      </w:r>
      <w:r w:rsidR="00664A7F" w:rsidRPr="00664A7F">
        <w:t>14</w:t>
      </w:r>
      <w:r w:rsidRPr="00664A7F">
        <w:t xml:space="preserve"> (2003</w:t>
      </w:r>
      <w:r w:rsidRPr="00755160">
        <w:t>)</w:t>
      </w:r>
      <w:r w:rsidR="00DF57E0">
        <w:t>)</w:t>
      </w:r>
      <w:r w:rsidRPr="00755160">
        <w:t>.</w:t>
      </w:r>
    </w:p>
  </w:footnote>
  <w:footnote w:id="38">
    <w:p w14:paraId="501F0667" w14:textId="56AB52F7" w:rsidR="00EE23C1" w:rsidRPr="00755160" w:rsidRDefault="00EE23C1" w:rsidP="00EE23C1">
      <w:pPr>
        <w:pStyle w:val="FootnoteText"/>
      </w:pPr>
      <w:r w:rsidRPr="00755160">
        <w:rPr>
          <w:rStyle w:val="FootnoteReference"/>
        </w:rPr>
        <w:footnoteRef/>
      </w:r>
      <w:r w:rsidR="00DF57E0">
        <w:rPr>
          <w:i/>
        </w:rPr>
        <w:t xml:space="preserve"> See </w:t>
      </w:r>
      <w:r w:rsidR="00B15F3C">
        <w:rPr>
          <w:i/>
        </w:rPr>
        <w:t>i</w:t>
      </w:r>
      <w:r w:rsidR="00FA48AA">
        <w:rPr>
          <w:i/>
        </w:rPr>
        <w:t>d</w:t>
      </w:r>
      <w:r w:rsidR="00FA48AA">
        <w:t>.</w:t>
      </w:r>
      <w:r w:rsidR="00DF57E0">
        <w:rPr>
          <w:i/>
        </w:rPr>
        <w:t xml:space="preserve"> </w:t>
      </w:r>
      <w:r w:rsidR="00DF57E0">
        <w:t>at 239</w:t>
      </w:r>
      <w:r w:rsidR="00D4135E">
        <w:t>3</w:t>
      </w:r>
      <w:r w:rsidR="00DF57E0">
        <w:t>2</w:t>
      </w:r>
      <w:r w:rsidR="00EA6375">
        <w:t xml:space="preserve"> para. </w:t>
      </w:r>
      <w:r w:rsidR="00D4135E">
        <w:t>24</w:t>
      </w:r>
      <w:r w:rsidR="00DF57E0">
        <w:t xml:space="preserve"> (</w:t>
      </w:r>
      <w:r w:rsidR="00DF57E0" w:rsidRPr="00314B31">
        <w:t>citing</w:t>
      </w:r>
      <w:r w:rsidR="00DF57E0">
        <w:rPr>
          <w:i/>
        </w:rPr>
        <w:t xml:space="preserve"> </w:t>
      </w:r>
      <w:r w:rsidRPr="00755160">
        <w:rPr>
          <w:i/>
        </w:rPr>
        <w:t>In re: Notices of Apparent Liability for Forfeitures of Emery Telephone</w:t>
      </w:r>
      <w:r w:rsidRPr="00755160">
        <w:t xml:space="preserve">, </w:t>
      </w:r>
      <w:r w:rsidR="00EA6375">
        <w:t xml:space="preserve">Memorandum Opinion and Order, </w:t>
      </w:r>
      <w:r w:rsidRPr="00755160">
        <w:t xml:space="preserve">15 FCC Rcd 7181, 7186 </w:t>
      </w:r>
      <w:r w:rsidR="00EA6375">
        <w:t>para.</w:t>
      </w:r>
      <w:r w:rsidR="00664A7F">
        <w:t xml:space="preserve"> 10</w:t>
      </w:r>
      <w:r w:rsidR="00EA6375">
        <w:t xml:space="preserve"> </w:t>
      </w:r>
      <w:r w:rsidRPr="00755160">
        <w:t>(1999)</w:t>
      </w:r>
      <w:r w:rsidR="00DF57E0">
        <w:t>)</w:t>
      </w:r>
      <w:r w:rsidRPr="00755160">
        <w:t>.</w:t>
      </w:r>
    </w:p>
  </w:footnote>
  <w:footnote w:id="39">
    <w:p w14:paraId="5145880A" w14:textId="1A04333D" w:rsidR="00EE23C1" w:rsidRPr="00755160" w:rsidRDefault="00EE23C1" w:rsidP="00EE23C1">
      <w:pPr>
        <w:pStyle w:val="FootnoteText"/>
      </w:pPr>
      <w:r w:rsidRPr="00755160">
        <w:rPr>
          <w:rStyle w:val="FootnoteReference"/>
        </w:rPr>
        <w:footnoteRef/>
      </w:r>
      <w:r w:rsidR="00DF57E0">
        <w:rPr>
          <w:i/>
        </w:rPr>
        <w:t xml:space="preserve"> See </w:t>
      </w:r>
      <w:r w:rsidR="00B15F3C">
        <w:rPr>
          <w:i/>
        </w:rPr>
        <w:t>i</w:t>
      </w:r>
      <w:r w:rsidR="00FA48AA">
        <w:rPr>
          <w:i/>
        </w:rPr>
        <w:t>d</w:t>
      </w:r>
      <w:r w:rsidR="00FA48AA">
        <w:t>.</w:t>
      </w:r>
      <w:r w:rsidR="00DF57E0">
        <w:rPr>
          <w:i/>
        </w:rPr>
        <w:t xml:space="preserve"> </w:t>
      </w:r>
      <w:r w:rsidR="00DF57E0">
        <w:t>at 23922 (</w:t>
      </w:r>
      <w:r w:rsidR="00DF57E0" w:rsidRPr="00992A7F">
        <w:t>citing</w:t>
      </w:r>
      <w:r w:rsidR="00DF57E0">
        <w:rPr>
          <w:i/>
        </w:rPr>
        <w:t xml:space="preserve"> </w:t>
      </w:r>
      <w:r w:rsidRPr="00755160">
        <w:rPr>
          <w:i/>
        </w:rPr>
        <w:t>New York State Dept. of Law v. F.C.C.</w:t>
      </w:r>
      <w:r w:rsidRPr="00755160">
        <w:t>, 984 F.2d 1209, 1213 (D.C. Cir. 1993)</w:t>
      </w:r>
      <w:r w:rsidR="00DF57E0">
        <w:t>)</w:t>
      </w:r>
      <w:r w:rsidRPr="00755160">
        <w:t>.</w:t>
      </w:r>
    </w:p>
  </w:footnote>
  <w:footnote w:id="40">
    <w:p w14:paraId="7380D3AD" w14:textId="77777777" w:rsidR="00DF57E0" w:rsidRDefault="00DF57E0">
      <w:pPr>
        <w:pStyle w:val="FootnoteText"/>
      </w:pPr>
      <w:r>
        <w:rPr>
          <w:rStyle w:val="FootnoteReference"/>
        </w:rPr>
        <w:footnoteRef/>
      </w:r>
      <w:r>
        <w:t xml:space="preserve"> 47 C.F.R. §§  1.17, 1.65</w:t>
      </w:r>
    </w:p>
  </w:footnote>
  <w:footnote w:id="41">
    <w:p w14:paraId="30459134" w14:textId="77777777" w:rsidR="00DC3944" w:rsidRDefault="00DC3944" w:rsidP="006104CA">
      <w:pPr>
        <w:pStyle w:val="FootnoteText"/>
      </w:pPr>
      <w:r>
        <w:rPr>
          <w:rStyle w:val="FootnoteReference"/>
        </w:rPr>
        <w:footnoteRef/>
      </w:r>
      <w:r>
        <w:t xml:space="preserve"> 47 C.F.R. §</w:t>
      </w:r>
      <w:r w:rsidRPr="00DA7997">
        <w:t>1.17.</w:t>
      </w:r>
    </w:p>
  </w:footnote>
  <w:footnote w:id="42">
    <w:p w14:paraId="77E04D61" w14:textId="77777777" w:rsidR="00DC3944" w:rsidRPr="008A249B" w:rsidRDefault="00DC3944" w:rsidP="00DA7997">
      <w:pPr>
        <w:pStyle w:val="FootnoteText"/>
        <w:rPr>
          <w:b/>
        </w:rPr>
      </w:pPr>
      <w:r>
        <w:rPr>
          <w:rStyle w:val="FootnoteReference"/>
        </w:rPr>
        <w:footnoteRef/>
      </w:r>
      <w:r>
        <w:t xml:space="preserve"> 47 C.F.R. § 1.65.</w:t>
      </w:r>
    </w:p>
  </w:footnote>
  <w:footnote w:id="43">
    <w:p w14:paraId="73058C1B" w14:textId="77777777" w:rsidR="00DC3944" w:rsidRPr="00A3796D" w:rsidRDefault="00DC3944" w:rsidP="00CF7C0B">
      <w:pPr>
        <w:pStyle w:val="FootnoteText"/>
      </w:pPr>
      <w:r w:rsidRPr="00A3796D">
        <w:rPr>
          <w:rStyle w:val="FootnoteReference"/>
        </w:rPr>
        <w:footnoteRef/>
      </w:r>
      <w:r w:rsidRPr="00A3796D">
        <w:t xml:space="preserve"> 47 U.S.C. § 503(b); 47 C.F.R. §§ 0.111, 0.311, 1.80.  </w:t>
      </w:r>
    </w:p>
  </w:footnote>
  <w:footnote w:id="44">
    <w:p w14:paraId="36DCCA0A" w14:textId="77777777" w:rsidR="00DC3944" w:rsidRPr="00A3796D" w:rsidRDefault="00DC3944" w:rsidP="00CF7C0B">
      <w:pPr>
        <w:pStyle w:val="FootnoteText"/>
      </w:pPr>
      <w:r w:rsidRPr="00A3796D">
        <w:rPr>
          <w:rStyle w:val="FootnoteReference"/>
        </w:rPr>
        <w:footnoteRef/>
      </w:r>
      <w:r w:rsidRPr="00A3796D">
        <w:t xml:space="preserve"> 47 C.F.R. §</w:t>
      </w:r>
      <w:r>
        <w:t>1.17</w:t>
      </w:r>
      <w:r>
        <w:rPr>
          <w:b/>
        </w:rPr>
        <w:t>.</w:t>
      </w:r>
    </w:p>
  </w:footnote>
  <w:footnote w:id="45">
    <w:p w14:paraId="4F3FC091" w14:textId="77777777" w:rsidR="00DC3944" w:rsidRPr="00A3796D" w:rsidRDefault="00DC3944" w:rsidP="00CF7C0B">
      <w:pPr>
        <w:pStyle w:val="FootnoteText"/>
      </w:pPr>
      <w:r w:rsidRPr="00A3796D">
        <w:rPr>
          <w:rStyle w:val="FootnoteReference"/>
        </w:rPr>
        <w:footnoteRef/>
      </w:r>
      <w:r w:rsidRPr="00A3796D">
        <w:t xml:space="preserve"> </w:t>
      </w:r>
      <w:r w:rsidRPr="00A3796D">
        <w:rPr>
          <w:i/>
        </w:rPr>
        <w:t>See id</w:t>
      </w:r>
      <w:r w:rsidRPr="00A3796D">
        <w:t>. § 1.80.</w:t>
      </w:r>
    </w:p>
  </w:footnote>
  <w:footnote w:id="46">
    <w:p w14:paraId="5BCB59D5" w14:textId="77777777" w:rsidR="00DC3944" w:rsidRPr="00A3796D" w:rsidRDefault="00DC3944" w:rsidP="00CF7C0B">
      <w:pPr>
        <w:pStyle w:val="FootnoteText"/>
      </w:pPr>
      <w:r w:rsidRPr="00A3796D">
        <w:rPr>
          <w:rStyle w:val="FootnoteReference"/>
        </w:rPr>
        <w:footnoteRef/>
      </w:r>
      <w:r w:rsidRPr="00A3796D">
        <w:t xml:space="preserve"> 47 U.S.C. § 504(a).</w:t>
      </w:r>
    </w:p>
  </w:footnote>
  <w:footnote w:id="47">
    <w:p w14:paraId="23423472" w14:textId="77777777" w:rsidR="00DC3944" w:rsidRPr="00A3796D" w:rsidRDefault="00DC3944" w:rsidP="00CF7C0B">
      <w:pPr>
        <w:pStyle w:val="FootnoteText"/>
      </w:pPr>
      <w:r w:rsidRPr="00A3796D">
        <w:rPr>
          <w:rStyle w:val="FootnoteReference"/>
        </w:rPr>
        <w:footnoteRef/>
      </w:r>
      <w:r w:rsidRPr="00A3796D">
        <w:t xml:space="preserve"> </w:t>
      </w:r>
      <w:r w:rsidRPr="00A3796D">
        <w:rPr>
          <w:rFonts w:eastAsia="MS Mincho"/>
        </w:rPr>
        <w:t>An FCC Form 159 and detailed instructions for completing the form may be obtained at http://www.fcc.gov/Forms/Form159/159.pdf.</w:t>
      </w:r>
    </w:p>
  </w:footnote>
  <w:footnote w:id="48">
    <w:p w14:paraId="3DE2BAC1" w14:textId="77777777" w:rsidR="00DC3944" w:rsidRPr="00A3796D" w:rsidRDefault="00DC3944" w:rsidP="00CF7C0B">
      <w:pPr>
        <w:pStyle w:val="FootnoteText"/>
      </w:pPr>
      <w:r w:rsidRPr="00A3796D">
        <w:rPr>
          <w:rStyle w:val="FootnoteReference"/>
        </w:rPr>
        <w:footnoteRef/>
      </w:r>
      <w:r w:rsidRPr="00A3796D">
        <w:t xml:space="preserve"> </w:t>
      </w:r>
      <w:r w:rsidRPr="00A3796D">
        <w:rPr>
          <w:i/>
        </w:rPr>
        <w:t>See</w:t>
      </w:r>
      <w:r w:rsidRPr="00A3796D">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6E19C" w14:textId="77777777" w:rsidR="00E42FE7" w:rsidRDefault="00E42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4093" w14:textId="136EB0E1" w:rsidR="00DC3944" w:rsidRDefault="00DC3944" w:rsidP="00810B6F">
    <w:pPr>
      <w:pStyle w:val="Header"/>
      <w:rPr>
        <w:b w:val="0"/>
      </w:rPr>
    </w:pPr>
    <w:r>
      <w:tab/>
      <w:t>Federal Communications Commission</w:t>
    </w:r>
    <w:r>
      <w:tab/>
    </w:r>
    <w:r>
      <w:rPr>
        <w:spacing w:val="-2"/>
      </w:rPr>
      <w:t>DA 14-</w:t>
    </w:r>
    <w:r w:rsidR="00F62A0F">
      <w:rPr>
        <w:spacing w:val="-2"/>
      </w:rPr>
      <w:t>1804</w:t>
    </w:r>
  </w:p>
  <w:p w14:paraId="697125A9" w14:textId="77777777" w:rsidR="00DC3944" w:rsidRDefault="00DC394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2EA6DFA" wp14:editId="7689D32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4BEB191" w14:textId="77777777" w:rsidR="00DC3944" w:rsidRDefault="00DC394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293C" w14:textId="39203BE5" w:rsidR="00DC3944" w:rsidRPr="009D63BB" w:rsidRDefault="00DC3944" w:rsidP="00810B6F">
    <w:pPr>
      <w:pStyle w:val="Header"/>
    </w:pPr>
    <w:r>
      <w:rPr>
        <w:noProof/>
        <w:snapToGrid/>
      </w:rPr>
      <mc:AlternateContent>
        <mc:Choice Requires="wps">
          <w:drawing>
            <wp:anchor distT="0" distB="0" distL="114300" distR="114300" simplePos="0" relativeHeight="251658240" behindDoc="1" locked="0" layoutInCell="0" allowOverlap="1" wp14:anchorId="207770DE" wp14:editId="2131C77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F62A0F">
      <w:rPr>
        <w:spacing w:val="-2"/>
      </w:rPr>
      <w:t>1804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07"/>
    <w:rsid w:val="000102F7"/>
    <w:rsid w:val="000118CD"/>
    <w:rsid w:val="00017803"/>
    <w:rsid w:val="000254D2"/>
    <w:rsid w:val="00027101"/>
    <w:rsid w:val="00035913"/>
    <w:rsid w:val="00036039"/>
    <w:rsid w:val="00037F90"/>
    <w:rsid w:val="00045D0A"/>
    <w:rsid w:val="000527A0"/>
    <w:rsid w:val="0005464A"/>
    <w:rsid w:val="00055922"/>
    <w:rsid w:val="0005785E"/>
    <w:rsid w:val="0006586B"/>
    <w:rsid w:val="000875BF"/>
    <w:rsid w:val="0009056B"/>
    <w:rsid w:val="00096D8C"/>
    <w:rsid w:val="000A2BF6"/>
    <w:rsid w:val="000A3340"/>
    <w:rsid w:val="000C0B65"/>
    <w:rsid w:val="000C16BC"/>
    <w:rsid w:val="000C29B5"/>
    <w:rsid w:val="000C2BDB"/>
    <w:rsid w:val="000E05FE"/>
    <w:rsid w:val="000E3D42"/>
    <w:rsid w:val="000F2C10"/>
    <w:rsid w:val="000F3988"/>
    <w:rsid w:val="001068C7"/>
    <w:rsid w:val="00111F4D"/>
    <w:rsid w:val="0012063E"/>
    <w:rsid w:val="001218D7"/>
    <w:rsid w:val="00122BD5"/>
    <w:rsid w:val="00133F79"/>
    <w:rsid w:val="00134BA4"/>
    <w:rsid w:val="001422C8"/>
    <w:rsid w:val="00194A66"/>
    <w:rsid w:val="001B20F4"/>
    <w:rsid w:val="001C4C61"/>
    <w:rsid w:val="001D6BCF"/>
    <w:rsid w:val="001E01CA"/>
    <w:rsid w:val="002211EC"/>
    <w:rsid w:val="002247A6"/>
    <w:rsid w:val="00253D44"/>
    <w:rsid w:val="00253DBB"/>
    <w:rsid w:val="00275CF5"/>
    <w:rsid w:val="0028301F"/>
    <w:rsid w:val="00285017"/>
    <w:rsid w:val="002A2D2E"/>
    <w:rsid w:val="002C00E8"/>
    <w:rsid w:val="002D1E10"/>
    <w:rsid w:val="002E3FC4"/>
    <w:rsid w:val="002F7E72"/>
    <w:rsid w:val="0030250E"/>
    <w:rsid w:val="00314B31"/>
    <w:rsid w:val="00340C89"/>
    <w:rsid w:val="00343749"/>
    <w:rsid w:val="00346FFE"/>
    <w:rsid w:val="003660ED"/>
    <w:rsid w:val="003825A6"/>
    <w:rsid w:val="00385C1C"/>
    <w:rsid w:val="00395B52"/>
    <w:rsid w:val="00396E40"/>
    <w:rsid w:val="003B0550"/>
    <w:rsid w:val="003B5DF4"/>
    <w:rsid w:val="003B694F"/>
    <w:rsid w:val="003C257D"/>
    <w:rsid w:val="003D2495"/>
    <w:rsid w:val="003E0E07"/>
    <w:rsid w:val="003E448E"/>
    <w:rsid w:val="003F0A87"/>
    <w:rsid w:val="003F171C"/>
    <w:rsid w:val="003F63B6"/>
    <w:rsid w:val="003F77E4"/>
    <w:rsid w:val="0041044D"/>
    <w:rsid w:val="00411C96"/>
    <w:rsid w:val="00411DD4"/>
    <w:rsid w:val="004125FE"/>
    <w:rsid w:val="00412FC5"/>
    <w:rsid w:val="00412FEF"/>
    <w:rsid w:val="00422276"/>
    <w:rsid w:val="004242F1"/>
    <w:rsid w:val="0043043D"/>
    <w:rsid w:val="00431C73"/>
    <w:rsid w:val="00443265"/>
    <w:rsid w:val="00445A00"/>
    <w:rsid w:val="00451B0F"/>
    <w:rsid w:val="004529FC"/>
    <w:rsid w:val="00461FC7"/>
    <w:rsid w:val="00466D9E"/>
    <w:rsid w:val="0047133B"/>
    <w:rsid w:val="00485259"/>
    <w:rsid w:val="00486877"/>
    <w:rsid w:val="00494972"/>
    <w:rsid w:val="004950DC"/>
    <w:rsid w:val="00495A8C"/>
    <w:rsid w:val="004B146A"/>
    <w:rsid w:val="004C2EE3"/>
    <w:rsid w:val="004C5524"/>
    <w:rsid w:val="004C6FC8"/>
    <w:rsid w:val="004E4A22"/>
    <w:rsid w:val="004E5647"/>
    <w:rsid w:val="00511968"/>
    <w:rsid w:val="0052449D"/>
    <w:rsid w:val="0052478E"/>
    <w:rsid w:val="005275AE"/>
    <w:rsid w:val="00555A39"/>
    <w:rsid w:val="0055614C"/>
    <w:rsid w:val="005676AF"/>
    <w:rsid w:val="0057485A"/>
    <w:rsid w:val="00576F85"/>
    <w:rsid w:val="005A3454"/>
    <w:rsid w:val="005E14C2"/>
    <w:rsid w:val="00607BA5"/>
    <w:rsid w:val="006104CA"/>
    <w:rsid w:val="0061180A"/>
    <w:rsid w:val="0061427A"/>
    <w:rsid w:val="00626EB6"/>
    <w:rsid w:val="00643BB7"/>
    <w:rsid w:val="006472F6"/>
    <w:rsid w:val="00655D03"/>
    <w:rsid w:val="00664A7F"/>
    <w:rsid w:val="00683388"/>
    <w:rsid w:val="006834EB"/>
    <w:rsid w:val="00683F84"/>
    <w:rsid w:val="006A6A81"/>
    <w:rsid w:val="006B5C42"/>
    <w:rsid w:val="006D7988"/>
    <w:rsid w:val="006E6994"/>
    <w:rsid w:val="006F1FC9"/>
    <w:rsid w:val="006F6902"/>
    <w:rsid w:val="006F7393"/>
    <w:rsid w:val="0070224F"/>
    <w:rsid w:val="0070302E"/>
    <w:rsid w:val="007115F7"/>
    <w:rsid w:val="00716C39"/>
    <w:rsid w:val="007209EF"/>
    <w:rsid w:val="00724076"/>
    <w:rsid w:val="00742A46"/>
    <w:rsid w:val="00745EE1"/>
    <w:rsid w:val="0075423D"/>
    <w:rsid w:val="00760C7A"/>
    <w:rsid w:val="007631FA"/>
    <w:rsid w:val="00766F84"/>
    <w:rsid w:val="00767BB0"/>
    <w:rsid w:val="00785689"/>
    <w:rsid w:val="007922D2"/>
    <w:rsid w:val="0079754B"/>
    <w:rsid w:val="007A1E16"/>
    <w:rsid w:val="007A1E6D"/>
    <w:rsid w:val="007A1F7C"/>
    <w:rsid w:val="007B0EB2"/>
    <w:rsid w:val="007C32F1"/>
    <w:rsid w:val="007D0B34"/>
    <w:rsid w:val="007E690E"/>
    <w:rsid w:val="0080712D"/>
    <w:rsid w:val="00810B6F"/>
    <w:rsid w:val="00816A78"/>
    <w:rsid w:val="00822CE0"/>
    <w:rsid w:val="00841AB1"/>
    <w:rsid w:val="00847322"/>
    <w:rsid w:val="00847BEF"/>
    <w:rsid w:val="00885CE2"/>
    <w:rsid w:val="0089333B"/>
    <w:rsid w:val="008A249B"/>
    <w:rsid w:val="008C68F1"/>
    <w:rsid w:val="008E5FDC"/>
    <w:rsid w:val="00901C01"/>
    <w:rsid w:val="00902EDD"/>
    <w:rsid w:val="0091543E"/>
    <w:rsid w:val="009200B3"/>
    <w:rsid w:val="00921144"/>
    <w:rsid w:val="00921803"/>
    <w:rsid w:val="00923F0D"/>
    <w:rsid w:val="009261EF"/>
    <w:rsid w:val="00926503"/>
    <w:rsid w:val="0094493C"/>
    <w:rsid w:val="00945716"/>
    <w:rsid w:val="009726D8"/>
    <w:rsid w:val="009735FE"/>
    <w:rsid w:val="0097570F"/>
    <w:rsid w:val="00976A47"/>
    <w:rsid w:val="009832F7"/>
    <w:rsid w:val="00994E9C"/>
    <w:rsid w:val="009B3BFC"/>
    <w:rsid w:val="009D3EF8"/>
    <w:rsid w:val="009D63BB"/>
    <w:rsid w:val="009D7BA9"/>
    <w:rsid w:val="009E54AB"/>
    <w:rsid w:val="009F76DB"/>
    <w:rsid w:val="00A15C61"/>
    <w:rsid w:val="00A16C31"/>
    <w:rsid w:val="00A2328C"/>
    <w:rsid w:val="00A321EA"/>
    <w:rsid w:val="00A32C3B"/>
    <w:rsid w:val="00A35FFD"/>
    <w:rsid w:val="00A45F4F"/>
    <w:rsid w:val="00A600A9"/>
    <w:rsid w:val="00A73555"/>
    <w:rsid w:val="00A742F6"/>
    <w:rsid w:val="00A7485F"/>
    <w:rsid w:val="00A83077"/>
    <w:rsid w:val="00A94710"/>
    <w:rsid w:val="00AA55B7"/>
    <w:rsid w:val="00AA5B9E"/>
    <w:rsid w:val="00AB2407"/>
    <w:rsid w:val="00AB336E"/>
    <w:rsid w:val="00AB4299"/>
    <w:rsid w:val="00AB53DF"/>
    <w:rsid w:val="00AC1CB3"/>
    <w:rsid w:val="00AC6388"/>
    <w:rsid w:val="00AE1DC2"/>
    <w:rsid w:val="00AF74F8"/>
    <w:rsid w:val="00B06C9D"/>
    <w:rsid w:val="00B07E5C"/>
    <w:rsid w:val="00B15F3C"/>
    <w:rsid w:val="00B307B9"/>
    <w:rsid w:val="00B32764"/>
    <w:rsid w:val="00B45E14"/>
    <w:rsid w:val="00B579B1"/>
    <w:rsid w:val="00B62F75"/>
    <w:rsid w:val="00B66A83"/>
    <w:rsid w:val="00B72044"/>
    <w:rsid w:val="00B811F7"/>
    <w:rsid w:val="00B855E5"/>
    <w:rsid w:val="00BA021B"/>
    <w:rsid w:val="00BA22BE"/>
    <w:rsid w:val="00BA5DC6"/>
    <w:rsid w:val="00BA6196"/>
    <w:rsid w:val="00BB7CF7"/>
    <w:rsid w:val="00BC52B7"/>
    <w:rsid w:val="00BC6D8C"/>
    <w:rsid w:val="00BE4727"/>
    <w:rsid w:val="00BE50AE"/>
    <w:rsid w:val="00BF078B"/>
    <w:rsid w:val="00C0605C"/>
    <w:rsid w:val="00C34006"/>
    <w:rsid w:val="00C426B1"/>
    <w:rsid w:val="00C54668"/>
    <w:rsid w:val="00C66160"/>
    <w:rsid w:val="00C67C2D"/>
    <w:rsid w:val="00C721AC"/>
    <w:rsid w:val="00C875CE"/>
    <w:rsid w:val="00C90D6A"/>
    <w:rsid w:val="00C936FC"/>
    <w:rsid w:val="00C96B48"/>
    <w:rsid w:val="00CA247E"/>
    <w:rsid w:val="00CB3A7F"/>
    <w:rsid w:val="00CC1C36"/>
    <w:rsid w:val="00CC72B6"/>
    <w:rsid w:val="00CC7817"/>
    <w:rsid w:val="00CD78B9"/>
    <w:rsid w:val="00CE7CE1"/>
    <w:rsid w:val="00CF7C0B"/>
    <w:rsid w:val="00D0218D"/>
    <w:rsid w:val="00D03983"/>
    <w:rsid w:val="00D0491D"/>
    <w:rsid w:val="00D14D99"/>
    <w:rsid w:val="00D1704B"/>
    <w:rsid w:val="00D25FB5"/>
    <w:rsid w:val="00D30FB5"/>
    <w:rsid w:val="00D4135E"/>
    <w:rsid w:val="00D415D8"/>
    <w:rsid w:val="00D44223"/>
    <w:rsid w:val="00D51100"/>
    <w:rsid w:val="00D537D4"/>
    <w:rsid w:val="00D82125"/>
    <w:rsid w:val="00D84AD6"/>
    <w:rsid w:val="00D866AD"/>
    <w:rsid w:val="00D90F9E"/>
    <w:rsid w:val="00D9430A"/>
    <w:rsid w:val="00DA2529"/>
    <w:rsid w:val="00DA4CD9"/>
    <w:rsid w:val="00DA7997"/>
    <w:rsid w:val="00DB130A"/>
    <w:rsid w:val="00DB2EBB"/>
    <w:rsid w:val="00DC10A1"/>
    <w:rsid w:val="00DC3574"/>
    <w:rsid w:val="00DC3944"/>
    <w:rsid w:val="00DC655F"/>
    <w:rsid w:val="00DD0B59"/>
    <w:rsid w:val="00DD7EBD"/>
    <w:rsid w:val="00DF57E0"/>
    <w:rsid w:val="00DF62B6"/>
    <w:rsid w:val="00E07225"/>
    <w:rsid w:val="00E25A4A"/>
    <w:rsid w:val="00E35DD2"/>
    <w:rsid w:val="00E42FE7"/>
    <w:rsid w:val="00E5409F"/>
    <w:rsid w:val="00E958A1"/>
    <w:rsid w:val="00EA02A6"/>
    <w:rsid w:val="00EA6375"/>
    <w:rsid w:val="00EB06BF"/>
    <w:rsid w:val="00EB1E9D"/>
    <w:rsid w:val="00EB4799"/>
    <w:rsid w:val="00EB6893"/>
    <w:rsid w:val="00EE23C1"/>
    <w:rsid w:val="00EE6488"/>
    <w:rsid w:val="00F021FA"/>
    <w:rsid w:val="00F1052E"/>
    <w:rsid w:val="00F1487F"/>
    <w:rsid w:val="00F27780"/>
    <w:rsid w:val="00F27EBC"/>
    <w:rsid w:val="00F62A0F"/>
    <w:rsid w:val="00F62E97"/>
    <w:rsid w:val="00F63E08"/>
    <w:rsid w:val="00F64209"/>
    <w:rsid w:val="00F93BF5"/>
    <w:rsid w:val="00FA48AA"/>
    <w:rsid w:val="00FC10FE"/>
    <w:rsid w:val="00FD29D8"/>
    <w:rsid w:val="00FD69C6"/>
    <w:rsid w:val="00FE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322"/>
    <w:pPr>
      <w:widowControl w:val="0"/>
    </w:pPr>
    <w:rPr>
      <w:snapToGrid w:val="0"/>
      <w:kern w:val="28"/>
      <w:sz w:val="22"/>
    </w:rPr>
  </w:style>
  <w:style w:type="paragraph" w:styleId="Heading1">
    <w:name w:val="heading 1"/>
    <w:basedOn w:val="Normal"/>
    <w:next w:val="ParaNum"/>
    <w:qFormat/>
    <w:rsid w:val="008473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47322"/>
    <w:pPr>
      <w:keepNext/>
      <w:numPr>
        <w:ilvl w:val="1"/>
        <w:numId w:val="3"/>
      </w:numPr>
      <w:spacing w:after="120"/>
      <w:outlineLvl w:val="1"/>
    </w:pPr>
    <w:rPr>
      <w:b/>
    </w:rPr>
  </w:style>
  <w:style w:type="paragraph" w:styleId="Heading3">
    <w:name w:val="heading 3"/>
    <w:basedOn w:val="Normal"/>
    <w:next w:val="ParaNum"/>
    <w:qFormat/>
    <w:rsid w:val="00847322"/>
    <w:pPr>
      <w:keepNext/>
      <w:numPr>
        <w:ilvl w:val="2"/>
        <w:numId w:val="3"/>
      </w:numPr>
      <w:tabs>
        <w:tab w:val="left" w:pos="2160"/>
      </w:tabs>
      <w:spacing w:after="120"/>
      <w:outlineLvl w:val="2"/>
    </w:pPr>
    <w:rPr>
      <w:b/>
    </w:rPr>
  </w:style>
  <w:style w:type="paragraph" w:styleId="Heading4">
    <w:name w:val="heading 4"/>
    <w:basedOn w:val="Normal"/>
    <w:next w:val="ParaNum"/>
    <w:qFormat/>
    <w:rsid w:val="00847322"/>
    <w:pPr>
      <w:keepNext/>
      <w:numPr>
        <w:ilvl w:val="3"/>
        <w:numId w:val="3"/>
      </w:numPr>
      <w:tabs>
        <w:tab w:val="left" w:pos="2880"/>
      </w:tabs>
      <w:spacing w:after="120"/>
      <w:outlineLvl w:val="3"/>
    </w:pPr>
    <w:rPr>
      <w:b/>
    </w:rPr>
  </w:style>
  <w:style w:type="paragraph" w:styleId="Heading5">
    <w:name w:val="heading 5"/>
    <w:basedOn w:val="Normal"/>
    <w:next w:val="ParaNum"/>
    <w:qFormat/>
    <w:rsid w:val="0084732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47322"/>
    <w:pPr>
      <w:numPr>
        <w:ilvl w:val="5"/>
        <w:numId w:val="3"/>
      </w:numPr>
      <w:tabs>
        <w:tab w:val="left" w:pos="4320"/>
      </w:tabs>
      <w:spacing w:after="120"/>
      <w:outlineLvl w:val="5"/>
    </w:pPr>
    <w:rPr>
      <w:b/>
    </w:rPr>
  </w:style>
  <w:style w:type="paragraph" w:styleId="Heading7">
    <w:name w:val="heading 7"/>
    <w:basedOn w:val="Normal"/>
    <w:next w:val="ParaNum"/>
    <w:qFormat/>
    <w:rsid w:val="008473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473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473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73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322"/>
  </w:style>
  <w:style w:type="paragraph" w:customStyle="1" w:styleId="ParaNum">
    <w:name w:val="ParaNum"/>
    <w:basedOn w:val="Normal"/>
    <w:link w:val="ParaNumChar"/>
    <w:rsid w:val="00847322"/>
    <w:pPr>
      <w:numPr>
        <w:numId w:val="2"/>
      </w:numPr>
      <w:tabs>
        <w:tab w:val="clear" w:pos="1080"/>
        <w:tab w:val="num" w:pos="1440"/>
      </w:tabs>
      <w:spacing w:after="120"/>
    </w:pPr>
  </w:style>
  <w:style w:type="paragraph" w:styleId="EndnoteText">
    <w:name w:val="endnote text"/>
    <w:basedOn w:val="Normal"/>
    <w:semiHidden/>
    <w:rsid w:val="00847322"/>
    <w:rPr>
      <w:sz w:val="20"/>
    </w:rPr>
  </w:style>
  <w:style w:type="character" w:styleId="EndnoteReference">
    <w:name w:val="endnote reference"/>
    <w:semiHidden/>
    <w:rsid w:val="00847322"/>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847322"/>
    <w:pPr>
      <w:spacing w:after="120"/>
    </w:pPr>
  </w:style>
  <w:style w:type="character" w:styleId="FootnoteReference">
    <w:name w:val="footnote reference"/>
    <w:aliases w:val="Style 4,Appel note de bas de p,Style 12,(NECG) Footnote Reference,Style 124,Style 13,o,fr,Style 3,Style 17,FR,Footnote Reference/,Style 6,Style 7,Footnote Reference1"/>
    <w:rsid w:val="00847322"/>
    <w:rPr>
      <w:rFonts w:ascii="Times New Roman" w:hAnsi="Times New Roman"/>
      <w:dstrike w:val="0"/>
      <w:color w:val="auto"/>
      <w:sz w:val="20"/>
      <w:vertAlign w:val="superscript"/>
    </w:rPr>
  </w:style>
  <w:style w:type="paragraph" w:styleId="TOC1">
    <w:name w:val="toc 1"/>
    <w:basedOn w:val="Normal"/>
    <w:next w:val="Normal"/>
    <w:semiHidden/>
    <w:rsid w:val="008473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7322"/>
    <w:pPr>
      <w:tabs>
        <w:tab w:val="left" w:pos="720"/>
        <w:tab w:val="right" w:leader="dot" w:pos="9360"/>
      </w:tabs>
      <w:suppressAutoHyphens/>
      <w:ind w:left="720" w:right="720" w:hanging="360"/>
    </w:pPr>
    <w:rPr>
      <w:noProof/>
    </w:rPr>
  </w:style>
  <w:style w:type="paragraph" w:styleId="TOC3">
    <w:name w:val="toc 3"/>
    <w:basedOn w:val="Normal"/>
    <w:next w:val="Normal"/>
    <w:semiHidden/>
    <w:rsid w:val="008473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73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73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73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73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73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73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7322"/>
    <w:pPr>
      <w:tabs>
        <w:tab w:val="right" w:pos="9360"/>
      </w:tabs>
      <w:suppressAutoHyphens/>
    </w:pPr>
  </w:style>
  <w:style w:type="character" w:customStyle="1" w:styleId="EquationCaption">
    <w:name w:val="_Equation Caption"/>
    <w:rsid w:val="00847322"/>
  </w:style>
  <w:style w:type="paragraph" w:styleId="Header">
    <w:name w:val="header"/>
    <w:basedOn w:val="Normal"/>
    <w:autoRedefine/>
    <w:rsid w:val="00847322"/>
    <w:pPr>
      <w:tabs>
        <w:tab w:val="center" w:pos="4680"/>
        <w:tab w:val="right" w:pos="9360"/>
      </w:tabs>
    </w:pPr>
    <w:rPr>
      <w:b/>
    </w:rPr>
  </w:style>
  <w:style w:type="paragraph" w:styleId="Footer">
    <w:name w:val="footer"/>
    <w:basedOn w:val="Normal"/>
    <w:link w:val="FooterChar"/>
    <w:rsid w:val="00847322"/>
    <w:pPr>
      <w:tabs>
        <w:tab w:val="center" w:pos="4320"/>
        <w:tab w:val="right" w:pos="8640"/>
      </w:tabs>
    </w:pPr>
  </w:style>
  <w:style w:type="character" w:styleId="PageNumber">
    <w:name w:val="page number"/>
    <w:basedOn w:val="DefaultParagraphFont"/>
    <w:rsid w:val="00847322"/>
  </w:style>
  <w:style w:type="paragraph" w:styleId="BlockText">
    <w:name w:val="Block Text"/>
    <w:basedOn w:val="Normal"/>
    <w:rsid w:val="00847322"/>
    <w:pPr>
      <w:spacing w:after="240"/>
      <w:ind w:left="1440" w:right="1440"/>
    </w:pPr>
  </w:style>
  <w:style w:type="paragraph" w:customStyle="1" w:styleId="Paratitle">
    <w:name w:val="Para title"/>
    <w:basedOn w:val="Normal"/>
    <w:rsid w:val="00847322"/>
    <w:pPr>
      <w:tabs>
        <w:tab w:val="center" w:pos="9270"/>
      </w:tabs>
      <w:spacing w:after="240"/>
    </w:pPr>
    <w:rPr>
      <w:spacing w:val="-2"/>
    </w:rPr>
  </w:style>
  <w:style w:type="paragraph" w:customStyle="1" w:styleId="Bullet">
    <w:name w:val="Bullet"/>
    <w:basedOn w:val="Normal"/>
    <w:rsid w:val="00847322"/>
    <w:pPr>
      <w:tabs>
        <w:tab w:val="left" w:pos="2160"/>
      </w:tabs>
      <w:spacing w:after="220"/>
      <w:ind w:left="2160" w:hanging="720"/>
    </w:pPr>
  </w:style>
  <w:style w:type="paragraph" w:customStyle="1" w:styleId="TableFormat">
    <w:name w:val="TableFormat"/>
    <w:basedOn w:val="Bullet"/>
    <w:rsid w:val="00847322"/>
    <w:pPr>
      <w:tabs>
        <w:tab w:val="clear" w:pos="2160"/>
        <w:tab w:val="left" w:pos="5040"/>
      </w:tabs>
      <w:ind w:left="5040" w:hanging="3600"/>
    </w:pPr>
  </w:style>
  <w:style w:type="paragraph" w:customStyle="1" w:styleId="TOCTitle">
    <w:name w:val="TOC Title"/>
    <w:basedOn w:val="Normal"/>
    <w:rsid w:val="008473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7322"/>
    <w:pPr>
      <w:jc w:val="center"/>
    </w:pPr>
    <w:rPr>
      <w:rFonts w:ascii="Times New Roman Bold" w:hAnsi="Times New Roman Bold"/>
      <w:b/>
      <w:bCs/>
      <w:caps/>
      <w:szCs w:val="22"/>
    </w:rPr>
  </w:style>
  <w:style w:type="character" w:styleId="Hyperlink">
    <w:name w:val="Hyperlink"/>
    <w:rsid w:val="00847322"/>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CF7C0B"/>
  </w:style>
  <w:style w:type="character" w:customStyle="1" w:styleId="ParaNumChar">
    <w:name w:val="ParaNum Char"/>
    <w:link w:val="ParaNum"/>
    <w:locked/>
    <w:rsid w:val="00CF7C0B"/>
    <w:rPr>
      <w:snapToGrid w:val="0"/>
      <w:kern w:val="28"/>
      <w:sz w:val="22"/>
    </w:rPr>
  </w:style>
  <w:style w:type="paragraph" w:styleId="BalloonText">
    <w:name w:val="Balloon Text"/>
    <w:basedOn w:val="Normal"/>
    <w:link w:val="BalloonTextChar"/>
    <w:rsid w:val="00396E40"/>
    <w:rPr>
      <w:rFonts w:ascii="Tahoma" w:hAnsi="Tahoma" w:cs="Tahoma"/>
      <w:snapToGrid/>
      <w:sz w:val="16"/>
      <w:szCs w:val="16"/>
    </w:rPr>
  </w:style>
  <w:style w:type="character" w:customStyle="1" w:styleId="BalloonTextChar">
    <w:name w:val="Balloon Text Char"/>
    <w:basedOn w:val="DefaultParagraphFont"/>
    <w:link w:val="BalloonText"/>
    <w:rsid w:val="00396E40"/>
    <w:rPr>
      <w:rFonts w:ascii="Tahoma" w:hAnsi="Tahoma" w:cs="Tahoma"/>
      <w:snapToGrid w:val="0"/>
      <w:kern w:val="28"/>
      <w:sz w:val="16"/>
      <w:szCs w:val="16"/>
    </w:rPr>
  </w:style>
  <w:style w:type="character" w:styleId="CommentReference">
    <w:name w:val="annotation reference"/>
    <w:basedOn w:val="DefaultParagraphFont"/>
    <w:rsid w:val="000102F7"/>
    <w:rPr>
      <w:sz w:val="16"/>
      <w:szCs w:val="16"/>
    </w:rPr>
  </w:style>
  <w:style w:type="paragraph" w:styleId="CommentText">
    <w:name w:val="annotation text"/>
    <w:basedOn w:val="Normal"/>
    <w:link w:val="CommentTextChar"/>
    <w:rsid w:val="000102F7"/>
    <w:rPr>
      <w:snapToGrid/>
      <w:sz w:val="20"/>
    </w:rPr>
  </w:style>
  <w:style w:type="character" w:customStyle="1" w:styleId="CommentTextChar">
    <w:name w:val="Comment Text Char"/>
    <w:basedOn w:val="DefaultParagraphFont"/>
    <w:link w:val="CommentText"/>
    <w:rsid w:val="000102F7"/>
    <w:rPr>
      <w:snapToGrid w:val="0"/>
      <w:kern w:val="28"/>
    </w:rPr>
  </w:style>
  <w:style w:type="paragraph" w:styleId="CommentSubject">
    <w:name w:val="annotation subject"/>
    <w:basedOn w:val="CommentText"/>
    <w:next w:val="CommentText"/>
    <w:link w:val="CommentSubjectChar"/>
    <w:rsid w:val="000102F7"/>
    <w:rPr>
      <w:b/>
      <w:bCs/>
    </w:rPr>
  </w:style>
  <w:style w:type="character" w:customStyle="1" w:styleId="CommentSubjectChar">
    <w:name w:val="Comment Subject Char"/>
    <w:basedOn w:val="CommentTextChar"/>
    <w:link w:val="CommentSubject"/>
    <w:rsid w:val="000102F7"/>
    <w:rPr>
      <w:b/>
      <w:bCs/>
      <w:snapToGrid w:val="0"/>
      <w:kern w:val="28"/>
    </w:rPr>
  </w:style>
  <w:style w:type="character" w:customStyle="1" w:styleId="FooterChar">
    <w:name w:val="Footer Char"/>
    <w:basedOn w:val="DefaultParagraphFont"/>
    <w:link w:val="Footer"/>
    <w:rsid w:val="009D63BB"/>
    <w:rPr>
      <w:snapToGrid w:val="0"/>
      <w:kern w:val="28"/>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locked/>
    <w:rsid w:val="0075423D"/>
  </w:style>
  <w:style w:type="paragraph" w:customStyle="1" w:styleId="Boxquotes">
    <w:name w:val="Box quotes"/>
    <w:basedOn w:val="ParaNum"/>
    <w:qFormat/>
    <w:rsid w:val="00923F0D"/>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322"/>
    <w:pPr>
      <w:widowControl w:val="0"/>
    </w:pPr>
    <w:rPr>
      <w:snapToGrid w:val="0"/>
      <w:kern w:val="28"/>
      <w:sz w:val="22"/>
    </w:rPr>
  </w:style>
  <w:style w:type="paragraph" w:styleId="Heading1">
    <w:name w:val="heading 1"/>
    <w:basedOn w:val="Normal"/>
    <w:next w:val="ParaNum"/>
    <w:qFormat/>
    <w:rsid w:val="008473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47322"/>
    <w:pPr>
      <w:keepNext/>
      <w:numPr>
        <w:ilvl w:val="1"/>
        <w:numId w:val="3"/>
      </w:numPr>
      <w:spacing w:after="120"/>
      <w:outlineLvl w:val="1"/>
    </w:pPr>
    <w:rPr>
      <w:b/>
    </w:rPr>
  </w:style>
  <w:style w:type="paragraph" w:styleId="Heading3">
    <w:name w:val="heading 3"/>
    <w:basedOn w:val="Normal"/>
    <w:next w:val="ParaNum"/>
    <w:qFormat/>
    <w:rsid w:val="00847322"/>
    <w:pPr>
      <w:keepNext/>
      <w:numPr>
        <w:ilvl w:val="2"/>
        <w:numId w:val="3"/>
      </w:numPr>
      <w:tabs>
        <w:tab w:val="left" w:pos="2160"/>
      </w:tabs>
      <w:spacing w:after="120"/>
      <w:outlineLvl w:val="2"/>
    </w:pPr>
    <w:rPr>
      <w:b/>
    </w:rPr>
  </w:style>
  <w:style w:type="paragraph" w:styleId="Heading4">
    <w:name w:val="heading 4"/>
    <w:basedOn w:val="Normal"/>
    <w:next w:val="ParaNum"/>
    <w:qFormat/>
    <w:rsid w:val="00847322"/>
    <w:pPr>
      <w:keepNext/>
      <w:numPr>
        <w:ilvl w:val="3"/>
        <w:numId w:val="3"/>
      </w:numPr>
      <w:tabs>
        <w:tab w:val="left" w:pos="2880"/>
      </w:tabs>
      <w:spacing w:after="120"/>
      <w:outlineLvl w:val="3"/>
    </w:pPr>
    <w:rPr>
      <w:b/>
    </w:rPr>
  </w:style>
  <w:style w:type="paragraph" w:styleId="Heading5">
    <w:name w:val="heading 5"/>
    <w:basedOn w:val="Normal"/>
    <w:next w:val="ParaNum"/>
    <w:qFormat/>
    <w:rsid w:val="0084732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47322"/>
    <w:pPr>
      <w:numPr>
        <w:ilvl w:val="5"/>
        <w:numId w:val="3"/>
      </w:numPr>
      <w:tabs>
        <w:tab w:val="left" w:pos="4320"/>
      </w:tabs>
      <w:spacing w:after="120"/>
      <w:outlineLvl w:val="5"/>
    </w:pPr>
    <w:rPr>
      <w:b/>
    </w:rPr>
  </w:style>
  <w:style w:type="paragraph" w:styleId="Heading7">
    <w:name w:val="heading 7"/>
    <w:basedOn w:val="Normal"/>
    <w:next w:val="ParaNum"/>
    <w:qFormat/>
    <w:rsid w:val="008473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473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473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73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322"/>
  </w:style>
  <w:style w:type="paragraph" w:customStyle="1" w:styleId="ParaNum">
    <w:name w:val="ParaNum"/>
    <w:basedOn w:val="Normal"/>
    <w:link w:val="ParaNumChar"/>
    <w:rsid w:val="00847322"/>
    <w:pPr>
      <w:numPr>
        <w:numId w:val="2"/>
      </w:numPr>
      <w:tabs>
        <w:tab w:val="clear" w:pos="1080"/>
        <w:tab w:val="num" w:pos="1440"/>
      </w:tabs>
      <w:spacing w:after="120"/>
    </w:pPr>
  </w:style>
  <w:style w:type="paragraph" w:styleId="EndnoteText">
    <w:name w:val="endnote text"/>
    <w:basedOn w:val="Normal"/>
    <w:semiHidden/>
    <w:rsid w:val="00847322"/>
    <w:rPr>
      <w:sz w:val="20"/>
    </w:rPr>
  </w:style>
  <w:style w:type="character" w:styleId="EndnoteReference">
    <w:name w:val="endnote reference"/>
    <w:semiHidden/>
    <w:rsid w:val="00847322"/>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847322"/>
    <w:pPr>
      <w:spacing w:after="120"/>
    </w:pPr>
  </w:style>
  <w:style w:type="character" w:styleId="FootnoteReference">
    <w:name w:val="footnote reference"/>
    <w:aliases w:val="Style 4,Appel note de bas de p,Style 12,(NECG) Footnote Reference,Style 124,Style 13,o,fr,Style 3,Style 17,FR,Footnote Reference/,Style 6,Style 7,Footnote Reference1"/>
    <w:rsid w:val="00847322"/>
    <w:rPr>
      <w:rFonts w:ascii="Times New Roman" w:hAnsi="Times New Roman"/>
      <w:dstrike w:val="0"/>
      <w:color w:val="auto"/>
      <w:sz w:val="20"/>
      <w:vertAlign w:val="superscript"/>
    </w:rPr>
  </w:style>
  <w:style w:type="paragraph" w:styleId="TOC1">
    <w:name w:val="toc 1"/>
    <w:basedOn w:val="Normal"/>
    <w:next w:val="Normal"/>
    <w:semiHidden/>
    <w:rsid w:val="008473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7322"/>
    <w:pPr>
      <w:tabs>
        <w:tab w:val="left" w:pos="720"/>
        <w:tab w:val="right" w:leader="dot" w:pos="9360"/>
      </w:tabs>
      <w:suppressAutoHyphens/>
      <w:ind w:left="720" w:right="720" w:hanging="360"/>
    </w:pPr>
    <w:rPr>
      <w:noProof/>
    </w:rPr>
  </w:style>
  <w:style w:type="paragraph" w:styleId="TOC3">
    <w:name w:val="toc 3"/>
    <w:basedOn w:val="Normal"/>
    <w:next w:val="Normal"/>
    <w:semiHidden/>
    <w:rsid w:val="008473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73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73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73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73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73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73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7322"/>
    <w:pPr>
      <w:tabs>
        <w:tab w:val="right" w:pos="9360"/>
      </w:tabs>
      <w:suppressAutoHyphens/>
    </w:pPr>
  </w:style>
  <w:style w:type="character" w:customStyle="1" w:styleId="EquationCaption">
    <w:name w:val="_Equation Caption"/>
    <w:rsid w:val="00847322"/>
  </w:style>
  <w:style w:type="paragraph" w:styleId="Header">
    <w:name w:val="header"/>
    <w:basedOn w:val="Normal"/>
    <w:autoRedefine/>
    <w:rsid w:val="00847322"/>
    <w:pPr>
      <w:tabs>
        <w:tab w:val="center" w:pos="4680"/>
        <w:tab w:val="right" w:pos="9360"/>
      </w:tabs>
    </w:pPr>
    <w:rPr>
      <w:b/>
    </w:rPr>
  </w:style>
  <w:style w:type="paragraph" w:styleId="Footer">
    <w:name w:val="footer"/>
    <w:basedOn w:val="Normal"/>
    <w:link w:val="FooterChar"/>
    <w:rsid w:val="00847322"/>
    <w:pPr>
      <w:tabs>
        <w:tab w:val="center" w:pos="4320"/>
        <w:tab w:val="right" w:pos="8640"/>
      </w:tabs>
    </w:pPr>
  </w:style>
  <w:style w:type="character" w:styleId="PageNumber">
    <w:name w:val="page number"/>
    <w:basedOn w:val="DefaultParagraphFont"/>
    <w:rsid w:val="00847322"/>
  </w:style>
  <w:style w:type="paragraph" w:styleId="BlockText">
    <w:name w:val="Block Text"/>
    <w:basedOn w:val="Normal"/>
    <w:rsid w:val="00847322"/>
    <w:pPr>
      <w:spacing w:after="240"/>
      <w:ind w:left="1440" w:right="1440"/>
    </w:pPr>
  </w:style>
  <w:style w:type="paragraph" w:customStyle="1" w:styleId="Paratitle">
    <w:name w:val="Para title"/>
    <w:basedOn w:val="Normal"/>
    <w:rsid w:val="00847322"/>
    <w:pPr>
      <w:tabs>
        <w:tab w:val="center" w:pos="9270"/>
      </w:tabs>
      <w:spacing w:after="240"/>
    </w:pPr>
    <w:rPr>
      <w:spacing w:val="-2"/>
    </w:rPr>
  </w:style>
  <w:style w:type="paragraph" w:customStyle="1" w:styleId="Bullet">
    <w:name w:val="Bullet"/>
    <w:basedOn w:val="Normal"/>
    <w:rsid w:val="00847322"/>
    <w:pPr>
      <w:tabs>
        <w:tab w:val="left" w:pos="2160"/>
      </w:tabs>
      <w:spacing w:after="220"/>
      <w:ind w:left="2160" w:hanging="720"/>
    </w:pPr>
  </w:style>
  <w:style w:type="paragraph" w:customStyle="1" w:styleId="TableFormat">
    <w:name w:val="TableFormat"/>
    <w:basedOn w:val="Bullet"/>
    <w:rsid w:val="00847322"/>
    <w:pPr>
      <w:tabs>
        <w:tab w:val="clear" w:pos="2160"/>
        <w:tab w:val="left" w:pos="5040"/>
      </w:tabs>
      <w:ind w:left="5040" w:hanging="3600"/>
    </w:pPr>
  </w:style>
  <w:style w:type="paragraph" w:customStyle="1" w:styleId="TOCTitle">
    <w:name w:val="TOC Title"/>
    <w:basedOn w:val="Normal"/>
    <w:rsid w:val="008473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7322"/>
    <w:pPr>
      <w:jc w:val="center"/>
    </w:pPr>
    <w:rPr>
      <w:rFonts w:ascii="Times New Roman Bold" w:hAnsi="Times New Roman Bold"/>
      <w:b/>
      <w:bCs/>
      <w:caps/>
      <w:szCs w:val="22"/>
    </w:rPr>
  </w:style>
  <w:style w:type="character" w:styleId="Hyperlink">
    <w:name w:val="Hyperlink"/>
    <w:rsid w:val="00847322"/>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CF7C0B"/>
  </w:style>
  <w:style w:type="character" w:customStyle="1" w:styleId="ParaNumChar">
    <w:name w:val="ParaNum Char"/>
    <w:link w:val="ParaNum"/>
    <w:locked/>
    <w:rsid w:val="00CF7C0B"/>
    <w:rPr>
      <w:snapToGrid w:val="0"/>
      <w:kern w:val="28"/>
      <w:sz w:val="22"/>
    </w:rPr>
  </w:style>
  <w:style w:type="paragraph" w:styleId="BalloonText">
    <w:name w:val="Balloon Text"/>
    <w:basedOn w:val="Normal"/>
    <w:link w:val="BalloonTextChar"/>
    <w:rsid w:val="00396E40"/>
    <w:rPr>
      <w:rFonts w:ascii="Tahoma" w:hAnsi="Tahoma" w:cs="Tahoma"/>
      <w:snapToGrid/>
      <w:sz w:val="16"/>
      <w:szCs w:val="16"/>
    </w:rPr>
  </w:style>
  <w:style w:type="character" w:customStyle="1" w:styleId="BalloonTextChar">
    <w:name w:val="Balloon Text Char"/>
    <w:basedOn w:val="DefaultParagraphFont"/>
    <w:link w:val="BalloonText"/>
    <w:rsid w:val="00396E40"/>
    <w:rPr>
      <w:rFonts w:ascii="Tahoma" w:hAnsi="Tahoma" w:cs="Tahoma"/>
      <w:snapToGrid w:val="0"/>
      <w:kern w:val="28"/>
      <w:sz w:val="16"/>
      <w:szCs w:val="16"/>
    </w:rPr>
  </w:style>
  <w:style w:type="character" w:styleId="CommentReference">
    <w:name w:val="annotation reference"/>
    <w:basedOn w:val="DefaultParagraphFont"/>
    <w:rsid w:val="000102F7"/>
    <w:rPr>
      <w:sz w:val="16"/>
      <w:szCs w:val="16"/>
    </w:rPr>
  </w:style>
  <w:style w:type="paragraph" w:styleId="CommentText">
    <w:name w:val="annotation text"/>
    <w:basedOn w:val="Normal"/>
    <w:link w:val="CommentTextChar"/>
    <w:rsid w:val="000102F7"/>
    <w:rPr>
      <w:snapToGrid/>
      <w:sz w:val="20"/>
    </w:rPr>
  </w:style>
  <w:style w:type="character" w:customStyle="1" w:styleId="CommentTextChar">
    <w:name w:val="Comment Text Char"/>
    <w:basedOn w:val="DefaultParagraphFont"/>
    <w:link w:val="CommentText"/>
    <w:rsid w:val="000102F7"/>
    <w:rPr>
      <w:snapToGrid w:val="0"/>
      <w:kern w:val="28"/>
    </w:rPr>
  </w:style>
  <w:style w:type="paragraph" w:styleId="CommentSubject">
    <w:name w:val="annotation subject"/>
    <w:basedOn w:val="CommentText"/>
    <w:next w:val="CommentText"/>
    <w:link w:val="CommentSubjectChar"/>
    <w:rsid w:val="000102F7"/>
    <w:rPr>
      <w:b/>
      <w:bCs/>
    </w:rPr>
  </w:style>
  <w:style w:type="character" w:customStyle="1" w:styleId="CommentSubjectChar">
    <w:name w:val="Comment Subject Char"/>
    <w:basedOn w:val="CommentTextChar"/>
    <w:link w:val="CommentSubject"/>
    <w:rsid w:val="000102F7"/>
    <w:rPr>
      <w:b/>
      <w:bCs/>
      <w:snapToGrid w:val="0"/>
      <w:kern w:val="28"/>
    </w:rPr>
  </w:style>
  <w:style w:type="character" w:customStyle="1" w:styleId="FooterChar">
    <w:name w:val="Footer Char"/>
    <w:basedOn w:val="DefaultParagraphFont"/>
    <w:link w:val="Footer"/>
    <w:rsid w:val="009D63BB"/>
    <w:rPr>
      <w:snapToGrid w:val="0"/>
      <w:kern w:val="28"/>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locked/>
    <w:rsid w:val="0075423D"/>
  </w:style>
  <w:style w:type="paragraph" w:customStyle="1" w:styleId="Boxquotes">
    <w:name w:val="Box quotes"/>
    <w:basedOn w:val="ParaNum"/>
    <w:qFormat/>
    <w:rsid w:val="00923F0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89904">
      <w:bodyDiv w:val="1"/>
      <w:marLeft w:val="0"/>
      <w:marRight w:val="0"/>
      <w:marTop w:val="0"/>
      <w:marBottom w:val="0"/>
      <w:divBdr>
        <w:top w:val="none" w:sz="0" w:space="0" w:color="auto"/>
        <w:left w:val="none" w:sz="0" w:space="0" w:color="auto"/>
        <w:bottom w:val="none" w:sz="0" w:space="0" w:color="auto"/>
        <w:right w:val="none" w:sz="0" w:space="0" w:color="auto"/>
      </w:divBdr>
      <w:divsChild>
        <w:div w:id="1254390437">
          <w:marLeft w:val="0"/>
          <w:marRight w:val="0"/>
          <w:marTop w:val="0"/>
          <w:marBottom w:val="0"/>
          <w:divBdr>
            <w:top w:val="none" w:sz="0" w:space="0" w:color="auto"/>
            <w:left w:val="none" w:sz="0" w:space="0" w:color="auto"/>
            <w:bottom w:val="none" w:sz="0" w:space="0" w:color="auto"/>
            <w:right w:val="none" w:sz="0" w:space="0" w:color="auto"/>
          </w:divBdr>
        </w:div>
        <w:div w:id="644896982">
          <w:marLeft w:val="0"/>
          <w:marRight w:val="0"/>
          <w:marTop w:val="0"/>
          <w:marBottom w:val="0"/>
          <w:divBdr>
            <w:top w:val="none" w:sz="0" w:space="0" w:color="auto"/>
            <w:left w:val="none" w:sz="0" w:space="0" w:color="auto"/>
            <w:bottom w:val="none" w:sz="0" w:space="0" w:color="auto"/>
            <w:right w:val="none" w:sz="0" w:space="0" w:color="auto"/>
          </w:divBdr>
        </w:div>
        <w:div w:id="421266637">
          <w:marLeft w:val="0"/>
          <w:marRight w:val="0"/>
          <w:marTop w:val="0"/>
          <w:marBottom w:val="0"/>
          <w:divBdr>
            <w:top w:val="none" w:sz="0" w:space="0" w:color="auto"/>
            <w:left w:val="none" w:sz="0" w:space="0" w:color="auto"/>
            <w:bottom w:val="none" w:sz="0" w:space="0" w:color="auto"/>
            <w:right w:val="none" w:sz="0" w:space="0" w:color="auto"/>
          </w:divBdr>
        </w:div>
        <w:div w:id="803623501">
          <w:marLeft w:val="0"/>
          <w:marRight w:val="0"/>
          <w:marTop w:val="0"/>
          <w:marBottom w:val="0"/>
          <w:divBdr>
            <w:top w:val="none" w:sz="0" w:space="0" w:color="auto"/>
            <w:left w:val="none" w:sz="0" w:space="0" w:color="auto"/>
            <w:bottom w:val="none" w:sz="0" w:space="0" w:color="auto"/>
            <w:right w:val="none" w:sz="0" w:space="0" w:color="auto"/>
          </w:divBdr>
        </w:div>
        <w:div w:id="1892616101">
          <w:marLeft w:val="0"/>
          <w:marRight w:val="0"/>
          <w:marTop w:val="0"/>
          <w:marBottom w:val="0"/>
          <w:divBdr>
            <w:top w:val="none" w:sz="0" w:space="0" w:color="auto"/>
            <w:left w:val="none" w:sz="0" w:space="0" w:color="auto"/>
            <w:bottom w:val="none" w:sz="0" w:space="0" w:color="auto"/>
            <w:right w:val="none" w:sz="0" w:space="0" w:color="auto"/>
          </w:divBdr>
        </w:div>
        <w:div w:id="1427536009">
          <w:marLeft w:val="0"/>
          <w:marRight w:val="0"/>
          <w:marTop w:val="0"/>
          <w:marBottom w:val="0"/>
          <w:divBdr>
            <w:top w:val="none" w:sz="0" w:space="0" w:color="auto"/>
            <w:left w:val="none" w:sz="0" w:space="0" w:color="auto"/>
            <w:bottom w:val="none" w:sz="0" w:space="0" w:color="auto"/>
            <w:right w:val="none" w:sz="0" w:space="0" w:color="auto"/>
          </w:divBdr>
        </w:div>
        <w:div w:id="1250697013">
          <w:marLeft w:val="0"/>
          <w:marRight w:val="0"/>
          <w:marTop w:val="0"/>
          <w:marBottom w:val="0"/>
          <w:divBdr>
            <w:top w:val="none" w:sz="0" w:space="0" w:color="auto"/>
            <w:left w:val="none" w:sz="0" w:space="0" w:color="auto"/>
            <w:bottom w:val="none" w:sz="0" w:space="0" w:color="auto"/>
            <w:right w:val="none" w:sz="0" w:space="0" w:color="auto"/>
          </w:divBdr>
        </w:div>
      </w:divsChild>
    </w:div>
    <w:div w:id="21098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stlaw.com/Find/Default.wl?rs=dfa1.0&amp;vr=2.0&amp;DB=1000547&amp;DocName=47CFRS1.2112&amp;FindType=L" TargetMode="External"/><Relationship Id="rId1" Type="http://schemas.openxmlformats.org/officeDocument/2006/relationships/hyperlink" Target="http://www.westlaw.com/Find/Default.wl?rs=dfa1.0&amp;vr=2.0&amp;DB=1000547&amp;DocName=47CFRS1.2110&amp;FindTyp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2406</Words>
  <Characters>12719</Characters>
  <Application>Microsoft Office Word</Application>
  <DocSecurity>0</DocSecurity>
  <Lines>210</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2014-12-18T15:59:00Z</cp:lastPrinted>
  <dcterms:created xsi:type="dcterms:W3CDTF">2014-12-23T13:18:00Z</dcterms:created>
  <dcterms:modified xsi:type="dcterms:W3CDTF">2014-12-23T13:18:00Z</dcterms:modified>
  <cp:category> </cp:category>
  <cp:contentStatus> </cp:contentStatus>
</cp:coreProperties>
</file>