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137A" w14:textId="77777777" w:rsidR="0010779D" w:rsidRPr="00D80D15" w:rsidRDefault="0010779D">
      <w:pPr>
        <w:jc w:val="center"/>
        <w:rPr>
          <w:b/>
        </w:rPr>
      </w:pPr>
      <w:bookmarkStart w:id="0" w:name="_GoBack"/>
      <w:bookmarkEnd w:id="0"/>
      <w:r w:rsidRPr="00D80D15">
        <w:rPr>
          <w:b/>
        </w:rPr>
        <w:t>Before the</w:t>
      </w:r>
    </w:p>
    <w:p w14:paraId="3EC52987" w14:textId="77777777" w:rsidR="0010779D" w:rsidRPr="00D80D15" w:rsidRDefault="0010779D">
      <w:pPr>
        <w:jc w:val="center"/>
        <w:rPr>
          <w:b/>
        </w:rPr>
      </w:pPr>
      <w:r w:rsidRPr="00D80D15">
        <w:rPr>
          <w:b/>
        </w:rPr>
        <w:t>Federal Communications Commission</w:t>
      </w:r>
    </w:p>
    <w:p w14:paraId="2CD703B3" w14:textId="77777777" w:rsidR="0010779D" w:rsidRPr="00D80D15" w:rsidRDefault="0010779D">
      <w:pPr>
        <w:jc w:val="center"/>
        <w:rPr>
          <w:b/>
        </w:rPr>
      </w:pPr>
      <w:r w:rsidRPr="00D80D15">
        <w:rPr>
          <w:b/>
        </w:rPr>
        <w:t>Washington, D.C. 20554</w:t>
      </w:r>
    </w:p>
    <w:p w14:paraId="4FB5B3D5" w14:textId="77777777" w:rsidR="0010779D" w:rsidRPr="00D80D15" w:rsidRDefault="0010779D"/>
    <w:tbl>
      <w:tblPr>
        <w:tblW w:w="9769" w:type="dxa"/>
        <w:tblLayout w:type="fixed"/>
        <w:tblLook w:val="0000" w:firstRow="0" w:lastRow="0" w:firstColumn="0" w:lastColumn="0" w:noHBand="0" w:noVBand="0"/>
      </w:tblPr>
      <w:tblGrid>
        <w:gridCol w:w="4757"/>
        <w:gridCol w:w="729"/>
        <w:gridCol w:w="4283"/>
      </w:tblGrid>
      <w:tr w:rsidR="0010779D" w:rsidRPr="00D80D15" w14:paraId="1D271BC8" w14:textId="77777777" w:rsidTr="0005117D">
        <w:trPr>
          <w:trHeight w:val="3852"/>
        </w:trPr>
        <w:tc>
          <w:tcPr>
            <w:tcW w:w="4757" w:type="dxa"/>
          </w:tcPr>
          <w:p w14:paraId="08C0C900" w14:textId="77777777" w:rsidR="0010779D" w:rsidRPr="00D80D15" w:rsidRDefault="0010779D">
            <w:pPr>
              <w:ind w:right="-18"/>
            </w:pPr>
            <w:r w:rsidRPr="00D80D15">
              <w:t xml:space="preserve">In the </w:t>
            </w:r>
            <w:r w:rsidR="00A0150C" w:rsidRPr="00D80D15">
              <w:t>M</w:t>
            </w:r>
            <w:r w:rsidRPr="00D80D15">
              <w:t>atter of</w:t>
            </w:r>
          </w:p>
          <w:p w14:paraId="66EBB793" w14:textId="77777777" w:rsidR="00DB7351" w:rsidRPr="00D80D15" w:rsidRDefault="00DB7351">
            <w:pPr>
              <w:ind w:right="-18"/>
            </w:pPr>
          </w:p>
          <w:p w14:paraId="7BEE738A" w14:textId="77777777" w:rsidR="00D67D9C" w:rsidRPr="00D80D15" w:rsidRDefault="00D67D9C">
            <w:pPr>
              <w:ind w:right="-18"/>
            </w:pPr>
            <w:r w:rsidRPr="00D80D15">
              <w:t>Consent to Transfer Control of Licenses by</w:t>
            </w:r>
          </w:p>
          <w:p w14:paraId="05D37FFB" w14:textId="77777777" w:rsidR="00DA0BAB" w:rsidRPr="00D80D15" w:rsidRDefault="008959C9">
            <w:pPr>
              <w:ind w:right="-18"/>
            </w:pPr>
            <w:r w:rsidRPr="00D80D15">
              <w:t>Shareholders of Media General, Inc.</w:t>
            </w:r>
            <w:r w:rsidR="00D67D9C" w:rsidRPr="00D80D15">
              <w:t xml:space="preserve"> and </w:t>
            </w:r>
            <w:r w:rsidRPr="00D80D15">
              <w:t xml:space="preserve">Shareholders of </w:t>
            </w:r>
            <w:r w:rsidR="00681118" w:rsidRPr="00D80D15">
              <w:t>LIN</w:t>
            </w:r>
            <w:r w:rsidRPr="00D80D15">
              <w:t xml:space="preserve"> Media, LLC</w:t>
            </w:r>
            <w:r w:rsidR="00D67D9C" w:rsidRPr="00D80D15">
              <w:t xml:space="preserve"> to </w:t>
            </w:r>
            <w:r w:rsidR="00FD1405" w:rsidRPr="00D80D15">
              <w:t>Post-Merger Shareholders of Media General, Inc.</w:t>
            </w:r>
            <w:r w:rsidR="00D67D9C" w:rsidRPr="00D80D15">
              <w:t xml:space="preserve"> </w:t>
            </w:r>
          </w:p>
          <w:p w14:paraId="1DE163A1" w14:textId="77777777" w:rsidR="00D67D9C" w:rsidRPr="00D80D15" w:rsidRDefault="00D67D9C" w:rsidP="000229BA">
            <w:pPr>
              <w:ind w:right="-18"/>
            </w:pPr>
          </w:p>
          <w:p w14:paraId="6AB7C7BD" w14:textId="77777777" w:rsidR="000F5F32" w:rsidRPr="00D80D15" w:rsidRDefault="00D67D9C" w:rsidP="000229BA">
            <w:pPr>
              <w:ind w:right="-18"/>
            </w:pPr>
            <w:r w:rsidRPr="00D80D15">
              <w:t>Consent to Assign Control of Licenses by License Subsidiaries of Post-Merger Shareholders of Media General, Inc</w:t>
            </w:r>
            <w:r w:rsidR="00A427C8" w:rsidRPr="00D80D15">
              <w:t xml:space="preserve">. </w:t>
            </w:r>
            <w:r w:rsidRPr="00D80D15">
              <w:t xml:space="preserve">to License Subsidiaries of </w:t>
            </w:r>
            <w:r w:rsidR="000F5F32" w:rsidRPr="00D80D15">
              <w:t>Hearst Corporation</w:t>
            </w:r>
            <w:r w:rsidRPr="00D80D15">
              <w:t xml:space="preserve"> </w:t>
            </w:r>
          </w:p>
          <w:p w14:paraId="27769CF7" w14:textId="77777777" w:rsidR="000F5F32" w:rsidRPr="00D80D15" w:rsidRDefault="000F5F32" w:rsidP="000229BA">
            <w:pPr>
              <w:ind w:right="-18"/>
            </w:pPr>
          </w:p>
          <w:p w14:paraId="0C707A83" w14:textId="77777777" w:rsidR="000F5F32" w:rsidRPr="00D80D15" w:rsidRDefault="00A427C8" w:rsidP="000229BA">
            <w:pPr>
              <w:ind w:right="-18"/>
            </w:pPr>
            <w:r w:rsidRPr="00D80D15">
              <w:t xml:space="preserve">Consent to Assign Control of Licenses by License Subsidiaries of Post-Merger Shareholders of Media General, Inc. to </w:t>
            </w:r>
            <w:r w:rsidR="000F5F32" w:rsidRPr="00D80D15">
              <w:t xml:space="preserve">Meredith Corporation </w:t>
            </w:r>
          </w:p>
          <w:p w14:paraId="5218B1B4" w14:textId="77777777" w:rsidR="00906757" w:rsidRPr="00D80D15" w:rsidRDefault="00906757" w:rsidP="00906757">
            <w:pPr>
              <w:ind w:right="-18"/>
            </w:pPr>
          </w:p>
          <w:p w14:paraId="1866367C" w14:textId="77777777" w:rsidR="00A427C8" w:rsidRPr="00D80D15" w:rsidRDefault="00A427C8" w:rsidP="000229BA">
            <w:pPr>
              <w:ind w:right="-18"/>
            </w:pPr>
            <w:r w:rsidRPr="00D80D15">
              <w:t xml:space="preserve">Consent to Assign Control of Licenses by License Subsidiaries of Post-Merger Shareholders of Media General, Inc. to  License Subsidiaries of Sinclair </w:t>
            </w:r>
            <w:r w:rsidR="00B465A0" w:rsidRPr="00D80D15">
              <w:t>Broadcast</w:t>
            </w:r>
            <w:r w:rsidRPr="00D80D15">
              <w:t xml:space="preserve"> Group</w:t>
            </w:r>
          </w:p>
          <w:p w14:paraId="244502B3" w14:textId="77777777" w:rsidR="00A427C8" w:rsidRPr="00D80D15" w:rsidRDefault="00A427C8" w:rsidP="00A427C8">
            <w:pPr>
              <w:ind w:right="-18"/>
            </w:pPr>
          </w:p>
          <w:p w14:paraId="068543BB" w14:textId="77777777" w:rsidR="00A427C8" w:rsidRPr="00D80D15" w:rsidRDefault="00A427C8" w:rsidP="00A427C8">
            <w:pPr>
              <w:ind w:right="-18"/>
            </w:pPr>
            <w:r w:rsidRPr="00D80D15">
              <w:t xml:space="preserve">Consent to Assign Control of Licenses by License Subsidiaries of Sinclair </w:t>
            </w:r>
            <w:r w:rsidR="00B465A0" w:rsidRPr="00D80D15">
              <w:t>Broadcast</w:t>
            </w:r>
            <w:r w:rsidRPr="00D80D15">
              <w:t xml:space="preserve"> Group to Post-Merger Shareholders of Media General, Inc.</w:t>
            </w:r>
          </w:p>
          <w:p w14:paraId="418400F9" w14:textId="77777777" w:rsidR="00A427C8" w:rsidRPr="00D80D15" w:rsidRDefault="00A427C8" w:rsidP="000229BA">
            <w:pPr>
              <w:ind w:right="-18"/>
            </w:pPr>
          </w:p>
          <w:p w14:paraId="00263876" w14:textId="635650AB" w:rsidR="00236703" w:rsidRPr="00D80D15" w:rsidRDefault="00906757" w:rsidP="000229BA">
            <w:pPr>
              <w:ind w:right="-18"/>
            </w:pPr>
            <w:r w:rsidRPr="00D80D15">
              <w:t xml:space="preserve">Consent to Assign </w:t>
            </w:r>
            <w:r w:rsidR="00D67D9C" w:rsidRPr="00D80D15">
              <w:t xml:space="preserve">Control of </w:t>
            </w:r>
            <w:r w:rsidRPr="00D80D15">
              <w:t>Licenses</w:t>
            </w:r>
            <w:r w:rsidR="00A427C8" w:rsidRPr="00D80D15">
              <w:t xml:space="preserve"> by </w:t>
            </w:r>
            <w:r w:rsidR="00236703" w:rsidRPr="00D80D15">
              <w:t>WTGS Television, LLC</w:t>
            </w:r>
            <w:r w:rsidR="00393661" w:rsidRPr="00D80D15">
              <w:t>, a License Subsidiary of Vaugh</w:t>
            </w:r>
            <w:r w:rsidR="002316E6">
              <w:t>a</w:t>
            </w:r>
            <w:r w:rsidR="00393661" w:rsidRPr="00D80D15">
              <w:t>n Media LLC</w:t>
            </w:r>
            <w:r w:rsidR="00A427C8" w:rsidRPr="00D80D15">
              <w:t xml:space="preserve"> to a License Subsidiary of </w:t>
            </w:r>
            <w:r w:rsidR="00236703" w:rsidRPr="00D80D15">
              <w:t xml:space="preserve">Sinclair </w:t>
            </w:r>
            <w:r w:rsidR="00B465A0" w:rsidRPr="00D80D15">
              <w:t>Broadcast</w:t>
            </w:r>
            <w:r w:rsidR="00236703" w:rsidRPr="00D80D15">
              <w:t xml:space="preserve"> Group</w:t>
            </w:r>
          </w:p>
          <w:p w14:paraId="5550BED6" w14:textId="77777777" w:rsidR="00236703" w:rsidRPr="00D80D15" w:rsidRDefault="00236703" w:rsidP="000229BA">
            <w:pPr>
              <w:ind w:right="-18"/>
            </w:pPr>
          </w:p>
        </w:tc>
        <w:tc>
          <w:tcPr>
            <w:tcW w:w="729" w:type="dxa"/>
          </w:tcPr>
          <w:p w14:paraId="15B60BE3" w14:textId="77777777" w:rsidR="0010779D" w:rsidRPr="00D80D15" w:rsidRDefault="0010779D">
            <w:pPr>
              <w:rPr>
                <w:b/>
              </w:rPr>
            </w:pPr>
            <w:r w:rsidRPr="00D80D15">
              <w:rPr>
                <w:b/>
              </w:rPr>
              <w:t>)</w:t>
            </w:r>
          </w:p>
          <w:p w14:paraId="03F2B3CC" w14:textId="77777777" w:rsidR="0010779D" w:rsidRPr="00D80D15" w:rsidRDefault="0010779D">
            <w:pPr>
              <w:rPr>
                <w:b/>
              </w:rPr>
            </w:pPr>
            <w:r w:rsidRPr="00D80D15">
              <w:rPr>
                <w:b/>
              </w:rPr>
              <w:t>)</w:t>
            </w:r>
          </w:p>
          <w:p w14:paraId="10E852A8" w14:textId="77777777" w:rsidR="0010779D" w:rsidRPr="00D80D15" w:rsidRDefault="0010779D">
            <w:pPr>
              <w:rPr>
                <w:b/>
              </w:rPr>
            </w:pPr>
            <w:r w:rsidRPr="00D80D15">
              <w:rPr>
                <w:b/>
              </w:rPr>
              <w:t>)</w:t>
            </w:r>
          </w:p>
          <w:p w14:paraId="3BB7BDB0" w14:textId="77777777" w:rsidR="0010779D" w:rsidRPr="00D80D15" w:rsidRDefault="0010779D">
            <w:pPr>
              <w:rPr>
                <w:b/>
              </w:rPr>
            </w:pPr>
            <w:r w:rsidRPr="00D80D15">
              <w:rPr>
                <w:b/>
              </w:rPr>
              <w:t>)</w:t>
            </w:r>
          </w:p>
          <w:p w14:paraId="12F4EDCB" w14:textId="77777777" w:rsidR="0010779D" w:rsidRPr="00D80D15" w:rsidRDefault="0010779D">
            <w:pPr>
              <w:rPr>
                <w:b/>
              </w:rPr>
            </w:pPr>
            <w:r w:rsidRPr="00D80D15">
              <w:rPr>
                <w:b/>
              </w:rPr>
              <w:t>)</w:t>
            </w:r>
          </w:p>
          <w:p w14:paraId="59534AF4" w14:textId="77777777" w:rsidR="0010779D" w:rsidRPr="00D80D15" w:rsidRDefault="0010779D">
            <w:pPr>
              <w:rPr>
                <w:b/>
              </w:rPr>
            </w:pPr>
            <w:r w:rsidRPr="00D80D15">
              <w:rPr>
                <w:b/>
              </w:rPr>
              <w:t>)</w:t>
            </w:r>
          </w:p>
          <w:p w14:paraId="6B6F540C" w14:textId="77777777" w:rsidR="0010779D" w:rsidRPr="00D80D15" w:rsidRDefault="0010779D">
            <w:pPr>
              <w:rPr>
                <w:b/>
              </w:rPr>
            </w:pPr>
            <w:r w:rsidRPr="00D80D15">
              <w:rPr>
                <w:b/>
              </w:rPr>
              <w:t>)</w:t>
            </w:r>
          </w:p>
          <w:p w14:paraId="28F82F4C" w14:textId="77777777" w:rsidR="0010779D" w:rsidRPr="00D80D15" w:rsidRDefault="0010779D">
            <w:pPr>
              <w:rPr>
                <w:b/>
              </w:rPr>
            </w:pPr>
            <w:r w:rsidRPr="00D80D15">
              <w:rPr>
                <w:b/>
              </w:rPr>
              <w:t>)</w:t>
            </w:r>
          </w:p>
          <w:p w14:paraId="543B2F7B" w14:textId="77777777" w:rsidR="0010779D" w:rsidRPr="00D80D15" w:rsidRDefault="0010779D">
            <w:pPr>
              <w:rPr>
                <w:b/>
              </w:rPr>
            </w:pPr>
            <w:r w:rsidRPr="00D80D15">
              <w:rPr>
                <w:b/>
              </w:rPr>
              <w:t>)</w:t>
            </w:r>
          </w:p>
          <w:p w14:paraId="7D995659" w14:textId="77777777" w:rsidR="0010779D" w:rsidRPr="00D80D15" w:rsidRDefault="00DA0BAB">
            <w:pPr>
              <w:rPr>
                <w:b/>
              </w:rPr>
            </w:pPr>
            <w:r w:rsidRPr="00D80D15">
              <w:rPr>
                <w:b/>
              </w:rPr>
              <w:t>)</w:t>
            </w:r>
          </w:p>
          <w:p w14:paraId="7E929E46" w14:textId="77777777" w:rsidR="00DA0BAB" w:rsidRPr="00D80D15" w:rsidRDefault="00DA0BAB">
            <w:pPr>
              <w:rPr>
                <w:b/>
              </w:rPr>
            </w:pPr>
            <w:r w:rsidRPr="00D80D15">
              <w:rPr>
                <w:b/>
              </w:rPr>
              <w:t>)</w:t>
            </w:r>
          </w:p>
          <w:p w14:paraId="59CECCB4" w14:textId="77777777" w:rsidR="00DA0BAB" w:rsidRPr="00D80D15" w:rsidRDefault="00DA0BAB">
            <w:pPr>
              <w:rPr>
                <w:b/>
              </w:rPr>
            </w:pPr>
            <w:r w:rsidRPr="00D80D15">
              <w:rPr>
                <w:b/>
              </w:rPr>
              <w:t>)</w:t>
            </w:r>
          </w:p>
          <w:p w14:paraId="6D8FF72B" w14:textId="77777777" w:rsidR="00DA0BAB" w:rsidRPr="00D80D15" w:rsidRDefault="00DA0BAB">
            <w:pPr>
              <w:rPr>
                <w:b/>
              </w:rPr>
            </w:pPr>
            <w:r w:rsidRPr="00D80D15">
              <w:rPr>
                <w:b/>
              </w:rPr>
              <w:t>)</w:t>
            </w:r>
          </w:p>
          <w:p w14:paraId="470A2E66" w14:textId="77777777" w:rsidR="0005117D" w:rsidRPr="00D80D15" w:rsidRDefault="00DA0BAB">
            <w:pPr>
              <w:rPr>
                <w:b/>
              </w:rPr>
            </w:pPr>
            <w:r w:rsidRPr="00D80D15">
              <w:rPr>
                <w:b/>
              </w:rPr>
              <w:t>)</w:t>
            </w:r>
          </w:p>
          <w:p w14:paraId="6CA2C99B" w14:textId="77777777" w:rsidR="0005117D" w:rsidRPr="00D80D15" w:rsidRDefault="000F5F32">
            <w:pPr>
              <w:rPr>
                <w:b/>
              </w:rPr>
            </w:pPr>
            <w:r w:rsidRPr="00D80D15">
              <w:rPr>
                <w:b/>
              </w:rPr>
              <w:t>)</w:t>
            </w:r>
          </w:p>
          <w:p w14:paraId="3C1D353F" w14:textId="77777777" w:rsidR="000F5F32" w:rsidRPr="00D80D15" w:rsidRDefault="000F5F32">
            <w:pPr>
              <w:rPr>
                <w:b/>
              </w:rPr>
            </w:pPr>
            <w:r w:rsidRPr="00D80D15">
              <w:rPr>
                <w:b/>
              </w:rPr>
              <w:t>)</w:t>
            </w:r>
          </w:p>
          <w:p w14:paraId="47908821" w14:textId="77777777" w:rsidR="000F5F32" w:rsidRPr="00D80D15" w:rsidRDefault="000F5F32">
            <w:pPr>
              <w:rPr>
                <w:b/>
              </w:rPr>
            </w:pPr>
            <w:r w:rsidRPr="00D80D15">
              <w:rPr>
                <w:b/>
              </w:rPr>
              <w:t>)</w:t>
            </w:r>
          </w:p>
          <w:p w14:paraId="0EC33674" w14:textId="77777777" w:rsidR="000F5F32" w:rsidRPr="00D80D15" w:rsidRDefault="000F5F32">
            <w:pPr>
              <w:rPr>
                <w:b/>
              </w:rPr>
            </w:pPr>
            <w:r w:rsidRPr="00D80D15">
              <w:rPr>
                <w:b/>
              </w:rPr>
              <w:t>)</w:t>
            </w:r>
          </w:p>
          <w:p w14:paraId="720CB929" w14:textId="77777777" w:rsidR="000F5F32" w:rsidRPr="00D80D15" w:rsidRDefault="000F5F32">
            <w:pPr>
              <w:rPr>
                <w:b/>
              </w:rPr>
            </w:pPr>
            <w:r w:rsidRPr="00D80D15">
              <w:rPr>
                <w:b/>
              </w:rPr>
              <w:t>)</w:t>
            </w:r>
          </w:p>
          <w:p w14:paraId="6D283C7F" w14:textId="77777777" w:rsidR="000F5F32" w:rsidRPr="00D80D15" w:rsidRDefault="000F5F32">
            <w:pPr>
              <w:rPr>
                <w:b/>
              </w:rPr>
            </w:pPr>
            <w:r w:rsidRPr="00D80D15">
              <w:rPr>
                <w:b/>
              </w:rPr>
              <w:t>)</w:t>
            </w:r>
          </w:p>
          <w:p w14:paraId="3BA5D5D7" w14:textId="77777777" w:rsidR="000F5F32" w:rsidRPr="00D80D15" w:rsidRDefault="000F5F32">
            <w:pPr>
              <w:rPr>
                <w:b/>
              </w:rPr>
            </w:pPr>
            <w:r w:rsidRPr="00D80D15">
              <w:rPr>
                <w:b/>
              </w:rPr>
              <w:t>)</w:t>
            </w:r>
          </w:p>
          <w:p w14:paraId="64095CC4" w14:textId="77777777" w:rsidR="000F5F32" w:rsidRPr="00D80D15" w:rsidRDefault="000F5F32">
            <w:pPr>
              <w:rPr>
                <w:b/>
              </w:rPr>
            </w:pPr>
            <w:r w:rsidRPr="00D80D15">
              <w:rPr>
                <w:b/>
              </w:rPr>
              <w:t>)</w:t>
            </w:r>
          </w:p>
          <w:p w14:paraId="5638A5DE" w14:textId="77777777" w:rsidR="000F5F32" w:rsidRPr="00D80D15" w:rsidRDefault="000F5F32">
            <w:pPr>
              <w:rPr>
                <w:b/>
              </w:rPr>
            </w:pPr>
            <w:r w:rsidRPr="00D80D15">
              <w:rPr>
                <w:b/>
              </w:rPr>
              <w:t>)</w:t>
            </w:r>
          </w:p>
          <w:p w14:paraId="5640073F" w14:textId="77777777" w:rsidR="000F5F32" w:rsidRPr="00D80D15" w:rsidRDefault="000F5F32">
            <w:pPr>
              <w:rPr>
                <w:b/>
              </w:rPr>
            </w:pPr>
            <w:r w:rsidRPr="00D80D15">
              <w:rPr>
                <w:b/>
              </w:rPr>
              <w:t>)</w:t>
            </w:r>
          </w:p>
          <w:p w14:paraId="7162CE4E" w14:textId="77777777" w:rsidR="000F5F32" w:rsidRPr="00D80D15" w:rsidRDefault="000F5F32">
            <w:pPr>
              <w:rPr>
                <w:b/>
              </w:rPr>
            </w:pPr>
            <w:r w:rsidRPr="00D80D15">
              <w:rPr>
                <w:b/>
              </w:rPr>
              <w:t>)</w:t>
            </w:r>
          </w:p>
          <w:p w14:paraId="76917F0B" w14:textId="77777777" w:rsidR="000F5F32" w:rsidRPr="00D80D15" w:rsidRDefault="000F5F32">
            <w:pPr>
              <w:rPr>
                <w:b/>
              </w:rPr>
            </w:pPr>
            <w:r w:rsidRPr="00D80D15">
              <w:rPr>
                <w:b/>
              </w:rPr>
              <w:t>)</w:t>
            </w:r>
          </w:p>
          <w:p w14:paraId="46C3BAD0" w14:textId="77777777" w:rsidR="000F5F32" w:rsidRPr="00D80D15" w:rsidRDefault="000F5F32">
            <w:pPr>
              <w:rPr>
                <w:b/>
              </w:rPr>
            </w:pPr>
            <w:r w:rsidRPr="00D80D15">
              <w:rPr>
                <w:b/>
              </w:rPr>
              <w:t>)</w:t>
            </w:r>
          </w:p>
          <w:p w14:paraId="5DE2941A" w14:textId="77777777" w:rsidR="00906757" w:rsidRPr="00D80D15" w:rsidRDefault="00A427C8">
            <w:pPr>
              <w:rPr>
                <w:b/>
              </w:rPr>
            </w:pPr>
            <w:r w:rsidRPr="00D80D15">
              <w:rPr>
                <w:b/>
              </w:rPr>
              <w:t>)</w:t>
            </w:r>
          </w:p>
          <w:p w14:paraId="5858A1C7" w14:textId="77777777" w:rsidR="00236703" w:rsidRPr="00D80D15" w:rsidRDefault="00393661">
            <w:pPr>
              <w:rPr>
                <w:b/>
              </w:rPr>
            </w:pPr>
            <w:r w:rsidRPr="00D80D15">
              <w:rPr>
                <w:b/>
              </w:rPr>
              <w:t>)</w:t>
            </w:r>
          </w:p>
        </w:tc>
        <w:tc>
          <w:tcPr>
            <w:tcW w:w="4283" w:type="dxa"/>
          </w:tcPr>
          <w:p w14:paraId="5B43448E" w14:textId="77777777" w:rsidR="0010779D" w:rsidRPr="00D80D15" w:rsidRDefault="0010779D"/>
          <w:p w14:paraId="3EA9DFB1" w14:textId="77777777" w:rsidR="0010779D" w:rsidRPr="00D80D15" w:rsidRDefault="0010779D"/>
          <w:p w14:paraId="15F7568E" w14:textId="77777777" w:rsidR="00CE3F2C" w:rsidRPr="00D80D15" w:rsidRDefault="000229BA" w:rsidP="000229BA">
            <w:pPr>
              <w:rPr>
                <w:i/>
              </w:rPr>
            </w:pPr>
            <w:r w:rsidRPr="00D80D15">
              <w:t xml:space="preserve">File Nos. </w:t>
            </w:r>
            <w:r w:rsidR="008959C9" w:rsidRPr="00D80D15">
              <w:t>BTCCDT-20140509AKR</w:t>
            </w:r>
            <w:r w:rsidR="00D7338B" w:rsidRPr="00D80D15">
              <w:t xml:space="preserve"> </w:t>
            </w:r>
            <w:r w:rsidR="00D7338B" w:rsidRPr="00D80D15">
              <w:rPr>
                <w:i/>
              </w:rPr>
              <w:t>et al.</w:t>
            </w:r>
          </w:p>
          <w:p w14:paraId="4CC0437A" w14:textId="77777777" w:rsidR="008959C9" w:rsidRPr="00D80D15" w:rsidRDefault="008959C9" w:rsidP="000229BA">
            <w:pPr>
              <w:rPr>
                <w:i/>
              </w:rPr>
            </w:pPr>
          </w:p>
          <w:p w14:paraId="06E97A83" w14:textId="77777777" w:rsidR="008959C9" w:rsidRPr="00D80D15" w:rsidRDefault="00D67D9C" w:rsidP="000229BA">
            <w:r w:rsidRPr="00D80D15">
              <w:t xml:space="preserve">File Nos. BTCCDT-20140509ACZ </w:t>
            </w:r>
            <w:r w:rsidRPr="00D80D15">
              <w:rPr>
                <w:i/>
              </w:rPr>
              <w:t>et al.</w:t>
            </w:r>
          </w:p>
          <w:p w14:paraId="460DA93D" w14:textId="77777777" w:rsidR="00906757" w:rsidRPr="00D80D15" w:rsidRDefault="00906757" w:rsidP="008959C9">
            <w:pPr>
              <w:rPr>
                <w:i/>
              </w:rPr>
            </w:pPr>
          </w:p>
          <w:p w14:paraId="1522651A" w14:textId="77777777" w:rsidR="00906757" w:rsidRPr="00D80D15" w:rsidRDefault="00906757" w:rsidP="008959C9">
            <w:pPr>
              <w:rPr>
                <w:i/>
              </w:rPr>
            </w:pPr>
          </w:p>
          <w:p w14:paraId="638D450D" w14:textId="77777777" w:rsidR="00906757" w:rsidRPr="00D80D15" w:rsidRDefault="00A427C8" w:rsidP="008959C9">
            <w:r w:rsidRPr="00D80D15">
              <w:t>File Nos. BALCDT-20140827ACM and BALCDT-20140827ACP</w:t>
            </w:r>
          </w:p>
          <w:p w14:paraId="3D9EDCD0" w14:textId="77777777" w:rsidR="00906757" w:rsidRPr="00D80D15" w:rsidRDefault="00906757" w:rsidP="008959C9">
            <w:pPr>
              <w:rPr>
                <w:i/>
              </w:rPr>
            </w:pPr>
          </w:p>
          <w:p w14:paraId="1289F048" w14:textId="77777777" w:rsidR="00906757" w:rsidRPr="00D80D15" w:rsidRDefault="00906757" w:rsidP="008959C9">
            <w:pPr>
              <w:rPr>
                <w:i/>
              </w:rPr>
            </w:pPr>
          </w:p>
          <w:p w14:paraId="50D3B007" w14:textId="77777777" w:rsidR="00906757" w:rsidRPr="00D80D15" w:rsidRDefault="00906757" w:rsidP="008959C9">
            <w:pPr>
              <w:rPr>
                <w:i/>
              </w:rPr>
            </w:pPr>
          </w:p>
          <w:p w14:paraId="6414ED62" w14:textId="77777777" w:rsidR="00906757" w:rsidRPr="00D80D15" w:rsidRDefault="00A427C8" w:rsidP="008959C9">
            <w:r w:rsidRPr="00D80D15">
              <w:t>File No. BALCDT-20140827ANO</w:t>
            </w:r>
          </w:p>
          <w:p w14:paraId="11E3B793" w14:textId="77777777" w:rsidR="00906757" w:rsidRPr="00D80D15" w:rsidRDefault="00906757" w:rsidP="008959C9">
            <w:pPr>
              <w:rPr>
                <w:i/>
              </w:rPr>
            </w:pPr>
          </w:p>
          <w:p w14:paraId="68063640" w14:textId="77777777" w:rsidR="00906757" w:rsidRPr="00D80D15" w:rsidRDefault="00906757" w:rsidP="008959C9">
            <w:pPr>
              <w:rPr>
                <w:i/>
              </w:rPr>
            </w:pPr>
          </w:p>
          <w:p w14:paraId="515C29C3" w14:textId="77777777" w:rsidR="00906757" w:rsidRPr="00D80D15" w:rsidRDefault="00906757" w:rsidP="008959C9">
            <w:pPr>
              <w:rPr>
                <w:i/>
              </w:rPr>
            </w:pPr>
          </w:p>
          <w:p w14:paraId="57BB08FC" w14:textId="40C0B49A" w:rsidR="00906757" w:rsidRPr="00D80D15" w:rsidRDefault="00A427C8" w:rsidP="008959C9">
            <w:r w:rsidRPr="00D80D15">
              <w:t xml:space="preserve">File </w:t>
            </w:r>
            <w:r w:rsidR="00EE2012">
              <w:t>Nos. BALCDT 20140827ANL; BALCDT-</w:t>
            </w:r>
            <w:r w:rsidRPr="00D80D15">
              <w:t>20140827ANM; and BALCDT-20140827ANP</w:t>
            </w:r>
          </w:p>
          <w:p w14:paraId="3D54A202" w14:textId="77777777" w:rsidR="00906757" w:rsidRPr="00D80D15" w:rsidRDefault="00906757" w:rsidP="008959C9">
            <w:pPr>
              <w:rPr>
                <w:i/>
              </w:rPr>
            </w:pPr>
          </w:p>
          <w:p w14:paraId="72D8073B" w14:textId="77777777" w:rsidR="00906757" w:rsidRPr="00D80D15" w:rsidRDefault="00906757" w:rsidP="008959C9"/>
          <w:p w14:paraId="649A60D6" w14:textId="77777777" w:rsidR="00A427C8" w:rsidRPr="00D80D15" w:rsidRDefault="00A427C8" w:rsidP="00C97BC7">
            <w:r w:rsidRPr="00D80D15">
              <w:t>File Nos. BALCDT-20140827ANY and BALCDT-20140827ANV</w:t>
            </w:r>
          </w:p>
          <w:p w14:paraId="1181DC12" w14:textId="77777777" w:rsidR="00906757" w:rsidRPr="00D80D15" w:rsidRDefault="00906757" w:rsidP="008959C9"/>
          <w:p w14:paraId="3DE44859" w14:textId="77777777" w:rsidR="00C97BC7" w:rsidRPr="00D80D15" w:rsidRDefault="00C97BC7" w:rsidP="008959C9"/>
          <w:p w14:paraId="79B865CE" w14:textId="77777777" w:rsidR="00906757" w:rsidRPr="00D80D15" w:rsidRDefault="00906757" w:rsidP="008959C9">
            <w:r w:rsidRPr="00D80D15">
              <w:t>File No.</w:t>
            </w:r>
            <w:r w:rsidR="00C97BC7" w:rsidRPr="00D80D15">
              <w:t xml:space="preserve"> BALCDT-20140827A</w:t>
            </w:r>
            <w:r w:rsidR="00A427C8" w:rsidRPr="00D80D15">
              <w:t>DC</w:t>
            </w:r>
          </w:p>
          <w:p w14:paraId="32268A1F" w14:textId="77777777" w:rsidR="00906757" w:rsidRPr="00D80D15" w:rsidRDefault="00906757" w:rsidP="008959C9"/>
          <w:p w14:paraId="0B8D8B86" w14:textId="77777777" w:rsidR="00906757" w:rsidRPr="00D80D15" w:rsidRDefault="00906757" w:rsidP="008959C9"/>
          <w:p w14:paraId="502E595D" w14:textId="77777777" w:rsidR="00906757" w:rsidRPr="00D80D15" w:rsidRDefault="00906757" w:rsidP="008959C9"/>
        </w:tc>
      </w:tr>
    </w:tbl>
    <w:p w14:paraId="7E901715" w14:textId="5C0B819E" w:rsidR="00A82FCF" w:rsidRDefault="00A82FCF" w:rsidP="00A82FCF">
      <w:pPr>
        <w:pStyle w:val="StyleBoldCentered"/>
      </w:pPr>
      <w:r>
        <w:t>Memorandum Opinion and Order</w:t>
      </w:r>
    </w:p>
    <w:p w14:paraId="78D28F5D" w14:textId="77777777" w:rsidR="00A82FCF" w:rsidRDefault="00A82FCF" w:rsidP="00A82FCF">
      <w:pPr>
        <w:tabs>
          <w:tab w:val="left" w:pos="-720"/>
        </w:tabs>
        <w:suppressAutoHyphens/>
        <w:spacing w:line="227" w:lineRule="auto"/>
        <w:rPr>
          <w:spacing w:val="-2"/>
        </w:rPr>
      </w:pPr>
    </w:p>
    <w:p w14:paraId="40D2E409" w14:textId="1F9ED7F6" w:rsidR="00A82FCF" w:rsidRDefault="00A82FCF" w:rsidP="00A82FCF">
      <w:pPr>
        <w:tabs>
          <w:tab w:val="left" w:pos="720"/>
          <w:tab w:val="right" w:pos="9360"/>
        </w:tabs>
        <w:suppressAutoHyphens/>
        <w:spacing w:line="227" w:lineRule="auto"/>
        <w:rPr>
          <w:spacing w:val="-2"/>
        </w:rPr>
      </w:pPr>
      <w:r>
        <w:rPr>
          <w:b/>
          <w:spacing w:val="-2"/>
        </w:rPr>
        <w:t>Adopted:  December 12, 2014</w:t>
      </w:r>
      <w:r>
        <w:rPr>
          <w:b/>
          <w:spacing w:val="-2"/>
        </w:rPr>
        <w:tab/>
        <w:t>Released:  December 12, 2014</w:t>
      </w:r>
    </w:p>
    <w:p w14:paraId="758313D8" w14:textId="77777777" w:rsidR="00A82FCF" w:rsidRDefault="00A82FCF" w:rsidP="00A82FCF"/>
    <w:p w14:paraId="409D38DC" w14:textId="6DDE76A9" w:rsidR="00A82FCF" w:rsidRDefault="00A82FCF" w:rsidP="00A82FCF">
      <w:pPr>
        <w:rPr>
          <w:spacing w:val="-2"/>
        </w:rPr>
      </w:pPr>
      <w:r>
        <w:t xml:space="preserve">By the </w:t>
      </w:r>
      <w:r>
        <w:rPr>
          <w:spacing w:val="-2"/>
        </w:rPr>
        <w:t>Chief, Video Division, Media Bureau:</w:t>
      </w:r>
    </w:p>
    <w:p w14:paraId="15818C63" w14:textId="77777777" w:rsidR="0010779D" w:rsidRPr="00D80D15" w:rsidRDefault="0010779D"/>
    <w:p w14:paraId="25F37195" w14:textId="77777777" w:rsidR="00D7338B" w:rsidRPr="00D80D15" w:rsidRDefault="00B607C4" w:rsidP="00A82FCF">
      <w:pPr>
        <w:pStyle w:val="Heading1"/>
      </w:pPr>
      <w:r w:rsidRPr="00D80D15">
        <w:t>INTRODUCTION</w:t>
      </w:r>
    </w:p>
    <w:p w14:paraId="07591CC7" w14:textId="48226163" w:rsidR="00457597" w:rsidRPr="00D80D15" w:rsidRDefault="00B607C4" w:rsidP="00A82FCF">
      <w:pPr>
        <w:pStyle w:val="ParaNum"/>
      </w:pPr>
      <w:r w:rsidRPr="00D80D15">
        <w:t xml:space="preserve">The </w:t>
      </w:r>
      <w:r w:rsidR="00D22F67" w:rsidRPr="00D80D15">
        <w:t xml:space="preserve">Federal Communications </w:t>
      </w:r>
      <w:r w:rsidR="00CB38F6" w:rsidRPr="00D80D15">
        <w:t>Commission</w:t>
      </w:r>
      <w:r w:rsidR="00D22F67" w:rsidRPr="00D80D15">
        <w:t xml:space="preserve"> (“Commission”)</w:t>
      </w:r>
      <w:r w:rsidR="00CB38F6" w:rsidRPr="00D80D15">
        <w:t xml:space="preserve">, by the Chief, Video Division, Media Bureau, </w:t>
      </w:r>
      <w:r w:rsidR="00D22F67" w:rsidRPr="00D80D15">
        <w:t>pursuant to delegated authority,</w:t>
      </w:r>
      <w:r w:rsidR="00CB38F6" w:rsidRPr="00D80D15">
        <w:t xml:space="preserve"> </w:t>
      </w:r>
      <w:r w:rsidR="006F6368" w:rsidRPr="00D80D15">
        <w:t xml:space="preserve">grants the above-captioned </w:t>
      </w:r>
      <w:r w:rsidR="00022E58" w:rsidRPr="00D80D15">
        <w:t>applications</w:t>
      </w:r>
      <w:r w:rsidR="0033006C" w:rsidRPr="00D80D15">
        <w:t xml:space="preserve"> </w:t>
      </w:r>
      <w:r w:rsidR="00B5393D" w:rsidRPr="00D80D15">
        <w:t>seeking consent to the transfer of control of the broadcast television operations of the licensee subsidiaries</w:t>
      </w:r>
      <w:r w:rsidR="00762A57" w:rsidRPr="00D80D15">
        <w:t xml:space="preserve"> of</w:t>
      </w:r>
      <w:r w:rsidR="00B5393D" w:rsidRPr="00D80D15">
        <w:t xml:space="preserve"> </w:t>
      </w:r>
      <w:r w:rsidR="00681118" w:rsidRPr="00D80D15">
        <w:t>LIN</w:t>
      </w:r>
      <w:r w:rsidR="00B5393D" w:rsidRPr="00D80D15">
        <w:t xml:space="preserve"> Media, LLC (“</w:t>
      </w:r>
      <w:r w:rsidR="00681118" w:rsidRPr="00D80D15">
        <w:t>LIN</w:t>
      </w:r>
      <w:r w:rsidR="00B5393D" w:rsidRPr="00D80D15">
        <w:t xml:space="preserve"> Media</w:t>
      </w:r>
      <w:r w:rsidR="00BB531C" w:rsidRPr="00D80D15">
        <w:t xml:space="preserve">”) </w:t>
      </w:r>
      <w:r w:rsidR="00762A57" w:rsidRPr="00D80D15">
        <w:t>to the</w:t>
      </w:r>
      <w:r w:rsidR="00B465A0" w:rsidRPr="00D80D15">
        <w:t xml:space="preserve"> </w:t>
      </w:r>
      <w:r w:rsidR="00177AF6" w:rsidRPr="00D80D15">
        <w:t>Post-Merger Shareholders of M</w:t>
      </w:r>
      <w:r w:rsidR="005943EB" w:rsidRPr="00D80D15">
        <w:t>edia General, Inc. (</w:t>
      </w:r>
      <w:r w:rsidR="00177AF6" w:rsidRPr="00D80D15">
        <w:t>“Post-Merger Media General”).</w:t>
      </w:r>
      <w:r w:rsidR="00B465A0" w:rsidRPr="00D80D15">
        <w:rPr>
          <w:rStyle w:val="FootnoteReference"/>
          <w:szCs w:val="22"/>
        </w:rPr>
        <w:footnoteReference w:id="2"/>
      </w:r>
      <w:r w:rsidR="0049591F" w:rsidRPr="00D80D15">
        <w:t xml:space="preserve">  </w:t>
      </w:r>
      <w:r w:rsidR="00566FA0" w:rsidRPr="00D80D15">
        <w:t>To effectuate</w:t>
      </w:r>
      <w:r w:rsidR="0033006C" w:rsidRPr="00D80D15">
        <w:t xml:space="preserve"> </w:t>
      </w:r>
      <w:r w:rsidR="007C7961" w:rsidRPr="00D80D15">
        <w:t>divestitures</w:t>
      </w:r>
      <w:r w:rsidR="000F5F32" w:rsidRPr="00D80D15">
        <w:t xml:space="preserve"> proposed by </w:t>
      </w:r>
      <w:r w:rsidR="00BB531C" w:rsidRPr="00D80D15">
        <w:t>Post-Merger Media General</w:t>
      </w:r>
      <w:r w:rsidR="00566FA0" w:rsidRPr="00D80D15">
        <w:t xml:space="preserve"> in certain markets </w:t>
      </w:r>
      <w:r w:rsidR="00566FA0" w:rsidRPr="00D80D15">
        <w:lastRenderedPageBreak/>
        <w:t>where the transaction would otherwise result in violation of the local television ownership rule</w:t>
      </w:r>
      <w:r w:rsidR="000F5F32" w:rsidRPr="00D80D15">
        <w:t>,</w:t>
      </w:r>
      <w:r w:rsidR="00566FA0" w:rsidRPr="00D80D15">
        <w:rPr>
          <w:rStyle w:val="FootnoteReference"/>
          <w:szCs w:val="22"/>
        </w:rPr>
        <w:footnoteReference w:id="3"/>
      </w:r>
      <w:r w:rsidR="000F5F32" w:rsidRPr="00D80D15">
        <w:t xml:space="preserve"> the Commission also </w:t>
      </w:r>
      <w:r w:rsidR="0013053F" w:rsidRPr="00D80D15">
        <w:t>grants applications seeking</w:t>
      </w:r>
      <w:r w:rsidR="007C7961" w:rsidRPr="00D80D15">
        <w:t xml:space="preserve"> consent to</w:t>
      </w:r>
      <w:r w:rsidR="000F5F32" w:rsidRPr="00D80D15">
        <w:t xml:space="preserve"> assign certain </w:t>
      </w:r>
      <w:r w:rsidR="00681118" w:rsidRPr="00D80D15">
        <w:t>LIN</w:t>
      </w:r>
      <w:r w:rsidR="00B465A0" w:rsidRPr="00D80D15">
        <w:t xml:space="preserve"> Media and Media General, Inc. (“Media General”) </w:t>
      </w:r>
      <w:r w:rsidR="000F5F32" w:rsidRPr="00D80D15">
        <w:t>stations to Sinclair Broadcast Group</w:t>
      </w:r>
      <w:r w:rsidR="007C7961" w:rsidRPr="00D80D15">
        <w:t xml:space="preserve"> (“Sinclair”)</w:t>
      </w:r>
      <w:r w:rsidR="000F5F32" w:rsidRPr="00D80D15">
        <w:t>, Hearst Corporation</w:t>
      </w:r>
      <w:r w:rsidR="00FB1A14" w:rsidRPr="00D80D15">
        <w:t xml:space="preserve"> (“Hearst”)</w:t>
      </w:r>
      <w:r w:rsidR="000F5F32" w:rsidRPr="00D80D15">
        <w:t xml:space="preserve"> and Meredith Corporation</w:t>
      </w:r>
      <w:r w:rsidR="00FB1A14" w:rsidRPr="00D80D15">
        <w:t xml:space="preserve"> (“Meredith”)</w:t>
      </w:r>
      <w:r w:rsidR="007C7961" w:rsidRPr="00D80D15">
        <w:t xml:space="preserve">.  </w:t>
      </w:r>
      <w:r w:rsidR="00566FA0" w:rsidRPr="00D80D15">
        <w:t>Finally,</w:t>
      </w:r>
      <w:r w:rsidR="0033006C" w:rsidRPr="00D80D15">
        <w:t xml:space="preserve"> t</w:t>
      </w:r>
      <w:r w:rsidR="007C7961" w:rsidRPr="00D80D15">
        <w:t xml:space="preserve">he Commission </w:t>
      </w:r>
      <w:r w:rsidR="00566FA0" w:rsidRPr="00D80D15">
        <w:t>grants applications</w:t>
      </w:r>
      <w:r w:rsidR="0033006C" w:rsidRPr="00D80D15">
        <w:t xml:space="preserve"> </w:t>
      </w:r>
      <w:r w:rsidR="007C7961" w:rsidRPr="00D80D15">
        <w:t xml:space="preserve">by </w:t>
      </w:r>
      <w:r w:rsidR="005943EB" w:rsidRPr="00D80D15">
        <w:t xml:space="preserve">Sinclair to </w:t>
      </w:r>
      <w:r w:rsidR="000F5F32" w:rsidRPr="00D80D15">
        <w:t>assign</w:t>
      </w:r>
      <w:r w:rsidR="005943EB" w:rsidRPr="00D80D15">
        <w:t xml:space="preserve"> certain stations</w:t>
      </w:r>
      <w:r w:rsidR="00113C24" w:rsidRPr="00D80D15">
        <w:t xml:space="preserve"> to Post-Merger Media General</w:t>
      </w:r>
      <w:r w:rsidR="00943405" w:rsidRPr="00D80D15">
        <w:t xml:space="preserve"> and by Vaugh</w:t>
      </w:r>
      <w:r w:rsidR="006C603F">
        <w:t>a</w:t>
      </w:r>
      <w:r w:rsidR="00943405" w:rsidRPr="00D80D15">
        <w:t>n Media LLC (“Vaughan Media”) to assign certain assets to Sinclair pursuant to the exercise of an option agreement by LIN Media</w:t>
      </w:r>
      <w:r w:rsidR="00113C24" w:rsidRPr="00D80D15">
        <w:t>.</w:t>
      </w:r>
      <w:r w:rsidR="00FC481B" w:rsidRPr="00D80D15">
        <w:rPr>
          <w:rStyle w:val="FootnoteReference"/>
          <w:szCs w:val="22"/>
        </w:rPr>
        <w:footnoteReference w:id="4"/>
      </w:r>
      <w:r w:rsidR="00113C24" w:rsidRPr="00D80D15">
        <w:t xml:space="preserve"> </w:t>
      </w:r>
    </w:p>
    <w:p w14:paraId="00B1A1E3" w14:textId="292CA4F4" w:rsidR="0049591F" w:rsidRPr="00D80D15" w:rsidRDefault="00457597" w:rsidP="00A82FCF">
      <w:pPr>
        <w:pStyle w:val="ParaNum"/>
      </w:pPr>
      <w:r w:rsidRPr="00D80D15">
        <w:t xml:space="preserve">In addition, </w:t>
      </w:r>
      <w:r w:rsidR="00566FA0" w:rsidRPr="00D80D15">
        <w:t xml:space="preserve">we grant </w:t>
      </w:r>
      <w:r w:rsidR="00113C24" w:rsidRPr="00D80D15">
        <w:t>four</w:t>
      </w:r>
      <w:r w:rsidR="00022E58" w:rsidRPr="00D80D15">
        <w:t xml:space="preserve"> </w:t>
      </w:r>
      <w:r w:rsidR="00BD6E74" w:rsidRPr="00D80D15">
        <w:t>“</w:t>
      </w:r>
      <w:r w:rsidR="00036B67" w:rsidRPr="00D80D15">
        <w:t>satellite exemption</w:t>
      </w:r>
      <w:r w:rsidR="005358CF" w:rsidRPr="00D80D15">
        <w:t>s</w:t>
      </w:r>
      <w:r w:rsidR="00BD6E74" w:rsidRPr="00D80D15">
        <w:t>”</w:t>
      </w:r>
      <w:r w:rsidR="00022E58" w:rsidRPr="00D80D15">
        <w:t xml:space="preserve"> to the local</w:t>
      </w:r>
      <w:r w:rsidR="005358CF" w:rsidRPr="00D80D15">
        <w:t xml:space="preserve"> </w:t>
      </w:r>
      <w:r w:rsidR="00022E58" w:rsidRPr="00D80D15">
        <w:t xml:space="preserve">TV ownership rule </w:t>
      </w:r>
      <w:r w:rsidR="005358CF" w:rsidRPr="00D80D15">
        <w:t xml:space="preserve">pursuant to Note 5 of </w:t>
      </w:r>
      <w:r w:rsidR="000E20C2" w:rsidRPr="00D80D15">
        <w:t>Section</w:t>
      </w:r>
      <w:r w:rsidR="00036B67" w:rsidRPr="00D80D15">
        <w:t xml:space="preserve"> 73.3555</w:t>
      </w:r>
      <w:r w:rsidR="00113C24" w:rsidRPr="00D80D15">
        <w:t xml:space="preserve"> </w:t>
      </w:r>
      <w:r w:rsidR="00022E58" w:rsidRPr="00D80D15">
        <w:t>of the Commission’s rules</w:t>
      </w:r>
      <w:r w:rsidR="00B465A0" w:rsidRPr="00D80D15">
        <w:t xml:space="preserve"> (the “rules”)</w:t>
      </w:r>
      <w:r w:rsidR="00113C24" w:rsidRPr="00D80D15">
        <w:t>,</w:t>
      </w:r>
      <w:r w:rsidR="00036B67" w:rsidRPr="00D80D15">
        <w:rPr>
          <w:rStyle w:val="FootnoteReference"/>
          <w:szCs w:val="22"/>
        </w:rPr>
        <w:footnoteReference w:id="5"/>
      </w:r>
      <w:r w:rsidR="006C603F">
        <w:t xml:space="preserve"> </w:t>
      </w:r>
      <w:r w:rsidR="00022E58" w:rsidRPr="00D80D15">
        <w:t xml:space="preserve">and </w:t>
      </w:r>
      <w:r w:rsidR="00113C24" w:rsidRPr="00D80D15">
        <w:t>two</w:t>
      </w:r>
      <w:r w:rsidR="00022E58" w:rsidRPr="00D80D15">
        <w:t xml:space="preserve"> </w:t>
      </w:r>
      <w:r w:rsidR="00BD6E74" w:rsidRPr="00D80D15">
        <w:t>“</w:t>
      </w:r>
      <w:r w:rsidR="00BB531C" w:rsidRPr="00D80D15">
        <w:t>failing</w:t>
      </w:r>
      <w:r w:rsidR="00BD6E74" w:rsidRPr="00D80D15">
        <w:t>”</w:t>
      </w:r>
      <w:r w:rsidR="00C475A2" w:rsidRPr="00D80D15">
        <w:t xml:space="preserve"> statio</w:t>
      </w:r>
      <w:r w:rsidR="005358CF" w:rsidRPr="00D80D15">
        <w:t>n waiver</w:t>
      </w:r>
      <w:r w:rsidR="00B5393D" w:rsidRPr="00D80D15">
        <w:t>s</w:t>
      </w:r>
      <w:r w:rsidR="00022E58" w:rsidRPr="00D80D15">
        <w:t xml:space="preserve"> of the local TV ownership rule</w:t>
      </w:r>
      <w:r w:rsidR="005358CF" w:rsidRPr="00D80D15">
        <w:t xml:space="preserve">, pursuant to Note 7 of </w:t>
      </w:r>
      <w:r w:rsidR="000E20C2" w:rsidRPr="00D80D15">
        <w:t>Section</w:t>
      </w:r>
      <w:r w:rsidR="00C475A2" w:rsidRPr="00D80D15">
        <w:t xml:space="preserve"> 73.3555 of the </w:t>
      </w:r>
      <w:r w:rsidR="00B465A0" w:rsidRPr="00D80D15">
        <w:t>rules</w:t>
      </w:r>
      <w:r w:rsidR="00113C24" w:rsidRPr="00D80D15">
        <w:t>.</w:t>
      </w:r>
      <w:r w:rsidR="00C475A2" w:rsidRPr="00D80D15">
        <w:rPr>
          <w:rStyle w:val="FootnoteReference"/>
          <w:szCs w:val="22"/>
        </w:rPr>
        <w:footnoteReference w:id="6"/>
      </w:r>
      <w:r w:rsidR="00113C24" w:rsidRPr="00D80D15">
        <w:t xml:space="preserve">  Likewise, Sinclair has requested one “failing” station waiver of the local TV ownership rule, pursuant to Note 7 of Section 73.3555 of the rule</w:t>
      </w:r>
      <w:r w:rsidR="00B465A0" w:rsidRPr="00D80D15">
        <w:t>s</w:t>
      </w:r>
      <w:r w:rsidR="00566FA0" w:rsidRPr="00D80D15">
        <w:t>, which we also grant</w:t>
      </w:r>
      <w:r w:rsidR="00113C24" w:rsidRPr="00D80D15">
        <w:t xml:space="preserve">.  </w:t>
      </w:r>
    </w:p>
    <w:p w14:paraId="399C3FA8" w14:textId="77777777" w:rsidR="00891AC7" w:rsidRPr="00D80D15" w:rsidRDefault="00891AC7" w:rsidP="00362474">
      <w:pPr>
        <w:pStyle w:val="Heading1"/>
        <w:rPr>
          <w:szCs w:val="22"/>
        </w:rPr>
      </w:pPr>
      <w:r w:rsidRPr="00D80D15">
        <w:rPr>
          <w:szCs w:val="22"/>
        </w:rPr>
        <w:t>BACKGROUND</w:t>
      </w:r>
    </w:p>
    <w:p w14:paraId="3A42E0BB" w14:textId="20D91FCD" w:rsidR="00BA62EE" w:rsidRPr="00D80D15" w:rsidRDefault="003D357D" w:rsidP="00A82FCF">
      <w:pPr>
        <w:pStyle w:val="ParaNum"/>
      </w:pPr>
      <w:r w:rsidRPr="00D80D15">
        <w:t xml:space="preserve">Currently, LIN Media holds licenses </w:t>
      </w:r>
      <w:r w:rsidR="006C603F">
        <w:t>for</w:t>
      </w:r>
      <w:r w:rsidRPr="00D80D15">
        <w:t xml:space="preserve"> 39</w:t>
      </w:r>
      <w:r w:rsidR="00780F4A" w:rsidRPr="00D80D15">
        <w:t xml:space="preserve"> full power stations and 17 low </w:t>
      </w:r>
      <w:r w:rsidRPr="00D80D15">
        <w:t xml:space="preserve">power stations, while Media General retains licenses to 32 full power stations, 22 Class A stations, and over 100 low power stations.  </w:t>
      </w:r>
      <w:r w:rsidR="00F30EF7" w:rsidRPr="00D80D15">
        <w:t>Following consummation of the proposed transaction</w:t>
      </w:r>
      <w:r w:rsidR="005802B6" w:rsidRPr="00D80D15">
        <w:t xml:space="preserve">, </w:t>
      </w:r>
      <w:r w:rsidRPr="00D80D15">
        <w:t xml:space="preserve">including the divestitures discussed herein, </w:t>
      </w:r>
      <w:r w:rsidR="0049591F" w:rsidRPr="00D80D15">
        <w:t xml:space="preserve">Post-Merger Media General will consist of </w:t>
      </w:r>
      <w:r w:rsidR="00C9668B" w:rsidRPr="00D80D15">
        <w:t>6</w:t>
      </w:r>
      <w:r w:rsidR="00486EC6" w:rsidRPr="00D80D15">
        <w:t>8</w:t>
      </w:r>
      <w:r w:rsidR="00B5393D" w:rsidRPr="00D80D15">
        <w:t xml:space="preserve"> full</w:t>
      </w:r>
      <w:r w:rsidRPr="00D80D15">
        <w:t xml:space="preserve"> </w:t>
      </w:r>
      <w:r w:rsidR="00B5393D" w:rsidRPr="00D80D15">
        <w:t>power television stations,</w:t>
      </w:r>
      <w:r w:rsidR="005943EB" w:rsidRPr="00D80D15">
        <w:rPr>
          <w:rStyle w:val="FootnoteReference"/>
          <w:szCs w:val="22"/>
        </w:rPr>
        <w:footnoteReference w:id="7"/>
      </w:r>
      <w:r w:rsidR="00B5393D" w:rsidRPr="00D80D15">
        <w:t xml:space="preserve"> </w:t>
      </w:r>
      <w:r w:rsidR="00486EC6" w:rsidRPr="00D80D15">
        <w:t xml:space="preserve">22 </w:t>
      </w:r>
      <w:r w:rsidR="00B5393D" w:rsidRPr="00D80D15">
        <w:t xml:space="preserve">Class A </w:t>
      </w:r>
      <w:r w:rsidR="00706E0C" w:rsidRPr="00D80D15">
        <w:t xml:space="preserve">stations, </w:t>
      </w:r>
      <w:r w:rsidR="00DE0041" w:rsidRPr="00D80D15">
        <w:t>over 100</w:t>
      </w:r>
      <w:r w:rsidR="00706E0C" w:rsidRPr="00D80D15">
        <w:t xml:space="preserve"> </w:t>
      </w:r>
      <w:r w:rsidR="00CE18FC" w:rsidRPr="00D80D15">
        <w:t>low-power television stations</w:t>
      </w:r>
      <w:r w:rsidR="00BD6E74" w:rsidRPr="00D80D15">
        <w:t>,</w:t>
      </w:r>
      <w:r w:rsidR="00CE18FC" w:rsidRPr="00D80D15">
        <w:t xml:space="preserve"> </w:t>
      </w:r>
      <w:r w:rsidR="00B5393D" w:rsidRPr="00D80D15">
        <w:t>and</w:t>
      </w:r>
      <w:r w:rsidR="00BD6E74" w:rsidRPr="00D80D15">
        <w:t xml:space="preserve"> </w:t>
      </w:r>
      <w:r w:rsidR="0072415C" w:rsidRPr="00D80D15">
        <w:t xml:space="preserve">various land mobile and </w:t>
      </w:r>
      <w:r w:rsidR="00CE18FC" w:rsidRPr="00D80D15">
        <w:t>earth station licenses</w:t>
      </w:r>
      <w:r w:rsidR="00DE0041" w:rsidRPr="00D80D15">
        <w:t>.</w:t>
      </w:r>
      <w:r w:rsidR="00036B67" w:rsidRPr="00D80D15">
        <w:rPr>
          <w:rStyle w:val="FootnoteReference"/>
          <w:szCs w:val="22"/>
        </w:rPr>
        <w:footnoteReference w:id="8"/>
      </w:r>
      <w:r w:rsidR="00036B67" w:rsidRPr="00D80D15">
        <w:t xml:space="preserve">  </w:t>
      </w:r>
      <w:r w:rsidR="00B95F0D" w:rsidRPr="00D80D15">
        <w:t xml:space="preserve">Pursuant to the merger agreement, </w:t>
      </w:r>
      <w:r w:rsidR="008D36FE" w:rsidRPr="00D80D15">
        <w:t xml:space="preserve">the parties will consummate the transaction through a series of mergers, each to be </w:t>
      </w:r>
      <w:r w:rsidR="00457E0B" w:rsidRPr="00D80D15">
        <w:t>effectuated</w:t>
      </w:r>
      <w:r w:rsidR="00706E0C" w:rsidRPr="00D80D15">
        <w:t xml:space="preserve"> </w:t>
      </w:r>
      <w:r w:rsidR="00457E0B" w:rsidRPr="00D80D15">
        <w:t>at a single closing.</w:t>
      </w:r>
      <w:r w:rsidR="00706E0C" w:rsidRPr="00D80D15">
        <w:t xml:space="preserve">  </w:t>
      </w:r>
      <w:r w:rsidR="00F30EF7" w:rsidRPr="00D80D15">
        <w:t xml:space="preserve">Ultimately, </w:t>
      </w:r>
      <w:r w:rsidR="00681118" w:rsidRPr="00D80D15">
        <w:t>LIN</w:t>
      </w:r>
      <w:r w:rsidR="00706E0C" w:rsidRPr="00D80D15">
        <w:t xml:space="preserve"> Media </w:t>
      </w:r>
      <w:r w:rsidR="007D1155" w:rsidRPr="00D80D15">
        <w:t xml:space="preserve">and Media General </w:t>
      </w:r>
      <w:r w:rsidR="00706E0C" w:rsidRPr="00D80D15">
        <w:t xml:space="preserve">will </w:t>
      </w:r>
      <w:r w:rsidR="00F30EF7" w:rsidRPr="00D80D15">
        <w:t xml:space="preserve">be </w:t>
      </w:r>
      <w:r w:rsidR="00706E0C" w:rsidRPr="00D80D15">
        <w:t>merged into Post-Merger Media General</w:t>
      </w:r>
      <w:r w:rsidR="007D1155" w:rsidRPr="00D80D15">
        <w:t>.  This will make</w:t>
      </w:r>
      <w:r w:rsidR="00323740" w:rsidRPr="00D80D15">
        <w:t xml:space="preserve"> Post-Merger Media General the sole shareholder </w:t>
      </w:r>
      <w:r w:rsidR="00F30EF7" w:rsidRPr="00D80D15">
        <w:t>of</w:t>
      </w:r>
      <w:r w:rsidR="00323740" w:rsidRPr="00D80D15">
        <w:t xml:space="preserve"> </w:t>
      </w:r>
      <w:r w:rsidR="00681118" w:rsidRPr="00D80D15">
        <w:t>LIN</w:t>
      </w:r>
      <w:r w:rsidR="00B465A0" w:rsidRPr="00D80D15">
        <w:t xml:space="preserve"> Media and its licensee</w:t>
      </w:r>
      <w:r w:rsidR="007D1155" w:rsidRPr="00D80D15">
        <w:t xml:space="preserve"> </w:t>
      </w:r>
      <w:r w:rsidR="00F30EF7" w:rsidRPr="00D80D15">
        <w:t>subsidiaries</w:t>
      </w:r>
      <w:r w:rsidR="007D1155" w:rsidRPr="00D80D15">
        <w:t xml:space="preserve"> as well as existing Media General</w:t>
      </w:r>
      <w:r w:rsidR="00B465A0" w:rsidRPr="00D80D15">
        <w:t xml:space="preserve"> and its licensee subsidiaries</w:t>
      </w:r>
      <w:r w:rsidR="00706E0C" w:rsidRPr="00D80D15">
        <w:t xml:space="preserve">.  </w:t>
      </w:r>
      <w:r w:rsidR="00774FF1" w:rsidRPr="00D80D15">
        <w:t xml:space="preserve"> </w:t>
      </w:r>
      <w:r w:rsidR="00C84297" w:rsidRPr="00D80D15">
        <w:t>The c</w:t>
      </w:r>
      <w:r w:rsidR="00C75138" w:rsidRPr="00D80D15">
        <w:t>orporate ownership</w:t>
      </w:r>
      <w:r w:rsidR="00C84297" w:rsidRPr="00D80D15">
        <w:t xml:space="preserve"> structure</w:t>
      </w:r>
      <w:r w:rsidR="00C75138" w:rsidRPr="00D80D15">
        <w:t xml:space="preserve"> of </w:t>
      </w:r>
      <w:r w:rsidR="00BA62EE" w:rsidRPr="00D80D15">
        <w:t>Media Gener</w:t>
      </w:r>
      <w:r w:rsidR="00F30EF7" w:rsidRPr="00D80D15">
        <w:t>a</w:t>
      </w:r>
      <w:r w:rsidR="00BA62EE" w:rsidRPr="00D80D15">
        <w:t>l</w:t>
      </w:r>
      <w:r w:rsidR="00F30EF7" w:rsidRPr="00D80D15">
        <w:t>’s</w:t>
      </w:r>
      <w:r w:rsidR="00BA62EE" w:rsidRPr="00D80D15">
        <w:t xml:space="preserve"> and </w:t>
      </w:r>
      <w:r w:rsidR="00681118" w:rsidRPr="00D80D15">
        <w:t>LIN</w:t>
      </w:r>
      <w:r w:rsidR="00BA62EE" w:rsidRPr="00D80D15">
        <w:t xml:space="preserve"> Media</w:t>
      </w:r>
      <w:r w:rsidR="00F30EF7" w:rsidRPr="00D80D15">
        <w:t>’s</w:t>
      </w:r>
      <w:r w:rsidR="00C75138" w:rsidRPr="00D80D15">
        <w:t xml:space="preserve"> subsidiaries </w:t>
      </w:r>
      <w:r w:rsidR="005943EB" w:rsidRPr="00D80D15">
        <w:t>(</w:t>
      </w:r>
      <w:r w:rsidR="00F30EF7" w:rsidRPr="00D80D15">
        <w:t xml:space="preserve">including </w:t>
      </w:r>
      <w:r w:rsidR="005943EB" w:rsidRPr="00D80D15">
        <w:t xml:space="preserve">the </w:t>
      </w:r>
      <w:r w:rsidR="00B465A0" w:rsidRPr="00D80D15">
        <w:t xml:space="preserve">named </w:t>
      </w:r>
      <w:r w:rsidR="005943EB" w:rsidRPr="00D80D15">
        <w:t xml:space="preserve">licensee of </w:t>
      </w:r>
      <w:r w:rsidR="00B465A0" w:rsidRPr="00D80D15">
        <w:t>each station</w:t>
      </w:r>
      <w:r w:rsidR="005943EB" w:rsidRPr="00D80D15">
        <w:t xml:space="preserve">) </w:t>
      </w:r>
      <w:r w:rsidR="00C75138" w:rsidRPr="00D80D15">
        <w:t xml:space="preserve">will not be altered by </w:t>
      </w:r>
      <w:r w:rsidR="00B465A0" w:rsidRPr="00D80D15">
        <w:t>this</w:t>
      </w:r>
      <w:r w:rsidR="00C75138" w:rsidRPr="00D80D15">
        <w:t xml:space="preserve"> transaction.</w:t>
      </w:r>
      <w:r w:rsidR="00DF69F4" w:rsidRPr="00D80D15">
        <w:rPr>
          <w:rStyle w:val="FootnoteReference"/>
          <w:szCs w:val="22"/>
        </w:rPr>
        <w:footnoteReference w:id="9"/>
      </w:r>
      <w:r w:rsidR="00C75138" w:rsidRPr="00D80D15">
        <w:t xml:space="preserve">  </w:t>
      </w:r>
    </w:p>
    <w:p w14:paraId="32B43CED" w14:textId="5A737067" w:rsidR="005D4298" w:rsidRPr="00D80D15" w:rsidRDefault="00BA62EE" w:rsidP="00A82FCF">
      <w:pPr>
        <w:pStyle w:val="ParaNum"/>
        <w:widowControl/>
      </w:pPr>
      <w:r w:rsidRPr="00D80D15">
        <w:lastRenderedPageBreak/>
        <w:t xml:space="preserve">The total enterprise value of the transaction </w:t>
      </w:r>
      <w:r w:rsidR="00447485" w:rsidRPr="00D80D15">
        <w:t>is</w:t>
      </w:r>
      <w:r w:rsidR="007D1155" w:rsidRPr="00D80D15">
        <w:t xml:space="preserve"> </w:t>
      </w:r>
      <w:r w:rsidRPr="00D80D15">
        <w:t>a</w:t>
      </w:r>
      <w:r w:rsidR="009B3786" w:rsidRPr="00D80D15">
        <w:t xml:space="preserve">pproximately $2.6 billion, with </w:t>
      </w:r>
      <w:r w:rsidR="00681118" w:rsidRPr="00D80D15">
        <w:t>LIN</w:t>
      </w:r>
      <w:r w:rsidRPr="00D80D15">
        <w:t xml:space="preserve"> Media </w:t>
      </w:r>
      <w:r w:rsidR="009B3786" w:rsidRPr="00D80D15">
        <w:t xml:space="preserve">shareholders </w:t>
      </w:r>
      <w:r w:rsidRPr="00D80D15">
        <w:t xml:space="preserve">receiving $1.6 billion in </w:t>
      </w:r>
      <w:r w:rsidR="00447485" w:rsidRPr="00D80D15">
        <w:t xml:space="preserve">a </w:t>
      </w:r>
      <w:r w:rsidRPr="00D80D15">
        <w:t xml:space="preserve">combination of stock and cash.  Present shareholders </w:t>
      </w:r>
      <w:r w:rsidR="003849BD" w:rsidRPr="00D80D15">
        <w:t>of</w:t>
      </w:r>
      <w:r w:rsidRPr="00D80D15">
        <w:t xml:space="preserve"> Media General will exchange </w:t>
      </w:r>
      <w:r w:rsidR="003849BD" w:rsidRPr="00D80D15">
        <w:t xml:space="preserve">one share of their current stock interest for one share in </w:t>
      </w:r>
      <w:r w:rsidRPr="00D80D15">
        <w:t xml:space="preserve">Post-Merger Media General.  </w:t>
      </w:r>
      <w:r w:rsidR="00681118" w:rsidRPr="00D80D15">
        <w:t>LIN</w:t>
      </w:r>
      <w:r w:rsidRPr="00D80D15">
        <w:t xml:space="preserve"> Media shareholders </w:t>
      </w:r>
      <w:r w:rsidR="003849BD" w:rsidRPr="00D80D15">
        <w:t xml:space="preserve">will be given the choice to elect either stock or </w:t>
      </w:r>
      <w:r w:rsidRPr="00D80D15">
        <w:t>cash consideration.</w:t>
      </w:r>
      <w:r w:rsidR="003849BD" w:rsidRPr="00D80D15">
        <w:rPr>
          <w:rStyle w:val="FootnoteReference"/>
          <w:szCs w:val="22"/>
        </w:rPr>
        <w:footnoteReference w:id="10"/>
      </w:r>
      <w:r w:rsidRPr="00D80D15">
        <w:t xml:space="preserve">   Current equity holders of Media General are expected to own approximately </w:t>
      </w:r>
      <w:r w:rsidR="008F05BD" w:rsidRPr="00D80D15">
        <w:t>67</w:t>
      </w:r>
      <w:r w:rsidR="00681118" w:rsidRPr="00D80D15">
        <w:t>.4</w:t>
      </w:r>
      <w:r w:rsidRPr="00D80D15">
        <w:t xml:space="preserve">% of Post-Merger Media General and current equity holders of </w:t>
      </w:r>
      <w:r w:rsidR="00681118" w:rsidRPr="00D80D15">
        <w:t>LIN</w:t>
      </w:r>
      <w:r w:rsidRPr="00D80D15">
        <w:t xml:space="preserve"> Media will </w:t>
      </w:r>
      <w:r w:rsidR="003849BD" w:rsidRPr="00D80D15">
        <w:t xml:space="preserve">own approximately </w:t>
      </w:r>
      <w:r w:rsidR="00681118" w:rsidRPr="00D80D15">
        <w:t>32.6</w:t>
      </w:r>
      <w:r w:rsidRPr="00D80D15">
        <w:t xml:space="preserve">% </w:t>
      </w:r>
      <w:r w:rsidR="003849BD" w:rsidRPr="00D80D15">
        <w:t>of</w:t>
      </w:r>
      <w:r w:rsidRPr="00D80D15">
        <w:t xml:space="preserve"> Post-Merger Media General.</w:t>
      </w:r>
      <w:r w:rsidR="00681118" w:rsidRPr="00D80D15">
        <w:t xml:space="preserve">  The</w:t>
      </w:r>
      <w:r w:rsidR="003849BD" w:rsidRPr="00D80D15">
        <w:t xml:space="preserve"> </w:t>
      </w:r>
      <w:r w:rsidR="00681118" w:rsidRPr="00D80D15">
        <w:t xml:space="preserve">exact </w:t>
      </w:r>
      <w:r w:rsidR="003849BD" w:rsidRPr="00D80D15">
        <w:t xml:space="preserve">ownership percentages are subject to the elections of </w:t>
      </w:r>
      <w:r w:rsidR="00681118" w:rsidRPr="00D80D15">
        <w:t>LIN</w:t>
      </w:r>
      <w:r w:rsidR="003849BD" w:rsidRPr="00D80D15">
        <w:t xml:space="preserve"> Media shareholders.    Upon closing of the transaction, Vincent L. Sadusky, </w:t>
      </w:r>
      <w:r w:rsidR="00681118" w:rsidRPr="00D80D15">
        <w:t>LIN</w:t>
      </w:r>
      <w:r w:rsidR="003849BD" w:rsidRPr="00D80D15">
        <w:t xml:space="preserve"> Media’s President and Chief Executive Officer, will become President and Chief Executive Officer of</w:t>
      </w:r>
      <w:r w:rsidR="00314D83">
        <w:t xml:space="preserve"> Post-Merger</w:t>
      </w:r>
      <w:r w:rsidR="003849BD" w:rsidRPr="00D80D15">
        <w:t xml:space="preserve"> Media General.  J. Stewart Bryan III will continue to </w:t>
      </w:r>
      <w:r w:rsidR="00681118" w:rsidRPr="00D80D15">
        <w:t xml:space="preserve">serve as Chairman of the Board.  </w:t>
      </w:r>
      <w:r w:rsidR="00447485" w:rsidRPr="00D80D15">
        <w:t xml:space="preserve">Therefore, the transaction proposes a change in </w:t>
      </w:r>
      <w:r w:rsidR="00447485" w:rsidRPr="00D80D15">
        <w:rPr>
          <w:i/>
        </w:rPr>
        <w:t xml:space="preserve">de jure </w:t>
      </w:r>
      <w:r w:rsidR="00447485" w:rsidRPr="00D80D15">
        <w:t>control of the LIN</w:t>
      </w:r>
      <w:r w:rsidR="00BE09BC" w:rsidRPr="00D80D15">
        <w:t xml:space="preserve"> Media</w:t>
      </w:r>
      <w:r w:rsidR="00447485" w:rsidRPr="00D80D15">
        <w:t xml:space="preserve"> stations, while LIN </w:t>
      </w:r>
      <w:r w:rsidR="00BE09BC" w:rsidRPr="00D80D15">
        <w:t xml:space="preserve">Media </w:t>
      </w:r>
      <w:r w:rsidR="00447485" w:rsidRPr="00D80D15">
        <w:t xml:space="preserve">executives </w:t>
      </w:r>
      <w:r w:rsidR="00BE09BC" w:rsidRPr="00D80D15">
        <w:t xml:space="preserve">and shareholders </w:t>
      </w:r>
      <w:r w:rsidR="00447485" w:rsidRPr="00D80D15">
        <w:t xml:space="preserve">will retain minority </w:t>
      </w:r>
      <w:r w:rsidR="00447485" w:rsidRPr="00D80D15">
        <w:rPr>
          <w:i/>
        </w:rPr>
        <w:t xml:space="preserve">de facto </w:t>
      </w:r>
      <w:r w:rsidR="00447485" w:rsidRPr="00D80D15">
        <w:t>influence over Post-Merger Media General’s operations</w:t>
      </w:r>
      <w:r w:rsidR="005D4298" w:rsidRPr="00D80D15">
        <w:t>.</w:t>
      </w:r>
    </w:p>
    <w:p w14:paraId="47922584" w14:textId="4DF1F5D5" w:rsidR="00F537EA" w:rsidRPr="00D80D15" w:rsidRDefault="00681118" w:rsidP="00A82FCF">
      <w:pPr>
        <w:pStyle w:val="ParaNum"/>
      </w:pPr>
      <w:r w:rsidRPr="00D80D15">
        <w:t>LIN</w:t>
      </w:r>
      <w:r w:rsidR="00764563" w:rsidRPr="00D80D15">
        <w:t xml:space="preserve"> Media </w:t>
      </w:r>
      <w:r w:rsidR="005D4298" w:rsidRPr="00D80D15">
        <w:t xml:space="preserve">currently holds duopolies that are consistent with the Commission’s local TV ownership rule in </w:t>
      </w:r>
      <w:r w:rsidR="002D7E25">
        <w:t>six</w:t>
      </w:r>
      <w:r w:rsidR="002D7E25" w:rsidRPr="00D80D15">
        <w:t xml:space="preserve"> </w:t>
      </w:r>
      <w:r w:rsidR="005D4298" w:rsidRPr="00D80D15">
        <w:t xml:space="preserve">Nielsen designated market areas (“DMA” or “market”): </w:t>
      </w:r>
      <w:r w:rsidR="0001478D" w:rsidRPr="00D80D15">
        <w:t>(i)</w:t>
      </w:r>
      <w:r w:rsidR="005D4298" w:rsidRPr="00D80D15">
        <w:t xml:space="preserve"> Buffalo, New York; </w:t>
      </w:r>
      <w:r w:rsidR="0001478D" w:rsidRPr="00D80D15">
        <w:t xml:space="preserve">(ii) </w:t>
      </w:r>
      <w:r w:rsidR="005D4298" w:rsidRPr="00D80D15">
        <w:t>Grand Rapids-Kalamazoo-Battle Creek, Michigan;</w:t>
      </w:r>
      <w:r w:rsidR="0001478D" w:rsidRPr="00D80D15">
        <w:t xml:space="preserve"> (iii)</w:t>
      </w:r>
      <w:r w:rsidR="005D4298" w:rsidRPr="00D80D15">
        <w:t xml:space="preserve"> Indianapolis, Indiana; </w:t>
      </w:r>
      <w:r w:rsidR="0001478D" w:rsidRPr="00D80D15">
        <w:t xml:space="preserve">(iv) </w:t>
      </w:r>
      <w:r w:rsidR="005D4298" w:rsidRPr="00D80D15">
        <w:t>Norfolk-Portsmouth-Newport News, Virginia;</w:t>
      </w:r>
      <w:r w:rsidR="002D7E25">
        <w:t xml:space="preserve"> (v) </w:t>
      </w:r>
      <w:r w:rsidR="002D7E25" w:rsidRPr="00D80D15">
        <w:t>Mobile, Alabama-Pensacola, Florida</w:t>
      </w:r>
      <w:r w:rsidR="002D7E25">
        <w:t>;</w:t>
      </w:r>
      <w:r w:rsidR="005D4298" w:rsidRPr="00D80D15">
        <w:t xml:space="preserve"> and </w:t>
      </w:r>
      <w:r w:rsidR="0001478D" w:rsidRPr="00D80D15">
        <w:t>(v</w:t>
      </w:r>
      <w:r w:rsidR="002D7E25">
        <w:t>i</w:t>
      </w:r>
      <w:r w:rsidR="0001478D" w:rsidRPr="00D80D15">
        <w:t xml:space="preserve">) </w:t>
      </w:r>
      <w:r w:rsidR="005D4298" w:rsidRPr="00D80D15">
        <w:t>Albuquerque-Santa Fe, New Mexico.</w:t>
      </w:r>
      <w:r w:rsidR="005D4298" w:rsidRPr="00D80D15">
        <w:rPr>
          <w:rStyle w:val="FootnoteReference"/>
          <w:szCs w:val="22"/>
        </w:rPr>
        <w:footnoteReference w:id="11"/>
      </w:r>
      <w:r w:rsidR="005D4298" w:rsidRPr="00D80D15">
        <w:t xml:space="preserve">  These pre-existing duopolies will be continued by Post-Merger Media General.  Furthermore, </w:t>
      </w:r>
      <w:r w:rsidR="00764563" w:rsidRPr="00D80D15">
        <w:t>Media General</w:t>
      </w:r>
      <w:r w:rsidR="005D4298" w:rsidRPr="00D80D15">
        <w:t xml:space="preserve"> and LIN Media</w:t>
      </w:r>
      <w:r w:rsidR="00764563" w:rsidRPr="00D80D15">
        <w:t xml:space="preserve"> </w:t>
      </w:r>
      <w:r w:rsidR="00447485" w:rsidRPr="00D80D15">
        <w:t xml:space="preserve">currently </w:t>
      </w:r>
      <w:r w:rsidR="00764563" w:rsidRPr="00D80D15">
        <w:t xml:space="preserve">own full power stations in five common </w:t>
      </w:r>
      <w:r w:rsidR="005D4298" w:rsidRPr="00D80D15">
        <w:t xml:space="preserve">markets: </w:t>
      </w:r>
      <w:r w:rsidR="001C45AD" w:rsidRPr="00D80D15">
        <w:t>(i)</w:t>
      </w:r>
      <w:r w:rsidR="005D4298" w:rsidRPr="00D80D15">
        <w:t xml:space="preserve"> </w:t>
      </w:r>
      <w:r w:rsidRPr="00D80D15">
        <w:t>Birmingham</w:t>
      </w:r>
      <w:r w:rsidR="009A5566" w:rsidRPr="00D80D15">
        <w:t>, Alabama</w:t>
      </w:r>
      <w:r w:rsidR="005D4298" w:rsidRPr="00D80D15">
        <w:t xml:space="preserve">; </w:t>
      </w:r>
      <w:r w:rsidR="00E906BC" w:rsidRPr="00D80D15">
        <w:t>(ii</w:t>
      </w:r>
      <w:r w:rsidR="001C45AD" w:rsidRPr="00D80D15">
        <w:t xml:space="preserve">) </w:t>
      </w:r>
      <w:r w:rsidRPr="00D80D15">
        <w:t>Green Bay-Appleton</w:t>
      </w:r>
      <w:r w:rsidR="00447485" w:rsidRPr="00D80D15">
        <w:t>, W</w:t>
      </w:r>
      <w:r w:rsidR="009A5566" w:rsidRPr="00D80D15">
        <w:t>isconsin</w:t>
      </w:r>
      <w:r w:rsidR="005D4298" w:rsidRPr="00D80D15">
        <w:t>;</w:t>
      </w:r>
      <w:r w:rsidR="00180A79" w:rsidRPr="00D80D15">
        <w:t xml:space="preserve"> </w:t>
      </w:r>
      <w:r w:rsidR="001C45AD" w:rsidRPr="00D80D15">
        <w:t xml:space="preserve">(iii) </w:t>
      </w:r>
      <w:r w:rsidRPr="00D80D15">
        <w:t>Mobile</w:t>
      </w:r>
      <w:r w:rsidR="009A5566" w:rsidRPr="00D80D15">
        <w:t>, Alabama</w:t>
      </w:r>
      <w:r w:rsidRPr="00D80D15">
        <w:t>-Pensacola</w:t>
      </w:r>
      <w:r w:rsidR="009A5566" w:rsidRPr="00D80D15">
        <w:t>, Florida</w:t>
      </w:r>
      <w:r w:rsidR="005D4298" w:rsidRPr="00D80D15">
        <w:t xml:space="preserve">; </w:t>
      </w:r>
      <w:r w:rsidR="001C45AD" w:rsidRPr="00D80D15">
        <w:t xml:space="preserve">(iv) </w:t>
      </w:r>
      <w:r w:rsidRPr="00D80D15">
        <w:t>Providenc</w:t>
      </w:r>
      <w:r w:rsidR="00447485" w:rsidRPr="00D80D15">
        <w:t>e, R</w:t>
      </w:r>
      <w:r w:rsidR="006C603F">
        <w:t xml:space="preserve">hode </w:t>
      </w:r>
      <w:r w:rsidR="00447485" w:rsidRPr="00D80D15">
        <w:t>I</w:t>
      </w:r>
      <w:r w:rsidR="006C603F">
        <w:t>sland</w:t>
      </w:r>
      <w:r w:rsidRPr="00D80D15">
        <w:t>-New Bedford</w:t>
      </w:r>
      <w:r w:rsidR="00447485" w:rsidRPr="00D80D15">
        <w:t>, M</w:t>
      </w:r>
      <w:r w:rsidR="006C603F">
        <w:t>assachusetts</w:t>
      </w:r>
      <w:r w:rsidRPr="00D80D15">
        <w:t xml:space="preserve">; </w:t>
      </w:r>
      <w:r w:rsidR="001C45AD" w:rsidRPr="00D80D15">
        <w:t xml:space="preserve">(v) </w:t>
      </w:r>
      <w:r w:rsidRPr="00D80D15">
        <w:t>Savannah</w:t>
      </w:r>
      <w:r w:rsidR="00447485" w:rsidRPr="00D80D15">
        <w:t>, G</w:t>
      </w:r>
      <w:r w:rsidR="005D4298" w:rsidRPr="00D80D15">
        <w:t>eorgia</w:t>
      </w:r>
      <w:r w:rsidR="00764563" w:rsidRPr="00D80D15">
        <w:t>.</w:t>
      </w:r>
      <w:r w:rsidR="009A5566" w:rsidRPr="00D80D15">
        <w:rPr>
          <w:rStyle w:val="FootnoteReference"/>
          <w:szCs w:val="22"/>
        </w:rPr>
        <w:footnoteReference w:id="12"/>
      </w:r>
      <w:r w:rsidR="005D4298" w:rsidRPr="00D80D15">
        <w:t xml:space="preserve">  </w:t>
      </w:r>
      <w:r w:rsidR="007D1155" w:rsidRPr="00D80D15">
        <w:t>The applications</w:t>
      </w:r>
      <w:r w:rsidR="00CE6B08" w:rsidRPr="00D80D15">
        <w:t xml:space="preserve"> note that common ownership</w:t>
      </w:r>
      <w:r w:rsidR="00764563" w:rsidRPr="00D80D15">
        <w:t xml:space="preserve"> of </w:t>
      </w:r>
      <w:r w:rsidRPr="00D80D15">
        <w:t xml:space="preserve">existing Media General and LIN </w:t>
      </w:r>
      <w:r w:rsidR="00BE09BC" w:rsidRPr="00D80D15">
        <w:t xml:space="preserve">Media </w:t>
      </w:r>
      <w:r w:rsidR="00764563" w:rsidRPr="00D80D15">
        <w:t xml:space="preserve">stations </w:t>
      </w:r>
      <w:r w:rsidRPr="00D80D15">
        <w:t xml:space="preserve">in these markets </w:t>
      </w:r>
      <w:r w:rsidR="00764563" w:rsidRPr="00D80D15">
        <w:t xml:space="preserve">would result in </w:t>
      </w:r>
      <w:r w:rsidRPr="00D80D15">
        <w:t>Post-Merger Media General</w:t>
      </w:r>
      <w:r w:rsidR="00764563" w:rsidRPr="00D80D15">
        <w:t xml:space="preserve"> owning two of </w:t>
      </w:r>
      <w:r w:rsidR="003D7E5B" w:rsidRPr="00D80D15">
        <w:t xml:space="preserve">the </w:t>
      </w:r>
      <w:r w:rsidR="00764563" w:rsidRPr="00D80D15">
        <w:t>four highest</w:t>
      </w:r>
      <w:r w:rsidR="003A7379" w:rsidRPr="00D80D15">
        <w:t>-</w:t>
      </w:r>
      <w:r w:rsidR="00764563" w:rsidRPr="00D80D15">
        <w:t xml:space="preserve">ranked stations based </w:t>
      </w:r>
      <w:r w:rsidR="005943EB" w:rsidRPr="00D80D15">
        <w:t>on Nielsen</w:t>
      </w:r>
      <w:r w:rsidR="00764563" w:rsidRPr="00D80D15">
        <w:t xml:space="preserve"> all day audience share.  Such a scenario is no</w:t>
      </w:r>
      <w:r w:rsidRPr="00D80D15">
        <w:t>t</w:t>
      </w:r>
      <w:r w:rsidR="00764563" w:rsidRPr="00D80D15">
        <w:t xml:space="preserve"> permitted by the Commission’s local TV ownership rule.</w:t>
      </w:r>
      <w:r w:rsidRPr="00D80D15">
        <w:rPr>
          <w:rStyle w:val="FootnoteReference"/>
          <w:szCs w:val="22"/>
        </w:rPr>
        <w:footnoteReference w:id="13"/>
      </w:r>
      <w:r w:rsidR="00906757" w:rsidRPr="00D80D15">
        <w:t xml:space="preserve">  </w:t>
      </w:r>
      <w:r w:rsidR="00764563" w:rsidRPr="00D80D15">
        <w:t>As a result</w:t>
      </w:r>
      <w:r w:rsidRPr="00D80D15">
        <w:t>,</w:t>
      </w:r>
      <w:r w:rsidR="005943EB" w:rsidRPr="00D80D15">
        <w:t xml:space="preserve"> Post-Merger Media General has</w:t>
      </w:r>
      <w:r w:rsidR="00764563" w:rsidRPr="00D80D15">
        <w:t xml:space="preserve"> committed to divesting one of the top four stations in each</w:t>
      </w:r>
      <w:r w:rsidR="00BE09BC" w:rsidRPr="00D80D15">
        <w:t xml:space="preserve"> of the aforementioned</w:t>
      </w:r>
      <w:r w:rsidR="00764563" w:rsidRPr="00D80D15">
        <w:t xml:space="preserve"> market</w:t>
      </w:r>
      <w:r w:rsidR="00BE09BC" w:rsidRPr="00D80D15">
        <w:t>s</w:t>
      </w:r>
      <w:r w:rsidR="00764563" w:rsidRPr="00D80D15">
        <w:t xml:space="preserve">.  In accordance with this commitment, </w:t>
      </w:r>
      <w:r w:rsidR="00F537EA" w:rsidRPr="00D80D15">
        <w:t xml:space="preserve">applications have been filed to </w:t>
      </w:r>
      <w:r w:rsidR="00FB1A14" w:rsidRPr="00D80D15">
        <w:t>assign</w:t>
      </w:r>
      <w:r w:rsidRPr="00D80D15">
        <w:t xml:space="preserve"> the following stations to third-party buyers</w:t>
      </w:r>
      <w:r w:rsidR="00F537EA" w:rsidRPr="00D80D15">
        <w:t xml:space="preserve">:  Stations </w:t>
      </w:r>
      <w:r w:rsidR="00FB1A14" w:rsidRPr="00D80D15">
        <w:t>W</w:t>
      </w:r>
      <w:r w:rsidR="00F537EA" w:rsidRPr="00D80D15">
        <w:t>T</w:t>
      </w:r>
      <w:r w:rsidR="00FB1A14" w:rsidRPr="00D80D15">
        <w:t>V</w:t>
      </w:r>
      <w:r w:rsidR="00F537EA" w:rsidRPr="00D80D15">
        <w:t xml:space="preserve">M(TV) </w:t>
      </w:r>
      <w:r w:rsidR="00FB1A14" w:rsidRPr="00D80D15">
        <w:t xml:space="preserve">Columbus, Georgia and </w:t>
      </w:r>
      <w:r w:rsidR="00F537EA" w:rsidRPr="00D80D15">
        <w:t>WJCL-TV, Savannah, Georgia to Hearst; Station WALA-TV, Mo</w:t>
      </w:r>
      <w:r w:rsidRPr="00D80D15">
        <w:t xml:space="preserve">bile, Alabama to Meredith; and </w:t>
      </w:r>
      <w:r w:rsidR="00F537EA" w:rsidRPr="00D80D15">
        <w:t>Stations WJAR-TV Providence, Rhode Island, WLUK-TV, Green Bay, Wisconsin</w:t>
      </w:r>
      <w:r w:rsidR="00704A8F" w:rsidRPr="00D80D15">
        <w:t>,</w:t>
      </w:r>
      <w:r w:rsidR="00F537EA" w:rsidRPr="00D80D15">
        <w:t xml:space="preserve"> and WCWF-TV, </w:t>
      </w:r>
      <w:r w:rsidR="00FB1A14" w:rsidRPr="00D80D15">
        <w:t>Suring,</w:t>
      </w:r>
      <w:r w:rsidR="00F537EA" w:rsidRPr="00D80D15">
        <w:t xml:space="preserve"> Wisconsin</w:t>
      </w:r>
      <w:r w:rsidR="00FB1A14" w:rsidRPr="00D80D15">
        <w:t xml:space="preserve"> to Sinclair</w:t>
      </w:r>
      <w:r w:rsidR="00F537EA" w:rsidRPr="00D80D15">
        <w:t xml:space="preserve">.  As part of </w:t>
      </w:r>
      <w:r w:rsidR="00FB1A14" w:rsidRPr="00D80D15">
        <w:t>the</w:t>
      </w:r>
      <w:r w:rsidR="00F537EA" w:rsidRPr="00D80D15">
        <w:t xml:space="preserve"> transaction with Sinclair, </w:t>
      </w:r>
      <w:r w:rsidR="00FB1A14" w:rsidRPr="00D80D15">
        <w:t>Post-Merger Media General</w:t>
      </w:r>
      <w:r w:rsidR="00F537EA" w:rsidRPr="00D80D15">
        <w:t xml:space="preserve"> will acquire Stations KXRM-TV</w:t>
      </w:r>
      <w:r w:rsidR="003D7E5B" w:rsidRPr="00D80D15">
        <w:t xml:space="preserve">, Colorado Springs, Colorado </w:t>
      </w:r>
      <w:r w:rsidR="00F537EA" w:rsidRPr="00D80D15">
        <w:t>and WTTA-TV</w:t>
      </w:r>
      <w:r w:rsidR="00FB1A14" w:rsidRPr="00D80D15">
        <w:t>, St. Petersburg, Florida</w:t>
      </w:r>
      <w:r w:rsidR="003D7E5B" w:rsidRPr="00D80D15">
        <w:t xml:space="preserve">, as well as low power station KXTU-LD, Colorado Springs Colorado,  from Sinclair.  Sinclair will also acquire WTGS(TV), Hardeeville, South Carolina, from Post-Merger Media General through the exercise of an option agreement that </w:t>
      </w:r>
      <w:r w:rsidR="00E24FF6" w:rsidRPr="00D80D15">
        <w:t xml:space="preserve">currently </w:t>
      </w:r>
      <w:r w:rsidR="003D7E5B" w:rsidRPr="00D80D15">
        <w:t>exists between LIN Media and Vaughan Media.</w:t>
      </w:r>
    </w:p>
    <w:p w14:paraId="4CB6157D" w14:textId="5670D786" w:rsidR="00E80FF7" w:rsidRPr="00D80D15" w:rsidRDefault="00704A8F" w:rsidP="00A82FCF">
      <w:pPr>
        <w:pStyle w:val="ParaNum"/>
      </w:pPr>
      <w:r w:rsidRPr="00D80D15">
        <w:t>Post-Merger Media General has</w:t>
      </w:r>
      <w:r w:rsidR="00E80FF7" w:rsidRPr="00D80D15">
        <w:t xml:space="preserve"> </w:t>
      </w:r>
      <w:r w:rsidRPr="00D80D15">
        <w:t>requested the</w:t>
      </w:r>
      <w:r w:rsidR="00E80FF7" w:rsidRPr="00D80D15">
        <w:t xml:space="preserve"> continuation of </w:t>
      </w:r>
      <w:r w:rsidR="00FB1A14" w:rsidRPr="00D80D15">
        <w:t>four</w:t>
      </w:r>
      <w:r w:rsidR="00E80FF7" w:rsidRPr="00D80D15">
        <w:t xml:space="preserve"> “satellite exemptions” under Note 5, Section 73.3555 of the Commission’s local </w:t>
      </w:r>
      <w:r w:rsidRPr="00D80D15">
        <w:t>TV</w:t>
      </w:r>
      <w:r w:rsidR="00E80FF7" w:rsidRPr="00D80D15">
        <w:t xml:space="preserve"> ownership rules:  the first for </w:t>
      </w:r>
      <w:r w:rsidR="00F537EA" w:rsidRPr="00D80D15">
        <w:t>KBVO(TV)</w:t>
      </w:r>
      <w:r w:rsidR="00E80FF7" w:rsidRPr="00D80D15">
        <w:t xml:space="preserve">, </w:t>
      </w:r>
      <w:r w:rsidR="003F4463" w:rsidRPr="00D80D15">
        <w:t>Llano, Texas,</w:t>
      </w:r>
      <w:r w:rsidR="00E80FF7" w:rsidRPr="00D80D15">
        <w:t xml:space="preserve"> which is a satellite of </w:t>
      </w:r>
      <w:r w:rsidR="00F537EA" w:rsidRPr="00D80D15">
        <w:t>KXAN-TV, Austin, Texas</w:t>
      </w:r>
      <w:r w:rsidR="00E80FF7" w:rsidRPr="00D80D15">
        <w:t>;</w:t>
      </w:r>
      <w:r w:rsidR="00E80FF7" w:rsidRPr="00D80D15">
        <w:rPr>
          <w:rStyle w:val="FootnoteReference"/>
          <w:szCs w:val="22"/>
        </w:rPr>
        <w:footnoteReference w:id="14"/>
      </w:r>
      <w:r w:rsidR="00E80FF7" w:rsidRPr="00D80D15">
        <w:t xml:space="preserve"> the second</w:t>
      </w:r>
      <w:r w:rsidR="00FB1A14" w:rsidRPr="00D80D15">
        <w:t xml:space="preserve"> and third</w:t>
      </w:r>
      <w:r w:rsidR="00E80FF7" w:rsidRPr="00D80D15">
        <w:t xml:space="preserve"> for </w:t>
      </w:r>
      <w:r w:rsidR="00F537EA" w:rsidRPr="00D80D15">
        <w:t>KHAW-TV</w:t>
      </w:r>
      <w:r w:rsidR="003F4463" w:rsidRPr="00D80D15">
        <w:t>, Hilo, Hawaii</w:t>
      </w:r>
      <w:r w:rsidR="00F537EA" w:rsidRPr="00D80D15">
        <w:t xml:space="preserve"> and</w:t>
      </w:r>
      <w:r w:rsidR="00FB1A14" w:rsidRPr="00D80D15">
        <w:t xml:space="preserve"> </w:t>
      </w:r>
      <w:r w:rsidR="00F537EA" w:rsidRPr="00D80D15">
        <w:t>KAII-TV</w:t>
      </w:r>
      <w:r w:rsidR="00E80FF7" w:rsidRPr="00D80D15">
        <w:t xml:space="preserve">, </w:t>
      </w:r>
      <w:r w:rsidR="003F4463" w:rsidRPr="00D80D15">
        <w:t xml:space="preserve">Wailuku, Hawaii, </w:t>
      </w:r>
      <w:r w:rsidR="00E80FF7" w:rsidRPr="00D80D15">
        <w:t xml:space="preserve">both satellites of </w:t>
      </w:r>
      <w:r w:rsidR="00F537EA" w:rsidRPr="00D80D15">
        <w:t>KHON-TV</w:t>
      </w:r>
      <w:r w:rsidR="003F4463" w:rsidRPr="00D80D15">
        <w:t>, Honolulu, Hawaii</w:t>
      </w:r>
      <w:r w:rsidR="00F537EA" w:rsidRPr="00D80D15">
        <w:t>;</w:t>
      </w:r>
      <w:r w:rsidR="00E80FF7" w:rsidRPr="00D80D15">
        <w:rPr>
          <w:rStyle w:val="FootnoteReference"/>
          <w:szCs w:val="22"/>
        </w:rPr>
        <w:footnoteReference w:id="15"/>
      </w:r>
      <w:r w:rsidR="00F537EA" w:rsidRPr="00D80D15">
        <w:t xml:space="preserve"> and the </w:t>
      </w:r>
      <w:r w:rsidR="00FB1A14" w:rsidRPr="00D80D15">
        <w:t>fourth</w:t>
      </w:r>
      <w:r w:rsidR="00F537EA" w:rsidRPr="00D80D15">
        <w:t xml:space="preserve"> for KSNC(TV), </w:t>
      </w:r>
      <w:r w:rsidR="003F4463" w:rsidRPr="00D80D15">
        <w:t xml:space="preserve">Great Bend, Kansas, </w:t>
      </w:r>
      <w:r w:rsidR="00F537EA" w:rsidRPr="00D80D15">
        <w:t>which is a satellite of KSNW(TV)</w:t>
      </w:r>
      <w:r w:rsidR="003F4463" w:rsidRPr="00D80D15">
        <w:t>, Wichita, Kansas</w:t>
      </w:r>
      <w:r w:rsidR="00F537EA" w:rsidRPr="00D80D15">
        <w:t>.</w:t>
      </w:r>
      <w:r w:rsidR="000E0C72" w:rsidRPr="00D80D15">
        <w:rPr>
          <w:rStyle w:val="FootnoteReference"/>
          <w:szCs w:val="22"/>
        </w:rPr>
        <w:footnoteReference w:id="16"/>
      </w:r>
      <w:r w:rsidR="00E80FF7" w:rsidRPr="00D80D15">
        <w:t xml:space="preserve">  </w:t>
      </w:r>
      <w:r w:rsidRPr="00D80D15">
        <w:t>Post-</w:t>
      </w:r>
      <w:r w:rsidR="00FC481B" w:rsidRPr="00D80D15">
        <w:t xml:space="preserve">Merger </w:t>
      </w:r>
      <w:r w:rsidRPr="00D80D15">
        <w:t xml:space="preserve">Media General has also </w:t>
      </w:r>
      <w:r w:rsidR="00E80FF7" w:rsidRPr="00D80D15">
        <w:t>re</w:t>
      </w:r>
      <w:r w:rsidR="00F537EA" w:rsidRPr="00D80D15">
        <w:t>quested two</w:t>
      </w:r>
      <w:r w:rsidR="00E80FF7" w:rsidRPr="00D80D15">
        <w:t xml:space="preserve"> “</w:t>
      </w:r>
      <w:r w:rsidR="00BF08EC" w:rsidRPr="00D80D15">
        <w:t>failing</w:t>
      </w:r>
      <w:r w:rsidR="00E80FF7" w:rsidRPr="00D80D15">
        <w:t>” station waiver</w:t>
      </w:r>
      <w:r w:rsidR="00F537EA" w:rsidRPr="00D80D15">
        <w:t>s</w:t>
      </w:r>
      <w:r w:rsidR="00E80FF7" w:rsidRPr="00D80D15">
        <w:t xml:space="preserve"> pursuant to Note 7 of Section 73.3555</w:t>
      </w:r>
      <w:r w:rsidR="00F537EA" w:rsidRPr="00D80D15">
        <w:t>.  The first would</w:t>
      </w:r>
      <w:r w:rsidR="00E80FF7" w:rsidRPr="00D80D15">
        <w:t xml:space="preserve"> permit continued </w:t>
      </w:r>
      <w:r w:rsidR="002A22F9" w:rsidRPr="00D80D15">
        <w:t xml:space="preserve">common </w:t>
      </w:r>
      <w:r w:rsidR="00E80FF7" w:rsidRPr="00D80D15">
        <w:t xml:space="preserve">ownership </w:t>
      </w:r>
      <w:r w:rsidR="002A22F9" w:rsidRPr="00D80D15">
        <w:t xml:space="preserve">by </w:t>
      </w:r>
      <w:r w:rsidR="00BE2E22">
        <w:t>Post-Merger Media General</w:t>
      </w:r>
      <w:r w:rsidR="002A22F9" w:rsidRPr="00D80D15">
        <w:t xml:space="preserve"> </w:t>
      </w:r>
      <w:r w:rsidR="00E80FF7" w:rsidRPr="00D80D15">
        <w:t xml:space="preserve">of </w:t>
      </w:r>
      <w:r w:rsidR="007D1155" w:rsidRPr="00D80D15">
        <w:t xml:space="preserve">WTNH(TV), New Haven, Connecticut and </w:t>
      </w:r>
      <w:r w:rsidR="00AE0A3B" w:rsidRPr="00D80D15">
        <w:t>WCTX(TV)</w:t>
      </w:r>
      <w:r w:rsidR="00E80FF7" w:rsidRPr="00D80D15">
        <w:t>,</w:t>
      </w:r>
      <w:r w:rsidR="00AE0A3B" w:rsidRPr="00D80D15">
        <w:t xml:space="preserve"> </w:t>
      </w:r>
      <w:r w:rsidR="003F4463" w:rsidRPr="00D80D15">
        <w:t>New Haven, Connecticut,</w:t>
      </w:r>
      <w:r w:rsidR="000E0C72" w:rsidRPr="00D80D15">
        <w:rPr>
          <w:rStyle w:val="FootnoteReference"/>
          <w:szCs w:val="22"/>
        </w:rPr>
        <w:footnoteReference w:id="17"/>
      </w:r>
      <w:r w:rsidR="003F4463" w:rsidRPr="00D80D15">
        <w:t xml:space="preserve"> </w:t>
      </w:r>
      <w:r w:rsidR="00E24FF6" w:rsidRPr="00D80D15">
        <w:t xml:space="preserve">which is currently held by LIN Media pursuant to </w:t>
      </w:r>
      <w:r w:rsidR="003F4463" w:rsidRPr="00D80D15">
        <w:t xml:space="preserve">an </w:t>
      </w:r>
      <w:r w:rsidRPr="00D80D15">
        <w:t>“</w:t>
      </w:r>
      <w:r w:rsidR="003F4463" w:rsidRPr="00D80D15">
        <w:t>unbuilt</w:t>
      </w:r>
      <w:r w:rsidRPr="00D80D15">
        <w:t>”</w:t>
      </w:r>
      <w:r w:rsidR="003F4463" w:rsidRPr="00D80D15">
        <w:t xml:space="preserve"> station waiver</w:t>
      </w:r>
      <w:r w:rsidR="00AE0A3B" w:rsidRPr="00D80D15">
        <w:t>.</w:t>
      </w:r>
      <w:r w:rsidR="003F4463" w:rsidRPr="00D80D15">
        <w:rPr>
          <w:rStyle w:val="FootnoteReference"/>
          <w:szCs w:val="22"/>
        </w:rPr>
        <w:footnoteReference w:id="18"/>
      </w:r>
      <w:r w:rsidR="00AE0A3B" w:rsidRPr="00D80D15">
        <w:t xml:space="preserve">  The second </w:t>
      </w:r>
      <w:r w:rsidRPr="00D80D15">
        <w:t xml:space="preserve">request </w:t>
      </w:r>
      <w:r w:rsidR="00AE0A3B" w:rsidRPr="00D80D15">
        <w:t>would permit continued ownership of WCWF(TV),</w:t>
      </w:r>
      <w:r w:rsidR="003F4463" w:rsidRPr="00D80D15">
        <w:rPr>
          <w:rStyle w:val="FootnoteReference"/>
          <w:szCs w:val="22"/>
        </w:rPr>
        <w:footnoteReference w:id="19"/>
      </w:r>
      <w:r w:rsidR="003F4463" w:rsidRPr="00D80D15">
        <w:t xml:space="preserve"> </w:t>
      </w:r>
      <w:r w:rsidR="00AE0A3B" w:rsidRPr="00D80D15">
        <w:t xml:space="preserve">which is </w:t>
      </w:r>
      <w:r w:rsidR="00BF08EC" w:rsidRPr="00D80D15">
        <w:t xml:space="preserve">currently </w:t>
      </w:r>
      <w:r w:rsidR="00AE0A3B" w:rsidRPr="00D80D15">
        <w:t xml:space="preserve">co-owned </w:t>
      </w:r>
      <w:r w:rsidR="00BF08EC" w:rsidRPr="00D80D15">
        <w:t xml:space="preserve">by LIN </w:t>
      </w:r>
      <w:r w:rsidRPr="00D80D15">
        <w:t>Media</w:t>
      </w:r>
      <w:r w:rsidR="00BF08EC" w:rsidRPr="00D80D15">
        <w:t xml:space="preserve"> </w:t>
      </w:r>
      <w:r w:rsidRPr="00D80D15">
        <w:t>with WLUK-TV.</w:t>
      </w:r>
      <w:r w:rsidR="00E24FF6" w:rsidRPr="00D80D15">
        <w:rPr>
          <w:rStyle w:val="FootnoteReference"/>
          <w:szCs w:val="22"/>
        </w:rPr>
        <w:footnoteReference w:id="20"/>
      </w:r>
      <w:r w:rsidRPr="00D80D15">
        <w:t xml:space="preserve">  </w:t>
      </w:r>
      <w:r w:rsidR="00AE0A3B" w:rsidRPr="00D80D15">
        <w:t xml:space="preserve">Because </w:t>
      </w:r>
      <w:r w:rsidR="00BF08EC" w:rsidRPr="00D80D15">
        <w:t xml:space="preserve">WCWF(TV) and WLUK-TV </w:t>
      </w:r>
      <w:r w:rsidR="00AE0A3B" w:rsidRPr="00D80D15">
        <w:t>are ultimately being assigned to Sinclair, a</w:t>
      </w:r>
      <w:r w:rsidR="003F4463" w:rsidRPr="00D80D15">
        <w:t xml:space="preserve"> second</w:t>
      </w:r>
      <w:r w:rsidR="00AE0A3B" w:rsidRPr="00D80D15">
        <w:t xml:space="preserve"> </w:t>
      </w:r>
      <w:r w:rsidR="00BF08EC" w:rsidRPr="00D80D15">
        <w:t>“failing”</w:t>
      </w:r>
      <w:r w:rsidR="00AE0A3B" w:rsidRPr="00D80D15">
        <w:t xml:space="preserve"> station waiver</w:t>
      </w:r>
      <w:r w:rsidR="003F4463" w:rsidRPr="00D80D15">
        <w:t xml:space="preserve"> request</w:t>
      </w:r>
      <w:r w:rsidR="00AE0A3B" w:rsidRPr="00D80D15">
        <w:t xml:space="preserve"> </w:t>
      </w:r>
      <w:r w:rsidRPr="00D80D15">
        <w:t xml:space="preserve">for </w:t>
      </w:r>
      <w:r w:rsidR="00BF08EC" w:rsidRPr="00D80D15">
        <w:t>these stations</w:t>
      </w:r>
      <w:r w:rsidR="003F4463" w:rsidRPr="00D80D15">
        <w:t xml:space="preserve"> has been filed by Sinclair</w:t>
      </w:r>
      <w:r w:rsidR="00AE0A3B" w:rsidRPr="00D80D15">
        <w:t>.</w:t>
      </w:r>
      <w:r w:rsidR="00E80FF7" w:rsidRPr="00D80D15">
        <w:rPr>
          <w:rStyle w:val="FootnoteReference"/>
          <w:szCs w:val="22"/>
        </w:rPr>
        <w:footnoteReference w:id="21"/>
      </w:r>
      <w:r w:rsidRPr="00D80D15">
        <w:t xml:space="preserve">  The “failing” station waiver request for WCWF(TV) by both Post-Merger Media General and Sinclair will be evaluated simultaneously.  </w:t>
      </w:r>
    </w:p>
    <w:p w14:paraId="006342C4" w14:textId="1B413989" w:rsidR="00F537EA" w:rsidRPr="00D80D15" w:rsidRDefault="00AE0A3B" w:rsidP="00A82FCF">
      <w:pPr>
        <w:pStyle w:val="ParaNum"/>
      </w:pPr>
      <w:r w:rsidRPr="00D80D15">
        <w:t>Lastly, the a</w:t>
      </w:r>
      <w:r w:rsidR="00F537EA" w:rsidRPr="00D80D15">
        <w:t xml:space="preserve">pplicants note that </w:t>
      </w:r>
      <w:r w:rsidRPr="00D80D15">
        <w:t>certain</w:t>
      </w:r>
      <w:r w:rsidR="00F537EA" w:rsidRPr="00D80D15">
        <w:t xml:space="preserve"> subsidiaries of </w:t>
      </w:r>
      <w:r w:rsidR="00681118" w:rsidRPr="00D80D15">
        <w:t>LIN</w:t>
      </w:r>
      <w:r w:rsidR="00F537EA" w:rsidRPr="00D80D15">
        <w:t xml:space="preserve"> Media are</w:t>
      </w:r>
      <w:r w:rsidR="00BF08EC" w:rsidRPr="00D80D15">
        <w:t xml:space="preserve"> currently a party t</w:t>
      </w:r>
      <w:r w:rsidR="00F537EA" w:rsidRPr="00D80D15">
        <w:t>o</w:t>
      </w:r>
      <w:r w:rsidRPr="00D80D15">
        <w:t xml:space="preserve"> </w:t>
      </w:r>
      <w:r w:rsidR="00BF08EC" w:rsidRPr="00D80D15">
        <w:t>several</w:t>
      </w:r>
      <w:r w:rsidR="00704A8F" w:rsidRPr="00D80D15">
        <w:t xml:space="preserve"> types of </w:t>
      </w:r>
      <w:r w:rsidR="00FA01A1" w:rsidRPr="00D80D15">
        <w:t>sharing arrangements with in-market broadcasters</w:t>
      </w:r>
      <w:r w:rsidR="006A6C31" w:rsidRPr="00D80D15">
        <w:t xml:space="preserve"> including:  four</w:t>
      </w:r>
      <w:r w:rsidR="00641487" w:rsidRPr="00D80D15">
        <w:t xml:space="preserve"> </w:t>
      </w:r>
      <w:r w:rsidR="006A6C31" w:rsidRPr="00D80D15">
        <w:t xml:space="preserve">joint sales agreements </w:t>
      </w:r>
      <w:r w:rsidR="00943405" w:rsidRPr="00D80D15">
        <w:t>(“JSA”)</w:t>
      </w:r>
      <w:r w:rsidR="00641487" w:rsidRPr="00D80D15">
        <w:t xml:space="preserve">, which are now </w:t>
      </w:r>
      <w:r w:rsidR="00C9329B" w:rsidRPr="00D80D15">
        <w:t>attributable</w:t>
      </w:r>
      <w:r w:rsidR="00641487" w:rsidRPr="00D80D15">
        <w:t xml:space="preserve"> pursuant to the </w:t>
      </w:r>
      <w:r w:rsidR="006A6C31" w:rsidRPr="00D80D15">
        <w:rPr>
          <w:i/>
        </w:rPr>
        <w:t>2014 Quadrennial Review Order</w:t>
      </w:r>
      <w:r w:rsidR="006A6C31" w:rsidRPr="00D80D15">
        <w:rPr>
          <w:rStyle w:val="FootnoteReference"/>
        </w:rPr>
        <w:footnoteReference w:id="22"/>
      </w:r>
      <w:r w:rsidR="006A6C31" w:rsidRPr="00D80D15">
        <w:t xml:space="preserve"> and five</w:t>
      </w:r>
      <w:r w:rsidR="00641487" w:rsidRPr="00D80D15">
        <w:t xml:space="preserve"> non-attributable</w:t>
      </w:r>
      <w:r w:rsidR="006A6C31" w:rsidRPr="00D80D15">
        <w:t xml:space="preserve"> shared services agreements</w:t>
      </w:r>
      <w:r w:rsidR="00943405" w:rsidRPr="00D80D15">
        <w:t xml:space="preserve"> (“SSA”)</w:t>
      </w:r>
      <w:r w:rsidR="006A6C31" w:rsidRPr="00D80D15">
        <w:t>.</w:t>
      </w:r>
      <w:r w:rsidR="006A6C31" w:rsidRPr="00D80D15">
        <w:rPr>
          <w:rStyle w:val="FootnoteReference"/>
        </w:rPr>
        <w:footnoteReference w:id="23"/>
      </w:r>
      <w:r w:rsidR="006A6C31" w:rsidRPr="00D80D15">
        <w:t xml:space="preserve">  </w:t>
      </w:r>
      <w:r w:rsidR="0068033E" w:rsidRPr="00D80D15">
        <w:t xml:space="preserve">Because of the divesture of WJCL(TV) by Post-Merger Media General to Hearst and the sale of WTGS(TV) by </w:t>
      </w:r>
      <w:r w:rsidR="006C603F">
        <w:t>Vaughan</w:t>
      </w:r>
      <w:r w:rsidR="0068033E" w:rsidRPr="00D80D15">
        <w:t xml:space="preserve"> to Sinclair</w:t>
      </w:r>
      <w:r w:rsidR="006C603F">
        <w:t>,</w:t>
      </w:r>
      <w:r w:rsidR="0068033E" w:rsidRPr="00D80D15">
        <w:t xml:space="preserve"> the JSA and SSA that curre</w:t>
      </w:r>
      <w:r w:rsidR="006C603F">
        <w:t>ntly exists between the station</w:t>
      </w:r>
      <w:r w:rsidR="0068033E" w:rsidRPr="00D80D15">
        <w:t xml:space="preserve">s will be terminated.  As a result Post-Merger Media General will only retain three “legacy” JSAs and four “legacy” SSAs.  </w:t>
      </w:r>
      <w:r w:rsidR="00F971F6" w:rsidRPr="00D80D15">
        <w:t>Only</w:t>
      </w:r>
      <w:r w:rsidR="006A6C31" w:rsidRPr="00D80D15">
        <w:t xml:space="preserve"> </w:t>
      </w:r>
      <w:r w:rsidR="006C603F">
        <w:t xml:space="preserve">the </w:t>
      </w:r>
      <w:r w:rsidR="00F971F6" w:rsidRPr="00D80D15">
        <w:t>control of the upstream</w:t>
      </w:r>
      <w:r w:rsidR="006A6C31" w:rsidRPr="00D80D15">
        <w:t xml:space="preserve"> </w:t>
      </w:r>
      <w:r w:rsidR="0068033E" w:rsidRPr="00D80D15">
        <w:t>parent company will be changing</w:t>
      </w:r>
      <w:r w:rsidR="00F971F6" w:rsidRPr="00D80D15">
        <w:t xml:space="preserve"> </w:t>
      </w:r>
      <w:r w:rsidR="006C603F">
        <w:t>as a result of this transaction;</w:t>
      </w:r>
      <w:r w:rsidR="00F971F6" w:rsidRPr="00D80D15">
        <w:t xml:space="preserve"> the named parties to the agreements will remain the same.    </w:t>
      </w:r>
      <w:r w:rsidR="0068033E" w:rsidRPr="00D80D15">
        <w:t xml:space="preserve"> </w:t>
      </w:r>
    </w:p>
    <w:p w14:paraId="7B051152" w14:textId="77777777" w:rsidR="00B64A5A" w:rsidRPr="00D80D15" w:rsidRDefault="001F591A" w:rsidP="00A82FCF">
      <w:pPr>
        <w:pStyle w:val="Heading1"/>
      </w:pPr>
      <w:r w:rsidRPr="00D80D15">
        <w:t>DISCUSSION</w:t>
      </w:r>
    </w:p>
    <w:p w14:paraId="0C7678DF" w14:textId="77777777" w:rsidR="001E0968" w:rsidRPr="00D80D15" w:rsidRDefault="001E0968" w:rsidP="00A82FCF">
      <w:pPr>
        <w:pStyle w:val="Heading2"/>
      </w:pPr>
      <w:r w:rsidRPr="00D80D15">
        <w:t>Standard of Review</w:t>
      </w:r>
    </w:p>
    <w:p w14:paraId="3807AB19" w14:textId="613BF7FF" w:rsidR="00CD059F" w:rsidRPr="00D80D15" w:rsidRDefault="0049591F" w:rsidP="00A82FCF">
      <w:pPr>
        <w:pStyle w:val="ParaNum"/>
      </w:pPr>
      <w:r w:rsidRPr="00D80D15">
        <w:t xml:space="preserve">Section 310(d) of the </w:t>
      </w:r>
      <w:r w:rsidR="000D1051" w:rsidRPr="00D80D15">
        <w:t xml:space="preserve">Communications </w:t>
      </w:r>
      <w:r w:rsidRPr="00D80D15">
        <w:t>Act</w:t>
      </w:r>
      <w:r w:rsidR="000D1051" w:rsidRPr="00D80D15">
        <w:t xml:space="preserve"> of 1934 (“the Act”)</w:t>
      </w:r>
      <w:r w:rsidRPr="00D80D15">
        <w:t xml:space="preserve"> provides that no station license shall be transferred or assigned until the Commission, upon application, determines that the public interest, convenience, and necessity will be served thereby.  In making this assessment, the Commission must first determine whether the proposed transaction would comply with the specific provisions of the Act,</w:t>
      </w:r>
      <w:r w:rsidRPr="00D80D15">
        <w:rPr>
          <w:rStyle w:val="FootnoteReference"/>
          <w:szCs w:val="22"/>
        </w:rPr>
        <w:footnoteReference w:id="24"/>
      </w:r>
      <w:r w:rsidRPr="00D80D15">
        <w:t xml:space="preserve"> othe</w:t>
      </w:r>
      <w:r w:rsidR="000D1051" w:rsidRPr="00D80D15">
        <w:t xml:space="preserve">r applicable statutes, and </w:t>
      </w:r>
      <w:r w:rsidR="0072415C" w:rsidRPr="00D80D15">
        <w:t>the</w:t>
      </w:r>
      <w:r w:rsidR="00EE478E" w:rsidRPr="00D80D15">
        <w:t xml:space="preserve"> Commission’s rules</w:t>
      </w:r>
      <w:r w:rsidRPr="00D80D15">
        <w:t>.</w:t>
      </w:r>
      <w:r w:rsidRPr="00D80D15">
        <w:rPr>
          <w:rStyle w:val="FootnoteReference"/>
          <w:szCs w:val="22"/>
        </w:rPr>
        <w:footnoteReference w:id="25"/>
      </w:r>
      <w:r w:rsidRPr="00D80D15">
        <w:t xml:space="preserve">  If the transaction would not violate a statute or rule, the Commission considers whether it could result in public interest harms by substantially frustrating or impairing the objectives or implementation of the Act or related statutes.</w:t>
      </w:r>
      <w:r w:rsidRPr="00D80D15">
        <w:rPr>
          <w:rStyle w:val="FootnoteReference"/>
          <w:szCs w:val="22"/>
        </w:rPr>
        <w:footnoteReference w:id="26"/>
      </w:r>
      <w:r w:rsidRPr="00D80D15">
        <w:t xml:space="preserve">  The Commission then employs a balancing process, weighing any potential public interest harms of the proposed transaction against any potential public interest benefits.</w:t>
      </w:r>
      <w:r w:rsidRPr="00D80D15">
        <w:rPr>
          <w:rStyle w:val="FootnoteReference"/>
          <w:szCs w:val="22"/>
        </w:rPr>
        <w:footnoteReference w:id="27"/>
      </w:r>
      <w:r w:rsidR="00EB375D" w:rsidRPr="00D80D15">
        <w:t xml:space="preserve">  </w:t>
      </w:r>
      <w:r w:rsidRPr="00D80D15">
        <w:t>The applicants bear the burden of proving, by a preponderance of the evidence, that the proposed transaction, on balance, would serve the public interest.</w:t>
      </w:r>
      <w:r w:rsidRPr="00D80D15">
        <w:rPr>
          <w:rStyle w:val="FootnoteReference"/>
          <w:szCs w:val="22"/>
        </w:rPr>
        <w:footnoteReference w:id="28"/>
      </w:r>
      <w:r w:rsidRPr="00D80D15">
        <w:t xml:space="preserve">  If the Commission is unable to find that the proposed transaction serves the public interest, or if the record presents a substantial and material question of fact</w:t>
      </w:r>
      <w:r w:rsidR="00457597" w:rsidRPr="00D80D15">
        <w:t xml:space="preserve"> as to whether the transaction serves the public interest</w:t>
      </w:r>
      <w:r w:rsidRPr="00D80D15">
        <w:t>, Section 309(e) of the Act requires that the applications be designated for hearing.</w:t>
      </w:r>
      <w:r w:rsidRPr="00D80D15">
        <w:rPr>
          <w:rStyle w:val="FootnoteReference"/>
          <w:szCs w:val="22"/>
        </w:rPr>
        <w:footnoteReference w:id="29"/>
      </w:r>
      <w:r w:rsidR="004F49D0" w:rsidRPr="00D80D15">
        <w:t xml:space="preserve">  Based </w:t>
      </w:r>
      <w:r w:rsidR="000D1051" w:rsidRPr="00D80D15">
        <w:t>on</w:t>
      </w:r>
      <w:r w:rsidR="004F49D0" w:rsidRPr="00D80D15">
        <w:t xml:space="preserve"> the record before us, we find </w:t>
      </w:r>
      <w:r w:rsidR="006C603F">
        <w:t xml:space="preserve">that </w:t>
      </w:r>
      <w:r w:rsidR="004F49D0" w:rsidRPr="00D80D15">
        <w:t xml:space="preserve">grant of </w:t>
      </w:r>
      <w:r w:rsidR="001E0968" w:rsidRPr="00D80D15">
        <w:t>the above captioned applications</w:t>
      </w:r>
      <w:r w:rsidR="00302F57" w:rsidRPr="00D80D15">
        <w:t xml:space="preserve"> to be in the public interest, as required by Section 310(d) of the Act</w:t>
      </w:r>
      <w:r w:rsidR="004F49D0" w:rsidRPr="00D80D15">
        <w:t>.</w:t>
      </w:r>
      <w:r w:rsidR="00634BD2" w:rsidRPr="00D80D15">
        <w:t xml:space="preserve">  </w:t>
      </w:r>
    </w:p>
    <w:p w14:paraId="193BBEBE" w14:textId="77777777" w:rsidR="006105CC" w:rsidRPr="00D80D15" w:rsidRDefault="00074C2F" w:rsidP="00A82FCF">
      <w:pPr>
        <w:pStyle w:val="Heading2"/>
      </w:pPr>
      <w:r w:rsidRPr="00D80D15">
        <w:t>Post-Merger Me</w:t>
      </w:r>
      <w:r w:rsidR="006105CC" w:rsidRPr="00D80D15">
        <w:t xml:space="preserve">dia General </w:t>
      </w:r>
      <w:r w:rsidR="00180A79" w:rsidRPr="00D80D15">
        <w:t xml:space="preserve">Rule-Complaint Duopolies, Divestiture Applications, </w:t>
      </w:r>
      <w:r w:rsidR="00F06C54" w:rsidRPr="00D80D15">
        <w:t>and Broadcast Agreements</w:t>
      </w:r>
    </w:p>
    <w:p w14:paraId="24113EA4" w14:textId="56FBB149" w:rsidR="00393661" w:rsidRPr="00D80D15" w:rsidRDefault="0017104C" w:rsidP="00A82FCF">
      <w:pPr>
        <w:pStyle w:val="ParaNum"/>
      </w:pPr>
      <w:r w:rsidRPr="00D80D15">
        <w:t xml:space="preserve">Under the Commission’s local </w:t>
      </w:r>
      <w:r w:rsidR="00704A8F" w:rsidRPr="00D80D15">
        <w:t>television</w:t>
      </w:r>
      <w:r w:rsidRPr="00D80D15">
        <w:t xml:space="preserve"> ownership rule,</w:t>
      </w:r>
      <w:r w:rsidRPr="00D80D15">
        <w:rPr>
          <w:rStyle w:val="FootnoteReference"/>
          <w:szCs w:val="22"/>
        </w:rPr>
        <w:footnoteReference w:id="30"/>
      </w:r>
      <w:r w:rsidRPr="00D80D15">
        <w:t xml:space="preserve"> two television stations licensed in the same </w:t>
      </w:r>
      <w:r w:rsidR="009A5566" w:rsidRPr="00D80D15">
        <w:t xml:space="preserve">designated market area (“DMA”) </w:t>
      </w:r>
      <w:r w:rsidRPr="00D80D15">
        <w:t>that have Grade B overlap</w:t>
      </w:r>
      <w:r w:rsidRPr="00D80D15">
        <w:rPr>
          <w:rStyle w:val="FootnoteReference"/>
          <w:szCs w:val="22"/>
        </w:rPr>
        <w:footnoteReference w:id="31"/>
      </w:r>
      <w:r w:rsidRPr="00D80D15">
        <w:t xml:space="preserve"> may be commonly owned if: (1) at least one of the stations is not ranked among the top four stations in the</w:t>
      </w:r>
      <w:r w:rsidR="009A5566" w:rsidRPr="00D80D15">
        <w:t xml:space="preserve"> DMA</w:t>
      </w:r>
      <w:r w:rsidRPr="00D80D15">
        <w:t>; and (2) at least eight independently owned and operating, full power commercial and non-commercial educational television stations would remain in the DMA after the merger.</w:t>
      </w:r>
      <w:r w:rsidRPr="00D80D15">
        <w:rPr>
          <w:rStyle w:val="FootnoteReference"/>
          <w:szCs w:val="22"/>
        </w:rPr>
        <w:footnoteReference w:id="32"/>
      </w:r>
      <w:r w:rsidR="006105CC" w:rsidRPr="00D80D15">
        <w:t xml:space="preserve"> As </w:t>
      </w:r>
      <w:r w:rsidR="009A5566" w:rsidRPr="00D80D15">
        <w:t xml:space="preserve">previously discussed, </w:t>
      </w:r>
      <w:r w:rsidR="006105CC" w:rsidRPr="00D80D15">
        <w:t>LIN Media</w:t>
      </w:r>
      <w:r w:rsidR="00180A79" w:rsidRPr="00D80D15">
        <w:t xml:space="preserve"> currently holds </w:t>
      </w:r>
      <w:r w:rsidR="002D7E25">
        <w:t xml:space="preserve">rule-complaint </w:t>
      </w:r>
      <w:r w:rsidR="00180A79" w:rsidRPr="00D80D15">
        <w:t xml:space="preserve">duopolies in the following markets:  Buffalo, New York; Grand Rapids-Kalamazoo-Battle Creek, Michigan; Indianapolis, Indiana; Norfolk-Portsmouth-Newport News, Virginia; </w:t>
      </w:r>
      <w:r w:rsidR="002D7E25" w:rsidRPr="00D80D15">
        <w:t>Mobile, Alabama-Pensacola, Florida</w:t>
      </w:r>
      <w:r w:rsidR="002D7E25">
        <w:t xml:space="preserve">; </w:t>
      </w:r>
      <w:r w:rsidR="00180A79" w:rsidRPr="00D80D15">
        <w:t>and Albuquerque-Santa Fe, New Mexico.</w:t>
      </w:r>
      <w:r w:rsidR="00180A79" w:rsidRPr="00D80D15">
        <w:rPr>
          <w:rStyle w:val="FootnoteReference"/>
          <w:szCs w:val="22"/>
        </w:rPr>
        <w:footnoteReference w:id="33"/>
      </w:r>
      <w:r w:rsidR="00180A79" w:rsidRPr="00D80D15">
        <w:t xml:space="preserve">  Allowing Post-Merger Media General to continue </w:t>
      </w:r>
      <w:r w:rsidR="006C603F">
        <w:t>to operate t</w:t>
      </w:r>
      <w:r w:rsidR="00180A79" w:rsidRPr="00D80D15">
        <w:t>hese duopolies is permissible under the Commiss</w:t>
      </w:r>
      <w:r w:rsidR="001C45AD" w:rsidRPr="00D80D15">
        <w:t>ion’s local TV ownership rule</w:t>
      </w:r>
      <w:r w:rsidR="00180A79" w:rsidRPr="00D80D15">
        <w:t xml:space="preserve">.  Furthermore, </w:t>
      </w:r>
      <w:r w:rsidR="006105CC" w:rsidRPr="00D80D15">
        <w:t>Media General</w:t>
      </w:r>
      <w:r w:rsidR="00180A79" w:rsidRPr="00D80D15">
        <w:t xml:space="preserve"> and LIN Media</w:t>
      </w:r>
      <w:r w:rsidR="006105CC" w:rsidRPr="00D80D15">
        <w:t xml:space="preserve"> each own</w:t>
      </w:r>
      <w:r w:rsidR="004F79F8" w:rsidRPr="00D80D15">
        <w:t xml:space="preserve"> one top-four full power station</w:t>
      </w:r>
      <w:r w:rsidR="006105CC" w:rsidRPr="00D80D15">
        <w:t xml:space="preserve"> in five DMAs:  </w:t>
      </w:r>
      <w:r w:rsidR="00180A79" w:rsidRPr="00D80D15">
        <w:t>Birmingham, Alabama; Green Bay-Appleton, Wisconsin; Mobile, Alabama-Pensacola, Florida; Providence, R</w:t>
      </w:r>
      <w:r w:rsidR="006C603F">
        <w:t xml:space="preserve">hode </w:t>
      </w:r>
      <w:r w:rsidR="00180A79" w:rsidRPr="00D80D15">
        <w:t>I</w:t>
      </w:r>
      <w:r w:rsidR="006C603F">
        <w:t>sland</w:t>
      </w:r>
      <w:r w:rsidR="00180A79" w:rsidRPr="00D80D15">
        <w:t>-New Bedford, M</w:t>
      </w:r>
      <w:r w:rsidR="006C603F">
        <w:t>assachusetts</w:t>
      </w:r>
      <w:r w:rsidR="00180A79" w:rsidRPr="00D80D15">
        <w:t>; Savannah, Georgia</w:t>
      </w:r>
      <w:r w:rsidR="006105CC" w:rsidRPr="00D80D15">
        <w:t>.</w:t>
      </w:r>
      <w:r w:rsidR="009A5566" w:rsidRPr="00D80D15">
        <w:rPr>
          <w:rStyle w:val="FootnoteReference"/>
          <w:szCs w:val="22"/>
        </w:rPr>
        <w:footnoteReference w:id="34"/>
      </w:r>
      <w:r w:rsidR="006105CC" w:rsidRPr="00D80D15">
        <w:t xml:space="preserve">  Permitting a merger of Media General and LIN Media in these markets would result in </w:t>
      </w:r>
      <w:r w:rsidR="000A3186" w:rsidRPr="00D80D15">
        <w:t>a single</w:t>
      </w:r>
      <w:r w:rsidR="006105CC" w:rsidRPr="00D80D15">
        <w:t xml:space="preserve"> entity owning two of the four highest-ranked stations based on Nielsen all day audience share.  Accordingly, Post-Merger Media General has agreed to voluntarily divest one of the top four stations in each market</w:t>
      </w:r>
      <w:r w:rsidR="004F79F8" w:rsidRPr="00D80D15">
        <w:t>.</w:t>
      </w:r>
      <w:r w:rsidR="006105CC" w:rsidRPr="00D80D15">
        <w:t xml:space="preserve">  </w:t>
      </w:r>
    </w:p>
    <w:p w14:paraId="449CD539" w14:textId="77777777" w:rsidR="004F79F8" w:rsidRPr="00D80D15" w:rsidRDefault="00393661" w:rsidP="00A82FCF">
      <w:pPr>
        <w:pStyle w:val="ParaNum"/>
      </w:pPr>
      <w:r w:rsidRPr="00D80D15">
        <w:t>In total, the divesture proposed by Post-Merger Media General is comprised of nine applications and includes the sale of six stations by Post-Merger Media General to third party buyers, the sale of two stations from Sinclair to Post-Merger Media General as part of a like-kind station “swap” and the sale of one station through the exercise of an option agreement by LIN Media to Sinclair.   All nine applications have been placed on 30-day public notice an</w:t>
      </w:r>
      <w:r w:rsidR="001C45AD" w:rsidRPr="00D80D15">
        <w:t xml:space="preserve">d have received no objections. </w:t>
      </w:r>
      <w:r w:rsidR="004F79F8" w:rsidRPr="00D80D15">
        <w:t>Divesture a</w:t>
      </w:r>
      <w:r w:rsidR="006105CC" w:rsidRPr="00D80D15">
        <w:t>pplications have been filed to assign</w:t>
      </w:r>
      <w:r w:rsidR="00D439C6" w:rsidRPr="00D80D15">
        <w:t xml:space="preserve"> the following</w:t>
      </w:r>
      <w:r w:rsidR="006105CC" w:rsidRPr="00D80D15">
        <w:t xml:space="preserve"> </w:t>
      </w:r>
      <w:r w:rsidR="00D439C6" w:rsidRPr="00D80D15">
        <w:t>six stations (collectively the “divestiture stations”)</w:t>
      </w:r>
      <w:r w:rsidR="004F79F8" w:rsidRPr="00D80D15">
        <w:t xml:space="preserve"> to third party buyers</w:t>
      </w:r>
      <w:r w:rsidR="006105CC" w:rsidRPr="00D80D15">
        <w:t xml:space="preserve">:  </w:t>
      </w:r>
    </w:p>
    <w:p w14:paraId="4FACB5A9" w14:textId="77777777" w:rsidR="004F79F8" w:rsidRPr="00D80D15" w:rsidRDefault="004F79F8" w:rsidP="006C603F">
      <w:pPr>
        <w:pStyle w:val="ParaNum"/>
        <w:keepLines/>
        <w:numPr>
          <w:ilvl w:val="0"/>
          <w:numId w:val="18"/>
        </w:numPr>
        <w:spacing w:after="240"/>
      </w:pPr>
      <w:r w:rsidRPr="00D80D15">
        <w:t>Stations WTVM(TV) Columbus, Georgia and WJCL-TV, Savannah, Georgia to Hearst;</w:t>
      </w:r>
      <w:r w:rsidR="000A3186" w:rsidRPr="00D80D15">
        <w:rPr>
          <w:rStyle w:val="FootnoteReference"/>
        </w:rPr>
        <w:footnoteReference w:id="35"/>
      </w:r>
    </w:p>
    <w:p w14:paraId="2FC1F8F3" w14:textId="77777777" w:rsidR="004F79F8" w:rsidRPr="00D80D15" w:rsidRDefault="004F79F8" w:rsidP="00A82FCF">
      <w:pPr>
        <w:pStyle w:val="ParaNum"/>
        <w:numPr>
          <w:ilvl w:val="0"/>
          <w:numId w:val="18"/>
        </w:numPr>
        <w:spacing w:after="240"/>
      </w:pPr>
      <w:r w:rsidRPr="00D80D15">
        <w:t>Station WALA-TV, Mobile, Alabama to Meredith;</w:t>
      </w:r>
      <w:r w:rsidR="000A3186" w:rsidRPr="00D80D15">
        <w:rPr>
          <w:rStyle w:val="FootnoteReference"/>
        </w:rPr>
        <w:footnoteReference w:id="36"/>
      </w:r>
      <w:r w:rsidRPr="00D80D15">
        <w:t xml:space="preserve"> and</w:t>
      </w:r>
    </w:p>
    <w:p w14:paraId="3F7852FA" w14:textId="77777777" w:rsidR="004F79F8" w:rsidRPr="00D80D15" w:rsidRDefault="004F79F8" w:rsidP="006C603F">
      <w:pPr>
        <w:pStyle w:val="ParaNum"/>
        <w:keepLines/>
        <w:numPr>
          <w:ilvl w:val="0"/>
          <w:numId w:val="18"/>
        </w:numPr>
        <w:spacing w:after="240"/>
      </w:pPr>
      <w:r w:rsidRPr="00D80D15">
        <w:t>Stations WJAR-TV Providence, Rhode Island; WLUK-TV, Green Bay, Wisconsin; and WCWF-TV, Suring, Wisconsin to Sinclair.</w:t>
      </w:r>
      <w:r w:rsidR="000A3186" w:rsidRPr="00D80D15">
        <w:rPr>
          <w:rStyle w:val="FootnoteReference"/>
        </w:rPr>
        <w:footnoteReference w:id="37"/>
      </w:r>
      <w:r w:rsidRPr="00D80D15">
        <w:t xml:space="preserve"> </w:t>
      </w:r>
    </w:p>
    <w:p w14:paraId="06140C5A" w14:textId="114A8CA4" w:rsidR="001C45AD" w:rsidRPr="00D80D15" w:rsidRDefault="001C45AD" w:rsidP="00A82FCF">
      <w:pPr>
        <w:pStyle w:val="ParaNum"/>
        <w:rPr>
          <w:sz w:val="20"/>
        </w:rPr>
      </w:pPr>
      <w:r w:rsidRPr="00D80D15">
        <w:t>Post-Merger Media General will also be acquiring Stations KXRM-TV, Colorado Springs, Colorado and WTTA-TV, St. Petersburg, Florida, as well as low power station KXTU-LD, Colorado Springs Colorado, from Sinclair.</w:t>
      </w:r>
      <w:r w:rsidRPr="00D80D15">
        <w:rPr>
          <w:rStyle w:val="FootnoteReference"/>
        </w:rPr>
        <w:footnoteReference w:id="38"/>
      </w:r>
      <w:r w:rsidRPr="00D80D15">
        <w:t xml:space="preserve">  These stations are being acquired in order to facilitate like-kind station “swaps” for the stations being divested by Post-</w:t>
      </w:r>
      <w:r w:rsidR="006C603F">
        <w:t>M</w:t>
      </w:r>
      <w:r w:rsidRPr="00D80D15">
        <w:t>erger Media General and acquired by Sinclair.  Sinclair will also be acquiring WTGS(TV), Hardeeville, South Carolina, which is currently licensed to WTGS Television, LLC, a license subsidiary of Vaughan Media.</w:t>
      </w:r>
      <w:r w:rsidRPr="00D80D15">
        <w:rPr>
          <w:rStyle w:val="FootnoteReference"/>
        </w:rPr>
        <w:footnoteReference w:id="39"/>
      </w:r>
      <w:r w:rsidRPr="00D80D15">
        <w:t xml:space="preserve">  WTGS(TV) will be assigned to Sinclair through the sale of certain assets currently held by LIN Media relating to the operation of WTGS(TV) and the exercise of an outstanding option agreement in which Vaugh</w:t>
      </w:r>
      <w:r w:rsidR="002316E6">
        <w:t>a</w:t>
      </w:r>
      <w:r w:rsidRPr="00D80D15">
        <w:t>n Media will be instructed to assign WTGS(TV)’s  license and assets directly to Sinclair.   As a result of these like-kind station “swaps</w:t>
      </w:r>
      <w:r w:rsidR="006C603F">
        <w:t>,</w:t>
      </w:r>
      <w:r w:rsidRPr="00D80D15">
        <w:t>” Sinclair’s national audience share will decrease by 0.669 percent and remain below the current national audience share cap.</w:t>
      </w:r>
      <w:r w:rsidRPr="00D80D15">
        <w:rPr>
          <w:rStyle w:val="FootnoteReference"/>
        </w:rPr>
        <w:footnoteReference w:id="40"/>
      </w:r>
    </w:p>
    <w:p w14:paraId="6984F876" w14:textId="77777777" w:rsidR="00CC637E" w:rsidRPr="00D80D15" w:rsidRDefault="00A427C8" w:rsidP="00A82FCF">
      <w:pPr>
        <w:pStyle w:val="ParaNum"/>
        <w:rPr>
          <w:szCs w:val="22"/>
        </w:rPr>
      </w:pPr>
      <w:r w:rsidRPr="00D80D15">
        <w:t>Consummation of the divesture applications is contingent upon consummation of the overriding merger between Media General and LIN Media.  As previously noted, Post-Merger Media General has committed in its applications to voluntar</w:t>
      </w:r>
      <w:r w:rsidR="00311110" w:rsidRPr="00D80D15">
        <w:t>ily</w:t>
      </w:r>
      <w:r w:rsidRPr="00D80D15">
        <w:t xml:space="preserve"> divest its interests in each of the five overlap markets.  We expect consummation between Post-Merger Media General and the third party buyers of the divestiture stations to occur immediately following consummation of the merger applications between Media General and LIN Media.  Post-Merger Media General has both legal and financial incentives to ensure that the </w:t>
      </w:r>
      <w:r w:rsidRPr="00D80D15">
        <w:rPr>
          <w:szCs w:val="22"/>
        </w:rPr>
        <w:t>divesture commitments made to the Commission and Department of Justice</w:t>
      </w:r>
      <w:r w:rsidR="00DA7A2D" w:rsidRPr="00D80D15">
        <w:rPr>
          <w:szCs w:val="22"/>
        </w:rPr>
        <w:t xml:space="preserve"> (“DOJ”)</w:t>
      </w:r>
      <w:r w:rsidRPr="00D80D15">
        <w:rPr>
          <w:szCs w:val="22"/>
        </w:rPr>
        <w:t xml:space="preserve"> are met.</w:t>
      </w:r>
      <w:r w:rsidR="00CF188C" w:rsidRPr="00D80D15">
        <w:rPr>
          <w:szCs w:val="22"/>
        </w:rPr>
        <w:t xml:space="preserve">  We note that </w:t>
      </w:r>
      <w:r w:rsidR="00DA7A2D" w:rsidRPr="00D80D15">
        <w:rPr>
          <w:szCs w:val="22"/>
        </w:rPr>
        <w:t xml:space="preserve">DOJ </w:t>
      </w:r>
      <w:r w:rsidR="00CF188C" w:rsidRPr="00D80D15">
        <w:rPr>
          <w:szCs w:val="22"/>
        </w:rPr>
        <w:t xml:space="preserve">has </w:t>
      </w:r>
      <w:r w:rsidR="00153ED4" w:rsidRPr="00D80D15">
        <w:rPr>
          <w:szCs w:val="22"/>
        </w:rPr>
        <w:t>concluded</w:t>
      </w:r>
      <w:r w:rsidR="00DA7A2D" w:rsidRPr="00D80D15">
        <w:rPr>
          <w:szCs w:val="22"/>
        </w:rPr>
        <w:t xml:space="preserve"> its review under the Hart-Scott-Rodino Act (“HSRA review”) as it applies to the </w:t>
      </w:r>
      <w:r w:rsidR="00153ED4" w:rsidRPr="00D80D15">
        <w:rPr>
          <w:szCs w:val="22"/>
        </w:rPr>
        <w:t xml:space="preserve">divestiture stations and </w:t>
      </w:r>
      <w:r w:rsidR="00DA7A2D" w:rsidRPr="00D80D15">
        <w:rPr>
          <w:szCs w:val="22"/>
        </w:rPr>
        <w:t>the overriding merger between Media General and LIN Media.</w:t>
      </w:r>
      <w:r w:rsidR="00DE03E1" w:rsidRPr="00D80D15">
        <w:rPr>
          <w:rStyle w:val="FootnoteReference"/>
          <w:szCs w:val="22"/>
        </w:rPr>
        <w:footnoteReference w:id="41"/>
      </w:r>
      <w:r w:rsidRPr="00D80D15">
        <w:rPr>
          <w:szCs w:val="22"/>
        </w:rPr>
        <w:t xml:space="preserve">   </w:t>
      </w:r>
    </w:p>
    <w:p w14:paraId="7E0BEAE7" w14:textId="77777777" w:rsidR="00FD5C9D" w:rsidRPr="00D80D15" w:rsidRDefault="00724E3F" w:rsidP="00A82FCF">
      <w:pPr>
        <w:pStyle w:val="ParaNum"/>
      </w:pPr>
      <w:r w:rsidRPr="00D80D15">
        <w:t xml:space="preserve">Approval of </w:t>
      </w:r>
      <w:r w:rsidR="009B3786" w:rsidRPr="00D80D15">
        <w:t>the</w:t>
      </w:r>
      <w:r w:rsidRPr="00D80D15">
        <w:t xml:space="preserve"> divesture applications will result in a number of noteworthy public interest benefits. </w:t>
      </w:r>
      <w:r w:rsidR="009B3786" w:rsidRPr="00D80D15">
        <w:t xml:space="preserve"> </w:t>
      </w:r>
      <w:r w:rsidRPr="00D80D15">
        <w:t xml:space="preserve">First and foremost, each of the divesture applications propose </w:t>
      </w:r>
      <w:r w:rsidR="009B3786" w:rsidRPr="00D80D15">
        <w:t>a</w:t>
      </w:r>
      <w:r w:rsidRPr="00D80D15">
        <w:t xml:space="preserve"> sale to a party that does not currently have a presence in any</w:t>
      </w:r>
      <w:r w:rsidR="00C45C88" w:rsidRPr="00D80D15">
        <w:t xml:space="preserve"> of the</w:t>
      </w:r>
      <w:r w:rsidR="009B3786" w:rsidRPr="00D80D15">
        <w:t xml:space="preserve"> five</w:t>
      </w:r>
      <w:r w:rsidR="00C45C88" w:rsidRPr="00D80D15">
        <w:t xml:space="preserve"> </w:t>
      </w:r>
      <w:r w:rsidR="009B3786" w:rsidRPr="00D80D15">
        <w:t>divesture</w:t>
      </w:r>
      <w:r w:rsidRPr="00D80D15">
        <w:t xml:space="preserve"> markets.  Second, as is the case in the overriding merger, the divesture applications will not result in the formation of any</w:t>
      </w:r>
      <w:r w:rsidR="00C45C88" w:rsidRPr="00D80D15">
        <w:t xml:space="preserve"> new duopolies</w:t>
      </w:r>
      <w:r w:rsidRPr="00D80D15">
        <w:t>.  Third, the sale of WTGS</w:t>
      </w:r>
      <w:r w:rsidR="009B3786" w:rsidRPr="00D80D15">
        <w:t>(TV)</w:t>
      </w:r>
      <w:r w:rsidRPr="00D80D15">
        <w:t xml:space="preserve"> to Sinclair and sale of WJCL(TV) to Hearst, will result in termination of an existing </w:t>
      </w:r>
      <w:r w:rsidR="00943405" w:rsidRPr="00D80D15">
        <w:t>JSA</w:t>
      </w:r>
      <w:r w:rsidRPr="00D80D15">
        <w:t xml:space="preserve"> and </w:t>
      </w:r>
      <w:r w:rsidR="00943405" w:rsidRPr="00D80D15">
        <w:t>SSA</w:t>
      </w:r>
      <w:r w:rsidRPr="00D80D15">
        <w:t xml:space="preserve"> between the two stations.  </w:t>
      </w:r>
      <w:r w:rsidR="007102D3" w:rsidRPr="00D80D15">
        <w:t>I</w:t>
      </w:r>
      <w:r w:rsidR="00D742D4" w:rsidRPr="00D80D15">
        <w:t xml:space="preserve">n light </w:t>
      </w:r>
      <w:r w:rsidR="00074C2F" w:rsidRPr="00D80D15">
        <w:t xml:space="preserve">of </w:t>
      </w:r>
      <w:r w:rsidR="00D742D4" w:rsidRPr="00D80D15">
        <w:t xml:space="preserve">the public interest benefits </w:t>
      </w:r>
      <w:r w:rsidRPr="00D80D15">
        <w:t>resulting from the divesture applications</w:t>
      </w:r>
      <w:r w:rsidR="004F79F8" w:rsidRPr="00D80D15">
        <w:t xml:space="preserve">, coupled with </w:t>
      </w:r>
      <w:r w:rsidR="00D742D4" w:rsidRPr="00D80D15">
        <w:t xml:space="preserve">the </w:t>
      </w:r>
      <w:r w:rsidR="00071CF7" w:rsidRPr="00D80D15">
        <w:t>incentives</w:t>
      </w:r>
      <w:r w:rsidR="00D742D4" w:rsidRPr="00D80D15">
        <w:t xml:space="preserve"> that </w:t>
      </w:r>
      <w:r w:rsidR="00A427C8" w:rsidRPr="00D80D15">
        <w:t>the parties involved have</w:t>
      </w:r>
      <w:r w:rsidR="00D742D4" w:rsidRPr="00D80D15">
        <w:t xml:space="preserve"> to promptly consummate </w:t>
      </w:r>
      <w:r w:rsidR="00071CF7" w:rsidRPr="00D80D15">
        <w:t>the divesture applications</w:t>
      </w:r>
      <w:r w:rsidR="00A427C8" w:rsidRPr="00D80D15">
        <w:t>,</w:t>
      </w:r>
      <w:r w:rsidR="00071CF7" w:rsidRPr="00D80D15">
        <w:t xml:space="preserve"> w</w:t>
      </w:r>
      <w:r w:rsidR="00D742D4" w:rsidRPr="00D80D15">
        <w:t xml:space="preserve">e find </w:t>
      </w:r>
      <w:r w:rsidR="00071CF7" w:rsidRPr="00D80D15">
        <w:t xml:space="preserve">that grant of the </w:t>
      </w:r>
      <w:r w:rsidR="00D742D4" w:rsidRPr="00D80D15">
        <w:t xml:space="preserve">divesture applications </w:t>
      </w:r>
      <w:r w:rsidR="00A427C8" w:rsidRPr="00D80D15">
        <w:t>is</w:t>
      </w:r>
      <w:r w:rsidR="00D742D4" w:rsidRPr="00D80D15">
        <w:t xml:space="preserve"> appropriate.</w:t>
      </w:r>
      <w:r w:rsidR="007102D3" w:rsidRPr="00D80D15">
        <w:t xml:space="preserve">  </w:t>
      </w:r>
    </w:p>
    <w:p w14:paraId="2D8B827B" w14:textId="670E10AB" w:rsidR="00FD5C9D" w:rsidRPr="00D80D15" w:rsidRDefault="00FD5C9D" w:rsidP="00A82FCF">
      <w:pPr>
        <w:pStyle w:val="ParaNum"/>
        <w:rPr>
          <w:szCs w:val="22"/>
        </w:rPr>
      </w:pPr>
      <w:r w:rsidRPr="00D80D15">
        <w:t>At the same time, we recognize that there will be three attributable “legacy” JSAs and four non-attributable “legacy” SSAs that existed prior to the transaction, but will continue when the transfer of control of the upstream parents of the licensees are completed to Post-Merger Media General.</w:t>
      </w:r>
      <w:r w:rsidRPr="00D80D15">
        <w:rPr>
          <w:rStyle w:val="FootnoteReference"/>
          <w:szCs w:val="22"/>
        </w:rPr>
        <w:footnoteReference w:id="42"/>
      </w:r>
      <w:r w:rsidRPr="00D80D15">
        <w:rPr>
          <w:szCs w:val="22"/>
        </w:rPr>
        <w:t xml:space="preserve">  </w:t>
      </w:r>
      <w:r w:rsidRPr="00D80D15">
        <w:t xml:space="preserve"> As noted above, the </w:t>
      </w:r>
      <w:r w:rsidRPr="00D80D15">
        <w:rPr>
          <w:i/>
        </w:rPr>
        <w:t xml:space="preserve">2014 Quadrennial Review Order </w:t>
      </w:r>
      <w:r w:rsidRPr="00D80D15">
        <w:t xml:space="preserve">made JSAs </w:t>
      </w:r>
      <w:r w:rsidRPr="00D80D15">
        <w:rPr>
          <w:szCs w:val="22"/>
        </w:rPr>
        <w:t xml:space="preserve">that involve the sale of more than 15 percent of another in-market station’s local </w:t>
      </w:r>
      <w:r w:rsidR="002316E6">
        <w:rPr>
          <w:szCs w:val="22"/>
        </w:rPr>
        <w:t>advertising</w:t>
      </w:r>
      <w:r w:rsidRPr="00D80D15">
        <w:rPr>
          <w:szCs w:val="22"/>
        </w:rPr>
        <w:t xml:space="preserve"> time </w:t>
      </w:r>
      <w:r w:rsidRPr="00D80D15">
        <w:t>attributable,</w:t>
      </w:r>
      <w:r w:rsidR="0029744D">
        <w:rPr>
          <w:rStyle w:val="FootnoteReference"/>
        </w:rPr>
        <w:footnoteReference w:id="43"/>
      </w:r>
      <w:r w:rsidRPr="00D80D15">
        <w:t xml:space="preserve"> </w:t>
      </w:r>
      <w:r w:rsidRPr="00D80D15">
        <w:rPr>
          <w:szCs w:val="22"/>
        </w:rPr>
        <w:t>however</w:t>
      </w:r>
      <w:r w:rsidRPr="00D80D15">
        <w:t>, in the same order</w:t>
      </w:r>
      <w:r w:rsidRPr="00D80D15">
        <w:rPr>
          <w:szCs w:val="22"/>
        </w:rPr>
        <w:t xml:space="preserve"> the Commission</w:t>
      </w:r>
      <w:r w:rsidRPr="00D80D15">
        <w:t xml:space="preserve"> gave those with attributable JSAs two years from the effective date of the new rule</w:t>
      </w:r>
      <w:r w:rsidRPr="00D80D15">
        <w:rPr>
          <w:szCs w:val="22"/>
        </w:rPr>
        <w:t xml:space="preserve"> (</w:t>
      </w:r>
      <w:r w:rsidRPr="00D80D15">
        <w:t>June 19, 2014</w:t>
      </w:r>
      <w:r w:rsidRPr="00D80D15">
        <w:rPr>
          <w:szCs w:val="22"/>
        </w:rPr>
        <w:t>)</w:t>
      </w:r>
      <w:r w:rsidRPr="00D80D15">
        <w:t xml:space="preserve"> to </w:t>
      </w:r>
      <w:r w:rsidRPr="00D80D15">
        <w:rPr>
          <w:szCs w:val="22"/>
        </w:rPr>
        <w:t xml:space="preserve">either amend, terminate or otherwise </w:t>
      </w:r>
      <w:r w:rsidRPr="00D80D15">
        <w:t xml:space="preserve">come into compliance with </w:t>
      </w:r>
      <w:r w:rsidRPr="00D80D15">
        <w:rPr>
          <w:szCs w:val="22"/>
        </w:rPr>
        <w:t>Commission’s local TV ownership</w:t>
      </w:r>
      <w:r w:rsidRPr="00D80D15">
        <w:t xml:space="preserve"> rule.</w:t>
      </w:r>
      <w:r w:rsidRPr="00D80D15">
        <w:rPr>
          <w:rStyle w:val="FootnoteReference"/>
          <w:szCs w:val="22"/>
        </w:rPr>
        <w:footnoteReference w:id="44"/>
      </w:r>
      <w:r w:rsidRPr="00D80D15">
        <w:rPr>
          <w:szCs w:val="22"/>
        </w:rPr>
        <w:t xml:space="preserve"> </w:t>
      </w:r>
      <w:r w:rsidRPr="00D80D15">
        <w:t xml:space="preserve"> </w:t>
      </w:r>
      <w:r w:rsidR="0029744D">
        <w:t>Subsequently, Congress enacted legislation extending the two-year compliance period by six months to December 19, 2016.</w:t>
      </w:r>
      <w:r w:rsidR="0029744D">
        <w:rPr>
          <w:rStyle w:val="FootnoteReference"/>
        </w:rPr>
        <w:footnoteReference w:id="45"/>
      </w:r>
      <w:r w:rsidR="0029744D">
        <w:t xml:space="preserve">  </w:t>
      </w:r>
      <w:r w:rsidRPr="00D80D15">
        <w:t xml:space="preserve">Attribution of these three “legacy” JSAs to Post-Merger Media General </w:t>
      </w:r>
      <w:r w:rsidRPr="00D80D15">
        <w:rPr>
          <w:szCs w:val="22"/>
        </w:rPr>
        <w:t>will</w:t>
      </w:r>
      <w:r w:rsidRPr="00D80D15">
        <w:t xml:space="preserve"> result in a violation of the Commission’s local TV ownership rule in </w:t>
      </w:r>
      <w:r w:rsidRPr="00D80D15">
        <w:rPr>
          <w:szCs w:val="22"/>
        </w:rPr>
        <w:t>three</w:t>
      </w:r>
      <w:r w:rsidRPr="00D80D15">
        <w:t xml:space="preserve"> markets</w:t>
      </w:r>
      <w:r w:rsidRPr="00D80D15">
        <w:rPr>
          <w:szCs w:val="22"/>
        </w:rPr>
        <w:t xml:space="preserve"> (Youngstown, Ohio; Dayton, Ohio; and Topeka, Kansas)</w:t>
      </w:r>
      <w:r w:rsidRPr="00D80D15">
        <w:t xml:space="preserve">.  In order to facilitate large multi-station transactions the Commission has previously found that temporary waiver of its ownership rules </w:t>
      </w:r>
      <w:r w:rsidRPr="00D80D15">
        <w:rPr>
          <w:szCs w:val="22"/>
        </w:rPr>
        <w:t>is</w:t>
      </w:r>
      <w:r w:rsidRPr="00D80D15">
        <w:t xml:space="preserve"> appropriate so long as such waiver does not undermine the underlying goals of the Commission’s ownership rules: competition, localism, and diversity.</w:t>
      </w:r>
      <w:r w:rsidRPr="00D80D15">
        <w:rPr>
          <w:rStyle w:val="FootnoteReference"/>
          <w:szCs w:val="22"/>
        </w:rPr>
        <w:footnoteReference w:id="46"/>
      </w:r>
      <w:r w:rsidRPr="00D80D15">
        <w:rPr>
          <w:szCs w:val="22"/>
        </w:rPr>
        <w:t xml:space="preserve">  </w:t>
      </w:r>
      <w:r w:rsidRPr="00D80D15">
        <w:t xml:space="preserve">Based on the specific facts and nature of the transaction before us, we find that temporary waiver does not undermine any of these goals.  </w:t>
      </w:r>
    </w:p>
    <w:p w14:paraId="140760EC" w14:textId="70BFE69D" w:rsidR="00FD5C9D" w:rsidRPr="00D80D15" w:rsidRDefault="00FD5C9D" w:rsidP="00A82FCF">
      <w:pPr>
        <w:pStyle w:val="ParaNum"/>
        <w:rPr>
          <w:szCs w:val="22"/>
        </w:rPr>
      </w:pPr>
      <w:r w:rsidRPr="00D80D15">
        <w:t xml:space="preserve">When evaluating the transaction as a whole, it is clear that these agreements are only an incidental aspect of a large multi-station, multi-market transaction. </w:t>
      </w:r>
      <w:r w:rsidRPr="00D80D15">
        <w:rPr>
          <w:szCs w:val="22"/>
        </w:rPr>
        <w:t xml:space="preserve"> </w:t>
      </w:r>
      <w:r w:rsidRPr="00D80D15">
        <w:t>In total, the transaction before us involves 74 full power stations, 68 which will ultimately reside with Post-Merger Media General.</w:t>
      </w:r>
      <w:r w:rsidRPr="00D80D15">
        <w:rPr>
          <w:szCs w:val="22"/>
        </w:rPr>
        <w:t xml:space="preserve"> </w:t>
      </w:r>
      <w:r w:rsidRPr="00D80D15">
        <w:t xml:space="preserve"> No new sharing agreements (</w:t>
      </w:r>
      <w:r w:rsidRPr="00D80D15">
        <w:rPr>
          <w:i/>
        </w:rPr>
        <w:t>e.g.,</w:t>
      </w:r>
      <w:r w:rsidRPr="00D80D15">
        <w:t xml:space="preserve"> JSAs or SSAs) or “overlap” markets are being created as a result of this transaction.  We find that providing a temporary waiver to facilitate this </w:t>
      </w:r>
      <w:r w:rsidRPr="00D80D15">
        <w:rPr>
          <w:bCs/>
        </w:rPr>
        <w:t xml:space="preserve">large multi-station </w:t>
      </w:r>
      <w:r w:rsidRPr="00D80D15">
        <w:t xml:space="preserve">transaction outweighs any potential harm that may result from continuation of three attributable “legacy” JSAs for the remainder of the compliance period already adopted by the Commission in the </w:t>
      </w:r>
      <w:r w:rsidRPr="00D80D15">
        <w:rPr>
          <w:i/>
        </w:rPr>
        <w:t>2014 Quadrennial Review Order</w:t>
      </w:r>
      <w:r w:rsidR="00480173">
        <w:t xml:space="preserve"> and extended by Congress</w:t>
      </w:r>
      <w:r w:rsidRPr="00D80D15">
        <w:t>.  For example, as a result of Post-</w:t>
      </w:r>
      <w:r w:rsidR="002316E6">
        <w:t xml:space="preserve">Merger </w:t>
      </w:r>
      <w:r w:rsidRPr="00D80D15">
        <w:t xml:space="preserve">Media General’s divesture commitments a new voice is being added to the Savannah, Georgia DMA market through the sale of WTGS-TV from </w:t>
      </w:r>
      <w:r w:rsidR="002316E6">
        <w:t>Vaughan</w:t>
      </w:r>
      <w:r w:rsidRPr="00D80D15">
        <w:t xml:space="preserve"> Media to Sinclair.  Currently, WTGS-TV is operated by </w:t>
      </w:r>
      <w:r w:rsidR="002316E6">
        <w:t>Vaughan</w:t>
      </w:r>
      <w:r w:rsidRPr="00D80D15">
        <w:t xml:space="preserve"> Media pursuant to an attributable JSA and non-attributable SSA with WJCL(TV), which is currently licensed to LIN Media and as part of the instant transaction is ultimately being assigned to Hearst.</w:t>
      </w:r>
      <w:r w:rsidRPr="00D80D15">
        <w:rPr>
          <w:rStyle w:val="FootnoteReference"/>
        </w:rPr>
        <w:footnoteReference w:id="47"/>
      </w:r>
      <w:r w:rsidRPr="00D80D15">
        <w:t xml:space="preserve">  Accordingly, Post-Merger Media General will have until </w:t>
      </w:r>
      <w:r w:rsidR="00480173">
        <w:t>December</w:t>
      </w:r>
      <w:r w:rsidR="00480173" w:rsidRPr="00D80D15">
        <w:t xml:space="preserve"> </w:t>
      </w:r>
      <w:r w:rsidRPr="00D80D15">
        <w:t xml:space="preserve">19, 2016, the end of the two-year compliance period established by the Commission in the </w:t>
      </w:r>
      <w:r w:rsidRPr="00D80D15">
        <w:rPr>
          <w:i/>
        </w:rPr>
        <w:t>2014 Quadrennial Review Order</w:t>
      </w:r>
      <w:r w:rsidR="00381CF6">
        <w:t xml:space="preserve"> and extended </w:t>
      </w:r>
      <w:r w:rsidR="006E3F3D">
        <w:t xml:space="preserve">for six months </w:t>
      </w:r>
      <w:r w:rsidR="00381CF6">
        <w:t>by Congress</w:t>
      </w:r>
      <w:r w:rsidRPr="00D80D15">
        <w:t>to either amend, terminate or otherwise bring all attributable JSAs into compliance with the Commission’s local TV ownership rule.</w:t>
      </w:r>
      <w:r w:rsidRPr="00D80D15">
        <w:rPr>
          <w:rStyle w:val="FootnoteReference"/>
        </w:rPr>
        <w:footnoteReference w:id="48"/>
      </w:r>
    </w:p>
    <w:p w14:paraId="3D176231" w14:textId="77777777" w:rsidR="00074C2F" w:rsidRPr="00D80D15" w:rsidRDefault="00074C2F" w:rsidP="00362474">
      <w:pPr>
        <w:pStyle w:val="Heading2"/>
        <w:rPr>
          <w:szCs w:val="22"/>
        </w:rPr>
      </w:pPr>
      <w:r w:rsidRPr="00D80D15">
        <w:rPr>
          <w:szCs w:val="22"/>
        </w:rPr>
        <w:t xml:space="preserve">Requests for Continuing “Satellite Exemptions” </w:t>
      </w:r>
    </w:p>
    <w:p w14:paraId="451ED455" w14:textId="77777777" w:rsidR="00E22573" w:rsidRPr="00D80D15" w:rsidRDefault="00CA3F64" w:rsidP="00A82FCF">
      <w:pPr>
        <w:pStyle w:val="ParaNum"/>
      </w:pPr>
      <w:r w:rsidRPr="00D80D15">
        <w:t>T</w:t>
      </w:r>
      <w:r w:rsidR="009B3786" w:rsidRPr="00D80D15">
        <w:t>he applicants</w:t>
      </w:r>
      <w:r w:rsidR="00C45DED" w:rsidRPr="00D80D15">
        <w:t xml:space="preserve"> have requested authorization to continue operating </w:t>
      </w:r>
      <w:r w:rsidR="00E22573" w:rsidRPr="00D80D15">
        <w:t xml:space="preserve">the following stations as satellites, </w:t>
      </w:r>
      <w:r w:rsidR="00C45DED" w:rsidRPr="00D80D15">
        <w:t>pursuant to Note 5</w:t>
      </w:r>
      <w:bookmarkStart w:id="1" w:name="SR;334"/>
      <w:bookmarkEnd w:id="1"/>
      <w:r w:rsidR="00E32167" w:rsidRPr="00D80D15">
        <w:t xml:space="preserve"> </w:t>
      </w:r>
      <w:r w:rsidRPr="00D80D15">
        <w:t xml:space="preserve">of </w:t>
      </w:r>
      <w:r w:rsidR="000E20C2" w:rsidRPr="00D80D15">
        <w:t>Section</w:t>
      </w:r>
      <w:r w:rsidR="00C45DED" w:rsidRPr="00D80D15">
        <w:t xml:space="preserve"> 73.3555</w:t>
      </w:r>
      <w:bookmarkStart w:id="2" w:name="SR;338"/>
      <w:bookmarkEnd w:id="2"/>
      <w:r w:rsidR="00C45DED" w:rsidRPr="00D80D15">
        <w:t xml:space="preserve"> of the </w:t>
      </w:r>
      <w:r w:rsidRPr="00D80D15">
        <w:t>local television ownership rule</w:t>
      </w:r>
      <w:r w:rsidR="00C45DED" w:rsidRPr="00D80D15">
        <w:t>.</w:t>
      </w:r>
      <w:r w:rsidRPr="00D80D15">
        <w:rPr>
          <w:rStyle w:val="FootnoteReference"/>
          <w:szCs w:val="22"/>
        </w:rPr>
        <w:footnoteReference w:id="49"/>
      </w:r>
      <w:r w:rsidR="00C45DED" w:rsidRPr="00D80D15">
        <w:t xml:space="preserve"> </w:t>
      </w:r>
    </w:p>
    <w:p w14:paraId="4AC4953F" w14:textId="77777777" w:rsidR="00E22573" w:rsidRPr="00D80D15" w:rsidRDefault="00E22573" w:rsidP="00362474">
      <w:pPr>
        <w:pStyle w:val="ParaNum"/>
        <w:numPr>
          <w:ilvl w:val="0"/>
          <w:numId w:val="14"/>
        </w:numPr>
        <w:rPr>
          <w:szCs w:val="22"/>
        </w:rPr>
      </w:pPr>
      <w:r w:rsidRPr="00D80D15">
        <w:rPr>
          <w:szCs w:val="22"/>
        </w:rPr>
        <w:t>KBVO(TV), Llano, Texas</w:t>
      </w:r>
      <w:r w:rsidR="004F5893" w:rsidRPr="00D80D15">
        <w:rPr>
          <w:szCs w:val="22"/>
        </w:rPr>
        <w:t>,</w:t>
      </w:r>
      <w:r w:rsidRPr="00D80D15">
        <w:rPr>
          <w:szCs w:val="22"/>
        </w:rPr>
        <w:t xml:space="preserve"> as a satellite of KXAN-TV, Austin Texas</w:t>
      </w:r>
      <w:r w:rsidR="00906757" w:rsidRPr="00D80D15">
        <w:rPr>
          <w:szCs w:val="22"/>
        </w:rPr>
        <w:t>;</w:t>
      </w:r>
      <w:r w:rsidR="008F68B4" w:rsidRPr="00D80D15">
        <w:rPr>
          <w:rStyle w:val="FootnoteReference"/>
          <w:szCs w:val="22"/>
        </w:rPr>
        <w:footnoteReference w:id="50"/>
      </w:r>
    </w:p>
    <w:p w14:paraId="729E7FF4" w14:textId="77777777" w:rsidR="00AA2E3C" w:rsidRPr="00D80D15" w:rsidRDefault="00E22573" w:rsidP="00CB1570">
      <w:pPr>
        <w:pStyle w:val="ParaNum"/>
        <w:widowControl/>
        <w:numPr>
          <w:ilvl w:val="0"/>
          <w:numId w:val="14"/>
        </w:numPr>
        <w:rPr>
          <w:szCs w:val="22"/>
        </w:rPr>
      </w:pPr>
      <w:r w:rsidRPr="00D80D15">
        <w:rPr>
          <w:szCs w:val="22"/>
        </w:rPr>
        <w:t>KHAW-TV, Hilo, Hawaii and KAII-TV, Wailuku, Hawaii</w:t>
      </w:r>
      <w:r w:rsidR="004F5893" w:rsidRPr="00D80D15">
        <w:rPr>
          <w:szCs w:val="22"/>
        </w:rPr>
        <w:t>,</w:t>
      </w:r>
      <w:r w:rsidRPr="00D80D15">
        <w:rPr>
          <w:szCs w:val="22"/>
        </w:rPr>
        <w:t xml:space="preserve"> as satellites of </w:t>
      </w:r>
      <w:r w:rsidR="00AA2E3C" w:rsidRPr="00D80D15">
        <w:rPr>
          <w:szCs w:val="22"/>
        </w:rPr>
        <w:t>KHON-TV, Honolulu, Hawaii</w:t>
      </w:r>
      <w:r w:rsidR="00906757" w:rsidRPr="00D80D15">
        <w:rPr>
          <w:szCs w:val="22"/>
        </w:rPr>
        <w:t>;</w:t>
      </w:r>
      <w:r w:rsidR="008F68B4" w:rsidRPr="00D80D15">
        <w:rPr>
          <w:rStyle w:val="FootnoteReference"/>
          <w:szCs w:val="22"/>
        </w:rPr>
        <w:footnoteReference w:id="51"/>
      </w:r>
      <w:r w:rsidR="00906757" w:rsidRPr="00D80D15">
        <w:rPr>
          <w:szCs w:val="22"/>
        </w:rPr>
        <w:t xml:space="preserve"> and</w:t>
      </w:r>
    </w:p>
    <w:p w14:paraId="459FAD53" w14:textId="0EDDC441" w:rsidR="00E22573" w:rsidRPr="00D80D15" w:rsidRDefault="00E22573" w:rsidP="00362474">
      <w:pPr>
        <w:pStyle w:val="ParaNum"/>
        <w:numPr>
          <w:ilvl w:val="0"/>
          <w:numId w:val="14"/>
        </w:numPr>
        <w:rPr>
          <w:szCs w:val="22"/>
        </w:rPr>
      </w:pPr>
      <w:r w:rsidRPr="00D80D15">
        <w:rPr>
          <w:szCs w:val="22"/>
        </w:rPr>
        <w:t>KSNC(TV), Great Bend</w:t>
      </w:r>
      <w:r w:rsidR="002316E6">
        <w:rPr>
          <w:szCs w:val="22"/>
        </w:rPr>
        <w:t>,</w:t>
      </w:r>
      <w:r w:rsidRPr="00D80D15">
        <w:rPr>
          <w:szCs w:val="22"/>
        </w:rPr>
        <w:t xml:space="preserve"> Kansas</w:t>
      </w:r>
      <w:r w:rsidR="004F5893" w:rsidRPr="00D80D15">
        <w:rPr>
          <w:szCs w:val="22"/>
        </w:rPr>
        <w:t>,</w:t>
      </w:r>
      <w:r w:rsidRPr="00D80D15">
        <w:rPr>
          <w:szCs w:val="22"/>
        </w:rPr>
        <w:t xml:space="preserve"> as a satellite of KSNW(TV), Wichita, Kansas</w:t>
      </w:r>
      <w:r w:rsidR="009B3786" w:rsidRPr="00D80D15">
        <w:rPr>
          <w:szCs w:val="22"/>
        </w:rPr>
        <w:t>.</w:t>
      </w:r>
      <w:r w:rsidR="008F68B4" w:rsidRPr="00D80D15">
        <w:rPr>
          <w:rStyle w:val="FootnoteReference"/>
          <w:szCs w:val="22"/>
        </w:rPr>
        <w:footnoteReference w:id="52"/>
      </w:r>
    </w:p>
    <w:p w14:paraId="19C92265" w14:textId="77777777" w:rsidR="00BD4C89" w:rsidRPr="00D80D15" w:rsidRDefault="00E22573" w:rsidP="00A82FCF">
      <w:pPr>
        <w:pStyle w:val="ParaNum"/>
      </w:pPr>
      <w:r w:rsidRPr="00D80D15">
        <w:t xml:space="preserve">In </w:t>
      </w:r>
      <w:r w:rsidRPr="00D80D15">
        <w:rPr>
          <w:i/>
        </w:rPr>
        <w:t>Television Satellite Stations</w:t>
      </w:r>
      <w:r w:rsidRPr="00D80D15">
        <w:t>,</w:t>
      </w:r>
      <w:r w:rsidRPr="00D80D15">
        <w:rPr>
          <w:rStyle w:val="FootnoteReference"/>
          <w:szCs w:val="22"/>
        </w:rPr>
        <w:footnoteReference w:id="53"/>
      </w:r>
      <w:r w:rsidRPr="00D80D15">
        <w:t xml:space="preserve"> the Commission stated that applicants seeking to transfer or assign a television satellite station are entitled to a “presumptive” exemption from Section 73.3555(b) of the Commission’s rules if the parent/satellite combination meets three criteria: (1) there is no City Grade overlap between the parent and the satellite; (</w:t>
      </w:r>
      <w:bookmarkStart w:id="4" w:name="SR;249"/>
      <w:bookmarkEnd w:id="4"/>
      <w:r w:rsidRPr="00D80D15">
        <w:t>2) the proposed satellite</w:t>
      </w:r>
      <w:bookmarkStart w:id="5" w:name="SR;253"/>
      <w:bookmarkEnd w:id="5"/>
      <w:r w:rsidRPr="00D80D15">
        <w:t xml:space="preserve"> would provide service to an underserved area; and (3) no alternative operator is ready and able to construct or to purchase and operate the satellite</w:t>
      </w:r>
      <w:bookmarkStart w:id="6" w:name="SR;278"/>
      <w:bookmarkEnd w:id="6"/>
      <w:r w:rsidRPr="00D80D15">
        <w:t xml:space="preserve"> as a full-service station.</w:t>
      </w:r>
      <w:r w:rsidRPr="00D80D15">
        <w:rPr>
          <w:rStyle w:val="FootnoteReference"/>
          <w:szCs w:val="22"/>
        </w:rPr>
        <w:footnoteReference w:id="54"/>
      </w:r>
      <w:r w:rsidRPr="00D80D15">
        <w:t xml:space="preserve">  Applications meeting these criteria, </w:t>
      </w:r>
      <w:bookmarkStart w:id="7" w:name="citeas((Cite_as:_2005_WL_1421117,*1,_20_"/>
      <w:r w:rsidRPr="00D80D15">
        <w:t xml:space="preserve">when unrebutted, will be viewed </w:t>
      </w:r>
      <w:bookmarkEnd w:id="7"/>
      <w:r w:rsidRPr="00D80D15">
        <w:t xml:space="preserve">favorably by the Commission.  If an applicant cannot qualify for the presumption, the Commission will evaluate the proposal on an </w:t>
      </w:r>
      <w:r w:rsidRPr="00D80D15">
        <w:rPr>
          <w:i/>
        </w:rPr>
        <w:t>ad hoc</w:t>
      </w:r>
      <w:r w:rsidRPr="00D80D15">
        <w:t xml:space="preserve"> basis, and grant the application if there are compel</w:t>
      </w:r>
      <w:r w:rsidR="00302F57" w:rsidRPr="00D80D15">
        <w:t>ling</w:t>
      </w:r>
      <w:r w:rsidRPr="00D80D15">
        <w:t xml:space="preserve"> circumstances that warrant approval.</w:t>
      </w:r>
      <w:r w:rsidRPr="00D80D15">
        <w:rPr>
          <w:rStyle w:val="FootnoteReference"/>
          <w:szCs w:val="22"/>
        </w:rPr>
        <w:footnoteReference w:id="55"/>
      </w:r>
      <w:r w:rsidR="00967515" w:rsidRPr="00D80D15">
        <w:t xml:space="preserve">  </w:t>
      </w:r>
    </w:p>
    <w:p w14:paraId="54393CFB" w14:textId="77777777" w:rsidR="00E22573" w:rsidRPr="00D80D15" w:rsidRDefault="00061410" w:rsidP="00A82FCF">
      <w:pPr>
        <w:pStyle w:val="ParaNum"/>
        <w:widowControl/>
      </w:pPr>
      <w:r w:rsidRPr="00D80D15">
        <w:t xml:space="preserve">With respect to the first </w:t>
      </w:r>
      <w:r w:rsidR="00D45D8B" w:rsidRPr="00D80D15">
        <w:t>criterion</w:t>
      </w:r>
      <w:r w:rsidR="009B3786" w:rsidRPr="00D80D15">
        <w:t>,</w:t>
      </w:r>
      <w:r w:rsidRPr="00D80D15">
        <w:t xml:space="preserve"> we note that following</w:t>
      </w:r>
      <w:r w:rsidR="009B3786" w:rsidRPr="00D80D15">
        <w:t xml:space="preserve"> the digital transition</w:t>
      </w:r>
      <w:r w:rsidR="00967515" w:rsidRPr="00D80D15">
        <w:t xml:space="preserve"> full-power television stations have a digital Principal Community contour that serves a much larger area than their former analog City Grade contour.  Thus, the principle community contour is not an equivalent standard to use in determining whether a satellite qualifies for the presumptive satellite exemption to the duopoly rule.</w:t>
      </w:r>
      <w:r w:rsidRPr="00D80D15">
        <w:rPr>
          <w:rStyle w:val="FootnoteReference"/>
          <w:szCs w:val="22"/>
        </w:rPr>
        <w:footnoteReference w:id="56"/>
      </w:r>
    </w:p>
    <w:p w14:paraId="32E53D2E" w14:textId="64142B24" w:rsidR="00C45DED" w:rsidRPr="00D80D15" w:rsidRDefault="00D45D8B" w:rsidP="00A82FCF">
      <w:pPr>
        <w:pStyle w:val="ParaNum"/>
      </w:pPr>
      <w:r w:rsidRPr="00D80D15">
        <w:t xml:space="preserve">In order to demonstrate that satellite stations provide service to underserved areas, </w:t>
      </w:r>
      <w:r w:rsidR="00E64FC7" w:rsidRPr="00D80D15">
        <w:t>Post-Merger Media General relies</w:t>
      </w:r>
      <w:r w:rsidRPr="00D80D15">
        <w:t xml:space="preserve"> on the Commission’s </w:t>
      </w:r>
      <w:r w:rsidR="00302F57" w:rsidRPr="00D80D15">
        <w:t>“</w:t>
      </w:r>
      <w:r w:rsidRPr="00D80D15">
        <w:t>transmission test</w:t>
      </w:r>
      <w:r w:rsidR="00302F57" w:rsidRPr="00D80D15">
        <w:t>”</w:t>
      </w:r>
      <w:r w:rsidRPr="00D80D15">
        <w:t xml:space="preserve"> for KSNC</w:t>
      </w:r>
      <w:r w:rsidR="009B3786" w:rsidRPr="00D80D15">
        <w:t>(TV)</w:t>
      </w:r>
      <w:r w:rsidRPr="00D80D15">
        <w:t xml:space="preserve"> and KBVO(TV)</w:t>
      </w:r>
      <w:r w:rsidR="00AA2117" w:rsidRPr="00D80D15">
        <w:t xml:space="preserve">, and </w:t>
      </w:r>
      <w:r w:rsidR="00704A8F" w:rsidRPr="00D80D15">
        <w:t xml:space="preserve">requests the Commission evaluate compliance with this criterion for </w:t>
      </w:r>
      <w:r w:rsidR="00302F57" w:rsidRPr="00D80D15">
        <w:t>KAHW-TV and KAII-TV</w:t>
      </w:r>
      <w:r w:rsidR="00704A8F" w:rsidRPr="00D80D15">
        <w:t xml:space="preserve"> on an </w:t>
      </w:r>
      <w:r w:rsidR="00704A8F" w:rsidRPr="00D80D15">
        <w:rPr>
          <w:i/>
        </w:rPr>
        <w:t>ad hoc</w:t>
      </w:r>
      <w:r w:rsidR="00704A8F" w:rsidRPr="00D80D15">
        <w:t xml:space="preserve"> basis</w:t>
      </w:r>
      <w:r w:rsidRPr="00D80D15">
        <w:t>.  Under the Commission’s</w:t>
      </w:r>
      <w:r w:rsidR="00302F57" w:rsidRPr="00D80D15">
        <w:t xml:space="preserve"> </w:t>
      </w:r>
      <w:r w:rsidR="00967515" w:rsidRPr="00D80D15">
        <w:t>“transmission test</w:t>
      </w:r>
      <w:r w:rsidR="002316E6">
        <w:t>,</w:t>
      </w:r>
      <w:r w:rsidR="00967515" w:rsidRPr="00D80D15">
        <w:t>”</w:t>
      </w:r>
      <w:r w:rsidR="001856E7" w:rsidRPr="00D80D15">
        <w:t xml:space="preserve"> </w:t>
      </w:r>
      <w:r w:rsidR="00302F57" w:rsidRPr="00D80D15">
        <w:t>an</w:t>
      </w:r>
      <w:r w:rsidR="001856E7" w:rsidRPr="00D80D15">
        <w:t xml:space="preserve"> area is deemed underserved if there are two or fewer full-service television stations licensed to a proposed satellites community of license.</w:t>
      </w:r>
      <w:r w:rsidR="00967515" w:rsidRPr="00D80D15">
        <w:rPr>
          <w:rStyle w:val="FootnoteReference"/>
          <w:szCs w:val="22"/>
        </w:rPr>
        <w:footnoteReference w:id="57"/>
      </w:r>
      <w:r w:rsidR="00302F57" w:rsidRPr="00D80D15">
        <w:t xml:space="preserve">  Accordingly, </w:t>
      </w:r>
      <w:r w:rsidR="00967515" w:rsidRPr="00D80D15">
        <w:t xml:space="preserve">KBVO(TV) </w:t>
      </w:r>
      <w:r w:rsidR="001856E7" w:rsidRPr="00D80D15">
        <w:t>continues to be</w:t>
      </w:r>
      <w:r w:rsidR="00967515" w:rsidRPr="00D80D15">
        <w:t xml:space="preserve"> the</w:t>
      </w:r>
      <w:r w:rsidR="008B66B0" w:rsidRPr="00D80D15">
        <w:t xml:space="preserve"> only </w:t>
      </w:r>
      <w:r w:rsidR="00967515" w:rsidRPr="00D80D15">
        <w:t xml:space="preserve">full power </w:t>
      </w:r>
      <w:r w:rsidR="008B66B0" w:rsidRPr="00D80D15">
        <w:t>television station</w:t>
      </w:r>
      <w:r w:rsidR="00C45DED" w:rsidRPr="00D80D15">
        <w:t xml:space="preserve"> licensed to </w:t>
      </w:r>
      <w:r w:rsidR="00967515" w:rsidRPr="00D80D15">
        <w:t>Llano, Texas</w:t>
      </w:r>
      <w:r w:rsidR="00AA2117" w:rsidRPr="00D80D15">
        <w:t xml:space="preserve">.  Likewise, </w:t>
      </w:r>
      <w:r w:rsidR="00302F57" w:rsidRPr="00D80D15">
        <w:t xml:space="preserve">KSNC(TV) </w:t>
      </w:r>
      <w:r w:rsidR="00AA2117" w:rsidRPr="00D80D15">
        <w:t>continues</w:t>
      </w:r>
      <w:r w:rsidR="00302F57" w:rsidRPr="00D80D15">
        <w:t xml:space="preserve"> to be the only full power television station licensed to </w:t>
      </w:r>
      <w:r w:rsidR="00AA2117" w:rsidRPr="00D80D15">
        <w:t>Great Bend, Kansas</w:t>
      </w:r>
      <w:r w:rsidR="00C45DED" w:rsidRPr="00D80D15">
        <w:t>.</w:t>
      </w:r>
      <w:r w:rsidR="00AA2117" w:rsidRPr="00D80D15">
        <w:t xml:space="preserve">  With regards to KA</w:t>
      </w:r>
      <w:r w:rsidR="00704A8F" w:rsidRPr="00D80D15">
        <w:t>HW-TV and KAII-TV</w:t>
      </w:r>
      <w:r w:rsidR="0009450E" w:rsidRPr="00D80D15">
        <w:t>,</w:t>
      </w:r>
      <w:r w:rsidR="00704A8F" w:rsidRPr="00D80D15">
        <w:t xml:space="preserve"> Post-Merger Media General</w:t>
      </w:r>
      <w:r w:rsidR="00AA2117" w:rsidRPr="00D80D15">
        <w:t xml:space="preserve"> contend</w:t>
      </w:r>
      <w:r w:rsidR="00704A8F" w:rsidRPr="00D80D15">
        <w:t>s</w:t>
      </w:r>
      <w:r w:rsidR="00AA2117" w:rsidRPr="00D80D15">
        <w:t xml:space="preserve"> that</w:t>
      </w:r>
      <w:r w:rsidR="002316E6">
        <w:t xml:space="preserve"> the geography of Hawaii limit</w:t>
      </w:r>
      <w:r w:rsidR="00C92157">
        <w:t>s</w:t>
      </w:r>
      <w:r w:rsidR="002316E6">
        <w:t xml:space="preserve"> coverage of the market</w:t>
      </w:r>
      <w:r w:rsidR="00C92157">
        <w:t xml:space="preserve"> and</w:t>
      </w:r>
      <w:r w:rsidR="002316E6">
        <w:t xml:space="preserve"> justifies</w:t>
      </w:r>
      <w:r w:rsidR="00AA2117" w:rsidRPr="00D80D15">
        <w:t xml:space="preserve"> both stations </w:t>
      </w:r>
      <w:r w:rsidR="00C92157">
        <w:t>operating</w:t>
      </w:r>
      <w:r w:rsidR="002316E6">
        <w:t xml:space="preserve"> as satellites</w:t>
      </w:r>
      <w:r w:rsidR="00C92157">
        <w:t xml:space="preserve"> of KHON-TV</w:t>
      </w:r>
      <w:r w:rsidR="002316E6">
        <w:t>.</w:t>
      </w:r>
      <w:r w:rsidR="00AA2117" w:rsidRPr="00D80D15">
        <w:rPr>
          <w:rStyle w:val="FootnoteReference"/>
          <w:szCs w:val="22"/>
        </w:rPr>
        <w:footnoteReference w:id="58"/>
      </w:r>
      <w:r w:rsidR="00AA2117" w:rsidRPr="00D80D15">
        <w:t xml:space="preserve">  </w:t>
      </w:r>
      <w:r w:rsidR="00C92157">
        <w:t>It also</w:t>
      </w:r>
      <w:r w:rsidR="00704A8F" w:rsidRPr="00D80D15">
        <w:t xml:space="preserve"> point</w:t>
      </w:r>
      <w:r w:rsidR="00C92157">
        <w:t>s</w:t>
      </w:r>
      <w:r w:rsidR="00704A8F" w:rsidRPr="00D80D15">
        <w:t xml:space="preserve"> out that while there are other stations licensed to Hilo and Wailuku, “the vast </w:t>
      </w:r>
      <w:r w:rsidR="00CA6C53" w:rsidRPr="00D80D15">
        <w:t>majority</w:t>
      </w:r>
      <w:r w:rsidR="00704A8F" w:rsidRPr="00D80D15">
        <w:t xml:space="preserve"> of those are satellites of other Honolulu stations.”  In fact, the only non-satellite television station </w:t>
      </w:r>
      <w:r w:rsidR="00CA6C53" w:rsidRPr="00D80D15">
        <w:t>licensed</w:t>
      </w:r>
      <w:r w:rsidR="00704A8F" w:rsidRPr="00D80D15">
        <w:t xml:space="preserve"> to either community is a non-commercial educational station</w:t>
      </w:r>
      <w:r w:rsidR="0009450E" w:rsidRPr="00D80D15">
        <w:t xml:space="preserve"> (NCE)</w:t>
      </w:r>
      <w:r w:rsidR="00CA6C53" w:rsidRPr="00D80D15">
        <w:t>.</w:t>
      </w:r>
      <w:r w:rsidR="00CA6C53" w:rsidRPr="00D80D15">
        <w:rPr>
          <w:rStyle w:val="FootnoteReference"/>
          <w:szCs w:val="22"/>
        </w:rPr>
        <w:footnoteReference w:id="59"/>
      </w:r>
      <w:r w:rsidR="00CA6C53" w:rsidRPr="00D80D15">
        <w:t xml:space="preserve">  </w:t>
      </w:r>
    </w:p>
    <w:p w14:paraId="1F68D8F1" w14:textId="36E360A4" w:rsidR="001F77DA" w:rsidRPr="00D80D15" w:rsidRDefault="0009450E" w:rsidP="00A82FCF">
      <w:pPr>
        <w:pStyle w:val="ParaNum"/>
      </w:pPr>
      <w:r w:rsidRPr="00D80D15">
        <w:t>Post-Merger Media General has</w:t>
      </w:r>
      <w:r w:rsidR="00BD4C89" w:rsidRPr="00D80D15">
        <w:t xml:space="preserve"> also</w:t>
      </w:r>
      <w:r w:rsidR="00B22543" w:rsidRPr="00D80D15">
        <w:t xml:space="preserve"> shown that </w:t>
      </w:r>
      <w:r w:rsidR="00C45DED" w:rsidRPr="00D80D15">
        <w:t>no alternative operator is ready and able to assume operation of these satellite stations as a full-service station.</w:t>
      </w:r>
      <w:r w:rsidR="00B22543" w:rsidRPr="00D80D15">
        <w:t xml:space="preserve">  </w:t>
      </w:r>
      <w:r w:rsidR="00C45DED" w:rsidRPr="00D80D15">
        <w:t>In s</w:t>
      </w:r>
      <w:r w:rsidR="00B22543" w:rsidRPr="00D80D15">
        <w:t>upport of this contention</w:t>
      </w:r>
      <w:r w:rsidR="00266A4E" w:rsidRPr="00D80D15">
        <w:t xml:space="preserve"> a</w:t>
      </w:r>
      <w:r w:rsidR="00C45DED" w:rsidRPr="00D80D15">
        <w:t xml:space="preserve"> </w:t>
      </w:r>
      <w:r w:rsidR="004261C8" w:rsidRPr="00D80D15">
        <w:t>series of letters</w:t>
      </w:r>
      <w:r w:rsidR="00266A4E" w:rsidRPr="00D80D15">
        <w:t xml:space="preserve"> have been filed with the Commission</w:t>
      </w:r>
      <w:r w:rsidR="004261C8" w:rsidRPr="00D80D15">
        <w:t xml:space="preserve"> </w:t>
      </w:r>
      <w:r w:rsidR="00C45DED" w:rsidRPr="00D80D15">
        <w:t xml:space="preserve">from </w:t>
      </w:r>
      <w:r w:rsidR="00B22543" w:rsidRPr="00D80D15">
        <w:t xml:space="preserve">Mr. W. Lawrence Patrick, </w:t>
      </w:r>
      <w:r w:rsidR="00BD4C89" w:rsidRPr="00D80D15">
        <w:t>Managing</w:t>
      </w:r>
      <w:r w:rsidR="00B22543" w:rsidRPr="00D80D15">
        <w:t xml:space="preserve"> Partn</w:t>
      </w:r>
      <w:r w:rsidR="004261C8" w:rsidRPr="00D80D15">
        <w:t>er of Patrick Communications,</w:t>
      </w:r>
      <w:r w:rsidR="00B22543" w:rsidRPr="00D80D15">
        <w:t xml:space="preserve"> </w:t>
      </w:r>
      <w:r w:rsidR="00C45DED" w:rsidRPr="00D80D15">
        <w:t xml:space="preserve">a media brokerage firm </w:t>
      </w:r>
      <w:r w:rsidR="00B22543" w:rsidRPr="00D80D15">
        <w:t>that specializes</w:t>
      </w:r>
      <w:r w:rsidR="00C45DED" w:rsidRPr="00D80D15">
        <w:t xml:space="preserve"> in television station transactions.</w:t>
      </w:r>
      <w:r w:rsidR="00C45DED" w:rsidRPr="00D80D15">
        <w:rPr>
          <w:rStyle w:val="FootnoteReference"/>
          <w:szCs w:val="22"/>
        </w:rPr>
        <w:footnoteReference w:id="60"/>
      </w:r>
      <w:r w:rsidR="00C45DED" w:rsidRPr="00D80D15">
        <w:t xml:space="preserve">  Mr. </w:t>
      </w:r>
      <w:r w:rsidR="00B22543" w:rsidRPr="00D80D15">
        <w:t>Patrick</w:t>
      </w:r>
      <w:r w:rsidR="00C45DED" w:rsidRPr="00D80D15">
        <w:t xml:space="preserve"> asserts that he has </w:t>
      </w:r>
      <w:r w:rsidR="00B22543" w:rsidRPr="00D80D15">
        <w:t>been involved in the broadcast industry for over</w:t>
      </w:r>
      <w:r w:rsidR="00C45DED" w:rsidRPr="00D80D15">
        <w:t xml:space="preserve"> 40 years </w:t>
      </w:r>
      <w:r w:rsidR="00B22543" w:rsidRPr="00D80D15">
        <w:t xml:space="preserve">and has previously brokered sales of television stations </w:t>
      </w:r>
      <w:r w:rsidR="004261C8" w:rsidRPr="00D80D15">
        <w:t>in all the markets at issue</w:t>
      </w:r>
      <w:r w:rsidR="00C45DED" w:rsidRPr="00D80D15">
        <w:t xml:space="preserve">. </w:t>
      </w:r>
      <w:r w:rsidR="00CA6C53" w:rsidRPr="00D80D15">
        <w:t xml:space="preserve"> </w:t>
      </w:r>
      <w:r w:rsidR="00C45DED" w:rsidRPr="00D80D15">
        <w:t>In</w:t>
      </w:r>
      <w:r w:rsidR="004261C8" w:rsidRPr="00D80D15">
        <w:t xml:space="preserve"> each</w:t>
      </w:r>
      <w:r w:rsidR="00C45DED" w:rsidRPr="00D80D15">
        <w:t xml:space="preserve"> letter, Mr. </w:t>
      </w:r>
      <w:r w:rsidR="00B22543" w:rsidRPr="00D80D15">
        <w:t>Patrick</w:t>
      </w:r>
      <w:r w:rsidR="00C45DED" w:rsidRPr="00D80D15">
        <w:t xml:space="preserve"> concludes that </w:t>
      </w:r>
      <w:r w:rsidR="004261C8" w:rsidRPr="00D80D15">
        <w:t>marketing any of the stations as a standalone “would be unsuccessful given the marginalized nature of the operation, and knowing that buyer</w:t>
      </w:r>
      <w:r w:rsidR="00C9720F">
        <w:t>s</w:t>
      </w:r>
      <w:r w:rsidR="004261C8" w:rsidRPr="00D80D15">
        <w:t xml:space="preserve"> would be hard pressed to find compelling programming sufficient to survive.”</w:t>
      </w:r>
      <w:r w:rsidR="004261C8" w:rsidRPr="00D80D15">
        <w:rPr>
          <w:rStyle w:val="FootnoteReference"/>
          <w:szCs w:val="22"/>
        </w:rPr>
        <w:footnoteReference w:id="61"/>
      </w:r>
      <w:r w:rsidR="004261C8" w:rsidRPr="00D80D15">
        <w:t xml:space="preserve">  </w:t>
      </w:r>
      <w:r w:rsidR="00E64FC7" w:rsidRPr="00D80D15">
        <w:t xml:space="preserve">Mr. Patrick </w:t>
      </w:r>
      <w:r w:rsidR="00266A4E" w:rsidRPr="00D80D15">
        <w:t xml:space="preserve">also </w:t>
      </w:r>
      <w:r w:rsidR="00E64FC7" w:rsidRPr="00D80D15">
        <w:t>assert</w:t>
      </w:r>
      <w:r w:rsidR="00CA6C53" w:rsidRPr="00D80D15">
        <w:t>s</w:t>
      </w:r>
      <w:r w:rsidR="00E64FC7" w:rsidRPr="00D80D15">
        <w:t xml:space="preserve"> that </w:t>
      </w:r>
      <w:r w:rsidR="001F77DA" w:rsidRPr="00D80D15">
        <w:t xml:space="preserve">in all </w:t>
      </w:r>
      <w:r w:rsidR="00E64FC7" w:rsidRPr="00D80D15">
        <w:t>three</w:t>
      </w:r>
      <w:r w:rsidR="001F77DA" w:rsidRPr="00D80D15">
        <w:t xml:space="preserve"> markets all major network affiliations are already taken, which would leave the</w:t>
      </w:r>
      <w:r w:rsidR="00CA6C53" w:rsidRPr="00D80D15">
        <w:t>se</w:t>
      </w:r>
      <w:r w:rsidR="001F77DA" w:rsidRPr="00D80D15">
        <w:t xml:space="preserve"> station</w:t>
      </w:r>
      <w:r w:rsidR="00CA6C53" w:rsidRPr="00D80D15">
        <w:t>s</w:t>
      </w:r>
      <w:r w:rsidR="001F77DA" w:rsidRPr="00D80D15">
        <w:t xml:space="preserve"> </w:t>
      </w:r>
      <w:r w:rsidR="00CA6C53" w:rsidRPr="00D80D15">
        <w:t>with no p</w:t>
      </w:r>
      <w:r w:rsidR="001F77DA" w:rsidRPr="00D80D15">
        <w:t>rimary network programming and minimal secondary t</w:t>
      </w:r>
      <w:r w:rsidR="00CA6C53" w:rsidRPr="00D80D15">
        <w:t>elevision programming.  Such a scenario would leave the stations u</w:t>
      </w:r>
      <w:r w:rsidR="001F77DA" w:rsidRPr="00D80D15">
        <w:t>nable to compete for audience and revenue</w:t>
      </w:r>
      <w:r w:rsidR="00CA6C53" w:rsidRPr="00D80D15">
        <w:t xml:space="preserve">.  </w:t>
      </w:r>
      <w:r w:rsidR="00E64FC7" w:rsidRPr="00D80D15">
        <w:t>F</w:t>
      </w:r>
      <w:r w:rsidR="00CA6C53" w:rsidRPr="00D80D15">
        <w:t>urthermore, in the case of the station</w:t>
      </w:r>
      <w:r w:rsidR="00E64FC7" w:rsidRPr="00D80D15">
        <w:t>s in Hawaii and Kansas</w:t>
      </w:r>
      <w:r w:rsidR="00CA6C53" w:rsidRPr="00D80D15">
        <w:t>,</w:t>
      </w:r>
      <w:r w:rsidR="00E64FC7" w:rsidRPr="00D80D15">
        <w:t xml:space="preserve"> Mr. Patrick </w:t>
      </w:r>
      <w:r w:rsidR="00266A4E" w:rsidRPr="00D80D15">
        <w:t>contends</w:t>
      </w:r>
      <w:r w:rsidR="00E64FC7" w:rsidRPr="00D80D15">
        <w:t xml:space="preserve"> that denial of the satellite exemption would de</w:t>
      </w:r>
      <w:r w:rsidR="00C9720F">
        <w:t>ny access to many viewers in</w:t>
      </w:r>
      <w:r w:rsidR="00E64FC7" w:rsidRPr="00D80D15">
        <w:t xml:space="preserve"> </w:t>
      </w:r>
      <w:r w:rsidR="00266A4E" w:rsidRPr="00D80D15">
        <w:t>those DMAs</w:t>
      </w:r>
      <w:r w:rsidR="00E64FC7" w:rsidRPr="00D80D15">
        <w:t xml:space="preserve"> of over-the-air access to primary network programming (Fox and NBC, respectively) as well as local programming</w:t>
      </w:r>
      <w:r w:rsidR="00CA6C53" w:rsidRPr="00D80D15">
        <w:t>, such as news, weather and public service programming</w:t>
      </w:r>
      <w:r w:rsidR="00E64FC7" w:rsidRPr="00D80D15">
        <w:t>.</w:t>
      </w:r>
      <w:r w:rsidR="00CA6C53" w:rsidRPr="00D80D15">
        <w:rPr>
          <w:rStyle w:val="FootnoteReference"/>
          <w:szCs w:val="22"/>
        </w:rPr>
        <w:footnoteReference w:id="62"/>
      </w:r>
    </w:p>
    <w:p w14:paraId="1457571E" w14:textId="4BFF4B9E" w:rsidR="00061410" w:rsidRPr="00D80D15" w:rsidRDefault="001F77DA" w:rsidP="00A82FCF">
      <w:pPr>
        <w:pStyle w:val="ParaNum"/>
        <w:widowControl/>
      </w:pPr>
      <w:r w:rsidRPr="00D80D15">
        <w:t xml:space="preserve">In </w:t>
      </w:r>
      <w:r w:rsidR="00266A4E" w:rsidRPr="00D80D15">
        <w:t>the</w:t>
      </w:r>
      <w:r w:rsidRPr="00D80D15">
        <w:t xml:space="preserve"> letters, </w:t>
      </w:r>
      <w:r w:rsidR="00B22543" w:rsidRPr="00D80D15">
        <w:t xml:space="preserve">Mr. Patrick </w:t>
      </w:r>
      <w:r w:rsidR="00266A4E" w:rsidRPr="00D80D15">
        <w:t xml:space="preserve">goes on to </w:t>
      </w:r>
      <w:r w:rsidR="00BD4C89" w:rsidRPr="00D80D15">
        <w:t>highlight</w:t>
      </w:r>
      <w:r w:rsidR="00B22543" w:rsidRPr="00D80D15">
        <w:t xml:space="preserve"> </w:t>
      </w:r>
      <w:r w:rsidR="00BD4C89" w:rsidRPr="00D80D15">
        <w:t>the trouble that</w:t>
      </w:r>
      <w:r w:rsidR="004261C8" w:rsidRPr="00D80D15">
        <w:t xml:space="preserve"> each individual satellite station would face as a standalone stati</w:t>
      </w:r>
      <w:r w:rsidR="00266A4E" w:rsidRPr="00D80D15">
        <w:t xml:space="preserve">on.  </w:t>
      </w:r>
      <w:r w:rsidR="004261C8" w:rsidRPr="00D80D15">
        <w:t xml:space="preserve">With regards to </w:t>
      </w:r>
      <w:r w:rsidR="00BD4C89" w:rsidRPr="00D80D15">
        <w:t xml:space="preserve">KBVO(TV) </w:t>
      </w:r>
      <w:r w:rsidR="00DD4486" w:rsidRPr="00D80D15">
        <w:t xml:space="preserve">he notes </w:t>
      </w:r>
      <w:r w:rsidR="00CA6C53" w:rsidRPr="00D80D15">
        <w:t>that the station’s</w:t>
      </w:r>
      <w:r w:rsidR="00DD4486" w:rsidRPr="00D80D15">
        <w:t xml:space="preserve"> My Network affiliation and being licensed to Llano rather than Austin places it at a competitive disadvantage for obtaining advertising revenue.  Mr. Patrick contends that as a standalone station it is unlikely that KBVO(TV) could maintain the local programming and service it currently provides to the local community</w:t>
      </w:r>
      <w:r w:rsidR="00BD4C89" w:rsidRPr="00D80D15">
        <w:t>.</w:t>
      </w:r>
      <w:r w:rsidR="00BD4C89" w:rsidRPr="00D80D15">
        <w:rPr>
          <w:rStyle w:val="FootnoteReference"/>
          <w:szCs w:val="22"/>
        </w:rPr>
        <w:footnoteReference w:id="63"/>
      </w:r>
      <w:r w:rsidR="00BD4C89" w:rsidRPr="00D80D15">
        <w:t xml:space="preserve">  </w:t>
      </w:r>
      <w:r w:rsidR="00FC79B5" w:rsidRPr="00D80D15">
        <w:t>For Stations KHAW-TV and KAII-TV, Mr. Patrick asserts that the geographic nature of Hawaii would make it difficult for either of these stations to operate independently because neither of them provides a signal capable of covering the entire market or Honolulu, larges</w:t>
      </w:r>
      <w:r w:rsidR="00C9720F">
        <w:t>t</w:t>
      </w:r>
      <w:r w:rsidR="00FC79B5" w:rsidRPr="00D80D15">
        <w:t xml:space="preserve"> city</w:t>
      </w:r>
      <w:r w:rsidR="00C9720F">
        <w:t xml:space="preserve"> in the DMA</w:t>
      </w:r>
      <w:r w:rsidR="00FC79B5" w:rsidRPr="00D80D15">
        <w:t>.</w:t>
      </w:r>
      <w:r w:rsidR="00FC79B5" w:rsidRPr="00D80D15">
        <w:rPr>
          <w:rStyle w:val="FootnoteReference"/>
          <w:szCs w:val="22"/>
        </w:rPr>
        <w:footnoteReference w:id="64"/>
      </w:r>
      <w:r w:rsidR="00FC79B5" w:rsidRPr="00D80D15">
        <w:t xml:space="preserve">  Lastly, </w:t>
      </w:r>
      <w:r w:rsidR="00266A4E" w:rsidRPr="00D80D15">
        <w:t xml:space="preserve">Mr. Patrick discusses KSNC(TV), which he notes is </w:t>
      </w:r>
      <w:r w:rsidR="00E64FC7" w:rsidRPr="00D80D15">
        <w:t>also located in a geograp</w:t>
      </w:r>
      <w:r w:rsidR="00CA6C53" w:rsidRPr="00D80D15">
        <w:t xml:space="preserve">hically dispersed market.  </w:t>
      </w:r>
      <w:r w:rsidR="00E64FC7" w:rsidRPr="00D80D15">
        <w:t>Mr. Patrick contends that if forced to operate as a standalone station</w:t>
      </w:r>
      <w:r w:rsidR="00CA6C53" w:rsidRPr="00D80D15">
        <w:t>,</w:t>
      </w:r>
      <w:r w:rsidR="00E64FC7" w:rsidRPr="00D80D15">
        <w:t xml:space="preserve"> KSNC(TV) would</w:t>
      </w:r>
      <w:r w:rsidR="00CA6C53" w:rsidRPr="00D80D15">
        <w:t xml:space="preserve"> only be able to provide a significantly diminished service and </w:t>
      </w:r>
      <w:r w:rsidR="00E64FC7" w:rsidRPr="00D80D15">
        <w:t>not be able to provide a signal to Wichita, the largest city in the DMA.</w:t>
      </w:r>
      <w:r w:rsidR="00CA6C53" w:rsidRPr="00D80D15">
        <w:rPr>
          <w:rStyle w:val="FootnoteReference"/>
          <w:szCs w:val="22"/>
        </w:rPr>
        <w:footnoteReference w:id="65"/>
      </w:r>
    </w:p>
    <w:p w14:paraId="75B5CAE6" w14:textId="77777777" w:rsidR="00AA2E3C" w:rsidRPr="00D80D15" w:rsidRDefault="00AA2E3C" w:rsidP="00A82FCF">
      <w:pPr>
        <w:pStyle w:val="ParaNum"/>
      </w:pPr>
      <w:r w:rsidRPr="00D80D15">
        <w:t xml:space="preserve">Based on our review of the materials submitted, we find that </w:t>
      </w:r>
      <w:r w:rsidR="00BB531C" w:rsidRPr="00D80D15">
        <w:t xml:space="preserve">while </w:t>
      </w:r>
      <w:r w:rsidR="00E64FC7" w:rsidRPr="00D80D15">
        <w:t xml:space="preserve">Post-Merger Media General has not </w:t>
      </w:r>
      <w:r w:rsidRPr="00D80D15">
        <w:t>met our “presumptive” satellite standard</w:t>
      </w:r>
      <w:r w:rsidR="00BB531C" w:rsidRPr="00D80D15">
        <w:t xml:space="preserve">, it has </w:t>
      </w:r>
      <w:r w:rsidRPr="00D80D15">
        <w:t>provided sufficient information to authorize KBVO(TV), KHAW-TV, KAII-TV</w:t>
      </w:r>
      <w:r w:rsidR="000D4D44" w:rsidRPr="00D80D15">
        <w:t>,</w:t>
      </w:r>
      <w:r w:rsidRPr="00D80D15">
        <w:t xml:space="preserve"> and KSNC(TV) </w:t>
      </w:r>
      <w:r w:rsidR="00BB531C" w:rsidRPr="00D80D15">
        <w:t xml:space="preserve">for </w:t>
      </w:r>
      <w:r w:rsidRPr="00D80D15">
        <w:t>continued satellite</w:t>
      </w:r>
      <w:bookmarkStart w:id="8" w:name="SR;878"/>
      <w:bookmarkEnd w:id="8"/>
      <w:r w:rsidRPr="00D80D15">
        <w:t xml:space="preserve"> operation under our </w:t>
      </w:r>
      <w:r w:rsidRPr="00D80D15">
        <w:rPr>
          <w:i/>
        </w:rPr>
        <w:t>ad hoc</w:t>
      </w:r>
      <w:r w:rsidR="00BB531C" w:rsidRPr="00D80D15">
        <w:t xml:space="preserve"> analysis.  </w:t>
      </w:r>
      <w:r w:rsidRPr="00D80D15">
        <w:t>All four stations have a</w:t>
      </w:r>
      <w:r w:rsidR="008F68B4" w:rsidRPr="00D80D15">
        <w:t xml:space="preserve"> </w:t>
      </w:r>
      <w:r w:rsidRPr="00D80D15">
        <w:t>history</w:t>
      </w:r>
      <w:r w:rsidR="008F68B4" w:rsidRPr="00D80D15">
        <w:t xml:space="preserve"> of</w:t>
      </w:r>
      <w:r w:rsidRPr="00D80D15">
        <w:t xml:space="preserve"> </w:t>
      </w:r>
      <w:r w:rsidR="000D4D44" w:rsidRPr="00D80D15">
        <w:t>operating as</w:t>
      </w:r>
      <w:r w:rsidRPr="00D80D15">
        <w:t xml:space="preserve"> satellites and the Commission’s </w:t>
      </w:r>
      <w:r w:rsidR="000D4D44" w:rsidRPr="00D80D15">
        <w:t>previous</w:t>
      </w:r>
      <w:r w:rsidRPr="00D80D15">
        <w:t xml:space="preserve"> approval of all four</w:t>
      </w:r>
      <w:r w:rsidR="000D4D44" w:rsidRPr="00D80D15">
        <w:t xml:space="preserve"> stations for</w:t>
      </w:r>
      <w:r w:rsidRPr="00D80D15">
        <w:t xml:space="preserve"> operation as satellite</w:t>
      </w:r>
      <w:bookmarkStart w:id="9" w:name="SR;895"/>
      <w:bookmarkEnd w:id="9"/>
      <w:r w:rsidRPr="00D80D15">
        <w:t xml:space="preserve">s constitutes </w:t>
      </w:r>
      <w:r w:rsidR="00FC79B5" w:rsidRPr="00D80D15">
        <w:t>compelling</w:t>
      </w:r>
      <w:r w:rsidRPr="00D80D15">
        <w:t xml:space="preserve"> circumstances justifying a continuing “satellite exemption” to the</w:t>
      </w:r>
      <w:r w:rsidR="000D4D44" w:rsidRPr="00D80D15">
        <w:t xml:space="preserve"> local</w:t>
      </w:r>
      <w:r w:rsidRPr="00D80D15">
        <w:t xml:space="preserve"> television ownership rule.</w:t>
      </w:r>
      <w:r w:rsidR="008F68B4" w:rsidRPr="00D80D15">
        <w:rPr>
          <w:rStyle w:val="FootnoteReference"/>
          <w:szCs w:val="22"/>
        </w:rPr>
        <w:footnoteReference w:id="66"/>
      </w:r>
      <w:r w:rsidRPr="00D80D15">
        <w:t xml:space="preserve">  We see no evidence in the record that the “satellite exemptions” will harm competition in any of the television markets at issue.  Indeed, we find that the “satellite exemptions” will benefit the public interest by encouraging investment in the broadcast industry and promoting access to broadcast services where without the satellite waiver it may otherwise not be feasible.  For the reasons discussed above, we find that grant of continuing “satellite exemptions” to KBVO(TV), Llano, Texas</w:t>
      </w:r>
      <w:r w:rsidR="004F5893" w:rsidRPr="00D80D15">
        <w:t>,</w:t>
      </w:r>
      <w:r w:rsidRPr="00D80D15">
        <w:t xml:space="preserve"> as a satellite of KXAN-TV, Austin Texas; KHAW-TV, Hilo, Hawaii and KAII-TV, Wailuku, Hawaii</w:t>
      </w:r>
      <w:r w:rsidR="004F5893" w:rsidRPr="00D80D15">
        <w:t>,</w:t>
      </w:r>
      <w:r w:rsidRPr="00D80D15">
        <w:t xml:space="preserve"> as satellites of KHON-TV, Honolulu, Hawaii</w:t>
      </w:r>
      <w:r w:rsidR="000D4D44" w:rsidRPr="00D80D15">
        <w:t>;</w:t>
      </w:r>
      <w:r w:rsidRPr="00D80D15">
        <w:t xml:space="preserve"> and KSNC(TV), Great Bend</w:t>
      </w:r>
      <w:r w:rsidR="004F5893" w:rsidRPr="00D80D15">
        <w:t>,</w:t>
      </w:r>
      <w:r w:rsidRPr="00D80D15">
        <w:t xml:space="preserve"> Kansas</w:t>
      </w:r>
      <w:r w:rsidR="004F5893" w:rsidRPr="00D80D15">
        <w:t>,</w:t>
      </w:r>
      <w:r w:rsidRPr="00D80D15">
        <w:t xml:space="preserve"> as a satellite of KSNW(TV), Wichita, Kansas</w:t>
      </w:r>
      <w:r w:rsidR="000D4D44" w:rsidRPr="00D80D15">
        <w:t>, are all</w:t>
      </w:r>
      <w:r w:rsidRPr="00D80D15">
        <w:t xml:space="preserve"> in the public interest.</w:t>
      </w:r>
    </w:p>
    <w:p w14:paraId="5A35D1D0" w14:textId="77777777" w:rsidR="00C45DED" w:rsidRPr="00D80D15" w:rsidRDefault="00AA2E3C" w:rsidP="00A82FCF">
      <w:pPr>
        <w:pStyle w:val="Heading2"/>
      </w:pPr>
      <w:r w:rsidRPr="00D80D15">
        <w:t xml:space="preserve">Request for </w:t>
      </w:r>
      <w:r w:rsidR="008B66B0" w:rsidRPr="00D80D15">
        <w:t>Continuation of Existing</w:t>
      </w:r>
      <w:r w:rsidR="00C45DED" w:rsidRPr="00D80D15">
        <w:t xml:space="preserve"> </w:t>
      </w:r>
      <w:r w:rsidR="005B4FBD" w:rsidRPr="00D80D15">
        <w:t>“</w:t>
      </w:r>
      <w:r w:rsidR="00BB531C" w:rsidRPr="00D80D15">
        <w:t>Failing</w:t>
      </w:r>
      <w:r w:rsidR="005B4FBD" w:rsidRPr="00D80D15">
        <w:t>”</w:t>
      </w:r>
      <w:r w:rsidR="00C45DED" w:rsidRPr="00D80D15">
        <w:t xml:space="preserve"> Station Waiver</w:t>
      </w:r>
      <w:r w:rsidR="000E34AC" w:rsidRPr="00D80D15">
        <w:t xml:space="preserve"> and Issuance of New “</w:t>
      </w:r>
      <w:r w:rsidR="00BB531C" w:rsidRPr="00D80D15">
        <w:t>Failing</w:t>
      </w:r>
      <w:r w:rsidR="000E34AC" w:rsidRPr="00D80D15">
        <w:t>” Station Waiver</w:t>
      </w:r>
    </w:p>
    <w:p w14:paraId="5DBF06EE" w14:textId="1C04D6A6" w:rsidR="005802B6" w:rsidRPr="00D80D15" w:rsidRDefault="0087506A" w:rsidP="00A82FCF">
      <w:pPr>
        <w:pStyle w:val="ParaNum"/>
      </w:pPr>
      <w:r w:rsidRPr="00D80D15">
        <w:t>Both</w:t>
      </w:r>
      <w:r w:rsidR="00BB531C" w:rsidRPr="00D80D15">
        <w:t xml:space="preserve"> Post-Merger Media General</w:t>
      </w:r>
      <w:r w:rsidR="00901D9D" w:rsidRPr="00D80D15">
        <w:t xml:space="preserve">, pursuant to a long form transfer of control application from LIN Media, </w:t>
      </w:r>
      <w:r w:rsidRPr="00D80D15">
        <w:t>and Sinclair</w:t>
      </w:r>
      <w:r w:rsidR="00BB531C" w:rsidRPr="00D80D15">
        <w:t xml:space="preserve">, pursuant to </w:t>
      </w:r>
      <w:r w:rsidRPr="00D80D15">
        <w:t>Post-Merger Media General’s proposed</w:t>
      </w:r>
      <w:r w:rsidR="00BB531C" w:rsidRPr="00D80D15">
        <w:t xml:space="preserve"> divestiture in the Green Bay-Appleton</w:t>
      </w:r>
      <w:r w:rsidR="000F1C27" w:rsidRPr="00D80D15">
        <w:t>, Wisconsin</w:t>
      </w:r>
      <w:r w:rsidR="00BB531C" w:rsidRPr="00D80D15">
        <w:t xml:space="preserve"> DMA</w:t>
      </w:r>
      <w:r w:rsidRPr="00D80D15">
        <w:t>,</w:t>
      </w:r>
      <w:r w:rsidR="00901D9D" w:rsidRPr="00D80D15">
        <w:rPr>
          <w:rStyle w:val="FootnoteReference"/>
          <w:color w:val="010101"/>
          <w:szCs w:val="22"/>
        </w:rPr>
        <w:footnoteReference w:id="67"/>
      </w:r>
      <w:r w:rsidRPr="00D80D15">
        <w:t xml:space="preserve"> </w:t>
      </w:r>
      <w:r w:rsidR="00890421" w:rsidRPr="00D80D15">
        <w:t xml:space="preserve">have </w:t>
      </w:r>
      <w:r w:rsidR="00C45DED" w:rsidRPr="00D80D15">
        <w:t>request</w:t>
      </w:r>
      <w:r w:rsidR="00890421" w:rsidRPr="00D80D15">
        <w:t>ed</w:t>
      </w:r>
      <w:r w:rsidR="00C45DED" w:rsidRPr="00D80D15">
        <w:t xml:space="preserve"> continuation of the “</w:t>
      </w:r>
      <w:r w:rsidR="00BB531C" w:rsidRPr="00D80D15">
        <w:t>failing</w:t>
      </w:r>
      <w:r w:rsidR="00C45DED" w:rsidRPr="00D80D15">
        <w:t xml:space="preserve">” station waiver for </w:t>
      </w:r>
      <w:r w:rsidR="00934FEB" w:rsidRPr="00D80D15">
        <w:t>WCWF(TV)</w:t>
      </w:r>
      <w:r w:rsidR="00C45DED" w:rsidRPr="00D80D15">
        <w:t>,</w:t>
      </w:r>
      <w:r w:rsidR="00934FEB" w:rsidRPr="00D80D15">
        <w:t xml:space="preserve"> Suring, Wisconsin</w:t>
      </w:r>
      <w:r w:rsidR="00C45DED" w:rsidRPr="00D80D15">
        <w:t xml:space="preserve">, pursuant to Note 7 of </w:t>
      </w:r>
      <w:r w:rsidR="000E20C2" w:rsidRPr="00D80D15">
        <w:t>Section</w:t>
      </w:r>
      <w:r w:rsidR="00C45DED" w:rsidRPr="00D80D15">
        <w:t xml:space="preserve"> 73.3555 of </w:t>
      </w:r>
      <w:r w:rsidR="0072415C" w:rsidRPr="00D80D15">
        <w:t xml:space="preserve">the </w:t>
      </w:r>
      <w:r w:rsidR="00EE478E" w:rsidRPr="00D80D15">
        <w:t>Commission’s rules</w:t>
      </w:r>
      <w:r w:rsidR="00835E31" w:rsidRPr="00D80D15">
        <w:t>,</w:t>
      </w:r>
      <w:r w:rsidR="005802B6" w:rsidRPr="00D80D15">
        <w:rPr>
          <w:rStyle w:val="FootnoteReference"/>
          <w:color w:val="010101"/>
          <w:szCs w:val="22"/>
        </w:rPr>
        <w:footnoteReference w:id="68"/>
      </w:r>
      <w:r w:rsidR="005802B6" w:rsidRPr="00D80D15">
        <w:t xml:space="preserve"> </w:t>
      </w:r>
      <w:r w:rsidR="00835E31" w:rsidRPr="00D80D15">
        <w:t xml:space="preserve"> in order to permit common ownership of WCWF(TV) and WLUK-T</w:t>
      </w:r>
      <w:r w:rsidR="00BB531C" w:rsidRPr="00D80D15">
        <w:t>V</w:t>
      </w:r>
      <w:r w:rsidR="00835E31" w:rsidRPr="00D80D15">
        <w:t>.</w:t>
      </w:r>
      <w:r w:rsidR="000F1C27" w:rsidRPr="00D80D15">
        <w:t xml:space="preserve">  We evaluate these requests simultaneously</w:t>
      </w:r>
      <w:r w:rsidR="00630FA6" w:rsidRPr="00D80D15">
        <w:t>, but in the context of Sinclair’s request, the ultimate licensee of WCWF(TV) and WLUK-TV.</w:t>
      </w:r>
      <w:r w:rsidR="005802B6" w:rsidRPr="00D80D15">
        <w:rPr>
          <w:rStyle w:val="FootnoteReference"/>
          <w:color w:val="010101"/>
          <w:szCs w:val="22"/>
        </w:rPr>
        <w:footnoteReference w:id="69"/>
      </w:r>
      <w:r w:rsidRPr="00D80D15">
        <w:t xml:space="preserve">  </w:t>
      </w:r>
      <w:r w:rsidR="00934FEB" w:rsidRPr="00D80D15">
        <w:t>In</w:t>
      </w:r>
      <w:r w:rsidR="000E34AC" w:rsidRPr="00D80D15">
        <w:t xml:space="preserve"> addition, </w:t>
      </w:r>
      <w:r w:rsidR="00BB531C" w:rsidRPr="00D80D15">
        <w:t>Post-Merger Media General</w:t>
      </w:r>
      <w:r w:rsidR="000E34AC" w:rsidRPr="00D80D15">
        <w:t xml:space="preserve"> request</w:t>
      </w:r>
      <w:r w:rsidR="00BB531C" w:rsidRPr="00D80D15">
        <w:t>s</w:t>
      </w:r>
      <w:r w:rsidR="000E34AC" w:rsidRPr="00D80D15">
        <w:t xml:space="preserve"> the </w:t>
      </w:r>
      <w:r w:rsidR="00BB531C" w:rsidRPr="00D80D15">
        <w:t>grant</w:t>
      </w:r>
      <w:r w:rsidR="000E34AC" w:rsidRPr="00D80D15">
        <w:t xml:space="preserve"> of a </w:t>
      </w:r>
      <w:r w:rsidR="00934FEB" w:rsidRPr="00D80D15">
        <w:t>“</w:t>
      </w:r>
      <w:r w:rsidR="00BB531C" w:rsidRPr="00D80D15">
        <w:t>failing</w:t>
      </w:r>
      <w:r w:rsidR="00934FEB" w:rsidRPr="00D80D15">
        <w:t>”</w:t>
      </w:r>
      <w:r w:rsidR="000E34AC" w:rsidRPr="00D80D15">
        <w:t xml:space="preserve"> station waiver for WCTX(TV), New Haven Connecticut</w:t>
      </w:r>
      <w:r w:rsidR="00934FEB" w:rsidRPr="00D80D15">
        <w:t xml:space="preserve">, </w:t>
      </w:r>
      <w:r w:rsidR="00D030E8" w:rsidRPr="00D80D15">
        <w:t>in order to permit common ownership of WCTX(TV) and WTNH(TV), New Haven, Connecticut.</w:t>
      </w:r>
      <w:r w:rsidR="00725C76" w:rsidRPr="00D80D15">
        <w:rPr>
          <w:rStyle w:val="FootnoteReference"/>
          <w:szCs w:val="22"/>
        </w:rPr>
        <w:footnoteReference w:id="70"/>
      </w:r>
      <w:r w:rsidR="00797D72" w:rsidRPr="00D80D15">
        <w:t xml:space="preserve">  </w:t>
      </w:r>
      <w:r w:rsidR="000936CD" w:rsidRPr="00D80D15">
        <w:t>Both stations are located in the Hartford-New Haven</w:t>
      </w:r>
      <w:r w:rsidR="000F1C27" w:rsidRPr="00D80D15">
        <w:t>, Connecticut</w:t>
      </w:r>
      <w:r w:rsidR="000936CD" w:rsidRPr="00D80D15">
        <w:t xml:space="preserve"> DMA.   </w:t>
      </w:r>
      <w:r w:rsidR="00797D72" w:rsidRPr="00D80D15">
        <w:t>A duopoly between</w:t>
      </w:r>
      <w:r w:rsidR="00D030E8" w:rsidRPr="00D80D15">
        <w:t xml:space="preserve"> WCTX(TV) and WTNH(TV) </w:t>
      </w:r>
      <w:r w:rsidR="00797D72" w:rsidRPr="00D80D15">
        <w:t xml:space="preserve">was formed approximately </w:t>
      </w:r>
      <w:r w:rsidR="00C9720F">
        <w:t>fourteen</w:t>
      </w:r>
      <w:r w:rsidR="00797D72" w:rsidRPr="00D80D15">
        <w:t xml:space="preserve"> years ago when LIN Media was granted an “unbuilt</w:t>
      </w:r>
      <w:r w:rsidR="004F2F7C" w:rsidRPr="00D80D15">
        <w:t>” station</w:t>
      </w:r>
      <w:r w:rsidR="00797D72" w:rsidRPr="00D80D15">
        <w:t xml:space="preserve"> </w:t>
      </w:r>
      <w:r w:rsidR="000936CD" w:rsidRPr="00D80D15">
        <w:t>waiver</w:t>
      </w:r>
      <w:r w:rsidR="00797D72" w:rsidRPr="00D80D15">
        <w:t xml:space="preserve"> under the Commission’s local TV ownership rules.</w:t>
      </w:r>
      <w:r w:rsidR="000E34AC" w:rsidRPr="00D80D15">
        <w:rPr>
          <w:rStyle w:val="FootnoteReference"/>
          <w:color w:val="010101"/>
          <w:szCs w:val="22"/>
        </w:rPr>
        <w:footnoteReference w:id="71"/>
      </w:r>
      <w:r w:rsidR="000936CD" w:rsidRPr="00D80D15">
        <w:t xml:space="preserve">  </w:t>
      </w:r>
      <w:r w:rsidR="00797D72" w:rsidRPr="00D80D15">
        <w:t xml:space="preserve">In the </w:t>
      </w:r>
      <w:r w:rsidR="007D799D" w:rsidRPr="00D80D15">
        <w:t xml:space="preserve">intervening time </w:t>
      </w:r>
      <w:r w:rsidR="000936CD" w:rsidRPr="00D80D15">
        <w:t>following the grant of that waiver, WCTX</w:t>
      </w:r>
      <w:r w:rsidR="007D799D" w:rsidRPr="00D80D15">
        <w:t xml:space="preserve">(TV) </w:t>
      </w:r>
      <w:r w:rsidR="000936CD" w:rsidRPr="00D80D15">
        <w:t>was</w:t>
      </w:r>
      <w:r w:rsidR="007D799D" w:rsidRPr="00D80D15">
        <w:t xml:space="preserve"> </w:t>
      </w:r>
      <w:r w:rsidR="000354B4" w:rsidRPr="00D80D15">
        <w:t>constructed</w:t>
      </w:r>
      <w:r w:rsidR="00BB7038" w:rsidRPr="00D80D15">
        <w:t xml:space="preserve"> </w:t>
      </w:r>
      <w:r w:rsidR="007D799D" w:rsidRPr="00D80D15">
        <w:t xml:space="preserve">and </w:t>
      </w:r>
      <w:r w:rsidR="000936CD" w:rsidRPr="00D80D15">
        <w:t>commenced</w:t>
      </w:r>
      <w:r w:rsidR="007D799D" w:rsidRPr="00D80D15">
        <w:t xml:space="preserve"> </w:t>
      </w:r>
      <w:r w:rsidR="004F2F7C" w:rsidRPr="00D80D15">
        <w:t>full operation</w:t>
      </w:r>
      <w:r w:rsidR="007D799D" w:rsidRPr="00D80D15">
        <w:t xml:space="preserve">.  </w:t>
      </w:r>
      <w:r w:rsidR="00BB7038" w:rsidRPr="00D80D15">
        <w:t>A</w:t>
      </w:r>
      <w:r w:rsidR="004F2F7C" w:rsidRPr="00D80D15">
        <w:t>s a result of the pending transaction</w:t>
      </w:r>
      <w:r w:rsidR="00C9720F">
        <w:t>,</w:t>
      </w:r>
      <w:r w:rsidR="004F2F7C" w:rsidRPr="00D80D15">
        <w:t xml:space="preserve"> </w:t>
      </w:r>
      <w:r w:rsidR="00DD6ECC" w:rsidRPr="00D80D15">
        <w:t xml:space="preserve">Post-Merger Media General </w:t>
      </w:r>
      <w:r w:rsidR="007D799D" w:rsidRPr="00D80D15">
        <w:t xml:space="preserve">now requires a “failing” station wavier if common ownership is to continue.    </w:t>
      </w:r>
    </w:p>
    <w:p w14:paraId="0479C7A9" w14:textId="77777777" w:rsidR="00C45DED" w:rsidRPr="00D80D15" w:rsidRDefault="00C45DED" w:rsidP="00A82FCF">
      <w:pPr>
        <w:pStyle w:val="ParaNum"/>
        <w:rPr>
          <w:color w:val="010101"/>
        </w:rPr>
      </w:pPr>
      <w:r w:rsidRPr="00D80D15">
        <w:t xml:space="preserve">The Commission’s </w:t>
      </w:r>
      <w:r w:rsidRPr="00D80D15">
        <w:rPr>
          <w:i/>
        </w:rPr>
        <w:t>Local Ownership Order</w:t>
      </w:r>
      <w:r w:rsidRPr="00D80D15">
        <w:rPr>
          <w:rStyle w:val="FootnoteReference"/>
          <w:i/>
          <w:szCs w:val="22"/>
        </w:rPr>
        <w:footnoteReference w:id="72"/>
      </w:r>
      <w:r w:rsidRPr="00D80D15">
        <w:rPr>
          <w:i/>
        </w:rPr>
        <w:t xml:space="preserve"> </w:t>
      </w:r>
      <w:r w:rsidRPr="00D80D15">
        <w:t xml:space="preserve">established the criteria for a waiver of the </w:t>
      </w:r>
      <w:r w:rsidR="008B66B0" w:rsidRPr="00D80D15">
        <w:t xml:space="preserve">local </w:t>
      </w:r>
      <w:r w:rsidRPr="00D80D15">
        <w:t>television</w:t>
      </w:r>
      <w:r w:rsidR="008B66B0" w:rsidRPr="00D80D15">
        <w:t xml:space="preserve"> ownership</w:t>
      </w:r>
      <w:r w:rsidRPr="00D80D15">
        <w:t xml:space="preserve"> rule for a “</w:t>
      </w:r>
      <w:r w:rsidR="00BB531C" w:rsidRPr="00D80D15">
        <w:t>failing</w:t>
      </w:r>
      <w:r w:rsidRPr="00D80D15">
        <w:t xml:space="preserve">” station, as one that has been </w:t>
      </w:r>
      <w:r w:rsidR="00D030E8" w:rsidRPr="00D80D15">
        <w:t>struggling</w:t>
      </w:r>
      <w:r w:rsidRPr="00D80D15">
        <w:t xml:space="preserve"> for “an extended period of time both in terms of its audience share and financial performance.”</w:t>
      </w:r>
      <w:r w:rsidRPr="00D80D15">
        <w:rPr>
          <w:rStyle w:val="FootnoteReference"/>
          <w:szCs w:val="22"/>
        </w:rPr>
        <w:footnoteReference w:id="73"/>
      </w:r>
      <w:r w:rsidRPr="00D80D15">
        <w:t xml:space="preserve">  These criteria are:  (a) one of the merging stations has had a low all-day audience share (</w:t>
      </w:r>
      <w:r w:rsidRPr="00D80D15">
        <w:rPr>
          <w:i/>
        </w:rPr>
        <w:t>i.e.</w:t>
      </w:r>
      <w:r w:rsidRPr="00D80D15">
        <w:t xml:space="preserve"> 4% or lower);</w:t>
      </w:r>
      <w:r w:rsidRPr="00D80D15">
        <w:rPr>
          <w:color w:val="010101"/>
        </w:rPr>
        <w:t xml:space="preserve"> (b) </w:t>
      </w:r>
      <w:r w:rsidRPr="00D80D15">
        <w:t>the financial condition of one of the merging stations is poor;</w:t>
      </w:r>
      <w:r w:rsidRPr="00D80D15">
        <w:rPr>
          <w:color w:val="010101"/>
        </w:rPr>
        <w:t xml:space="preserve"> (c) </w:t>
      </w:r>
      <w:r w:rsidRPr="00D80D15">
        <w:t>the merger will produce public interest benefits; and</w:t>
      </w:r>
      <w:r w:rsidRPr="00D80D15">
        <w:rPr>
          <w:color w:val="010101"/>
        </w:rPr>
        <w:t xml:space="preserve"> (d) </w:t>
      </w:r>
      <w:r w:rsidRPr="00D80D15">
        <w:t xml:space="preserve">the in-market buyer is the only reasonably available candidate </w:t>
      </w:r>
      <w:r w:rsidR="00BB531C" w:rsidRPr="00D80D15">
        <w:t>willing</w:t>
      </w:r>
      <w:r w:rsidRPr="00D80D15">
        <w:t xml:space="preserve"> and able to acquire and operate the station and </w:t>
      </w:r>
      <w:r w:rsidR="00BB531C" w:rsidRPr="00D80D15">
        <w:t>selling</w:t>
      </w:r>
      <w:r w:rsidRPr="00D80D15">
        <w:t xml:space="preserve"> the station to an out-of-market buyer would result in an artificially depressed price.</w:t>
      </w:r>
      <w:r w:rsidRPr="00D80D15">
        <w:rPr>
          <w:rStyle w:val="FootnoteReference"/>
          <w:szCs w:val="22"/>
        </w:rPr>
        <w:footnoteReference w:id="74"/>
      </w:r>
      <w:r w:rsidRPr="00D80D15">
        <w:rPr>
          <w:color w:val="010101"/>
        </w:rPr>
        <w:t xml:space="preserve">  </w:t>
      </w:r>
      <w:r w:rsidRPr="00D80D15">
        <w:t xml:space="preserve">If the applicant satisfies each criterion, a waiver of the duopoly rule will be presumed to be in the public interest.  </w:t>
      </w:r>
      <w:r w:rsidRPr="00D80D15">
        <w:rPr>
          <w:color w:val="010101"/>
        </w:rPr>
        <w:t>However, i</w:t>
      </w:r>
      <w:r w:rsidRPr="00D80D15">
        <w:t>n furtherance of our statutory obligation under Section 309(d)</w:t>
      </w:r>
      <w:r w:rsidR="000F1C27" w:rsidRPr="00D80D15">
        <w:t xml:space="preserve"> of the Act</w:t>
      </w:r>
      <w:r w:rsidRPr="00D80D15">
        <w:t>, we will “not permit the transfer of a duopoly, unless it meets a rule or waiver standard in effect at the time of transfer.”</w:t>
      </w:r>
      <w:r w:rsidRPr="00D80D15">
        <w:rPr>
          <w:rStyle w:val="FootnoteReference"/>
          <w:szCs w:val="22"/>
        </w:rPr>
        <w:footnoteReference w:id="75"/>
      </w:r>
      <w:r w:rsidRPr="00D80D15">
        <w:t xml:space="preserve">  We must evaluate the transfer of duopolies at the time of transfer because although a combination was approved in the past</w:t>
      </w:r>
      <w:r w:rsidR="00DD6A2B" w:rsidRPr="00D80D15">
        <w:t>,</w:t>
      </w:r>
      <w:r w:rsidRPr="00D80D15">
        <w:t xml:space="preserve"> market conditions </w:t>
      </w:r>
      <w:r w:rsidR="00DD6A2B" w:rsidRPr="00D80D15">
        <w:t xml:space="preserve">may </w:t>
      </w:r>
      <w:r w:rsidRPr="00D80D15">
        <w:t xml:space="preserve">have changed in a way that </w:t>
      </w:r>
      <w:r w:rsidR="00DD6A2B" w:rsidRPr="00D80D15">
        <w:t>could</w:t>
      </w:r>
      <w:r w:rsidRPr="00D80D15">
        <w:t xml:space="preserve"> adversely affect</w:t>
      </w:r>
      <w:r w:rsidR="00DD6A2B" w:rsidRPr="00D80D15">
        <w:t xml:space="preserve"> current</w:t>
      </w:r>
      <w:r w:rsidRPr="00D80D15">
        <w:t xml:space="preserve"> competition and diversity in the marketplace.</w:t>
      </w:r>
      <w:r w:rsidRPr="00D80D15">
        <w:rPr>
          <w:rStyle w:val="FootnoteReference"/>
          <w:szCs w:val="22"/>
        </w:rPr>
        <w:footnoteReference w:id="76"/>
      </w:r>
    </w:p>
    <w:p w14:paraId="4EED40C9" w14:textId="77777777" w:rsidR="00C45DED" w:rsidRPr="00D80D15" w:rsidRDefault="00C45DED" w:rsidP="00A82FCF">
      <w:pPr>
        <w:pStyle w:val="ParaNum"/>
        <w:rPr>
          <w:color w:val="010101"/>
        </w:rPr>
      </w:pPr>
      <w:r w:rsidRPr="00D80D15">
        <w:t xml:space="preserve">As for the first criterion, </w:t>
      </w:r>
      <w:r w:rsidR="003154CB" w:rsidRPr="00D80D15">
        <w:t>Sinclair states that</w:t>
      </w:r>
      <w:r w:rsidR="00F82D5D" w:rsidRPr="00D80D15">
        <w:t xml:space="preserve"> during the February 2014 sweeps period WCWF(TV) achieved an audience share of less than two </w:t>
      </w:r>
      <w:r w:rsidR="00951FF2" w:rsidRPr="00D80D15">
        <w:t>percent</w:t>
      </w:r>
      <w:r w:rsidR="00F82D5D" w:rsidRPr="00D80D15">
        <w:t xml:space="preserve">.  </w:t>
      </w:r>
      <w:r w:rsidR="0087506A" w:rsidRPr="00D80D15">
        <w:t xml:space="preserve">In fact, </w:t>
      </w:r>
      <w:r w:rsidR="003154CB" w:rsidRPr="00D80D15">
        <w:t>WCWF(</w:t>
      </w:r>
      <w:r w:rsidR="00F82D5D" w:rsidRPr="00D80D15">
        <w:t xml:space="preserve">TV)’s audience share </w:t>
      </w:r>
      <w:r w:rsidR="0087506A" w:rsidRPr="00D80D15">
        <w:t>has been</w:t>
      </w:r>
      <w:r w:rsidR="00F82D5D" w:rsidRPr="00D80D15">
        <w:t xml:space="preserve"> below two percent for each of the four preceding sweep</w:t>
      </w:r>
      <w:r w:rsidR="00E94C37" w:rsidRPr="00D80D15">
        <w:t>s</w:t>
      </w:r>
      <w:r w:rsidR="00F82D5D" w:rsidRPr="00D80D15">
        <w:t xml:space="preserve"> periods</w:t>
      </w:r>
      <w:r w:rsidR="003154CB" w:rsidRPr="00D80D15">
        <w:t xml:space="preserve"> (February 2013 to November 2013)</w:t>
      </w:r>
      <w:r w:rsidR="00F82D5D" w:rsidRPr="00D80D15">
        <w:t>.</w:t>
      </w:r>
      <w:r w:rsidR="00725C76" w:rsidRPr="00D80D15">
        <w:rPr>
          <w:rStyle w:val="FootnoteReference"/>
          <w:szCs w:val="22"/>
        </w:rPr>
        <w:footnoteReference w:id="77"/>
      </w:r>
      <w:r w:rsidR="00F82D5D" w:rsidRPr="00D80D15">
        <w:t xml:space="preserve">   </w:t>
      </w:r>
      <w:r w:rsidR="0087506A" w:rsidRPr="00D80D15">
        <w:t xml:space="preserve">Likewise, Post-Merger Media General contends that according to Nielsen Media during the February 2014 sweeps period, WCTX(TV) achieved an audience share of less than 1.5 percent.  </w:t>
      </w:r>
      <w:r w:rsidR="0022060C" w:rsidRPr="00D80D15">
        <w:t>The station’s</w:t>
      </w:r>
      <w:r w:rsidR="0087506A" w:rsidRPr="00D80D15">
        <w:t xml:space="preserve"> audience share was at 1.5 percent or lower for each of the proceeding sweeps periods (February 2013 through November 2013).</w:t>
      </w:r>
      <w:r w:rsidR="00725C76" w:rsidRPr="00D80D15">
        <w:rPr>
          <w:rStyle w:val="FootnoteReference"/>
          <w:szCs w:val="22"/>
        </w:rPr>
        <w:footnoteReference w:id="78"/>
      </w:r>
      <w:r w:rsidR="0087506A" w:rsidRPr="00D80D15">
        <w:t xml:space="preserve">  In both instances, the rating</w:t>
      </w:r>
      <w:r w:rsidR="0022060C" w:rsidRPr="00D80D15">
        <w:t xml:space="preserve"> provided</w:t>
      </w:r>
      <w:r w:rsidR="0087506A" w:rsidRPr="00D80D15">
        <w:t xml:space="preserve"> is </w:t>
      </w:r>
      <w:r w:rsidR="00951FF2" w:rsidRPr="00D80D15">
        <w:t xml:space="preserve">well below the four percent </w:t>
      </w:r>
      <w:r w:rsidR="00F82D5D" w:rsidRPr="00D80D15">
        <w:t xml:space="preserve">benchmark </w:t>
      </w:r>
      <w:r w:rsidR="00951FF2" w:rsidRPr="00D80D15">
        <w:t xml:space="preserve">required </w:t>
      </w:r>
      <w:r w:rsidR="0022060C" w:rsidRPr="00D80D15">
        <w:t>under</w:t>
      </w:r>
      <w:r w:rsidR="00951FF2" w:rsidRPr="00D80D15">
        <w:t xml:space="preserve"> the </w:t>
      </w:r>
      <w:r w:rsidR="00F82D5D" w:rsidRPr="00D80D15">
        <w:t xml:space="preserve">first criterion.  </w:t>
      </w:r>
    </w:p>
    <w:p w14:paraId="7EDB472B" w14:textId="77777777" w:rsidR="00C45DED" w:rsidRPr="00D80D15" w:rsidRDefault="00C45DED" w:rsidP="00A82FCF">
      <w:pPr>
        <w:pStyle w:val="ParaNum"/>
        <w:rPr>
          <w:color w:val="010101"/>
        </w:rPr>
      </w:pPr>
      <w:r w:rsidRPr="00D80D15">
        <w:t>With respect to</w:t>
      </w:r>
      <w:r w:rsidR="00A26F32" w:rsidRPr="00D80D15">
        <w:t xml:space="preserve"> the second criterion,</w:t>
      </w:r>
      <w:r w:rsidRPr="00D80D15">
        <w:t xml:space="preserve"> </w:t>
      </w:r>
      <w:r w:rsidR="00951FF2" w:rsidRPr="00D80D15">
        <w:t>Sinclair has</w:t>
      </w:r>
      <w:r w:rsidRPr="00D80D15">
        <w:t xml:space="preserve"> submitted</w:t>
      </w:r>
      <w:r w:rsidR="0022060C" w:rsidRPr="00D80D15">
        <w:t xml:space="preserve"> </w:t>
      </w:r>
      <w:r w:rsidRPr="00D80D15">
        <w:t>financial data</w:t>
      </w:r>
      <w:r w:rsidR="00A26F32" w:rsidRPr="00D80D15">
        <w:t xml:space="preserve"> that</w:t>
      </w:r>
      <w:r w:rsidRPr="00D80D15">
        <w:t xml:space="preserve"> demonstrat</w:t>
      </w:r>
      <w:r w:rsidR="00A26F32" w:rsidRPr="00D80D15">
        <w:t>es</w:t>
      </w:r>
      <w:r w:rsidRPr="00D80D15">
        <w:t xml:space="preserve"> negative cash flow </w:t>
      </w:r>
      <w:r w:rsidR="00FD2D90" w:rsidRPr="00D80D15">
        <w:t>and net losses</w:t>
      </w:r>
      <w:r w:rsidR="00E94C37" w:rsidRPr="00D80D15">
        <w:t xml:space="preserve"> suffered by</w:t>
      </w:r>
      <w:r w:rsidR="00FD2D90" w:rsidRPr="00D80D15">
        <w:t xml:space="preserve"> </w:t>
      </w:r>
      <w:r w:rsidR="00A26F32" w:rsidRPr="00D80D15">
        <w:t>WCWF(TV) during the</w:t>
      </w:r>
      <w:r w:rsidRPr="00D80D15">
        <w:t xml:space="preserve"> calendar years 2011</w:t>
      </w:r>
      <w:r w:rsidR="00951FF2" w:rsidRPr="00D80D15">
        <w:t>, 2012</w:t>
      </w:r>
      <w:r w:rsidR="0022060C" w:rsidRPr="00D80D15">
        <w:t>,</w:t>
      </w:r>
      <w:r w:rsidR="00951FF2" w:rsidRPr="00D80D15">
        <w:t xml:space="preserve"> and 2013</w:t>
      </w:r>
      <w:r w:rsidRPr="00D80D15">
        <w:t xml:space="preserve">. </w:t>
      </w:r>
      <w:r w:rsidR="0022060C" w:rsidRPr="00D80D15">
        <w:t xml:space="preserve"> </w:t>
      </w:r>
      <w:r w:rsidR="00FD2D90" w:rsidRPr="00D80D15">
        <w:t>While the station’s overall financial situation of WCWF(TV) improve</w:t>
      </w:r>
      <w:r w:rsidR="00A26F32" w:rsidRPr="00D80D15">
        <w:t>d</w:t>
      </w:r>
      <w:r w:rsidR="00FD2D90" w:rsidRPr="00D80D15">
        <w:t xml:space="preserve"> from 2011 to 2013, the </w:t>
      </w:r>
      <w:r w:rsidR="00A26F32" w:rsidRPr="00D80D15">
        <w:t xml:space="preserve">overall </w:t>
      </w:r>
      <w:r w:rsidR="00FD2D90" w:rsidRPr="00D80D15">
        <w:t>financial condition of the station remained poor.</w:t>
      </w:r>
      <w:r w:rsidR="00725C76" w:rsidRPr="00D80D15">
        <w:rPr>
          <w:rStyle w:val="FootnoteReference"/>
          <w:szCs w:val="22"/>
        </w:rPr>
        <w:footnoteReference w:id="79"/>
      </w:r>
      <w:r w:rsidR="00725C76" w:rsidRPr="00D80D15">
        <w:t xml:space="preserve">  </w:t>
      </w:r>
      <w:r w:rsidR="0022060C" w:rsidRPr="00D80D15">
        <w:t xml:space="preserve">Post-Merger Media General </w:t>
      </w:r>
      <w:r w:rsidR="00FD2D90" w:rsidRPr="00D80D15">
        <w:t xml:space="preserve">submitted financial data for WCTX(TV), which also </w:t>
      </w:r>
      <w:r w:rsidR="00A26F32" w:rsidRPr="00D80D15">
        <w:t>showed</w:t>
      </w:r>
      <w:r w:rsidR="00FD2D90" w:rsidRPr="00D80D15">
        <w:t xml:space="preserve"> negative cash flow and net losses for calendar years 2011, 2012</w:t>
      </w:r>
      <w:r w:rsidR="0022060C" w:rsidRPr="00D80D15">
        <w:t>,</w:t>
      </w:r>
      <w:r w:rsidR="00FD2D90" w:rsidRPr="00D80D15">
        <w:t xml:space="preserve"> and 2013.   </w:t>
      </w:r>
      <w:r w:rsidR="00A26F32" w:rsidRPr="00D80D15">
        <w:t xml:space="preserve">Over this </w:t>
      </w:r>
      <w:r w:rsidR="003154CB" w:rsidRPr="00D80D15">
        <w:t>time period</w:t>
      </w:r>
      <w:r w:rsidR="00A26F32" w:rsidRPr="00D80D15">
        <w:t xml:space="preserve"> </w:t>
      </w:r>
      <w:r w:rsidR="0022060C" w:rsidRPr="00D80D15">
        <w:t xml:space="preserve">WCTX(TV) </w:t>
      </w:r>
      <w:r w:rsidR="00A26F32" w:rsidRPr="00D80D15">
        <w:t>has seen</w:t>
      </w:r>
      <w:r w:rsidR="0022060C" w:rsidRPr="00D80D15">
        <w:t xml:space="preserve"> mild</w:t>
      </w:r>
      <w:r w:rsidR="00A26F32" w:rsidRPr="00D80D15">
        <w:t xml:space="preserve"> improvement in some aspects of its finances, but overall the station’s financial</w:t>
      </w:r>
      <w:r w:rsidR="003154CB" w:rsidRPr="00D80D15">
        <w:t xml:space="preserve"> condition</w:t>
      </w:r>
      <w:r w:rsidR="00A26F32" w:rsidRPr="00D80D15">
        <w:t xml:space="preserve"> </w:t>
      </w:r>
      <w:r w:rsidR="0022060C" w:rsidRPr="00D80D15">
        <w:t>has remained</w:t>
      </w:r>
      <w:r w:rsidR="00A26F32" w:rsidRPr="00D80D15">
        <w:t xml:space="preserve"> poor.</w:t>
      </w:r>
      <w:r w:rsidR="00725C76" w:rsidRPr="00D80D15">
        <w:rPr>
          <w:rStyle w:val="FootnoteReference"/>
          <w:szCs w:val="22"/>
        </w:rPr>
        <w:footnoteReference w:id="80"/>
      </w:r>
      <w:r w:rsidR="00A26F32" w:rsidRPr="00D80D15">
        <w:t xml:space="preserve">   </w:t>
      </w:r>
      <w:r w:rsidR="00FD2D90" w:rsidRPr="00D80D15">
        <w:t xml:space="preserve"> </w:t>
      </w:r>
    </w:p>
    <w:p w14:paraId="3D4628E5" w14:textId="00AB6784" w:rsidR="00C45DED" w:rsidRPr="00D80D15" w:rsidRDefault="00C45DED" w:rsidP="00A82FCF">
      <w:pPr>
        <w:pStyle w:val="ParaNum"/>
        <w:rPr>
          <w:color w:val="010101"/>
        </w:rPr>
      </w:pPr>
      <w:r w:rsidRPr="00D80D15">
        <w:t xml:space="preserve">In furtherance of the third criterion, </w:t>
      </w:r>
      <w:r w:rsidR="003154CB" w:rsidRPr="00D80D15">
        <w:t xml:space="preserve">Sinclair </w:t>
      </w:r>
      <w:r w:rsidRPr="00D80D15">
        <w:t>contend</w:t>
      </w:r>
      <w:r w:rsidR="003154CB" w:rsidRPr="00D80D15">
        <w:t>s</w:t>
      </w:r>
      <w:r w:rsidRPr="00D80D15">
        <w:t xml:space="preserve"> that </w:t>
      </w:r>
      <w:r w:rsidR="003154CB" w:rsidRPr="00D80D15">
        <w:t>the waiver has benefited the public and that continuation of the waiver</w:t>
      </w:r>
      <w:r w:rsidR="0022060C" w:rsidRPr="00D80D15">
        <w:t xml:space="preserve"> to </w:t>
      </w:r>
      <w:r w:rsidR="00630FA6" w:rsidRPr="00D80D15">
        <w:t>the Commission’s</w:t>
      </w:r>
      <w:r w:rsidR="0022060C" w:rsidRPr="00D80D15">
        <w:t xml:space="preserve"> local TV ownership rules</w:t>
      </w:r>
      <w:r w:rsidR="003154CB" w:rsidRPr="00D80D15">
        <w:t xml:space="preserve"> will allow those benefits to continue.   </w:t>
      </w:r>
      <w:r w:rsidRPr="00D80D15">
        <w:t xml:space="preserve">In particular, </w:t>
      </w:r>
      <w:r w:rsidR="003154CB" w:rsidRPr="00D80D15">
        <w:t>Sinclair states that waiver has allowed</w:t>
      </w:r>
      <w:r w:rsidRPr="00D80D15">
        <w:t xml:space="preserve"> </w:t>
      </w:r>
      <w:r w:rsidR="003154CB" w:rsidRPr="00D80D15">
        <w:t>WCWF(TV) “to take advantage of programming resources, newsroom personnel, and financial strengths of [WLUK-TV] to deliver improved services that were not possible previously.”</w:t>
      </w:r>
      <w:r w:rsidR="003154CB" w:rsidRPr="00D80D15">
        <w:rPr>
          <w:rStyle w:val="FootnoteReference"/>
          <w:szCs w:val="22"/>
        </w:rPr>
        <w:footnoteReference w:id="81"/>
      </w:r>
      <w:r w:rsidR="003154CB" w:rsidRPr="00D80D15">
        <w:t xml:space="preserve">  </w:t>
      </w:r>
      <w:r w:rsidR="00725C76" w:rsidRPr="00D80D15">
        <w:t>T</w:t>
      </w:r>
      <w:r w:rsidR="00901D9D" w:rsidRPr="00D80D15">
        <w:t xml:space="preserve">he synergy provided by </w:t>
      </w:r>
      <w:r w:rsidR="00725C76" w:rsidRPr="00D80D15">
        <w:t xml:space="preserve">common ownership </w:t>
      </w:r>
      <w:r w:rsidR="00901D9D" w:rsidRPr="00D80D15">
        <w:t xml:space="preserve">has </w:t>
      </w:r>
      <w:r w:rsidR="0022060C" w:rsidRPr="00D80D15">
        <w:t>allowed</w:t>
      </w:r>
      <w:r w:rsidR="00901D9D" w:rsidRPr="00D80D15">
        <w:t xml:space="preserve"> WCWF(TV) to air locally-produced public interest programs including a weekly public affairs series examining local, state and federal issues; breaking news and weather updates by leveraging the news resources of WLUK-TV; quarterly town hall meetings; high school sports; and coverage of local community events.</w:t>
      </w:r>
      <w:r w:rsidRPr="00D80D15">
        <w:rPr>
          <w:rStyle w:val="FootnoteReference"/>
          <w:szCs w:val="22"/>
        </w:rPr>
        <w:footnoteReference w:id="82"/>
      </w:r>
      <w:r w:rsidRPr="00D80D15">
        <w:t xml:space="preserve">  </w:t>
      </w:r>
      <w:r w:rsidR="00901D9D" w:rsidRPr="00D80D15">
        <w:t>Sinclair comm</w:t>
      </w:r>
      <w:r w:rsidR="00C9720F">
        <w:t>its in its application to ensuring</w:t>
      </w:r>
      <w:r w:rsidR="00901D9D" w:rsidRPr="00D80D15">
        <w:t xml:space="preserve"> that the benefits LIN</w:t>
      </w:r>
      <w:r w:rsidR="00026BE9" w:rsidRPr="00D80D15">
        <w:t xml:space="preserve"> Media</w:t>
      </w:r>
      <w:r w:rsidR="00901D9D" w:rsidRPr="00D80D15">
        <w:t xml:space="preserve"> has delivered </w:t>
      </w:r>
      <w:r w:rsidR="00797D72" w:rsidRPr="00D80D15">
        <w:t>through</w:t>
      </w:r>
      <w:r w:rsidR="00901D9D" w:rsidRPr="00D80D15">
        <w:t xml:space="preserve"> common ownership of WCWF(TV) and WLUK-TV will </w:t>
      </w:r>
      <w:r w:rsidR="00026BE9" w:rsidRPr="00D80D15">
        <w:t>continue</w:t>
      </w:r>
      <w:r w:rsidR="00901D9D" w:rsidRPr="00D80D15">
        <w:t>.</w:t>
      </w:r>
      <w:r w:rsidR="00797D72" w:rsidRPr="00D80D15">
        <w:rPr>
          <w:rStyle w:val="FootnoteReference"/>
          <w:szCs w:val="22"/>
        </w:rPr>
        <w:footnoteReference w:id="83"/>
      </w:r>
      <w:r w:rsidR="00901D9D" w:rsidRPr="00D80D15">
        <w:t xml:space="preserve">  </w:t>
      </w:r>
      <w:r w:rsidR="0022060C" w:rsidRPr="00D80D15">
        <w:t>Based on the</w:t>
      </w:r>
      <w:r w:rsidR="00571040" w:rsidRPr="00D80D15">
        <w:t xml:space="preserve"> information provided, we believe that the “</w:t>
      </w:r>
      <w:r w:rsidR="00BB531C" w:rsidRPr="00D80D15">
        <w:t>failing</w:t>
      </w:r>
      <w:r w:rsidR="00571040" w:rsidRPr="00D80D15">
        <w:t>” station waiver has produced and will continue to produce public interest benefits.</w:t>
      </w:r>
    </w:p>
    <w:p w14:paraId="479B9ECD" w14:textId="1D53398E" w:rsidR="00797D72" w:rsidRPr="00D80D15" w:rsidRDefault="00901D9D" w:rsidP="00A82FCF">
      <w:pPr>
        <w:pStyle w:val="ParaNum"/>
        <w:rPr>
          <w:color w:val="010101"/>
        </w:rPr>
      </w:pPr>
      <w:r w:rsidRPr="00D80D15">
        <w:t xml:space="preserve">In regards </w:t>
      </w:r>
      <w:r w:rsidR="0022060C" w:rsidRPr="00D80D15">
        <w:t xml:space="preserve">to </w:t>
      </w:r>
      <w:r w:rsidRPr="00D80D15">
        <w:t>WCTX(TV), Post-</w:t>
      </w:r>
      <w:r w:rsidR="00026BE9" w:rsidRPr="00D80D15">
        <w:t xml:space="preserve">Merger </w:t>
      </w:r>
      <w:r w:rsidRPr="00D80D15">
        <w:t xml:space="preserve">Media General </w:t>
      </w:r>
      <w:r w:rsidR="00797D72" w:rsidRPr="00D80D15">
        <w:t xml:space="preserve">notes that “programming and operation </w:t>
      </w:r>
      <w:r w:rsidR="00DD6ECC" w:rsidRPr="00D80D15">
        <w:t>improvements</w:t>
      </w:r>
      <w:r w:rsidR="00797D72" w:rsidRPr="00D80D15">
        <w:t xml:space="preserve"> resulting </w:t>
      </w:r>
      <w:r w:rsidR="00DD6ECC" w:rsidRPr="00D80D15">
        <w:t>from</w:t>
      </w:r>
      <w:r w:rsidR="00797D72" w:rsidRPr="00D80D15">
        <w:t xml:space="preserve"> the stations’ historical common ownership will continue with a grant of the requested waiver.”</w:t>
      </w:r>
      <w:r w:rsidR="00DD6ECC" w:rsidRPr="00D80D15">
        <w:rPr>
          <w:rStyle w:val="FootnoteReference"/>
          <w:szCs w:val="22"/>
        </w:rPr>
        <w:footnoteReference w:id="84"/>
      </w:r>
      <w:r w:rsidR="00914B20" w:rsidRPr="00D80D15">
        <w:t xml:space="preserve">  WCTX(TV), which was previously unbuilt, </w:t>
      </w:r>
      <w:r w:rsidR="002F1706" w:rsidRPr="00D80D15">
        <w:t>now airs</w:t>
      </w:r>
      <w:r w:rsidR="00914B20" w:rsidRPr="00D80D15">
        <w:t xml:space="preserve"> local news and weat</w:t>
      </w:r>
      <w:r w:rsidR="00C9720F">
        <w:t>her programing including a hour-</w:t>
      </w:r>
      <w:r w:rsidR="00914B20" w:rsidRPr="00D80D15">
        <w:t xml:space="preserve">long live news broadcast at 10:00pm every night, breaking news, specials, and local program affairs programming such as the Governor’s State of the State </w:t>
      </w:r>
      <w:r w:rsidR="002F1706" w:rsidRPr="00D80D15">
        <w:t>address</w:t>
      </w:r>
      <w:r w:rsidR="00914B20" w:rsidRPr="00D80D15">
        <w:t>.</w:t>
      </w:r>
      <w:r w:rsidR="002F1706" w:rsidRPr="00D80D15">
        <w:rPr>
          <w:rStyle w:val="FootnoteReference"/>
          <w:szCs w:val="22"/>
        </w:rPr>
        <w:footnoteReference w:id="85"/>
      </w:r>
      <w:r w:rsidR="00914B20" w:rsidRPr="00D80D15">
        <w:t xml:space="preserve">  As part of its ni</w:t>
      </w:r>
      <w:r w:rsidR="0022060C" w:rsidRPr="00D80D15">
        <w:t>ghtly newscast</w:t>
      </w:r>
      <w:r w:rsidR="00026BE9" w:rsidRPr="00D80D15">
        <w:t>,</w:t>
      </w:r>
      <w:r w:rsidR="0022060C" w:rsidRPr="00D80D15">
        <w:t xml:space="preserve"> WCTX(TV)</w:t>
      </w:r>
      <w:r w:rsidR="00914B20" w:rsidRPr="00D80D15">
        <w:t xml:space="preserve"> airs its exclusive ‘SportzEdge’ sports programming</w:t>
      </w:r>
      <w:r w:rsidR="002F1706" w:rsidRPr="00D80D15">
        <w:t xml:space="preserve"> segment</w:t>
      </w:r>
      <w:r w:rsidR="0022060C" w:rsidRPr="00D80D15">
        <w:t xml:space="preserve">.  This segment </w:t>
      </w:r>
      <w:r w:rsidR="00914B20" w:rsidRPr="00D80D15">
        <w:t xml:space="preserve">provides “health, education, and other insights to viewers with </w:t>
      </w:r>
      <w:r w:rsidR="002F1706" w:rsidRPr="00D80D15">
        <w:t xml:space="preserve">interest in sports” and also engages </w:t>
      </w:r>
      <w:r w:rsidR="0022060C" w:rsidRPr="00D80D15">
        <w:t xml:space="preserve">with </w:t>
      </w:r>
      <w:r w:rsidR="002F1706" w:rsidRPr="00D80D15">
        <w:t xml:space="preserve">the local community directly by sponsoring local </w:t>
      </w:r>
      <w:r w:rsidR="0022060C" w:rsidRPr="00D80D15">
        <w:t xml:space="preserve">sports </w:t>
      </w:r>
      <w:r w:rsidR="002F1706" w:rsidRPr="00D80D15">
        <w:t>equipment drives.</w:t>
      </w:r>
      <w:r w:rsidR="002F1706" w:rsidRPr="00D80D15">
        <w:rPr>
          <w:rStyle w:val="FootnoteReference"/>
          <w:szCs w:val="22"/>
        </w:rPr>
        <w:footnoteReference w:id="86"/>
      </w:r>
      <w:r w:rsidR="002F1706" w:rsidRPr="00D80D15">
        <w:t xml:space="preserve">  Post-</w:t>
      </w:r>
      <w:r w:rsidR="00026BE9" w:rsidRPr="00D80D15">
        <w:t xml:space="preserve">Merger </w:t>
      </w:r>
      <w:r w:rsidR="002F1706" w:rsidRPr="00D80D15">
        <w:t>Media General also highlights the “</w:t>
      </w:r>
      <w:r w:rsidR="00914B20" w:rsidRPr="00D80D15">
        <w:t>substantial investment</w:t>
      </w:r>
      <w:r w:rsidR="002F1706" w:rsidRPr="00D80D15">
        <w:t>s” that LIN</w:t>
      </w:r>
      <w:r w:rsidR="00026BE9" w:rsidRPr="00D80D15">
        <w:t xml:space="preserve"> Media</w:t>
      </w:r>
      <w:r w:rsidR="002F1706" w:rsidRPr="00D80D15">
        <w:t xml:space="preserve"> has made in the operations and infrastructure</w:t>
      </w:r>
      <w:r w:rsidR="0022060C" w:rsidRPr="00D80D15">
        <w:t xml:space="preserve"> of</w:t>
      </w:r>
      <w:r w:rsidR="002F1706" w:rsidRPr="00D80D15">
        <w:t xml:space="preserve"> </w:t>
      </w:r>
      <w:r w:rsidR="00914B20" w:rsidRPr="00D80D15">
        <w:t>WCTX(TV)</w:t>
      </w:r>
      <w:r w:rsidR="0022060C" w:rsidRPr="00D80D15">
        <w:t xml:space="preserve">, investments made possible only through the </w:t>
      </w:r>
      <w:r w:rsidR="002F1706" w:rsidRPr="00D80D15">
        <w:t>common ownership with WTNH(TV).</w:t>
      </w:r>
      <w:r w:rsidR="002F1706" w:rsidRPr="00D80D15">
        <w:rPr>
          <w:rStyle w:val="FootnoteReference"/>
          <w:szCs w:val="22"/>
        </w:rPr>
        <w:footnoteReference w:id="87"/>
      </w:r>
      <w:r w:rsidR="002F1706" w:rsidRPr="00D80D15">
        <w:t xml:space="preserve">  In light of the evidence provided, we find that continued common ownership of WCTX(TV) and WTNH(TV) will continue to yield significant public interest benefits.</w:t>
      </w:r>
    </w:p>
    <w:p w14:paraId="3827EE7F" w14:textId="74247B10" w:rsidR="000E416F" w:rsidRPr="00D80D15" w:rsidRDefault="00E9723B" w:rsidP="00A82FCF">
      <w:pPr>
        <w:pStyle w:val="ParaNum"/>
        <w:rPr>
          <w:color w:val="010101"/>
        </w:rPr>
      </w:pPr>
      <w:r w:rsidRPr="00D80D15">
        <w:t>In furtherance of demonstrating compliance with the fourth criterion, b</w:t>
      </w:r>
      <w:r w:rsidR="002F1706" w:rsidRPr="00D80D15">
        <w:t>oth Sinclair and Post-Merger Media General</w:t>
      </w:r>
      <w:r w:rsidRPr="00D80D15">
        <w:t xml:space="preserve"> have submitted letters written by</w:t>
      </w:r>
      <w:r w:rsidR="00C45DED" w:rsidRPr="00D80D15">
        <w:t xml:space="preserve"> </w:t>
      </w:r>
      <w:r w:rsidRPr="00D80D15">
        <w:t xml:space="preserve">W. </w:t>
      </w:r>
      <w:r w:rsidR="00D25220" w:rsidRPr="00D80D15">
        <w:t>Lawrence</w:t>
      </w:r>
      <w:r w:rsidRPr="00D80D15">
        <w:t xml:space="preserve"> Patrick, Managing Partner of Patrick Communications, </w:t>
      </w:r>
      <w:r w:rsidR="00C45DED" w:rsidRPr="00D80D15">
        <w:t xml:space="preserve">a media brokerage firm with over 40 years of </w:t>
      </w:r>
      <w:r w:rsidR="004B293F" w:rsidRPr="00D80D15">
        <w:t>experience</w:t>
      </w:r>
      <w:r w:rsidRPr="00D80D15">
        <w:t>.</w:t>
      </w:r>
      <w:r w:rsidR="00026BE9" w:rsidRPr="00D80D15">
        <w:rPr>
          <w:rStyle w:val="FootnoteReference"/>
          <w:szCs w:val="22"/>
        </w:rPr>
        <w:footnoteReference w:id="88"/>
      </w:r>
      <w:r w:rsidRPr="00D80D15">
        <w:t xml:space="preserve">  </w:t>
      </w:r>
      <w:r w:rsidR="00810A6D" w:rsidRPr="00D80D15">
        <w:t xml:space="preserve">Mr. Patrick states that he has previously </w:t>
      </w:r>
      <w:r w:rsidR="004B293F" w:rsidRPr="00D80D15">
        <w:t>brokered</w:t>
      </w:r>
      <w:r w:rsidR="000C4E1E" w:rsidRPr="00D80D15">
        <w:t xml:space="preserve"> station</w:t>
      </w:r>
      <w:r w:rsidR="00810A6D" w:rsidRPr="00D80D15">
        <w:t xml:space="preserve"> sales in both the</w:t>
      </w:r>
      <w:r w:rsidR="000C4E1E" w:rsidRPr="00D80D15">
        <w:t xml:space="preserve"> Hartford-</w:t>
      </w:r>
      <w:r w:rsidR="00810A6D" w:rsidRPr="00D80D15">
        <w:t xml:space="preserve">New Haven DMA and Green Bay-Appleton DMA.  </w:t>
      </w:r>
      <w:r w:rsidR="000C4E1E" w:rsidRPr="00D80D15">
        <w:t>In his</w:t>
      </w:r>
      <w:r w:rsidR="00810A6D" w:rsidRPr="00D80D15">
        <w:t xml:space="preserve"> letters </w:t>
      </w:r>
      <w:r w:rsidRPr="00D80D15">
        <w:t>Mr. Patrick “opine</w:t>
      </w:r>
      <w:r w:rsidR="00810A6D" w:rsidRPr="00D80D15">
        <w:t>s</w:t>
      </w:r>
      <w:r w:rsidRPr="00D80D15">
        <w:t>” on whether continued ownership of WCWF(TV)</w:t>
      </w:r>
      <w:r w:rsidR="000C4E1E" w:rsidRPr="00D80D15">
        <w:t xml:space="preserve"> by Sinclair</w:t>
      </w:r>
      <w:r w:rsidRPr="00D80D15">
        <w:t xml:space="preserve"> and WCTX(TV) </w:t>
      </w:r>
      <w:r w:rsidR="000C4E1E" w:rsidRPr="00D80D15">
        <w:t xml:space="preserve">by Post-Merger Media General </w:t>
      </w:r>
      <w:r w:rsidRPr="00D80D15">
        <w:t xml:space="preserve">is </w:t>
      </w:r>
      <w:r w:rsidR="004B293F" w:rsidRPr="00D80D15">
        <w:t>appropriate</w:t>
      </w:r>
      <w:r w:rsidRPr="00D80D15">
        <w:t xml:space="preserve"> under the fourth criterion of the </w:t>
      </w:r>
      <w:r w:rsidR="004B293F" w:rsidRPr="00D80D15">
        <w:t>Commission’s</w:t>
      </w:r>
      <w:r w:rsidRPr="00D80D15">
        <w:t xml:space="preserve"> </w:t>
      </w:r>
      <w:r w:rsidR="00D80D15" w:rsidRPr="00D80D15">
        <w:t>“</w:t>
      </w:r>
      <w:r w:rsidRPr="00D80D15">
        <w:t>failing</w:t>
      </w:r>
      <w:r w:rsidR="00D80D15" w:rsidRPr="00D80D15">
        <w:t>”</w:t>
      </w:r>
      <w:r w:rsidRPr="00D80D15">
        <w:t xml:space="preserve"> station waiver analysis.</w:t>
      </w:r>
      <w:r w:rsidR="000E2014" w:rsidRPr="00D80D15">
        <w:t xml:space="preserve">  </w:t>
      </w:r>
      <w:r w:rsidR="00810A6D" w:rsidRPr="00D80D15">
        <w:t xml:space="preserve">In </w:t>
      </w:r>
      <w:r w:rsidR="004B293F" w:rsidRPr="00D80D15">
        <w:t>both</w:t>
      </w:r>
      <w:r w:rsidR="00810A6D" w:rsidRPr="00D80D15">
        <w:t xml:space="preserve"> cases he concludes that </w:t>
      </w:r>
      <w:r w:rsidR="000E416F" w:rsidRPr="00D80D15">
        <w:t xml:space="preserve">“no </w:t>
      </w:r>
      <w:r w:rsidR="004B293F" w:rsidRPr="00D80D15">
        <w:t>knowledgeable</w:t>
      </w:r>
      <w:r w:rsidR="000E416F" w:rsidRPr="00D80D15">
        <w:t xml:space="preserve"> and experienced television operator could be found that would provide a viable [standalone] full service operation…and that an effort to find a qualified out of market buyer would either be fruitless or at a very depressed price.”</w:t>
      </w:r>
      <w:r w:rsidR="004B293F" w:rsidRPr="00D80D15">
        <w:rPr>
          <w:rStyle w:val="FootnoteReference"/>
          <w:szCs w:val="22"/>
        </w:rPr>
        <w:footnoteReference w:id="89"/>
      </w:r>
      <w:r w:rsidR="000E416F" w:rsidRPr="00D80D15">
        <w:t xml:space="preserve">  </w:t>
      </w:r>
      <w:r w:rsidR="004B293F" w:rsidRPr="00D80D15">
        <w:rPr>
          <w:bCs/>
        </w:rPr>
        <w:t xml:space="preserve">Although we do not generally accept predictive judgments by brokers or analysts, we find Mr. </w:t>
      </w:r>
      <w:r w:rsidR="0029422B" w:rsidRPr="00D80D15">
        <w:rPr>
          <w:bCs/>
        </w:rPr>
        <w:t>Patrick’s</w:t>
      </w:r>
      <w:r w:rsidR="004B293F" w:rsidRPr="00D80D15">
        <w:rPr>
          <w:bCs/>
        </w:rPr>
        <w:t xml:space="preserve"> letter</w:t>
      </w:r>
      <w:r w:rsidR="0029422B" w:rsidRPr="00D80D15">
        <w:rPr>
          <w:bCs/>
        </w:rPr>
        <w:t>s</w:t>
      </w:r>
      <w:r w:rsidR="004B293F" w:rsidRPr="00D80D15">
        <w:rPr>
          <w:bCs/>
        </w:rPr>
        <w:t xml:space="preserve"> to be sufficient based on his examination of actual in-market data, analysis of previous attempts to sell WCWF(TV), and </w:t>
      </w:r>
      <w:r w:rsidR="00C60AFE" w:rsidRPr="00D80D15">
        <w:rPr>
          <w:bCs/>
        </w:rPr>
        <w:t>in the case of WCTX(TV) an evaluation of similarly</w:t>
      </w:r>
      <w:r w:rsidR="004B293F" w:rsidRPr="00D80D15">
        <w:rPr>
          <w:bCs/>
        </w:rPr>
        <w:t xml:space="preserve"> situated out-of-market station sales over a substantial period of time.</w:t>
      </w:r>
    </w:p>
    <w:p w14:paraId="6EF557AC" w14:textId="0387F108" w:rsidR="00EB2ED3" w:rsidRPr="00D80D15" w:rsidRDefault="000E416F" w:rsidP="00A82FCF">
      <w:pPr>
        <w:pStyle w:val="ParaNum"/>
        <w:rPr>
          <w:color w:val="010101"/>
        </w:rPr>
      </w:pPr>
      <w:r w:rsidRPr="00D80D15">
        <w:t xml:space="preserve">With regards to WCWF(TV), </w:t>
      </w:r>
      <w:r w:rsidR="00C60AFE" w:rsidRPr="00D80D15">
        <w:t xml:space="preserve">Mr. </w:t>
      </w:r>
      <w:r w:rsidR="0029422B" w:rsidRPr="00D80D15">
        <w:t>Patrick</w:t>
      </w:r>
      <w:r w:rsidRPr="00D80D15">
        <w:t xml:space="preserve"> highlights</w:t>
      </w:r>
      <w:r w:rsidR="000C4E1E" w:rsidRPr="00D80D15">
        <w:t xml:space="preserve"> the</w:t>
      </w:r>
      <w:r w:rsidRPr="00D80D15">
        <w:t xml:space="preserve"> competitive nature of the Green Bay-Appleton DMA</w:t>
      </w:r>
      <w:r w:rsidR="004B293F" w:rsidRPr="00D80D15">
        <w:t xml:space="preserve">, in which the top </w:t>
      </w:r>
      <w:r w:rsidR="00C60AFE" w:rsidRPr="00D80D15">
        <w:t xml:space="preserve">three </w:t>
      </w:r>
      <w:r w:rsidR="004B293F" w:rsidRPr="00D80D15">
        <w:t xml:space="preserve">stations </w:t>
      </w:r>
      <w:r w:rsidR="000C4E1E" w:rsidRPr="00D80D15">
        <w:t>make-up</w:t>
      </w:r>
      <w:r w:rsidR="004B293F" w:rsidRPr="00D80D15">
        <w:t xml:space="preserve"> three-quarters of the </w:t>
      </w:r>
      <w:r w:rsidR="0029422B" w:rsidRPr="00D80D15">
        <w:t xml:space="preserve">total </w:t>
      </w:r>
      <w:r w:rsidR="004B293F" w:rsidRPr="00D80D15">
        <w:t>revenue</w:t>
      </w:r>
      <w:r w:rsidR="000C4E1E" w:rsidRPr="00D80D15">
        <w:t xml:space="preserve"> share</w:t>
      </w:r>
      <w:r w:rsidR="004B293F" w:rsidRPr="00D80D15">
        <w:t xml:space="preserve"> in the DMA</w:t>
      </w:r>
      <w:r w:rsidR="00C60AFE" w:rsidRPr="00D80D15">
        <w:t xml:space="preserve">.  </w:t>
      </w:r>
      <w:r w:rsidR="002B274E" w:rsidRPr="00D80D15">
        <w:t>In contrast, W</w:t>
      </w:r>
      <w:r w:rsidRPr="00D80D15">
        <w:t xml:space="preserve">CWF(TV), </w:t>
      </w:r>
      <w:r w:rsidR="004B293F" w:rsidRPr="00D80D15">
        <w:t>a CW Network affiliate, has the second lowest revenue share in the market</w:t>
      </w:r>
      <w:r w:rsidR="0029422B" w:rsidRPr="00D80D15">
        <w:t xml:space="preserve"> and</w:t>
      </w:r>
      <w:r w:rsidR="00C60AFE" w:rsidRPr="00D80D15">
        <w:t xml:space="preserve"> would </w:t>
      </w:r>
      <w:r w:rsidR="0029422B" w:rsidRPr="00D80D15">
        <w:t xml:space="preserve">therefore </w:t>
      </w:r>
      <w:r w:rsidR="00C60AFE" w:rsidRPr="00D80D15">
        <w:t>not be able to produce revenues sufficient to support standalone operations</w:t>
      </w:r>
      <w:r w:rsidR="00D25220" w:rsidRPr="00D80D15">
        <w:t xml:space="preserve"> in this market.</w:t>
      </w:r>
      <w:r w:rsidR="0029422B" w:rsidRPr="00D80D15">
        <w:rPr>
          <w:rStyle w:val="FootnoteReference"/>
          <w:szCs w:val="22"/>
        </w:rPr>
        <w:footnoteReference w:id="90"/>
      </w:r>
      <w:r w:rsidR="00C60AFE" w:rsidRPr="00D80D15">
        <w:t xml:space="preserve">  Mr. </w:t>
      </w:r>
      <w:r w:rsidR="004B293F" w:rsidRPr="00D80D15">
        <w:t>P</w:t>
      </w:r>
      <w:r w:rsidR="00C60AFE" w:rsidRPr="00D80D15">
        <w:t xml:space="preserve">atrick also states that marketing WCWF(TV) </w:t>
      </w:r>
      <w:r w:rsidR="00EB2ED3" w:rsidRPr="00D80D15">
        <w:t xml:space="preserve">would be </w:t>
      </w:r>
      <w:r w:rsidR="0029422B" w:rsidRPr="00D80D15">
        <w:t>extremely</w:t>
      </w:r>
      <w:r w:rsidR="00EB2ED3" w:rsidRPr="00D80D15">
        <w:t xml:space="preserve"> difficult and that in light of the costs associated with marketing a station and low probability of success he would actually decline such a listing.</w:t>
      </w:r>
      <w:r w:rsidR="0029422B" w:rsidRPr="00D80D15">
        <w:rPr>
          <w:rStyle w:val="FootnoteReference"/>
          <w:szCs w:val="22"/>
        </w:rPr>
        <w:footnoteReference w:id="91"/>
      </w:r>
      <w:r w:rsidR="00EB2ED3" w:rsidRPr="00D80D15">
        <w:t xml:space="preserve">  In support of his conte</w:t>
      </w:r>
      <w:r w:rsidR="00C9720F">
        <w:t>ntion that finding a viable out-</w:t>
      </w:r>
      <w:r w:rsidR="00EB2ED3" w:rsidRPr="00D80D15">
        <w:t>of</w:t>
      </w:r>
      <w:r w:rsidR="00C9720F">
        <w:t>-m</w:t>
      </w:r>
      <w:r w:rsidR="00EB2ED3" w:rsidRPr="00D80D15">
        <w:t>arket buyer is unlikely, Mr. Patrick points to efforts that were undertaken between 2007 and 2010 to sell WCWF(TV).  He notes that during that three year period the station was “</w:t>
      </w:r>
      <w:r w:rsidR="0029422B" w:rsidRPr="00D80D15">
        <w:t>aggressively</w:t>
      </w:r>
      <w:r w:rsidR="00EB2ED3" w:rsidRPr="00D80D15">
        <w:t xml:space="preserve"> marketed,” but efforts to sell the station were </w:t>
      </w:r>
      <w:r w:rsidR="0029422B" w:rsidRPr="00D80D15">
        <w:t>ultimately</w:t>
      </w:r>
      <w:r w:rsidR="00EB2ED3" w:rsidRPr="00D80D15">
        <w:t xml:space="preserve"> unsuccessful.  He goes on to contend that the “the station’s circumstances have not </w:t>
      </w:r>
      <w:r w:rsidR="0029422B" w:rsidRPr="00D80D15">
        <w:t>improved</w:t>
      </w:r>
      <w:r w:rsidR="00EB2ED3" w:rsidRPr="00D80D15">
        <w:t xml:space="preserve"> since then,” and that undertaking efforts to sell the station today would be “prohibitive.”</w:t>
      </w:r>
      <w:r w:rsidR="00C45DED" w:rsidRPr="00D80D15">
        <w:t xml:space="preserve">  </w:t>
      </w:r>
      <w:r w:rsidR="008E1069" w:rsidRPr="00D80D15">
        <w:t>If a buyer was found it would only be at a very depressed price.</w:t>
      </w:r>
      <w:r w:rsidR="008E1069" w:rsidRPr="00D80D15">
        <w:rPr>
          <w:rStyle w:val="FootnoteReference"/>
          <w:szCs w:val="22"/>
        </w:rPr>
        <w:footnoteReference w:id="92"/>
      </w:r>
    </w:p>
    <w:p w14:paraId="55316402" w14:textId="77777777" w:rsidR="000E2014" w:rsidRPr="00D80D15" w:rsidRDefault="00520019" w:rsidP="00A82FCF">
      <w:pPr>
        <w:pStyle w:val="ParaNum"/>
        <w:rPr>
          <w:color w:val="010101"/>
        </w:rPr>
      </w:pPr>
      <w:r w:rsidRPr="00D80D15">
        <w:t>In a separate letter</w:t>
      </w:r>
      <w:r w:rsidR="008B295D" w:rsidRPr="00D80D15">
        <w:t>,</w:t>
      </w:r>
      <w:r w:rsidRPr="00D80D15">
        <w:t xml:space="preserve"> Mr. Patrick examines WCTX(TV), which is located in the Hartford-New Haven DMA.  </w:t>
      </w:r>
      <w:r w:rsidR="008B295D" w:rsidRPr="00D80D15">
        <w:t xml:space="preserve">He once again </w:t>
      </w:r>
      <w:r w:rsidRPr="00D80D15">
        <w:t>highlights the competitive landscape of the DMA, in which he contends that the CBS affiliate “dominates” the market</w:t>
      </w:r>
      <w:r w:rsidR="0008261C" w:rsidRPr="00D80D15">
        <w:t xml:space="preserve"> </w:t>
      </w:r>
      <w:r w:rsidR="00D25220" w:rsidRPr="00D80D15">
        <w:t xml:space="preserve">with approximately one-third of the total revenue share.  Over half of the remaining revenue share is split </w:t>
      </w:r>
      <w:r w:rsidR="0008261C" w:rsidRPr="00D80D15">
        <w:t xml:space="preserve">between </w:t>
      </w:r>
      <w:r w:rsidRPr="00D80D15">
        <w:t xml:space="preserve">the NBC and ABC </w:t>
      </w:r>
      <w:r w:rsidR="0008261C" w:rsidRPr="00D80D15">
        <w:t>affiliate</w:t>
      </w:r>
      <w:r w:rsidRPr="00D80D15">
        <w:t xml:space="preserve"> (WTNH(TV)).  WCTX(TV), a My Network affiliate, has the third lowest revenue share in the market with a three percent share of revenue, which Mr. Patrick contends is not sufficient </w:t>
      </w:r>
      <w:r w:rsidR="00D25220" w:rsidRPr="00D80D15">
        <w:t xml:space="preserve">to support a </w:t>
      </w:r>
      <w:r w:rsidRPr="00D80D15">
        <w:t>standalone operation</w:t>
      </w:r>
      <w:r w:rsidR="00D25220" w:rsidRPr="00D80D15">
        <w:t xml:space="preserve"> in the DMA.</w:t>
      </w:r>
      <w:r w:rsidR="00D25220" w:rsidRPr="00D80D15">
        <w:rPr>
          <w:rStyle w:val="FootnoteReference"/>
          <w:szCs w:val="22"/>
        </w:rPr>
        <w:footnoteReference w:id="93"/>
      </w:r>
      <w:r w:rsidR="00D25220" w:rsidRPr="00D80D15">
        <w:t xml:space="preserve">  </w:t>
      </w:r>
      <w:r w:rsidRPr="00D80D15">
        <w:t xml:space="preserve">Mr. Patrick also asserts that </w:t>
      </w:r>
      <w:r w:rsidR="0008261C" w:rsidRPr="00D80D15">
        <w:t xml:space="preserve">he would </w:t>
      </w:r>
      <w:r w:rsidR="00D25220" w:rsidRPr="00D80D15">
        <w:t xml:space="preserve">decline </w:t>
      </w:r>
      <w:r w:rsidR="0008261C" w:rsidRPr="00D80D15">
        <w:t>listing</w:t>
      </w:r>
      <w:r w:rsidR="00D25220" w:rsidRPr="00D80D15">
        <w:t xml:space="preserve"> WCTX(TV)</w:t>
      </w:r>
      <w:r w:rsidR="0008261C" w:rsidRPr="00D80D15">
        <w:t xml:space="preserve"> because of the low likelihood of success</w:t>
      </w:r>
      <w:r w:rsidR="00D25220" w:rsidRPr="00D80D15">
        <w:t xml:space="preserve"> resulting from the p</w:t>
      </w:r>
      <w:r w:rsidR="008B295D" w:rsidRPr="00D80D15">
        <w:t xml:space="preserve">oor position of the station in </w:t>
      </w:r>
      <w:r w:rsidR="00D25220" w:rsidRPr="00D80D15">
        <w:t>market</w:t>
      </w:r>
      <w:r w:rsidR="008B295D" w:rsidRPr="00D80D15">
        <w:t>, a l</w:t>
      </w:r>
      <w:r w:rsidR="00D25220" w:rsidRPr="00D80D15">
        <w:t>ack of additional programming</w:t>
      </w:r>
      <w:r w:rsidR="008B295D" w:rsidRPr="00D80D15">
        <w:t xml:space="preserve"> the station could obtain</w:t>
      </w:r>
      <w:r w:rsidR="00D25220" w:rsidRPr="00D80D15">
        <w:t xml:space="preserve">, </w:t>
      </w:r>
      <w:r w:rsidR="008B295D" w:rsidRPr="00D80D15">
        <w:t xml:space="preserve">and the </w:t>
      </w:r>
      <w:r w:rsidR="0008261C" w:rsidRPr="00D80D15">
        <w:t xml:space="preserve">costs </w:t>
      </w:r>
      <w:r w:rsidR="008B295D" w:rsidRPr="00D80D15">
        <w:t>associated with</w:t>
      </w:r>
      <w:r w:rsidR="0008261C" w:rsidRPr="00D80D15">
        <w:t xml:space="preserve"> marketing a station sale</w:t>
      </w:r>
      <w:r w:rsidRPr="00D80D15">
        <w:t>.</w:t>
      </w:r>
      <w:r w:rsidRPr="00D80D15">
        <w:rPr>
          <w:rStyle w:val="FootnoteReference"/>
          <w:szCs w:val="22"/>
        </w:rPr>
        <w:footnoteReference w:id="94"/>
      </w:r>
      <w:r w:rsidRPr="00D80D15">
        <w:t xml:space="preserve">  </w:t>
      </w:r>
      <w:r w:rsidR="0008261C" w:rsidRPr="00D80D15">
        <w:t xml:space="preserve"> While there is no evidence that any active attempts have been made to sell WCTX(TV), Mr. Patrick provide</w:t>
      </w:r>
      <w:r w:rsidR="008B295D" w:rsidRPr="00D80D15">
        <w:t>s</w:t>
      </w:r>
      <w:r w:rsidR="0008261C" w:rsidRPr="00D80D15">
        <w:t xml:space="preserve"> actual out-of-market sales data evaluating </w:t>
      </w:r>
      <w:r w:rsidR="00C45DED" w:rsidRPr="00D80D15">
        <w:t xml:space="preserve">station sales from </w:t>
      </w:r>
      <w:r w:rsidR="0008261C" w:rsidRPr="00D80D15">
        <w:t xml:space="preserve">the </w:t>
      </w:r>
      <w:r w:rsidR="00C45DED" w:rsidRPr="00D80D15">
        <w:t>top 50 DMAs</w:t>
      </w:r>
      <w:r w:rsidR="0008261C" w:rsidRPr="00D80D15">
        <w:t xml:space="preserve"> since 2009 (the subject DMA is ranked number 30).  Mr. Patrick’s letter states that “there were no </w:t>
      </w:r>
      <w:r w:rsidR="00C45DED" w:rsidRPr="00D80D15">
        <w:t xml:space="preserve">instances of an out-of-market buyer purchasing a standalone </w:t>
      </w:r>
      <w:r w:rsidR="0008261C" w:rsidRPr="00D80D15">
        <w:t>My Network</w:t>
      </w:r>
      <w:r w:rsidR="00C45DED" w:rsidRPr="00D80D15">
        <w:t xml:space="preserve"> affiliate,</w:t>
      </w:r>
      <w:r w:rsidR="0008261C" w:rsidRPr="00D80D15">
        <w:t xml:space="preserve">” and </w:t>
      </w:r>
      <w:r w:rsidR="00C45DED" w:rsidRPr="00D80D15">
        <w:t xml:space="preserve">“[t]he </w:t>
      </w:r>
      <w:r w:rsidR="0008261C" w:rsidRPr="00D80D15">
        <w:t>My Network</w:t>
      </w:r>
      <w:r w:rsidR="00C45DED" w:rsidRPr="00D80D15">
        <w:t xml:space="preserve"> affiliates </w:t>
      </w:r>
      <w:r w:rsidR="0008261C" w:rsidRPr="00D80D15">
        <w:t xml:space="preserve">that were </w:t>
      </w:r>
      <w:r w:rsidR="00C45DED" w:rsidRPr="00D80D15">
        <w:t>sold were purchased by an in-</w:t>
      </w:r>
      <w:r w:rsidR="0008261C" w:rsidRPr="00D80D15">
        <w:t>market-</w:t>
      </w:r>
      <w:r w:rsidR="00C45DED" w:rsidRPr="00D80D15">
        <w:t>buyer or by an entity with a Shared Services Agreement or a Joint Services Agreement in place with another station in the market.”</w:t>
      </w:r>
      <w:r w:rsidR="00C45DED" w:rsidRPr="00D80D15">
        <w:rPr>
          <w:rStyle w:val="FootnoteReference"/>
          <w:szCs w:val="22"/>
        </w:rPr>
        <w:footnoteReference w:id="95"/>
      </w:r>
    </w:p>
    <w:p w14:paraId="62D68AC0" w14:textId="77777777" w:rsidR="00C45DED" w:rsidRPr="00D80D15" w:rsidRDefault="00C45DED" w:rsidP="00A82FCF">
      <w:pPr>
        <w:pStyle w:val="ParaNum"/>
        <w:rPr>
          <w:color w:val="010101"/>
        </w:rPr>
      </w:pPr>
      <w:r w:rsidRPr="00D80D15">
        <w:t>A station’s qualification for a “</w:t>
      </w:r>
      <w:r w:rsidR="00BB531C" w:rsidRPr="00D80D15">
        <w:t>failing</w:t>
      </w:r>
      <w:r w:rsidRPr="00D80D15">
        <w:t>” station waiver is reviewed on a “case-by-case basis.”</w:t>
      </w:r>
      <w:r w:rsidRPr="00D80D15">
        <w:rPr>
          <w:rStyle w:val="FootnoteReference"/>
          <w:szCs w:val="22"/>
        </w:rPr>
        <w:footnoteReference w:id="96"/>
      </w:r>
      <w:r w:rsidRPr="00D80D15">
        <w:t xml:space="preserve">  Based on the totality of the circumstances and the unique structure of this individual transaction,</w:t>
      </w:r>
      <w:r w:rsidRPr="00D80D15">
        <w:rPr>
          <w:rStyle w:val="FootnoteReference"/>
          <w:szCs w:val="22"/>
        </w:rPr>
        <w:footnoteReference w:id="97"/>
      </w:r>
      <w:r w:rsidRPr="00D80D15">
        <w:t xml:space="preserve"> we find the Applicants have made an adequate showing.  </w:t>
      </w:r>
      <w:r w:rsidR="00DD6ECC" w:rsidRPr="00D80D15">
        <w:rPr>
          <w:bCs/>
        </w:rPr>
        <w:t>Mr</w:t>
      </w:r>
      <w:r w:rsidR="0087001F" w:rsidRPr="00D80D15">
        <w:rPr>
          <w:bCs/>
        </w:rPr>
        <w:t>.</w:t>
      </w:r>
      <w:r w:rsidR="00DD6ECC" w:rsidRPr="00D80D15">
        <w:rPr>
          <w:bCs/>
        </w:rPr>
        <w:t xml:space="preserve"> Patrick’s</w:t>
      </w:r>
      <w:r w:rsidRPr="00D80D15">
        <w:rPr>
          <w:bCs/>
        </w:rPr>
        <w:t xml:space="preserve"> </w:t>
      </w:r>
      <w:r w:rsidRPr="00D80D15">
        <w:t xml:space="preserve">evaluation is indicative of the due diligence that a </w:t>
      </w:r>
      <w:r w:rsidR="002E17EC" w:rsidRPr="00D80D15">
        <w:t>licensee customarily</w:t>
      </w:r>
      <w:r w:rsidR="007772E4" w:rsidRPr="00D80D15">
        <w:t xml:space="preserve"> </w:t>
      </w:r>
      <w:r w:rsidRPr="00D80D15">
        <w:t>engage</w:t>
      </w:r>
      <w:r w:rsidR="007772E4" w:rsidRPr="00D80D15">
        <w:t>s</w:t>
      </w:r>
      <w:r w:rsidRPr="00D80D15">
        <w:t xml:space="preserve"> in when they are actively determining the feasibility of </w:t>
      </w:r>
      <w:r w:rsidR="0087001F" w:rsidRPr="00D80D15">
        <w:t>selling</w:t>
      </w:r>
      <w:r w:rsidRPr="00D80D15">
        <w:t xml:space="preserve"> a station.  No</w:t>
      </w:r>
      <w:r w:rsidR="00903487" w:rsidRPr="00D80D15">
        <w:t xml:space="preserve">te 7 of </w:t>
      </w:r>
      <w:r w:rsidR="000E20C2" w:rsidRPr="00D80D15">
        <w:t>Section</w:t>
      </w:r>
      <w:r w:rsidR="00903487" w:rsidRPr="00D80D15">
        <w:t xml:space="preserve"> 73.5555 of the </w:t>
      </w:r>
      <w:r w:rsidR="00EE478E" w:rsidRPr="00D80D15">
        <w:t>Commission’s rules</w:t>
      </w:r>
      <w:r w:rsidRPr="00D80D15">
        <w:t xml:space="preserve"> identifies </w:t>
      </w:r>
      <w:r w:rsidRPr="00D80D15">
        <w:rPr>
          <w:i/>
        </w:rPr>
        <w:t>one way</w:t>
      </w:r>
      <w:r w:rsidRPr="00D80D15">
        <w:t xml:space="preserve"> to demonstrate compliance with the fourth criterion to include “an affidavit from an independent broker affirming that active and serious efforts have been made to sell the permit and that no reasonable offer form an entity outsi</w:t>
      </w:r>
      <w:r w:rsidR="00903487" w:rsidRPr="00D80D15">
        <w:t>de the market has been received</w:t>
      </w:r>
      <w:r w:rsidRPr="00D80D15">
        <w:t>”</w:t>
      </w:r>
      <w:r w:rsidR="00903487" w:rsidRPr="00D80D15">
        <w:t xml:space="preserve"> (</w:t>
      </w:r>
      <w:r w:rsidR="00903487" w:rsidRPr="00D80D15">
        <w:rPr>
          <w:i/>
        </w:rPr>
        <w:t>emphasis added</w:t>
      </w:r>
      <w:r w:rsidR="00903487" w:rsidRPr="00D80D15">
        <w:t>).</w:t>
      </w:r>
      <w:r w:rsidRPr="00D80D15">
        <w:rPr>
          <w:rStyle w:val="FootnoteReference"/>
          <w:szCs w:val="22"/>
        </w:rPr>
        <w:footnoteReference w:id="98"/>
      </w:r>
      <w:r w:rsidRPr="00D80D15">
        <w:t xml:space="preserve">  </w:t>
      </w:r>
      <w:r w:rsidR="00630FA6" w:rsidRPr="00D80D15">
        <w:t>The Commission’s</w:t>
      </w:r>
      <w:r w:rsidRPr="00D80D15">
        <w:t xml:space="preserve"> </w:t>
      </w:r>
      <w:r w:rsidR="00D25809" w:rsidRPr="00D80D15">
        <w:t>r</w:t>
      </w:r>
      <w:r w:rsidRPr="00D80D15">
        <w:t xml:space="preserve">ules do not identify this as the only way.   We find that in </w:t>
      </w:r>
      <w:r w:rsidR="00903487" w:rsidRPr="00D80D15">
        <w:t>the context of this transaction</w:t>
      </w:r>
      <w:r w:rsidRPr="00D80D15">
        <w:t xml:space="preserve"> it would </w:t>
      </w:r>
      <w:r w:rsidR="00C95AF6" w:rsidRPr="00D80D15">
        <w:t xml:space="preserve">be </w:t>
      </w:r>
      <w:r w:rsidR="00D25809" w:rsidRPr="00D80D15">
        <w:t>contrary</w:t>
      </w:r>
      <w:r w:rsidRPr="00D80D15">
        <w:t xml:space="preserve"> to the public interest to require a licensee to needlessly go through the process of putting its </w:t>
      </w:r>
      <w:r w:rsidR="002E17EC" w:rsidRPr="00D80D15">
        <w:t>“</w:t>
      </w:r>
      <w:r w:rsidR="00BB531C" w:rsidRPr="00D80D15">
        <w:t>failing</w:t>
      </w:r>
      <w:r w:rsidR="002E17EC" w:rsidRPr="00D80D15">
        <w:t>”</w:t>
      </w:r>
      <w:r w:rsidRPr="00D80D15">
        <w:t xml:space="preserve"> station up for sale when as part of the due diligence process and based on </w:t>
      </w:r>
      <w:r w:rsidR="008E1069" w:rsidRPr="00D80D15">
        <w:t xml:space="preserve">recent attempts to sell the station, as in the case of WCWF(TV), or </w:t>
      </w:r>
      <w:r w:rsidRPr="00D80D15">
        <w:t>actual, recent</w:t>
      </w:r>
      <w:r w:rsidR="00903487" w:rsidRPr="00D80D15">
        <w:t>,</w:t>
      </w:r>
      <w:r w:rsidRPr="00D80D15">
        <w:t xml:space="preserve"> and comparable market data, </w:t>
      </w:r>
      <w:r w:rsidR="008E1069" w:rsidRPr="00D80D15">
        <w:t xml:space="preserve">as in the case of WCTX(TV), an independent broker </w:t>
      </w:r>
      <w:r w:rsidRPr="00D80D15">
        <w:t>has concluded that an in-market buyer is the only reasonable candidate to buy the station and</w:t>
      </w:r>
      <w:r w:rsidR="00903487" w:rsidRPr="00D80D15">
        <w:t xml:space="preserve"> that</w:t>
      </w:r>
      <w:r w:rsidRPr="00D80D15">
        <w:t xml:space="preserve"> </w:t>
      </w:r>
      <w:r w:rsidR="0087001F" w:rsidRPr="00D80D15">
        <w:t>selling</w:t>
      </w:r>
      <w:r w:rsidRPr="00D80D15">
        <w:t xml:space="preserve"> to an out-of-market buyer would result in a</w:t>
      </w:r>
      <w:r w:rsidR="0087001F" w:rsidRPr="00D80D15">
        <w:t>n artificially depressed price.  This approach is consistent with our practice on other similarly structured transaction</w:t>
      </w:r>
      <w:r w:rsidR="00031DEA" w:rsidRPr="00D80D15">
        <w:t>s</w:t>
      </w:r>
      <w:r w:rsidR="0087001F" w:rsidRPr="00D80D15">
        <w:t>.</w:t>
      </w:r>
      <w:r w:rsidR="0087001F" w:rsidRPr="00D80D15">
        <w:rPr>
          <w:rStyle w:val="FootnoteReference"/>
          <w:szCs w:val="22"/>
        </w:rPr>
        <w:footnoteReference w:id="99"/>
      </w:r>
      <w:r w:rsidRPr="00D80D15">
        <w:t xml:space="preserve"> </w:t>
      </w:r>
    </w:p>
    <w:p w14:paraId="1B502E1B" w14:textId="4AAED1D3" w:rsidR="00876839" w:rsidRPr="00D80D15" w:rsidRDefault="00C45DED" w:rsidP="00A82FCF">
      <w:pPr>
        <w:pStyle w:val="ParaNum"/>
        <w:rPr>
          <w:color w:val="010101"/>
        </w:rPr>
      </w:pPr>
      <w:r w:rsidRPr="00D80D15">
        <w:t xml:space="preserve">Based on the showings submitted under the </w:t>
      </w:r>
      <w:r w:rsidR="00903487" w:rsidRPr="00D80D15">
        <w:t>“</w:t>
      </w:r>
      <w:r w:rsidR="00BB531C" w:rsidRPr="00D80D15">
        <w:t>failing</w:t>
      </w:r>
      <w:r w:rsidR="00903487" w:rsidRPr="00D80D15">
        <w:t>”</w:t>
      </w:r>
      <w:r w:rsidRPr="00D80D15">
        <w:t xml:space="preserve"> station waiver </w:t>
      </w:r>
      <w:r w:rsidR="00F85519" w:rsidRPr="00D80D15">
        <w:t>standard</w:t>
      </w:r>
      <w:r w:rsidR="002E17EC" w:rsidRPr="00D80D15">
        <w:t xml:space="preserve"> </w:t>
      </w:r>
      <w:r w:rsidRPr="00D80D15">
        <w:t xml:space="preserve">established in the </w:t>
      </w:r>
      <w:r w:rsidRPr="00D80D15">
        <w:rPr>
          <w:i/>
        </w:rPr>
        <w:t>Local Ownership Order</w:t>
      </w:r>
      <w:r w:rsidRPr="00D80D15">
        <w:t>,</w:t>
      </w:r>
      <w:r w:rsidR="00903487" w:rsidRPr="00D80D15">
        <w:rPr>
          <w:rStyle w:val="FootnoteReference"/>
          <w:szCs w:val="22"/>
        </w:rPr>
        <w:footnoteReference w:id="100"/>
      </w:r>
      <w:r w:rsidRPr="00D80D15">
        <w:t xml:space="preserve"> we are persuaded that continuation of </w:t>
      </w:r>
      <w:r w:rsidR="00911D57">
        <w:t>WCWF(TV)</w:t>
      </w:r>
      <w:r w:rsidR="00A26F32" w:rsidRPr="00D80D15">
        <w:t>’s</w:t>
      </w:r>
      <w:r w:rsidR="00911D57">
        <w:t xml:space="preserve"> </w:t>
      </w:r>
      <w:r w:rsidR="00B6062D" w:rsidRPr="00D80D15">
        <w:t>“</w:t>
      </w:r>
      <w:r w:rsidR="00BB531C" w:rsidRPr="00D80D15">
        <w:t>failing</w:t>
      </w:r>
      <w:r w:rsidR="00B6062D" w:rsidRPr="00D80D15">
        <w:t>”</w:t>
      </w:r>
      <w:r w:rsidRPr="00D80D15">
        <w:t xml:space="preserve"> station waiver is </w:t>
      </w:r>
      <w:r w:rsidR="00A26F32" w:rsidRPr="00D80D15">
        <w:t>appropriate</w:t>
      </w:r>
      <w:r w:rsidRPr="00D80D15">
        <w:t xml:space="preserve">.  </w:t>
      </w:r>
      <w:r w:rsidR="00B6062D" w:rsidRPr="00D80D15">
        <w:t>W</w:t>
      </w:r>
      <w:r w:rsidRPr="00D80D15">
        <w:t>e</w:t>
      </w:r>
      <w:r w:rsidR="00A26F32" w:rsidRPr="00D80D15">
        <w:t xml:space="preserve"> also find that granting Post-Merger Media General’s request for a </w:t>
      </w:r>
      <w:r w:rsidR="0090462D" w:rsidRPr="00D80D15">
        <w:t>“</w:t>
      </w:r>
      <w:r w:rsidR="00A26F32" w:rsidRPr="00D80D15">
        <w:t>failing</w:t>
      </w:r>
      <w:r w:rsidR="0090462D" w:rsidRPr="00D80D15">
        <w:t>”</w:t>
      </w:r>
      <w:r w:rsidR="00A26F32" w:rsidRPr="00D80D15">
        <w:t xml:space="preserve"> station waiver for WCTX(TV) is warranted.  </w:t>
      </w:r>
      <w:r w:rsidRPr="00D80D15">
        <w:t xml:space="preserve"> </w:t>
      </w:r>
      <w:r w:rsidR="008E1069" w:rsidRPr="00D80D15">
        <w:t>The</w:t>
      </w:r>
      <w:r w:rsidR="00A26F32" w:rsidRPr="00D80D15">
        <w:t xml:space="preserve"> combined operation</w:t>
      </w:r>
      <w:r w:rsidRPr="00D80D15">
        <w:t xml:space="preserve"> of </w:t>
      </w:r>
      <w:r w:rsidR="00A26F32" w:rsidRPr="00D80D15">
        <w:t xml:space="preserve">WCWF(TV) and WLUK-TV, as well as WCTX(TV) and WTNH(TV) will </w:t>
      </w:r>
      <w:r w:rsidRPr="00D80D15">
        <w:t>pose minimal harm to our diversit</w:t>
      </w:r>
      <w:r w:rsidR="00A26F32" w:rsidRPr="00D80D15">
        <w:t>y and competition goals because the</w:t>
      </w:r>
      <w:r w:rsidRPr="00D80D15">
        <w:t xml:space="preserve"> financial situation</w:t>
      </w:r>
      <w:r w:rsidR="00A26F32" w:rsidRPr="00D80D15">
        <w:t xml:space="preserve"> of both WCWF(TV) and WCTX(TV)</w:t>
      </w:r>
      <w:r w:rsidRPr="00D80D15">
        <w:t xml:space="preserve"> hampers </w:t>
      </w:r>
      <w:r w:rsidR="00A26F32" w:rsidRPr="00D80D15">
        <w:t>each station</w:t>
      </w:r>
      <w:r w:rsidR="00911D57">
        <w:t>’</w:t>
      </w:r>
      <w:r w:rsidR="00A26F32" w:rsidRPr="00D80D15">
        <w:t>s</w:t>
      </w:r>
      <w:r w:rsidRPr="00D80D15">
        <w:t xml:space="preserve"> ability to be a viable voice in the market absent a </w:t>
      </w:r>
      <w:r w:rsidR="002E17EC" w:rsidRPr="00D80D15">
        <w:t>“</w:t>
      </w:r>
      <w:r w:rsidR="00BB531C" w:rsidRPr="00D80D15">
        <w:t>failing</w:t>
      </w:r>
      <w:r w:rsidR="002E17EC" w:rsidRPr="00D80D15">
        <w:t>”</w:t>
      </w:r>
      <w:r w:rsidRPr="00D80D15">
        <w:t xml:space="preserve"> station waiver.  </w:t>
      </w:r>
      <w:r w:rsidR="0090462D" w:rsidRPr="00D80D15">
        <w:t>Based on the facts and circumstances, including news and public affairs coverage that would not otherwise be possible</w:t>
      </w:r>
      <w:r w:rsidRPr="00D80D15">
        <w:t xml:space="preserve">, </w:t>
      </w:r>
      <w:r w:rsidR="0090462D" w:rsidRPr="00D80D15">
        <w:t xml:space="preserve">we find that in each instance combined operation will </w:t>
      </w:r>
      <w:r w:rsidR="007D1155" w:rsidRPr="00D80D15">
        <w:t>benefit the public interest</w:t>
      </w:r>
      <w:r w:rsidR="00876839" w:rsidRPr="00D80D15">
        <w:t>.</w:t>
      </w:r>
    </w:p>
    <w:p w14:paraId="6E05943A" w14:textId="77777777" w:rsidR="00C45DED" w:rsidRPr="00D80D15" w:rsidRDefault="00C45DED" w:rsidP="00A82FCF">
      <w:pPr>
        <w:pStyle w:val="Heading2"/>
      </w:pPr>
      <w:r w:rsidRPr="00D80D15">
        <w:t xml:space="preserve">Pending Broadcast License Renewals.  </w:t>
      </w:r>
    </w:p>
    <w:p w14:paraId="67146DC7" w14:textId="7B055033" w:rsidR="00C45DED" w:rsidRPr="00D80D15" w:rsidRDefault="00C45DED" w:rsidP="00A82FCF">
      <w:pPr>
        <w:pStyle w:val="ParaNum"/>
      </w:pPr>
      <w:r w:rsidRPr="00D80D15">
        <w:t>It is Commission policy in multi-station transactions to grant transfer of control application</w:t>
      </w:r>
      <w:r w:rsidR="009F5BEB" w:rsidRPr="00D80D15">
        <w:t>s</w:t>
      </w:r>
      <w:r w:rsidRPr="00D80D15">
        <w:t xml:space="preserve"> while renewal applications are pending “as long as there are no basic qualification issues pending against the transferor or transferee that could not be resolved in the context of the transfer proceeding, and the transferee explicitly assents to standing in the stead of the transferor in the pending renewal proceeding.”</w:t>
      </w:r>
      <w:r w:rsidRPr="00D80D15">
        <w:rPr>
          <w:rStyle w:val="FootnoteReference"/>
          <w:szCs w:val="22"/>
        </w:rPr>
        <w:footnoteReference w:id="101"/>
      </w:r>
      <w:r w:rsidRPr="00D80D15">
        <w:t xml:space="preserve">  </w:t>
      </w:r>
      <w:r w:rsidR="00A86444" w:rsidRPr="00D80D15">
        <w:t xml:space="preserve">We find that application of this policy is appropriate with respect to the transaction at hand.  </w:t>
      </w:r>
      <w:r w:rsidR="000F0783" w:rsidRPr="00D80D15">
        <w:t>Some</w:t>
      </w:r>
      <w:r w:rsidR="00BB7038" w:rsidRPr="00D80D15">
        <w:t xml:space="preserve"> </w:t>
      </w:r>
      <w:r w:rsidR="00012342" w:rsidRPr="00D80D15">
        <w:t xml:space="preserve">Media General </w:t>
      </w:r>
      <w:r w:rsidR="00A86444" w:rsidRPr="00D80D15">
        <w:t>and</w:t>
      </w:r>
      <w:r w:rsidR="00012342" w:rsidRPr="00D80D15">
        <w:t xml:space="preserve"> </w:t>
      </w:r>
      <w:r w:rsidR="00BB7038" w:rsidRPr="00D80D15">
        <w:t>LIN Media</w:t>
      </w:r>
      <w:r w:rsidR="00012342" w:rsidRPr="00D80D15">
        <w:t xml:space="preserve"> </w:t>
      </w:r>
      <w:r w:rsidR="000F0783" w:rsidRPr="00D80D15">
        <w:t>licensees currently have applications pending before the Commission for renewal of broadcast licenses.</w:t>
      </w:r>
      <w:r w:rsidR="000F0783" w:rsidRPr="00D80D15">
        <w:rPr>
          <w:rStyle w:val="FootnoteReference"/>
          <w:szCs w:val="22"/>
        </w:rPr>
        <w:footnoteReference w:id="102"/>
      </w:r>
      <w:r w:rsidR="000F0783" w:rsidRPr="00D80D15">
        <w:t xml:space="preserve">   </w:t>
      </w:r>
      <w:r w:rsidRPr="00D80D15">
        <w:t>Post-Merger Media General has submitted a statement explicitly agreeing to stand in the stead of the assignor in any renewal application that is pending at the time of the consummation of the assignment.</w:t>
      </w:r>
      <w:r w:rsidRPr="00D80D15">
        <w:rPr>
          <w:rStyle w:val="FootnoteReference"/>
          <w:szCs w:val="22"/>
        </w:rPr>
        <w:footnoteReference w:id="103"/>
      </w:r>
      <w:r w:rsidRPr="00D80D15">
        <w:t xml:space="preserve">  </w:t>
      </w:r>
      <w:r w:rsidR="000F0783" w:rsidRPr="00D80D15">
        <w:t xml:space="preserve">None of these applications have matters currently pending that present basic character qualification issues and </w:t>
      </w:r>
      <w:r w:rsidR="008A4CD5" w:rsidRPr="00D80D15">
        <w:t xml:space="preserve">prevent grant of the instant transfer of control applications.  </w:t>
      </w:r>
      <w:r w:rsidR="000F0783" w:rsidRPr="00D80D15">
        <w:t xml:space="preserve">Therefore, we will apply the policy set out in </w:t>
      </w:r>
      <w:r w:rsidR="000F0783" w:rsidRPr="00D80D15">
        <w:rPr>
          <w:i/>
        </w:rPr>
        <w:t>Shareholders of CBS</w:t>
      </w:r>
      <w:r w:rsidR="000F0783" w:rsidRPr="00D80D15">
        <w:t xml:space="preserve"> to those applications.  </w:t>
      </w:r>
      <w:r w:rsidR="005B69F6" w:rsidRPr="00D80D15">
        <w:t>We recognize</w:t>
      </w:r>
      <w:r w:rsidRPr="00D80D15">
        <w:t xml:space="preserve"> that certain</w:t>
      </w:r>
      <w:r w:rsidR="00911D57">
        <w:t xml:space="preserve"> stations that are the subject </w:t>
      </w:r>
      <w:r w:rsidRPr="00D80D15">
        <w:t>o</w:t>
      </w:r>
      <w:r w:rsidR="00911D57">
        <w:t>f</w:t>
      </w:r>
      <w:r w:rsidRPr="00D80D15">
        <w:t xml:space="preserve"> this transaction may need to file license renewal applications</w:t>
      </w:r>
      <w:r w:rsidR="005B69F6" w:rsidRPr="00D80D15">
        <w:t xml:space="preserve"> prior to consummation of the transaction</w:t>
      </w:r>
      <w:r w:rsidRPr="00D80D15">
        <w:t xml:space="preserve">.  Such a circumstance </w:t>
      </w:r>
      <w:r w:rsidR="00911D57">
        <w:t>is</w:t>
      </w:r>
      <w:r w:rsidRPr="00D80D15">
        <w:t xml:space="preserve"> considered to fall within the precedent established by </w:t>
      </w:r>
      <w:r w:rsidRPr="00D80D15">
        <w:rPr>
          <w:i/>
        </w:rPr>
        <w:t>Shareholders of CBS Corporation</w:t>
      </w:r>
      <w:r w:rsidRPr="00D80D15">
        <w:t>.</w:t>
      </w:r>
      <w:r w:rsidRPr="00D80D15">
        <w:rPr>
          <w:rStyle w:val="FootnoteReference"/>
          <w:szCs w:val="22"/>
        </w:rPr>
        <w:footnoteReference w:id="104"/>
      </w:r>
    </w:p>
    <w:p w14:paraId="15C45D1D" w14:textId="77777777" w:rsidR="00C45DED" w:rsidRPr="00D80D15" w:rsidRDefault="00C45DED" w:rsidP="00A82FCF">
      <w:pPr>
        <w:pStyle w:val="Heading1"/>
      </w:pPr>
      <w:r w:rsidRPr="00D80D15">
        <w:t>CONCLUSION</w:t>
      </w:r>
    </w:p>
    <w:p w14:paraId="2934D1A4" w14:textId="15E29F4E" w:rsidR="00C45DED" w:rsidRPr="00D80D15" w:rsidRDefault="00C45DED" w:rsidP="00362474">
      <w:pPr>
        <w:pStyle w:val="ParaNum"/>
        <w:ind w:firstLine="450"/>
        <w:rPr>
          <w:szCs w:val="22"/>
        </w:rPr>
      </w:pPr>
      <w:r w:rsidRPr="00D80D15">
        <w:rPr>
          <w:szCs w:val="22"/>
        </w:rPr>
        <w:t xml:space="preserve">We have reviewed the proposed merger and related pleadings and conclude that grant of the applications as requested will comply with </w:t>
      </w:r>
      <w:r w:rsidR="00630FA6" w:rsidRPr="00D80D15">
        <w:rPr>
          <w:szCs w:val="22"/>
        </w:rPr>
        <w:t>the Commission’s</w:t>
      </w:r>
      <w:r w:rsidR="00F731F7" w:rsidRPr="00D80D15">
        <w:rPr>
          <w:szCs w:val="22"/>
        </w:rPr>
        <w:t xml:space="preserve"> </w:t>
      </w:r>
      <w:r w:rsidR="009A32BC" w:rsidRPr="00D80D15">
        <w:rPr>
          <w:szCs w:val="22"/>
        </w:rPr>
        <w:t>rules</w:t>
      </w:r>
      <w:r w:rsidR="00A47244" w:rsidRPr="00D80D15">
        <w:rPr>
          <w:szCs w:val="22"/>
        </w:rPr>
        <w:t xml:space="preserve"> and Section 310(d) of the Act</w:t>
      </w:r>
      <w:r w:rsidR="0090462D" w:rsidRPr="00D80D15">
        <w:rPr>
          <w:szCs w:val="22"/>
        </w:rPr>
        <w:t xml:space="preserve">.  We conclude that all the applicants </w:t>
      </w:r>
      <w:r w:rsidRPr="00D80D15">
        <w:rPr>
          <w:szCs w:val="22"/>
        </w:rPr>
        <w:t>are fully qualified and that grant of the</w:t>
      </w:r>
      <w:r w:rsidR="0090462D" w:rsidRPr="00D80D15">
        <w:rPr>
          <w:szCs w:val="22"/>
        </w:rPr>
        <w:t xml:space="preserve"> following applications </w:t>
      </w:r>
      <w:r w:rsidRPr="00D80D15">
        <w:rPr>
          <w:szCs w:val="22"/>
        </w:rPr>
        <w:t>will serve the public interest, convenience, and necessity</w:t>
      </w:r>
      <w:r w:rsidR="008E1069" w:rsidRPr="00D80D15">
        <w:rPr>
          <w:szCs w:val="22"/>
        </w:rPr>
        <w:t>.  The action we take today includes grant of the</w:t>
      </w:r>
      <w:r w:rsidR="0090462D" w:rsidRPr="00D80D15">
        <w:rPr>
          <w:szCs w:val="22"/>
        </w:rPr>
        <w:t xml:space="preserve"> (1) long form transfer of control applications between LIN Media (Transferor) and Post-Merger Media General (Transferee); </w:t>
      </w:r>
      <w:r w:rsidR="001C399D" w:rsidRPr="00D80D15">
        <w:rPr>
          <w:szCs w:val="22"/>
        </w:rPr>
        <w:t xml:space="preserve">(2) </w:t>
      </w:r>
      <w:r w:rsidR="0090462D" w:rsidRPr="00D80D15">
        <w:rPr>
          <w:szCs w:val="22"/>
        </w:rPr>
        <w:t xml:space="preserve">the assignment applications between Post-Merger Media General (Assignor) and Hearst (Assignee); </w:t>
      </w:r>
      <w:r w:rsidR="001C399D" w:rsidRPr="00D80D15">
        <w:rPr>
          <w:szCs w:val="22"/>
        </w:rPr>
        <w:t>(3</w:t>
      </w:r>
      <w:r w:rsidR="0090462D" w:rsidRPr="00D80D15">
        <w:rPr>
          <w:szCs w:val="22"/>
        </w:rPr>
        <w:t>)  the assignment application between Post-Merger Media General (Assignor) and Meredith (Assignee)</w:t>
      </w:r>
      <w:r w:rsidR="001C399D" w:rsidRPr="00D80D15">
        <w:rPr>
          <w:szCs w:val="22"/>
        </w:rPr>
        <w:t>; (4) the assignment applications between Post-Merger Media General (Assignor) and Sinclair (Assignee); (5) the assignment applications between Sinclair (Assignor) and Post-Merger Media General (Assignee); and (6) the assignment application between WTGS Television, LLC</w:t>
      </w:r>
      <w:r w:rsidR="008E1069" w:rsidRPr="00D80D15">
        <w:rPr>
          <w:szCs w:val="22"/>
        </w:rPr>
        <w:t xml:space="preserve">, a license subsidiary of </w:t>
      </w:r>
      <w:r w:rsidR="002316E6">
        <w:rPr>
          <w:szCs w:val="22"/>
        </w:rPr>
        <w:t>Vaughan</w:t>
      </w:r>
      <w:r w:rsidR="008E1069" w:rsidRPr="00D80D15">
        <w:rPr>
          <w:szCs w:val="22"/>
        </w:rPr>
        <w:t xml:space="preserve"> Media</w:t>
      </w:r>
      <w:r w:rsidR="001C399D" w:rsidRPr="00D80D15">
        <w:rPr>
          <w:szCs w:val="22"/>
        </w:rPr>
        <w:t xml:space="preserve"> (Assignor) and Sinclair (Assignee).</w:t>
      </w:r>
    </w:p>
    <w:p w14:paraId="6A5B4B94" w14:textId="333AA9D7" w:rsidR="004529C1" w:rsidRPr="00D80D15" w:rsidRDefault="004529C1" w:rsidP="00A82FCF">
      <w:pPr>
        <w:pStyle w:val="Heading1"/>
      </w:pPr>
      <w:r w:rsidRPr="00D80D15">
        <w:t>ORDERING CLAUSES</w:t>
      </w:r>
    </w:p>
    <w:p w14:paraId="4B6F6626" w14:textId="08C67D86" w:rsidR="004529C1" w:rsidRPr="00D80D15" w:rsidRDefault="004529C1" w:rsidP="00A82FCF">
      <w:pPr>
        <w:pStyle w:val="ParaNum"/>
      </w:pPr>
      <w:r w:rsidRPr="00D80D15">
        <w:t xml:space="preserve">Accordingly, </w:t>
      </w:r>
      <w:r w:rsidRPr="00D80D15">
        <w:rPr>
          <w:b/>
        </w:rPr>
        <w:t>IT IS ORDERED</w:t>
      </w:r>
      <w:r w:rsidR="006B39CD" w:rsidRPr="00D80D15">
        <w:t>,</w:t>
      </w:r>
      <w:r w:rsidRPr="00D80D15">
        <w:t xml:space="preserve"> </w:t>
      </w:r>
      <w:r w:rsidR="006B39CD" w:rsidRPr="00D80D15">
        <w:t>T</w:t>
      </w:r>
      <w:r w:rsidR="000F1C27" w:rsidRPr="00D80D15">
        <w:t>hat</w:t>
      </w:r>
      <w:r w:rsidRPr="00D80D15">
        <w:t xml:space="preserve"> the applications </w:t>
      </w:r>
      <w:r w:rsidR="00C10209" w:rsidRPr="00D80D15">
        <w:t xml:space="preserve">listed in Appendices A and B </w:t>
      </w:r>
      <w:r w:rsidRPr="00D80D15">
        <w:t xml:space="preserve">seeking consent to transfer control of the licensee subsidiaries of </w:t>
      </w:r>
      <w:r w:rsidR="007042AE" w:rsidRPr="00D80D15">
        <w:t xml:space="preserve">Shareholders of Media General, Inc. and Shareholders of </w:t>
      </w:r>
      <w:r w:rsidR="00681118" w:rsidRPr="00D80D15">
        <w:t>LIN</w:t>
      </w:r>
      <w:r w:rsidR="007042AE" w:rsidRPr="00D80D15">
        <w:t xml:space="preserve"> Media, LLC to </w:t>
      </w:r>
      <w:r w:rsidRPr="00D80D15">
        <w:t xml:space="preserve"> Post-Merger </w:t>
      </w:r>
      <w:r w:rsidR="00F731F7" w:rsidRPr="00D80D15">
        <w:t xml:space="preserve">Shareholders </w:t>
      </w:r>
      <w:r w:rsidRPr="00D80D15">
        <w:t xml:space="preserve">Media General </w:t>
      </w:r>
      <w:r w:rsidR="00D3614D" w:rsidRPr="00D80D15">
        <w:t>,</w:t>
      </w:r>
      <w:r w:rsidR="00F731F7" w:rsidRPr="00D80D15">
        <w:t xml:space="preserve"> Inc., </w:t>
      </w:r>
      <w:r w:rsidR="00D3614D" w:rsidRPr="00D80D15">
        <w:t xml:space="preserve"> pursuant to Section 3</w:t>
      </w:r>
      <w:r w:rsidR="007042AE" w:rsidRPr="00D80D15">
        <w:t>10</w:t>
      </w:r>
      <w:r w:rsidR="00D3614D" w:rsidRPr="00D80D15">
        <w:t>(d) of the Communications Act of 1934, 47 U.S.C. § 310(d)</w:t>
      </w:r>
      <w:r w:rsidR="004353D0" w:rsidRPr="00D80D15">
        <w:t>,</w:t>
      </w:r>
      <w:r w:rsidRPr="00D80D15">
        <w:t xml:space="preserve"> </w:t>
      </w:r>
      <w:r w:rsidRPr="00D80D15">
        <w:rPr>
          <w:b/>
        </w:rPr>
        <w:t>ARE GRANTED</w:t>
      </w:r>
      <w:r w:rsidRPr="00D80D15">
        <w:t>.</w:t>
      </w:r>
    </w:p>
    <w:p w14:paraId="0BAEA38A" w14:textId="69992DD1" w:rsidR="001C399D" w:rsidRPr="00D80D15" w:rsidRDefault="004529C1" w:rsidP="00A82FCF">
      <w:pPr>
        <w:pStyle w:val="ParaNum"/>
      </w:pPr>
      <w:r w:rsidRPr="00D80D15">
        <w:rPr>
          <w:b/>
        </w:rPr>
        <w:t>IT IS FURTHER ORDERED</w:t>
      </w:r>
      <w:r w:rsidR="006B39CD" w:rsidRPr="00D80D15">
        <w:t>,</w:t>
      </w:r>
      <w:r w:rsidRPr="00D80D15">
        <w:t xml:space="preserve"> </w:t>
      </w:r>
      <w:r w:rsidR="006B39CD" w:rsidRPr="00D80D15">
        <w:t>T</w:t>
      </w:r>
      <w:r w:rsidRPr="00D80D15">
        <w:t xml:space="preserve">hat the </w:t>
      </w:r>
      <w:bookmarkStart w:id="10" w:name="SR;5483"/>
      <w:bookmarkEnd w:id="10"/>
      <w:r w:rsidRPr="00D80D15">
        <w:t>requests</w:t>
      </w:r>
      <w:r w:rsidR="004353D0" w:rsidRPr="00D80D15">
        <w:t xml:space="preserve"> by Post-Merger Shareholders of Media General, Inc.,</w:t>
      </w:r>
      <w:r w:rsidRPr="00D80D15">
        <w:t xml:space="preserve"> for </w:t>
      </w:r>
      <w:r w:rsidR="00E22573" w:rsidRPr="00D80D15">
        <w:t>continued operation of S</w:t>
      </w:r>
      <w:r w:rsidRPr="00D80D15">
        <w:t xml:space="preserve">tation </w:t>
      </w:r>
      <w:r w:rsidR="007042AE" w:rsidRPr="00D80D15">
        <w:t>KBVO(TV)</w:t>
      </w:r>
      <w:r w:rsidRPr="00D80D15">
        <w:t xml:space="preserve">, </w:t>
      </w:r>
      <w:r w:rsidR="007042AE" w:rsidRPr="00D80D15">
        <w:t xml:space="preserve">Llano, Texas, </w:t>
      </w:r>
      <w:r w:rsidRPr="00D80D15">
        <w:t xml:space="preserve">as a satellite of Station </w:t>
      </w:r>
      <w:r w:rsidR="007042AE" w:rsidRPr="00D80D15">
        <w:t xml:space="preserve">KXAN-TV, Austin </w:t>
      </w:r>
      <w:r w:rsidR="004353D0" w:rsidRPr="00D80D15">
        <w:t>Texas</w:t>
      </w:r>
      <w:r w:rsidR="007042AE" w:rsidRPr="00D80D15">
        <w:t xml:space="preserve">; </w:t>
      </w:r>
      <w:r w:rsidRPr="00D80D15">
        <w:t>Station</w:t>
      </w:r>
      <w:r w:rsidR="007042AE" w:rsidRPr="00D80D15">
        <w:t xml:space="preserve">s KHAW-TV, Hilo, Hawaii and KAII-TV, Wailuku, Hawaii, </w:t>
      </w:r>
      <w:r w:rsidRPr="00D80D15">
        <w:t xml:space="preserve">as satellites of Station </w:t>
      </w:r>
      <w:r w:rsidR="007042AE" w:rsidRPr="00D80D15">
        <w:t>KHON-TV, Honolulu, Hawaii; and KSNC(TV), Great Bend, Kansas, as a satellite of Station KSNW(TV), Wichita, Kansas</w:t>
      </w:r>
      <w:r w:rsidRPr="00D80D15">
        <w:t>, pursuant</w:t>
      </w:r>
      <w:bookmarkStart w:id="11" w:name="SR;5508"/>
      <w:bookmarkEnd w:id="11"/>
      <w:r w:rsidRPr="00D80D15">
        <w:t xml:space="preserve"> to the </w:t>
      </w:r>
      <w:r w:rsidR="00D3614D" w:rsidRPr="00D80D15">
        <w:t>“</w:t>
      </w:r>
      <w:r w:rsidRPr="00D80D15">
        <w:t xml:space="preserve">satellite </w:t>
      </w:r>
      <w:bookmarkStart w:id="12" w:name="SR;5512"/>
      <w:bookmarkEnd w:id="12"/>
      <w:r w:rsidR="00CA3F64" w:rsidRPr="00D80D15">
        <w:t>exception</w:t>
      </w:r>
      <w:r w:rsidR="00D3614D" w:rsidRPr="00D80D15">
        <w:t>”</w:t>
      </w:r>
      <w:r w:rsidRPr="00D80D15">
        <w:t xml:space="preserve"> of Note 5</w:t>
      </w:r>
      <w:bookmarkStart w:id="13" w:name="SR;5515"/>
      <w:bookmarkEnd w:id="13"/>
      <w:r w:rsidRPr="00D80D15">
        <w:t xml:space="preserve"> to </w:t>
      </w:r>
      <w:hyperlink r:id="rId8" w:tgtFrame="_top" w:history="1">
        <w:r w:rsidRPr="00D80D15">
          <w:t>Section 73.3555</w:t>
        </w:r>
      </w:hyperlink>
      <w:bookmarkStart w:id="14" w:name="SR;5519"/>
      <w:bookmarkEnd w:id="14"/>
      <w:r w:rsidR="009A32BC" w:rsidRPr="00D80D15">
        <w:t xml:space="preserve"> of the Commission’s r</w:t>
      </w:r>
      <w:r w:rsidR="00D3614D" w:rsidRPr="00D80D15">
        <w:t>ules</w:t>
      </w:r>
      <w:r w:rsidRPr="00D80D15">
        <w:t xml:space="preserve">, </w:t>
      </w:r>
      <w:hyperlink r:id="rId9" w:tgtFrame="_top" w:history="1">
        <w:r w:rsidRPr="00D80D15">
          <w:t>47 C.F.R. § 73.3555</w:t>
        </w:r>
      </w:hyperlink>
      <w:bookmarkStart w:id="15" w:name="SR;5524"/>
      <w:bookmarkEnd w:id="15"/>
      <w:r w:rsidRPr="00D80D15">
        <w:t xml:space="preserve">, </w:t>
      </w:r>
      <w:r w:rsidRPr="00D80D15">
        <w:rPr>
          <w:b/>
        </w:rPr>
        <w:t>ARE GRANTED</w:t>
      </w:r>
      <w:r w:rsidRPr="00D80D15">
        <w:t>.</w:t>
      </w:r>
    </w:p>
    <w:p w14:paraId="45C48F8B" w14:textId="77777777" w:rsidR="001C399D" w:rsidRPr="00D80D15" w:rsidRDefault="004529C1" w:rsidP="00A82FCF">
      <w:pPr>
        <w:pStyle w:val="ParaNum"/>
      </w:pPr>
      <w:r w:rsidRPr="00D80D15">
        <w:rPr>
          <w:b/>
        </w:rPr>
        <w:t>IT IS FURTHER ORDERED</w:t>
      </w:r>
      <w:r w:rsidR="006B39CD" w:rsidRPr="00D80D15">
        <w:t>, T</w:t>
      </w:r>
      <w:r w:rsidRPr="00D80D15">
        <w:t xml:space="preserve">hat </w:t>
      </w:r>
      <w:r w:rsidR="00C95AF6" w:rsidRPr="00D80D15">
        <w:t>the request</w:t>
      </w:r>
      <w:r w:rsidR="001D6188" w:rsidRPr="00D80D15">
        <w:t>s</w:t>
      </w:r>
      <w:r w:rsidR="0010191D" w:rsidRPr="00D80D15">
        <w:t xml:space="preserve"> by Post-Merger </w:t>
      </w:r>
      <w:r w:rsidR="001C399D" w:rsidRPr="00D80D15">
        <w:t xml:space="preserve">Shareholders of </w:t>
      </w:r>
      <w:r w:rsidR="0010191D" w:rsidRPr="00D80D15">
        <w:t>Media General</w:t>
      </w:r>
      <w:r w:rsidR="001C399D" w:rsidRPr="00D80D15">
        <w:t>, Inc.</w:t>
      </w:r>
      <w:r w:rsidR="004353D0" w:rsidRPr="00D80D15">
        <w:t>,</w:t>
      </w:r>
      <w:r w:rsidR="00C95AF6" w:rsidRPr="00D80D15">
        <w:t xml:space="preserve"> </w:t>
      </w:r>
      <w:r w:rsidR="00D3614D" w:rsidRPr="00D80D15">
        <w:t>for a waiver  of Secti</w:t>
      </w:r>
      <w:r w:rsidR="009A32BC" w:rsidRPr="00D80D15">
        <w:t>on 73.3555 of the Commission’s r</w:t>
      </w:r>
      <w:r w:rsidR="00D3614D" w:rsidRPr="00D80D15">
        <w:t>ules, 47 C.F.R. §73.3555, pursuant to Note 7, the “</w:t>
      </w:r>
      <w:r w:rsidR="00BB531C" w:rsidRPr="00D80D15">
        <w:t>failing</w:t>
      </w:r>
      <w:r w:rsidR="00F731F7" w:rsidRPr="00D80D15">
        <w:t>”</w:t>
      </w:r>
      <w:r w:rsidR="00D3614D" w:rsidRPr="00D80D15">
        <w:t xml:space="preserve"> station </w:t>
      </w:r>
      <w:r w:rsidR="00F731F7" w:rsidRPr="00D80D15">
        <w:t xml:space="preserve">waiver </w:t>
      </w:r>
      <w:r w:rsidR="00D3614D" w:rsidRPr="00D80D15">
        <w:t>stand</w:t>
      </w:r>
      <w:r w:rsidR="007042AE" w:rsidRPr="00D80D15">
        <w:t xml:space="preserve">ard, to permit continued ownership of </w:t>
      </w:r>
      <w:r w:rsidR="003D7E5B" w:rsidRPr="00D80D15">
        <w:t xml:space="preserve">Stations </w:t>
      </w:r>
      <w:r w:rsidR="007042AE" w:rsidRPr="00D80D15">
        <w:t xml:space="preserve">WCWF(TV), Suring, Wisconsin, </w:t>
      </w:r>
      <w:r w:rsidR="007042AE" w:rsidRPr="00D80D15">
        <w:rPr>
          <w:color w:val="010101"/>
        </w:rPr>
        <w:t>and WCTX</w:t>
      </w:r>
      <w:r w:rsidR="000C4E1E" w:rsidRPr="00D80D15">
        <w:rPr>
          <w:color w:val="010101"/>
        </w:rPr>
        <w:t>(TV)</w:t>
      </w:r>
      <w:r w:rsidR="007042AE" w:rsidRPr="00D80D15">
        <w:rPr>
          <w:color w:val="010101"/>
        </w:rPr>
        <w:t>, New Haven, Connecticut,</w:t>
      </w:r>
      <w:r w:rsidR="00D3614D" w:rsidRPr="00D80D15">
        <w:t xml:space="preserve"> </w:t>
      </w:r>
      <w:r w:rsidR="000C4E1E" w:rsidRPr="00D80D15">
        <w:rPr>
          <w:b/>
        </w:rPr>
        <w:t>ARE</w:t>
      </w:r>
      <w:r w:rsidRPr="00D80D15">
        <w:rPr>
          <w:b/>
        </w:rPr>
        <w:t xml:space="preserve"> GRANTED</w:t>
      </w:r>
      <w:r w:rsidRPr="00D80D15">
        <w:t>.</w:t>
      </w:r>
    </w:p>
    <w:p w14:paraId="20C399FF" w14:textId="77777777" w:rsidR="001C399D" w:rsidRPr="00D80D15" w:rsidRDefault="009F5BEB" w:rsidP="00A82FCF">
      <w:pPr>
        <w:pStyle w:val="ParaNum"/>
      </w:pPr>
      <w:r w:rsidRPr="00D80D15">
        <w:rPr>
          <w:b/>
        </w:rPr>
        <w:t>IT IS FURTHER ORDERED</w:t>
      </w:r>
      <w:r w:rsidR="001D6188" w:rsidRPr="00D80D15">
        <w:t>,</w:t>
      </w:r>
      <w:r w:rsidRPr="00D80D15">
        <w:t xml:space="preserve"> </w:t>
      </w:r>
      <w:r w:rsidR="001D6188" w:rsidRPr="00D80D15">
        <w:t>T</w:t>
      </w:r>
      <w:r w:rsidRPr="00D80D15">
        <w:t>hat the applications seeking consent to assign the licenses of Station</w:t>
      </w:r>
      <w:r w:rsidR="003D7E5B" w:rsidRPr="00D80D15">
        <w:t>s</w:t>
      </w:r>
      <w:r w:rsidRPr="00D80D15">
        <w:t xml:space="preserve"> WVTM-TV, Birmingham, Alabama, File No. BALCDT-20140827ACP and WJCL</w:t>
      </w:r>
      <w:r w:rsidR="001D6188" w:rsidRPr="00D80D15">
        <w:t>(TV)</w:t>
      </w:r>
      <w:r w:rsidRPr="00D80D15">
        <w:t xml:space="preserve">, </w:t>
      </w:r>
      <w:r w:rsidR="00A86444" w:rsidRPr="00D80D15">
        <w:t>Savannah, Georgia, File No. BALCDT-220140827ACM</w:t>
      </w:r>
      <w:r w:rsidR="004353D0" w:rsidRPr="00D80D15">
        <w:t>,</w:t>
      </w:r>
      <w:r w:rsidRPr="00D80D15">
        <w:t xml:space="preserve"> </w:t>
      </w:r>
      <w:r w:rsidR="00A86444" w:rsidRPr="00D80D15">
        <w:t>from L</w:t>
      </w:r>
      <w:r w:rsidRPr="00D80D15">
        <w:t xml:space="preserve">icense </w:t>
      </w:r>
      <w:r w:rsidR="00A86444" w:rsidRPr="00D80D15">
        <w:t>S</w:t>
      </w:r>
      <w:r w:rsidRPr="00D80D15">
        <w:t xml:space="preserve">ubsidiaries of Post-Merger </w:t>
      </w:r>
      <w:r w:rsidR="001C399D" w:rsidRPr="00D80D15">
        <w:t xml:space="preserve">Shareholders of </w:t>
      </w:r>
      <w:r w:rsidRPr="00D80D15">
        <w:t>Media General</w:t>
      </w:r>
      <w:r w:rsidR="001C399D" w:rsidRPr="00D80D15">
        <w:t>, Inc.</w:t>
      </w:r>
      <w:r w:rsidR="004353D0" w:rsidRPr="00D80D15">
        <w:t>,</w:t>
      </w:r>
      <w:r w:rsidRPr="00D80D15">
        <w:t xml:space="preserve"> to </w:t>
      </w:r>
      <w:r w:rsidR="00A86444" w:rsidRPr="00D80D15">
        <w:t xml:space="preserve">Licensee Subsidiaries of </w:t>
      </w:r>
      <w:r w:rsidRPr="00D80D15">
        <w:t xml:space="preserve"> </w:t>
      </w:r>
      <w:r w:rsidR="00A86444" w:rsidRPr="00D80D15">
        <w:t>Hearst Corporation,</w:t>
      </w:r>
      <w:r w:rsidRPr="00D80D15">
        <w:t xml:space="preserve">  pursuant to Section 310(d) of the Communications Act of 1934, 47 U.S.C. § 310(d)</w:t>
      </w:r>
      <w:r w:rsidR="004353D0" w:rsidRPr="00D80D15">
        <w:t>,</w:t>
      </w:r>
      <w:r w:rsidRPr="00D80D15">
        <w:t xml:space="preserve"> </w:t>
      </w:r>
      <w:r w:rsidRPr="00D80D15">
        <w:rPr>
          <w:b/>
        </w:rPr>
        <w:t>ARE GRANTED</w:t>
      </w:r>
      <w:r w:rsidRPr="00D80D15">
        <w:t>.</w:t>
      </w:r>
    </w:p>
    <w:p w14:paraId="0AF77E97" w14:textId="151BE3F7" w:rsidR="0010191D" w:rsidRPr="00D80D15" w:rsidRDefault="001C399D" w:rsidP="00A82FCF">
      <w:pPr>
        <w:pStyle w:val="ParaNum"/>
      </w:pPr>
      <w:r w:rsidRPr="00D80D15">
        <w:rPr>
          <w:b/>
        </w:rPr>
        <w:t>IT IS FURTHER ORDERED</w:t>
      </w:r>
      <w:r w:rsidR="000F1C27" w:rsidRPr="00D80D15">
        <w:t>,</w:t>
      </w:r>
      <w:r w:rsidRPr="00D80D15">
        <w:t xml:space="preserve"> </w:t>
      </w:r>
      <w:r w:rsidR="001D6188" w:rsidRPr="00D80D15">
        <w:t>T</w:t>
      </w:r>
      <w:r w:rsidRPr="00D80D15">
        <w:t>hat the applications seeking consent to assign the license of WALA-TV, Mobile, Alabama, File No. BALCDT-20140827ANO</w:t>
      </w:r>
      <w:r w:rsidR="004353D0" w:rsidRPr="00D80D15">
        <w:t>,</w:t>
      </w:r>
      <w:r w:rsidRPr="00D80D15">
        <w:t xml:space="preserve"> from  the License Subsidiary of Post-Merger Shareholders of Media General, Inc.</w:t>
      </w:r>
      <w:r w:rsidR="004353D0" w:rsidRPr="00D80D15">
        <w:t>,</w:t>
      </w:r>
      <w:r w:rsidRPr="00D80D15">
        <w:t xml:space="preserve"> to Meredith Corporation,  pursuant to Section 310(d) of the Communications Act of 1934, 47 U.S.C. § 310(d)</w:t>
      </w:r>
      <w:r w:rsidR="004353D0" w:rsidRPr="00D80D15">
        <w:t>,</w:t>
      </w:r>
      <w:r w:rsidRPr="00D80D15">
        <w:t xml:space="preserve"> </w:t>
      </w:r>
      <w:r w:rsidRPr="00D80D15">
        <w:rPr>
          <w:b/>
        </w:rPr>
        <w:t>IS GRANTED</w:t>
      </w:r>
      <w:r w:rsidR="00DE03E1" w:rsidRPr="00D80D15">
        <w:t>.</w:t>
      </w:r>
    </w:p>
    <w:p w14:paraId="53C02E1D" w14:textId="6A05497A" w:rsidR="001C399D" w:rsidRPr="00D80D15" w:rsidRDefault="001C399D" w:rsidP="00A82FCF">
      <w:pPr>
        <w:pStyle w:val="ParaNum"/>
      </w:pPr>
      <w:r w:rsidRPr="00D80D15">
        <w:rPr>
          <w:b/>
        </w:rPr>
        <w:t>IT IS FURTHER ORDERED</w:t>
      </w:r>
      <w:r w:rsidR="000F1C27" w:rsidRPr="00D80D15">
        <w:t>,</w:t>
      </w:r>
      <w:r w:rsidRPr="00D80D15">
        <w:t xml:space="preserve"> </w:t>
      </w:r>
      <w:r w:rsidR="001D6188" w:rsidRPr="00D80D15">
        <w:t>T</w:t>
      </w:r>
      <w:r w:rsidRPr="00D80D15">
        <w:t>hat the applications seeking consent to assign the licenses of Station</w:t>
      </w:r>
      <w:r w:rsidR="003D7E5B" w:rsidRPr="00D80D15">
        <w:t>s</w:t>
      </w:r>
      <w:r w:rsidRPr="00D80D15">
        <w:t xml:space="preserve"> WJAR(TV), Providence, </w:t>
      </w:r>
      <w:r w:rsidR="004353D0" w:rsidRPr="00D80D15">
        <w:t>Rhode Island</w:t>
      </w:r>
      <w:r w:rsidRPr="00D80D15">
        <w:t xml:space="preserve">, File No. BALCDT-20140827ANP; WLUK-TV, Green Bay, </w:t>
      </w:r>
      <w:r w:rsidR="004353D0" w:rsidRPr="00D80D15">
        <w:t>Wisconsin</w:t>
      </w:r>
      <w:r w:rsidRPr="00D80D15">
        <w:t xml:space="preserve">, File No. BALCDT-20140827ANM; </w:t>
      </w:r>
      <w:r w:rsidR="003D7E5B" w:rsidRPr="00D80D15">
        <w:t xml:space="preserve">and </w:t>
      </w:r>
      <w:r w:rsidRPr="00D80D15">
        <w:t>WCWF</w:t>
      </w:r>
      <w:r w:rsidR="004353D0" w:rsidRPr="00D80D15">
        <w:t xml:space="preserve">(TV), Suring, Wisconsin, File No. BALCDT-20140827ANL, </w:t>
      </w:r>
      <w:r w:rsidRPr="00D80D15">
        <w:t>from License Subsidiaries of Post-Merger Shareholders of Media General, Inc., to License Subsidiaries of  Sinclair Broadcast Group,  pursuant to Section 310(d) of the Communications Act of 1934, 47 U.S.C. § 310(d)</w:t>
      </w:r>
      <w:r w:rsidR="004353D0" w:rsidRPr="00D80D15">
        <w:t>,</w:t>
      </w:r>
      <w:r w:rsidRPr="00D80D15">
        <w:t xml:space="preserve"> </w:t>
      </w:r>
      <w:r w:rsidRPr="00D80D15">
        <w:rPr>
          <w:b/>
        </w:rPr>
        <w:t>ARE GRANTED</w:t>
      </w:r>
      <w:r w:rsidR="00DE03E1" w:rsidRPr="00D80D15">
        <w:t>.</w:t>
      </w:r>
    </w:p>
    <w:p w14:paraId="0EB5DE69" w14:textId="77777777" w:rsidR="0010191D" w:rsidRPr="00D80D15" w:rsidRDefault="0010191D" w:rsidP="00A82FCF">
      <w:pPr>
        <w:pStyle w:val="ParaNum"/>
      </w:pPr>
      <w:r w:rsidRPr="00D80D15">
        <w:rPr>
          <w:b/>
        </w:rPr>
        <w:t>IT IS FURTHER ORDERED</w:t>
      </w:r>
      <w:r w:rsidR="001D6188" w:rsidRPr="00D80D15">
        <w:rPr>
          <w:b/>
        </w:rPr>
        <w:t>,</w:t>
      </w:r>
      <w:r w:rsidRPr="00D80D15">
        <w:t xml:space="preserve"> </w:t>
      </w:r>
      <w:r w:rsidR="001D6188" w:rsidRPr="00D80D15">
        <w:t>T</w:t>
      </w:r>
      <w:r w:rsidRPr="00D80D15">
        <w:t xml:space="preserve">hat, the request by </w:t>
      </w:r>
      <w:r w:rsidR="004353D0" w:rsidRPr="00D80D15">
        <w:t xml:space="preserve">the License Subsidiary of </w:t>
      </w:r>
      <w:r w:rsidRPr="00D80D15">
        <w:t xml:space="preserve">Sinclair </w:t>
      </w:r>
      <w:r w:rsidR="001C399D" w:rsidRPr="00D80D15">
        <w:t>Broadcast</w:t>
      </w:r>
      <w:r w:rsidRPr="00D80D15">
        <w:t xml:space="preserve"> Group for a waiver  of Section 73.3555 of the Commission’s rules, 47 C.F.R. §73.3555, pursuant to Note 7, the “</w:t>
      </w:r>
      <w:r w:rsidR="00490FD1" w:rsidRPr="00D80D15">
        <w:t>failing</w:t>
      </w:r>
      <w:r w:rsidRPr="00D80D15">
        <w:t>” station waiver standard, to permit continued ownership of WCWF(TV),</w:t>
      </w:r>
      <w:r w:rsidR="004353D0" w:rsidRPr="00D80D15">
        <w:t xml:space="preserve"> </w:t>
      </w:r>
      <w:r w:rsidRPr="00D80D15">
        <w:t xml:space="preserve">Suring, </w:t>
      </w:r>
      <w:r w:rsidR="004353D0" w:rsidRPr="00D80D15">
        <w:t>Wisconsin</w:t>
      </w:r>
      <w:r w:rsidRPr="00D80D15">
        <w:t xml:space="preserve"> </w:t>
      </w:r>
      <w:r w:rsidRPr="00D80D15">
        <w:rPr>
          <w:b/>
        </w:rPr>
        <w:t>IS GRANTED</w:t>
      </w:r>
      <w:r w:rsidRPr="00D80D15">
        <w:t>.</w:t>
      </w:r>
    </w:p>
    <w:p w14:paraId="72222DBF" w14:textId="708ABA59" w:rsidR="004353D0" w:rsidRPr="00D80D15" w:rsidRDefault="004353D0" w:rsidP="00A82FCF">
      <w:pPr>
        <w:pStyle w:val="ParaNum"/>
      </w:pPr>
      <w:r w:rsidRPr="00D80D15">
        <w:rPr>
          <w:b/>
        </w:rPr>
        <w:t>IT IS FURTHER ORDERED</w:t>
      </w:r>
      <w:r w:rsidR="001D6188" w:rsidRPr="00D80D15">
        <w:t>,</w:t>
      </w:r>
      <w:r w:rsidRPr="00D80D15">
        <w:t xml:space="preserve"> </w:t>
      </w:r>
      <w:r w:rsidR="001D6188" w:rsidRPr="00D80D15">
        <w:t>T</w:t>
      </w:r>
      <w:r w:rsidRPr="00D80D15">
        <w:t xml:space="preserve">hat the applications seeking consent to assign the licenses of </w:t>
      </w:r>
      <w:r w:rsidR="003D7E5B" w:rsidRPr="00D80D15">
        <w:t xml:space="preserve">Stations </w:t>
      </w:r>
      <w:r w:rsidRPr="00D80D15">
        <w:t xml:space="preserve">WTTA(TV), St. Petersburg, </w:t>
      </w:r>
      <w:r w:rsidR="003D7E5B" w:rsidRPr="00D80D15">
        <w:t>Florida</w:t>
      </w:r>
      <w:r w:rsidRPr="00D80D15">
        <w:t xml:space="preserve">, File No. BALCDT-20140827ANY and KXRM-TV, Colorado Springs, </w:t>
      </w:r>
      <w:r w:rsidR="003D7E5B" w:rsidRPr="00D80D15">
        <w:t>Colorado</w:t>
      </w:r>
      <w:r w:rsidRPr="00D80D15">
        <w:t>, File N</w:t>
      </w:r>
      <w:r w:rsidR="003D7E5B" w:rsidRPr="00D80D15">
        <w:t>o</w:t>
      </w:r>
      <w:r w:rsidRPr="00D80D15">
        <w:t>. BALCDT-20140827ANV from Licensee Subsidiaries of  Sinclair Broadcast Group to License Subsidiaries of Post-Merger Shareholders of Media General, Inc.,  pursuant to Section 310(d) of the Communications Act of 1934, 47 U.S.C. § 310(d)</w:t>
      </w:r>
      <w:r w:rsidR="003D7E5B" w:rsidRPr="00D80D15">
        <w:t>,</w:t>
      </w:r>
      <w:r w:rsidRPr="00D80D15">
        <w:t xml:space="preserve"> </w:t>
      </w:r>
      <w:r w:rsidRPr="00D80D15">
        <w:rPr>
          <w:b/>
        </w:rPr>
        <w:t>ARE GRANTED</w:t>
      </w:r>
      <w:r w:rsidR="00DE03E1" w:rsidRPr="00D80D15">
        <w:t>.</w:t>
      </w:r>
    </w:p>
    <w:p w14:paraId="2441DCCB" w14:textId="6049212E" w:rsidR="004353D0" w:rsidRPr="00D80D15" w:rsidRDefault="004353D0" w:rsidP="00A82FCF">
      <w:pPr>
        <w:pStyle w:val="ParaNum"/>
      </w:pPr>
      <w:r w:rsidRPr="00D80D15">
        <w:rPr>
          <w:b/>
        </w:rPr>
        <w:t>IT IS FURTHER ORDERED</w:t>
      </w:r>
      <w:r w:rsidR="001D6188" w:rsidRPr="00D80D15">
        <w:t>,</w:t>
      </w:r>
      <w:r w:rsidRPr="00D80D15">
        <w:t xml:space="preserve"> </w:t>
      </w:r>
      <w:r w:rsidR="001D6188" w:rsidRPr="00D80D15">
        <w:t>T</w:t>
      </w:r>
      <w:r w:rsidRPr="00D80D15">
        <w:t>ha</w:t>
      </w:r>
      <w:r w:rsidR="000F1C27" w:rsidRPr="00D80D15">
        <w:t>t</w:t>
      </w:r>
      <w:r w:rsidRPr="00D80D15">
        <w:t xml:space="preserve"> the applications seeking consent to assign the licenses of </w:t>
      </w:r>
      <w:r w:rsidR="003D7E5B" w:rsidRPr="00D80D15">
        <w:t xml:space="preserve">Station </w:t>
      </w:r>
      <w:r w:rsidRPr="00D80D15">
        <w:t>WTG</w:t>
      </w:r>
      <w:r w:rsidR="003D7E5B" w:rsidRPr="00D80D15">
        <w:t>S</w:t>
      </w:r>
      <w:r w:rsidRPr="00D80D15">
        <w:t xml:space="preserve">(TV), Hardeeville, </w:t>
      </w:r>
      <w:r w:rsidR="003D7E5B" w:rsidRPr="00D80D15">
        <w:t>South Carolina</w:t>
      </w:r>
      <w:r w:rsidRPr="00D80D15">
        <w:t xml:space="preserve">, File No. BALCDT-20140827ADC, from WTGS Television, LLC  to a Licensee Subsidiary of  Sinclair Broadcast Group,  pursuant to Section 310(d) of the Communications Act of 1934, 47 U.S.C. § 310(d) </w:t>
      </w:r>
      <w:r w:rsidRPr="00D80D15">
        <w:rPr>
          <w:b/>
        </w:rPr>
        <w:t>ARE GRANTED</w:t>
      </w:r>
      <w:r w:rsidR="00DE03E1" w:rsidRPr="00D80D15">
        <w:t>.</w:t>
      </w:r>
    </w:p>
    <w:p w14:paraId="0DC01A83" w14:textId="77777777" w:rsidR="004529C1" w:rsidRPr="00D80D15" w:rsidRDefault="004529C1" w:rsidP="00A82FCF">
      <w:pPr>
        <w:pStyle w:val="ParaNum"/>
      </w:pPr>
      <w:r w:rsidRPr="00D80D15">
        <w:t>These actions are taken pursuant to Section 0.61</w:t>
      </w:r>
      <w:r w:rsidR="0072415C" w:rsidRPr="00D80D15">
        <w:t xml:space="preserve"> and 0.283 of the Commission’s </w:t>
      </w:r>
      <w:r w:rsidR="009A32BC" w:rsidRPr="00D80D15">
        <w:t>r</w:t>
      </w:r>
      <w:r w:rsidRPr="00D80D15">
        <w:t>ules, 47 C.F.R. §§ 0.61, 0.283, and Sections 4(i) and (j), 303(r), 309, and 310(d) of the Communications Act of 1934, as amended, 47 U.S.C. §§ 154(i), 154(j), 303(r), 309, 310(d).</w:t>
      </w:r>
    </w:p>
    <w:p w14:paraId="668F1F25" w14:textId="77777777" w:rsidR="00A82FCF" w:rsidRDefault="008B65BC" w:rsidP="00EF0532">
      <w:r w:rsidRPr="00D80D15">
        <w:rPr>
          <w:b/>
          <w:szCs w:val="22"/>
        </w:rPr>
        <w:tab/>
      </w:r>
      <w:r w:rsidR="00A82FCF">
        <w:tab/>
      </w:r>
      <w:r w:rsidR="00A82FCF">
        <w:tab/>
      </w:r>
      <w:r w:rsidR="00A82FCF">
        <w:tab/>
      </w:r>
      <w:r w:rsidR="00A82FCF">
        <w:tab/>
      </w:r>
      <w:r w:rsidR="00A82FCF">
        <w:tab/>
      </w:r>
    </w:p>
    <w:p w14:paraId="7182335A" w14:textId="1BAAC8A7" w:rsidR="00A82FCF" w:rsidRDefault="00A82FCF" w:rsidP="00A82FCF">
      <w:pPr>
        <w:ind w:left="3600" w:firstLine="720"/>
      </w:pPr>
      <w:r>
        <w:t>FEDERAL COMMUNICATIONS COMMISSION</w:t>
      </w:r>
    </w:p>
    <w:p w14:paraId="2AF8FEA7" w14:textId="77777777" w:rsidR="00A82FCF" w:rsidRDefault="00A82FCF" w:rsidP="00EF0532"/>
    <w:p w14:paraId="2D4E295B" w14:textId="77777777" w:rsidR="00A82FCF" w:rsidRDefault="00A82FCF" w:rsidP="00EF0532"/>
    <w:p w14:paraId="2A9555FC" w14:textId="77777777" w:rsidR="00A82FCF" w:rsidRDefault="00A82FCF" w:rsidP="00EF0532"/>
    <w:p w14:paraId="3E107ACA" w14:textId="77777777" w:rsidR="00A82FCF" w:rsidRDefault="00A82FCF" w:rsidP="00EF0532"/>
    <w:p w14:paraId="194373D9" w14:textId="19A7225A" w:rsidR="00A82FCF" w:rsidRDefault="00A82FCF" w:rsidP="00EF0532">
      <w:r>
        <w:tab/>
      </w:r>
      <w:r>
        <w:tab/>
      </w:r>
      <w:r>
        <w:tab/>
      </w:r>
      <w:r>
        <w:tab/>
      </w:r>
      <w:r>
        <w:tab/>
      </w:r>
      <w:r>
        <w:tab/>
        <w:t xml:space="preserve">Barbara A Kreisman </w:t>
      </w:r>
    </w:p>
    <w:p w14:paraId="6EF5A9E2" w14:textId="57ED631F" w:rsidR="006D73CD" w:rsidRDefault="00A82FCF" w:rsidP="00A82FCF">
      <w:r>
        <w:tab/>
      </w:r>
      <w:r>
        <w:tab/>
      </w:r>
      <w:r>
        <w:tab/>
      </w:r>
      <w:r>
        <w:tab/>
      </w:r>
      <w:r>
        <w:tab/>
      </w:r>
      <w:r>
        <w:tab/>
        <w:t>Chief, Video Division</w:t>
      </w:r>
    </w:p>
    <w:p w14:paraId="6735FA62" w14:textId="4ADAF576" w:rsidR="00A82FCF" w:rsidRPr="00A82FCF" w:rsidRDefault="00A82FCF" w:rsidP="00A82FCF">
      <w:pPr>
        <w:sectPr w:rsidR="00A82FCF" w:rsidRPr="00A82FCF" w:rsidSect="00A82FCF">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2240" w:h="15840" w:code="1"/>
          <w:pgMar w:top="1440" w:right="1440" w:bottom="720" w:left="1440" w:header="720" w:footer="720" w:gutter="0"/>
          <w:cols w:space="720"/>
          <w:titlePg/>
          <w:docGrid w:linePitch="299"/>
        </w:sectPr>
      </w:pPr>
      <w:r>
        <w:tab/>
      </w:r>
      <w:r>
        <w:tab/>
      </w:r>
      <w:r>
        <w:tab/>
      </w:r>
      <w:r>
        <w:tab/>
      </w:r>
      <w:r>
        <w:tab/>
      </w:r>
      <w:r>
        <w:tab/>
        <w:t>Media Bureau</w:t>
      </w:r>
    </w:p>
    <w:p w14:paraId="212B5915" w14:textId="77777777" w:rsidR="006D73CD" w:rsidRPr="006D73CD" w:rsidRDefault="006D73CD" w:rsidP="006D73CD">
      <w:pPr>
        <w:jc w:val="center"/>
        <w:rPr>
          <w:b/>
          <w:sz w:val="40"/>
          <w:szCs w:val="40"/>
        </w:rPr>
      </w:pPr>
      <w:r w:rsidRPr="006D73CD">
        <w:rPr>
          <w:b/>
          <w:sz w:val="40"/>
          <w:szCs w:val="40"/>
        </w:rPr>
        <w:t>Appendix A</w:t>
      </w:r>
    </w:p>
    <w:p w14:paraId="17054184" w14:textId="77777777" w:rsidR="006D73CD" w:rsidRPr="001B04F9" w:rsidRDefault="006D73CD" w:rsidP="006D73CD">
      <w:pPr>
        <w:jc w:val="center"/>
        <w:rPr>
          <w:b/>
          <w:sz w:val="24"/>
          <w:szCs w:val="24"/>
        </w:rPr>
      </w:pPr>
    </w:p>
    <w:p w14:paraId="3FAF11FC" w14:textId="77777777" w:rsidR="006D73CD" w:rsidRPr="006D73CD" w:rsidRDefault="006D73CD" w:rsidP="006D73CD">
      <w:pPr>
        <w:jc w:val="center"/>
        <w:rPr>
          <w:b/>
          <w:sz w:val="24"/>
          <w:szCs w:val="24"/>
        </w:rPr>
      </w:pPr>
      <w:r w:rsidRPr="006D73CD">
        <w:rPr>
          <w:b/>
          <w:sz w:val="24"/>
          <w:szCs w:val="24"/>
        </w:rPr>
        <w:t>FCC Form 315 Transfer of Control Applications</w:t>
      </w:r>
    </w:p>
    <w:p w14:paraId="3A51D0C1" w14:textId="77777777" w:rsidR="006D73CD" w:rsidRPr="006D73CD" w:rsidRDefault="006D73CD" w:rsidP="006D73CD">
      <w:pPr>
        <w:rPr>
          <w:sz w:val="24"/>
        </w:rPr>
      </w:pPr>
    </w:p>
    <w:tbl>
      <w:tblPr>
        <w:tblStyle w:val="TableGrid1"/>
        <w:tblW w:w="7586" w:type="dxa"/>
        <w:jc w:val="center"/>
        <w:tblLook w:val="04A0" w:firstRow="1" w:lastRow="0" w:firstColumn="1" w:lastColumn="0" w:noHBand="0" w:noVBand="1"/>
      </w:tblPr>
      <w:tblGrid>
        <w:gridCol w:w="3780"/>
        <w:gridCol w:w="1078"/>
        <w:gridCol w:w="2728"/>
      </w:tblGrid>
      <w:tr w:rsidR="006D73CD" w:rsidRPr="006D73CD" w14:paraId="1ED5A0A1" w14:textId="77777777" w:rsidTr="006D73CD">
        <w:trPr>
          <w:tblHeader/>
          <w:jc w:val="center"/>
        </w:trPr>
        <w:tc>
          <w:tcPr>
            <w:tcW w:w="3780" w:type="dxa"/>
            <w:shd w:val="clear" w:color="auto" w:fill="BFBFBF" w:themeFill="background1" w:themeFillShade="BF"/>
          </w:tcPr>
          <w:p w14:paraId="6FC25EA4" w14:textId="77777777" w:rsidR="006D73CD" w:rsidRPr="001B04F9" w:rsidRDefault="006D73CD" w:rsidP="006D73CD">
            <w:pPr>
              <w:jc w:val="center"/>
              <w:rPr>
                <w:rFonts w:ascii="Times New Roman" w:hAnsi="Times New Roman" w:cs="Times New Roman"/>
                <w:szCs w:val="22"/>
              </w:rPr>
            </w:pPr>
            <w:r w:rsidRPr="001B04F9">
              <w:rPr>
                <w:rFonts w:ascii="Times New Roman" w:hAnsi="Times New Roman" w:cs="Times New Roman"/>
                <w:szCs w:val="22"/>
              </w:rPr>
              <w:t>Call Sign and Community of License</w:t>
            </w:r>
          </w:p>
        </w:tc>
        <w:tc>
          <w:tcPr>
            <w:tcW w:w="1078" w:type="dxa"/>
            <w:shd w:val="clear" w:color="auto" w:fill="BFBFBF" w:themeFill="background1" w:themeFillShade="BF"/>
          </w:tcPr>
          <w:p w14:paraId="0EB5B450" w14:textId="77777777" w:rsidR="006D73CD" w:rsidRPr="001B04F9" w:rsidRDefault="006D73CD" w:rsidP="006D73CD">
            <w:pPr>
              <w:jc w:val="center"/>
              <w:rPr>
                <w:rFonts w:ascii="Times New Roman" w:hAnsi="Times New Roman" w:cs="Times New Roman"/>
                <w:szCs w:val="22"/>
              </w:rPr>
            </w:pPr>
            <w:r w:rsidRPr="001B04F9">
              <w:rPr>
                <w:rFonts w:ascii="Times New Roman" w:hAnsi="Times New Roman" w:cs="Times New Roman"/>
                <w:szCs w:val="22"/>
              </w:rPr>
              <w:t>FCC ID</w:t>
            </w:r>
          </w:p>
        </w:tc>
        <w:tc>
          <w:tcPr>
            <w:tcW w:w="2728" w:type="dxa"/>
            <w:shd w:val="clear" w:color="auto" w:fill="BFBFBF" w:themeFill="background1" w:themeFillShade="BF"/>
          </w:tcPr>
          <w:p w14:paraId="6BD328EB" w14:textId="77777777" w:rsidR="006D73CD" w:rsidRPr="001B04F9" w:rsidRDefault="006D73CD" w:rsidP="006D73CD">
            <w:pPr>
              <w:jc w:val="center"/>
              <w:rPr>
                <w:rFonts w:ascii="Times New Roman" w:hAnsi="Times New Roman" w:cs="Times New Roman"/>
                <w:szCs w:val="22"/>
              </w:rPr>
            </w:pPr>
            <w:r w:rsidRPr="001B04F9">
              <w:rPr>
                <w:rFonts w:ascii="Times New Roman" w:hAnsi="Times New Roman" w:cs="Times New Roman"/>
                <w:szCs w:val="22"/>
              </w:rPr>
              <w:t>Application  File Number</w:t>
            </w:r>
          </w:p>
        </w:tc>
      </w:tr>
      <w:tr w:rsidR="006D73CD" w:rsidRPr="006D73CD" w14:paraId="25E707B9" w14:textId="77777777" w:rsidTr="006D73CD">
        <w:trPr>
          <w:jc w:val="center"/>
        </w:trPr>
        <w:tc>
          <w:tcPr>
            <w:tcW w:w="3780" w:type="dxa"/>
          </w:tcPr>
          <w:p w14:paraId="048011A4"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KOIN(TV), Portland, OR</w:t>
            </w:r>
          </w:p>
        </w:tc>
        <w:tc>
          <w:tcPr>
            <w:tcW w:w="1078" w:type="dxa"/>
          </w:tcPr>
          <w:p w14:paraId="4031693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35380</w:t>
            </w:r>
          </w:p>
        </w:tc>
        <w:tc>
          <w:tcPr>
            <w:tcW w:w="2728" w:type="dxa"/>
          </w:tcPr>
          <w:p w14:paraId="429D4183"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BTCCDT-20140509AIZ</w:t>
            </w:r>
          </w:p>
        </w:tc>
      </w:tr>
      <w:tr w:rsidR="006D73CD" w:rsidRPr="006D73CD" w14:paraId="5B77E737" w14:textId="77777777" w:rsidTr="006D73CD">
        <w:trPr>
          <w:jc w:val="center"/>
        </w:trPr>
        <w:tc>
          <w:tcPr>
            <w:tcW w:w="3780" w:type="dxa"/>
          </w:tcPr>
          <w:p w14:paraId="2B200279"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WIAT(TV), Birmingham, AL</w:t>
            </w:r>
          </w:p>
        </w:tc>
        <w:tc>
          <w:tcPr>
            <w:tcW w:w="1078" w:type="dxa"/>
          </w:tcPr>
          <w:p w14:paraId="060BB3A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5360</w:t>
            </w:r>
          </w:p>
        </w:tc>
        <w:tc>
          <w:tcPr>
            <w:tcW w:w="2728" w:type="dxa"/>
          </w:tcPr>
          <w:p w14:paraId="09F6C889"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BTCCDT-20140509AJI</w:t>
            </w:r>
          </w:p>
        </w:tc>
      </w:tr>
      <w:tr w:rsidR="006D73CD" w:rsidRPr="006D73CD" w14:paraId="584FC4B0" w14:textId="77777777" w:rsidTr="006D73CD">
        <w:trPr>
          <w:jc w:val="center"/>
        </w:trPr>
        <w:tc>
          <w:tcPr>
            <w:tcW w:w="3780" w:type="dxa"/>
          </w:tcPr>
          <w:p w14:paraId="21EE12B5"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KSNW(TV), Wichita, KS</w:t>
            </w:r>
          </w:p>
        </w:tc>
        <w:tc>
          <w:tcPr>
            <w:tcW w:w="1078" w:type="dxa"/>
          </w:tcPr>
          <w:p w14:paraId="4550688B"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72358</w:t>
            </w:r>
          </w:p>
        </w:tc>
        <w:tc>
          <w:tcPr>
            <w:tcW w:w="2728" w:type="dxa"/>
          </w:tcPr>
          <w:p w14:paraId="38C77E94"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BTCCDT-20140509AJG</w:t>
            </w:r>
          </w:p>
        </w:tc>
      </w:tr>
      <w:tr w:rsidR="006D73CD" w:rsidRPr="006D73CD" w14:paraId="49506A54" w14:textId="77777777" w:rsidTr="006D73CD">
        <w:trPr>
          <w:jc w:val="center"/>
        </w:trPr>
        <w:tc>
          <w:tcPr>
            <w:tcW w:w="3780" w:type="dxa"/>
          </w:tcPr>
          <w:p w14:paraId="07397460"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KSNC(TV), Great Bend, KS</w:t>
            </w:r>
            <w:r w:rsidRPr="001B04F9">
              <w:rPr>
                <w:rFonts w:ascii="Times New Roman" w:hAnsi="Times New Roman" w:cs="Times New Roman"/>
                <w:szCs w:val="22"/>
                <w:vertAlign w:val="superscript"/>
              </w:rPr>
              <w:footnoteReference w:id="105"/>
            </w:r>
          </w:p>
        </w:tc>
        <w:tc>
          <w:tcPr>
            <w:tcW w:w="1078" w:type="dxa"/>
          </w:tcPr>
          <w:p w14:paraId="42323196"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72359</w:t>
            </w:r>
          </w:p>
        </w:tc>
        <w:tc>
          <w:tcPr>
            <w:tcW w:w="2728" w:type="dxa"/>
          </w:tcPr>
          <w:p w14:paraId="1AA50F80"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BTCCDT-20140509AJB</w:t>
            </w:r>
          </w:p>
        </w:tc>
      </w:tr>
      <w:tr w:rsidR="006D73CD" w:rsidRPr="006D73CD" w14:paraId="3A6A08F7" w14:textId="77777777" w:rsidTr="006D73CD">
        <w:trPr>
          <w:jc w:val="center"/>
        </w:trPr>
        <w:tc>
          <w:tcPr>
            <w:tcW w:w="3780" w:type="dxa"/>
          </w:tcPr>
          <w:p w14:paraId="2D0C07A3"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KSNG(TV), Garden City, KS</w:t>
            </w:r>
          </w:p>
        </w:tc>
        <w:tc>
          <w:tcPr>
            <w:tcW w:w="1078" w:type="dxa"/>
          </w:tcPr>
          <w:p w14:paraId="418DBA0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72361</w:t>
            </w:r>
          </w:p>
        </w:tc>
        <w:tc>
          <w:tcPr>
            <w:tcW w:w="2728" w:type="dxa"/>
          </w:tcPr>
          <w:p w14:paraId="75257E45"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BTCCDT-20140509AJC</w:t>
            </w:r>
          </w:p>
        </w:tc>
      </w:tr>
      <w:tr w:rsidR="006D73CD" w:rsidRPr="006D73CD" w14:paraId="4198FA1B" w14:textId="77777777" w:rsidTr="006D73CD">
        <w:trPr>
          <w:jc w:val="center"/>
        </w:trPr>
        <w:tc>
          <w:tcPr>
            <w:tcW w:w="3780" w:type="dxa"/>
          </w:tcPr>
          <w:p w14:paraId="10E6B4CA"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KSNK(TV), McCook, NE</w:t>
            </w:r>
          </w:p>
        </w:tc>
        <w:tc>
          <w:tcPr>
            <w:tcW w:w="1078" w:type="dxa"/>
          </w:tcPr>
          <w:p w14:paraId="7DB260AD"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72362</w:t>
            </w:r>
          </w:p>
        </w:tc>
        <w:tc>
          <w:tcPr>
            <w:tcW w:w="2728" w:type="dxa"/>
          </w:tcPr>
          <w:p w14:paraId="3F33CF00"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BTCCDT-20140509AJD</w:t>
            </w:r>
          </w:p>
        </w:tc>
      </w:tr>
      <w:tr w:rsidR="006D73CD" w:rsidRPr="006D73CD" w14:paraId="77BFF91F" w14:textId="77777777" w:rsidTr="006D73CD">
        <w:trPr>
          <w:jc w:val="center"/>
        </w:trPr>
        <w:tc>
          <w:tcPr>
            <w:tcW w:w="3780" w:type="dxa"/>
          </w:tcPr>
          <w:p w14:paraId="24BFC61C"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KHON-TV, Honolulu, HI</w:t>
            </w:r>
          </w:p>
        </w:tc>
        <w:tc>
          <w:tcPr>
            <w:tcW w:w="1078" w:type="dxa"/>
          </w:tcPr>
          <w:p w14:paraId="6C1FF404"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4144</w:t>
            </w:r>
          </w:p>
        </w:tc>
        <w:tc>
          <w:tcPr>
            <w:tcW w:w="2728" w:type="dxa"/>
          </w:tcPr>
          <w:p w14:paraId="20E1211C"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BTCCDT-20140509AIX</w:t>
            </w:r>
          </w:p>
        </w:tc>
      </w:tr>
      <w:tr w:rsidR="006D73CD" w:rsidRPr="006D73CD" w14:paraId="70F658B3" w14:textId="77777777" w:rsidTr="006D73CD">
        <w:trPr>
          <w:jc w:val="center"/>
        </w:trPr>
        <w:tc>
          <w:tcPr>
            <w:tcW w:w="3780" w:type="dxa"/>
          </w:tcPr>
          <w:p w14:paraId="1AC5252E"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KHAW-TV, Hilo, HI</w:t>
            </w:r>
            <w:r w:rsidRPr="001B04F9">
              <w:rPr>
                <w:rFonts w:ascii="Times New Roman" w:hAnsi="Times New Roman" w:cs="Times New Roman"/>
                <w:szCs w:val="22"/>
                <w:vertAlign w:val="superscript"/>
              </w:rPr>
              <w:footnoteReference w:id="106"/>
            </w:r>
          </w:p>
        </w:tc>
        <w:tc>
          <w:tcPr>
            <w:tcW w:w="1078" w:type="dxa"/>
          </w:tcPr>
          <w:p w14:paraId="18302690"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4146</w:t>
            </w:r>
          </w:p>
        </w:tc>
        <w:tc>
          <w:tcPr>
            <w:tcW w:w="2728" w:type="dxa"/>
          </w:tcPr>
          <w:p w14:paraId="0A44156B"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BTCCDT-20140509AIW</w:t>
            </w:r>
          </w:p>
        </w:tc>
      </w:tr>
      <w:tr w:rsidR="006D73CD" w:rsidRPr="006D73CD" w14:paraId="0DB12A7C" w14:textId="77777777" w:rsidTr="006D73CD">
        <w:trPr>
          <w:jc w:val="center"/>
        </w:trPr>
        <w:tc>
          <w:tcPr>
            <w:tcW w:w="3780" w:type="dxa"/>
          </w:tcPr>
          <w:p w14:paraId="35B5B906"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KAII-TV, Wailuku, HI</w:t>
            </w:r>
            <w:r w:rsidRPr="001B04F9">
              <w:rPr>
                <w:rFonts w:ascii="Times New Roman" w:hAnsi="Times New Roman" w:cs="Times New Roman"/>
                <w:szCs w:val="22"/>
                <w:vertAlign w:val="superscript"/>
              </w:rPr>
              <w:footnoteReference w:id="107"/>
            </w:r>
          </w:p>
        </w:tc>
        <w:tc>
          <w:tcPr>
            <w:tcW w:w="1078" w:type="dxa"/>
          </w:tcPr>
          <w:p w14:paraId="1787E789"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4145</w:t>
            </w:r>
          </w:p>
        </w:tc>
        <w:tc>
          <w:tcPr>
            <w:tcW w:w="2728" w:type="dxa"/>
          </w:tcPr>
          <w:p w14:paraId="53CA29C4"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BTCCDT-20140509AIO</w:t>
            </w:r>
          </w:p>
        </w:tc>
      </w:tr>
      <w:tr w:rsidR="006D73CD" w:rsidRPr="006D73CD" w14:paraId="2C2FEA15" w14:textId="77777777" w:rsidTr="006D73CD">
        <w:trPr>
          <w:jc w:val="center"/>
        </w:trPr>
        <w:tc>
          <w:tcPr>
            <w:tcW w:w="3780" w:type="dxa"/>
          </w:tcPr>
          <w:p w14:paraId="60B78833"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WKBN-TV, Youngstown, OH</w:t>
            </w:r>
          </w:p>
        </w:tc>
        <w:tc>
          <w:tcPr>
            <w:tcW w:w="1078" w:type="dxa"/>
          </w:tcPr>
          <w:p w14:paraId="7BF0EC5B"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73153</w:t>
            </w:r>
          </w:p>
        </w:tc>
        <w:tc>
          <w:tcPr>
            <w:tcW w:w="2728" w:type="dxa"/>
          </w:tcPr>
          <w:p w14:paraId="64A86B79"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BTCCDT-20140509AJK</w:t>
            </w:r>
          </w:p>
        </w:tc>
      </w:tr>
      <w:tr w:rsidR="006D73CD" w:rsidRPr="006D73CD" w14:paraId="1C19A286" w14:textId="77777777" w:rsidTr="006D73CD">
        <w:trPr>
          <w:jc w:val="center"/>
        </w:trPr>
        <w:tc>
          <w:tcPr>
            <w:tcW w:w="3780" w:type="dxa"/>
          </w:tcPr>
          <w:p w14:paraId="4533FB66"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KSNT(TV), Topeka, KS</w:t>
            </w:r>
          </w:p>
        </w:tc>
        <w:tc>
          <w:tcPr>
            <w:tcW w:w="1078" w:type="dxa"/>
          </w:tcPr>
          <w:p w14:paraId="764054BD"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67335</w:t>
            </w:r>
          </w:p>
        </w:tc>
        <w:tc>
          <w:tcPr>
            <w:tcW w:w="2728" w:type="dxa"/>
          </w:tcPr>
          <w:p w14:paraId="1CFFCAF4"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BTCCDT-20140509AJF</w:t>
            </w:r>
          </w:p>
        </w:tc>
      </w:tr>
      <w:tr w:rsidR="006D73CD" w:rsidRPr="006D73CD" w14:paraId="47B29D7A" w14:textId="77777777" w:rsidTr="006D73CD">
        <w:trPr>
          <w:jc w:val="center"/>
        </w:trPr>
        <w:tc>
          <w:tcPr>
            <w:tcW w:w="3780" w:type="dxa"/>
          </w:tcPr>
          <w:p w14:paraId="1E7CA4C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KIMT(TV), Mason City, IA</w:t>
            </w:r>
          </w:p>
        </w:tc>
        <w:tc>
          <w:tcPr>
            <w:tcW w:w="1078" w:type="dxa"/>
          </w:tcPr>
          <w:p w14:paraId="2ECA45AE"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66402</w:t>
            </w:r>
          </w:p>
        </w:tc>
        <w:tc>
          <w:tcPr>
            <w:tcW w:w="2728" w:type="dxa"/>
          </w:tcPr>
          <w:p w14:paraId="20DFE075"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BTCCDT-20140509AIY</w:t>
            </w:r>
          </w:p>
        </w:tc>
      </w:tr>
      <w:tr w:rsidR="006D73CD" w:rsidRPr="006D73CD" w14:paraId="0F587700" w14:textId="77777777" w:rsidTr="006D73CD">
        <w:trPr>
          <w:jc w:val="center"/>
        </w:trPr>
        <w:tc>
          <w:tcPr>
            <w:tcW w:w="3780" w:type="dxa"/>
          </w:tcPr>
          <w:p w14:paraId="2A503B45"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WJCL(TV), Savannah, GA</w:t>
            </w:r>
            <w:r w:rsidRPr="001B04F9">
              <w:rPr>
                <w:rFonts w:ascii="Times New Roman" w:hAnsi="Times New Roman" w:cs="Times New Roman"/>
                <w:szCs w:val="22"/>
                <w:vertAlign w:val="superscript"/>
              </w:rPr>
              <w:footnoteReference w:id="108"/>
            </w:r>
          </w:p>
        </w:tc>
        <w:tc>
          <w:tcPr>
            <w:tcW w:w="1078" w:type="dxa"/>
          </w:tcPr>
          <w:p w14:paraId="62FE99C2"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37174</w:t>
            </w:r>
          </w:p>
        </w:tc>
        <w:tc>
          <w:tcPr>
            <w:tcW w:w="2728" w:type="dxa"/>
          </w:tcPr>
          <w:p w14:paraId="5C5DA38E"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BTCCDT-20140509AJJ</w:t>
            </w:r>
          </w:p>
        </w:tc>
      </w:tr>
      <w:tr w:rsidR="006D73CD" w:rsidRPr="006D73CD" w14:paraId="3F7F993D" w14:textId="77777777" w:rsidTr="006D73CD">
        <w:trPr>
          <w:jc w:val="center"/>
        </w:trPr>
        <w:tc>
          <w:tcPr>
            <w:tcW w:w="3780" w:type="dxa"/>
          </w:tcPr>
          <w:p w14:paraId="4FD9EA8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WALA-TV, Mobile, AL</w:t>
            </w:r>
            <w:r w:rsidRPr="001B04F9">
              <w:rPr>
                <w:rFonts w:ascii="Times New Roman" w:hAnsi="Times New Roman" w:cs="Times New Roman"/>
                <w:szCs w:val="22"/>
                <w:vertAlign w:val="superscript"/>
              </w:rPr>
              <w:footnoteReference w:id="109"/>
            </w:r>
          </w:p>
        </w:tc>
        <w:tc>
          <w:tcPr>
            <w:tcW w:w="1078" w:type="dxa"/>
          </w:tcPr>
          <w:p w14:paraId="760636D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4143</w:t>
            </w:r>
          </w:p>
        </w:tc>
        <w:tc>
          <w:tcPr>
            <w:tcW w:w="2728" w:type="dxa"/>
          </w:tcPr>
          <w:p w14:paraId="6772F075"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BTCCDT-20140509AIH</w:t>
            </w:r>
          </w:p>
        </w:tc>
      </w:tr>
      <w:tr w:rsidR="006D73CD" w:rsidRPr="006D73CD" w14:paraId="6429967D" w14:textId="77777777" w:rsidTr="006D73CD">
        <w:trPr>
          <w:jc w:val="center"/>
        </w:trPr>
        <w:tc>
          <w:tcPr>
            <w:tcW w:w="3780" w:type="dxa"/>
          </w:tcPr>
          <w:p w14:paraId="1D267FBF"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WFNA(TV), Gulf Shores, AL</w:t>
            </w:r>
          </w:p>
        </w:tc>
        <w:tc>
          <w:tcPr>
            <w:tcW w:w="1078" w:type="dxa"/>
          </w:tcPr>
          <w:p w14:paraId="68FF79E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83943</w:t>
            </w:r>
          </w:p>
        </w:tc>
        <w:tc>
          <w:tcPr>
            <w:tcW w:w="2728" w:type="dxa"/>
          </w:tcPr>
          <w:p w14:paraId="2BF4A9FA"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BTCCDT-20140509AII</w:t>
            </w:r>
          </w:p>
        </w:tc>
      </w:tr>
      <w:tr w:rsidR="006D73CD" w:rsidRPr="006D73CD" w14:paraId="4ABAA32B" w14:textId="77777777" w:rsidTr="006D73CD">
        <w:trPr>
          <w:jc w:val="center"/>
        </w:trPr>
        <w:tc>
          <w:tcPr>
            <w:tcW w:w="3780" w:type="dxa"/>
          </w:tcPr>
          <w:p w14:paraId="2A7F1BDE"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KREZ-TV, Durango, CO</w:t>
            </w:r>
          </w:p>
        </w:tc>
        <w:tc>
          <w:tcPr>
            <w:tcW w:w="1078" w:type="dxa"/>
          </w:tcPr>
          <w:p w14:paraId="695CE10C"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48589</w:t>
            </w:r>
          </w:p>
        </w:tc>
        <w:tc>
          <w:tcPr>
            <w:tcW w:w="2728" w:type="dxa"/>
          </w:tcPr>
          <w:p w14:paraId="2B327B8D"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BTCCDT-20140509AJW</w:t>
            </w:r>
          </w:p>
        </w:tc>
      </w:tr>
      <w:tr w:rsidR="006D73CD" w:rsidRPr="006D73CD" w14:paraId="255B0FAF" w14:textId="77777777" w:rsidTr="006D73CD">
        <w:trPr>
          <w:jc w:val="center"/>
        </w:trPr>
        <w:tc>
          <w:tcPr>
            <w:tcW w:w="3780" w:type="dxa"/>
          </w:tcPr>
          <w:p w14:paraId="7512856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KRQE(TV), Albuquerque, NM</w:t>
            </w:r>
          </w:p>
        </w:tc>
        <w:tc>
          <w:tcPr>
            <w:tcW w:w="1078" w:type="dxa"/>
          </w:tcPr>
          <w:p w14:paraId="6293D57E"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48575</w:t>
            </w:r>
          </w:p>
        </w:tc>
        <w:tc>
          <w:tcPr>
            <w:tcW w:w="2728" w:type="dxa"/>
          </w:tcPr>
          <w:p w14:paraId="5C723B55"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BTCCDT-20140509AHO</w:t>
            </w:r>
          </w:p>
        </w:tc>
      </w:tr>
      <w:tr w:rsidR="006D73CD" w:rsidRPr="006D73CD" w14:paraId="0380E5FF" w14:textId="77777777" w:rsidTr="006D73CD">
        <w:trPr>
          <w:jc w:val="center"/>
        </w:trPr>
        <w:tc>
          <w:tcPr>
            <w:tcW w:w="3780" w:type="dxa"/>
          </w:tcPr>
          <w:p w14:paraId="3175845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KBIM-TV, Roswell, NM</w:t>
            </w:r>
          </w:p>
        </w:tc>
        <w:tc>
          <w:tcPr>
            <w:tcW w:w="1078" w:type="dxa"/>
          </w:tcPr>
          <w:p w14:paraId="0461E5CE"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48556</w:t>
            </w:r>
          </w:p>
        </w:tc>
        <w:tc>
          <w:tcPr>
            <w:tcW w:w="2728" w:type="dxa"/>
          </w:tcPr>
          <w:p w14:paraId="3AB9C32A"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BTCCDT-20140509AHN</w:t>
            </w:r>
          </w:p>
        </w:tc>
      </w:tr>
      <w:tr w:rsidR="006D73CD" w:rsidRPr="006D73CD" w14:paraId="26581742" w14:textId="77777777" w:rsidTr="006D73CD">
        <w:trPr>
          <w:jc w:val="center"/>
        </w:trPr>
        <w:tc>
          <w:tcPr>
            <w:tcW w:w="3780" w:type="dxa"/>
          </w:tcPr>
          <w:p w14:paraId="030422E9"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KASA-TV, Santa Fe, NM</w:t>
            </w:r>
          </w:p>
        </w:tc>
        <w:tc>
          <w:tcPr>
            <w:tcW w:w="1078" w:type="dxa"/>
          </w:tcPr>
          <w:p w14:paraId="50BBEBC2"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32311</w:t>
            </w:r>
          </w:p>
        </w:tc>
        <w:tc>
          <w:tcPr>
            <w:tcW w:w="2728" w:type="dxa"/>
          </w:tcPr>
          <w:p w14:paraId="54504446"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BTCCDT-20140509AFB</w:t>
            </w:r>
          </w:p>
        </w:tc>
      </w:tr>
      <w:tr w:rsidR="006D73CD" w:rsidRPr="006D73CD" w14:paraId="0264E013" w14:textId="77777777" w:rsidTr="006D73CD">
        <w:trPr>
          <w:jc w:val="center"/>
        </w:trPr>
        <w:tc>
          <w:tcPr>
            <w:tcW w:w="3780" w:type="dxa"/>
          </w:tcPr>
          <w:p w14:paraId="1C81130C"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WLUK-TV, Green Bay, WI</w:t>
            </w:r>
            <w:r w:rsidRPr="001B04F9">
              <w:rPr>
                <w:rFonts w:ascii="Times New Roman" w:hAnsi="Times New Roman" w:cs="Times New Roman"/>
                <w:szCs w:val="22"/>
                <w:vertAlign w:val="superscript"/>
              </w:rPr>
              <w:footnoteReference w:id="110"/>
            </w:r>
          </w:p>
        </w:tc>
        <w:tc>
          <w:tcPr>
            <w:tcW w:w="1078" w:type="dxa"/>
          </w:tcPr>
          <w:p w14:paraId="1EC4858F"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4150</w:t>
            </w:r>
          </w:p>
        </w:tc>
        <w:tc>
          <w:tcPr>
            <w:tcW w:w="2728" w:type="dxa"/>
          </w:tcPr>
          <w:p w14:paraId="74447C63"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BTCCDT-20140509ADK</w:t>
            </w:r>
          </w:p>
        </w:tc>
      </w:tr>
      <w:tr w:rsidR="006D73CD" w:rsidRPr="006D73CD" w14:paraId="5BBA5AD7" w14:textId="77777777" w:rsidTr="006D73CD">
        <w:trPr>
          <w:jc w:val="center"/>
        </w:trPr>
        <w:tc>
          <w:tcPr>
            <w:tcW w:w="3780" w:type="dxa"/>
          </w:tcPr>
          <w:p w14:paraId="72F4E0FC"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WCWF(TV), Suring, WI</w:t>
            </w:r>
            <w:r w:rsidRPr="001B04F9">
              <w:rPr>
                <w:rFonts w:ascii="Times New Roman" w:hAnsi="Times New Roman" w:cs="Times New Roman"/>
                <w:szCs w:val="22"/>
                <w:vertAlign w:val="superscript"/>
              </w:rPr>
              <w:footnoteReference w:id="111"/>
            </w:r>
          </w:p>
        </w:tc>
        <w:tc>
          <w:tcPr>
            <w:tcW w:w="1078" w:type="dxa"/>
          </w:tcPr>
          <w:p w14:paraId="37682A92"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73042</w:t>
            </w:r>
          </w:p>
        </w:tc>
        <w:tc>
          <w:tcPr>
            <w:tcW w:w="2728" w:type="dxa"/>
          </w:tcPr>
          <w:p w14:paraId="3235F9BB"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BTCCDT-20140509ADI</w:t>
            </w:r>
          </w:p>
        </w:tc>
      </w:tr>
      <w:tr w:rsidR="006D73CD" w:rsidRPr="006D73CD" w14:paraId="20335350" w14:textId="77777777" w:rsidTr="006D73CD">
        <w:trPr>
          <w:jc w:val="center"/>
        </w:trPr>
        <w:tc>
          <w:tcPr>
            <w:tcW w:w="3780" w:type="dxa"/>
          </w:tcPr>
          <w:p w14:paraId="173BD72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WISH-TV, Indianapolis, IN</w:t>
            </w:r>
          </w:p>
        </w:tc>
        <w:tc>
          <w:tcPr>
            <w:tcW w:w="1078" w:type="dxa"/>
          </w:tcPr>
          <w:p w14:paraId="6DB8CB7A"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39269</w:t>
            </w:r>
          </w:p>
        </w:tc>
        <w:tc>
          <w:tcPr>
            <w:tcW w:w="2728" w:type="dxa"/>
          </w:tcPr>
          <w:p w14:paraId="6562F3E4"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BTCCDT-20140509ADA</w:t>
            </w:r>
          </w:p>
        </w:tc>
      </w:tr>
      <w:tr w:rsidR="006D73CD" w:rsidRPr="006D73CD" w14:paraId="049F91D1" w14:textId="77777777" w:rsidTr="006D73CD">
        <w:trPr>
          <w:jc w:val="center"/>
        </w:trPr>
        <w:tc>
          <w:tcPr>
            <w:tcW w:w="3780" w:type="dxa"/>
          </w:tcPr>
          <w:p w14:paraId="6C0FE399"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WNDY-TV, Marion, IN</w:t>
            </w:r>
          </w:p>
        </w:tc>
        <w:tc>
          <w:tcPr>
            <w:tcW w:w="1078" w:type="dxa"/>
          </w:tcPr>
          <w:p w14:paraId="389B65FC"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28462</w:t>
            </w:r>
          </w:p>
        </w:tc>
        <w:tc>
          <w:tcPr>
            <w:tcW w:w="2728" w:type="dxa"/>
          </w:tcPr>
          <w:p w14:paraId="3CA442B3"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BTCCDT-20140509ADB</w:t>
            </w:r>
          </w:p>
        </w:tc>
      </w:tr>
      <w:tr w:rsidR="006D73CD" w:rsidRPr="006D73CD" w14:paraId="77027540" w14:textId="77777777" w:rsidTr="006D73CD">
        <w:trPr>
          <w:jc w:val="center"/>
        </w:trPr>
        <w:tc>
          <w:tcPr>
            <w:tcW w:w="3780" w:type="dxa"/>
          </w:tcPr>
          <w:p w14:paraId="78A9A8A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WANE-TV, Ft. Wayne, IN</w:t>
            </w:r>
          </w:p>
        </w:tc>
        <w:tc>
          <w:tcPr>
            <w:tcW w:w="1078" w:type="dxa"/>
          </w:tcPr>
          <w:p w14:paraId="1FB83BE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39270</w:t>
            </w:r>
          </w:p>
        </w:tc>
        <w:tc>
          <w:tcPr>
            <w:tcW w:w="2728" w:type="dxa"/>
          </w:tcPr>
          <w:p w14:paraId="79DEE4F5"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BTCCDT-20140509ACZ</w:t>
            </w:r>
          </w:p>
        </w:tc>
      </w:tr>
      <w:tr w:rsidR="006D73CD" w:rsidRPr="006D73CD" w14:paraId="2752D326" w14:textId="77777777" w:rsidTr="006D73CD">
        <w:trPr>
          <w:jc w:val="center"/>
        </w:trPr>
        <w:tc>
          <w:tcPr>
            <w:tcW w:w="3780" w:type="dxa"/>
          </w:tcPr>
          <w:p w14:paraId="345907F8" w14:textId="77777777" w:rsidR="006D73CD" w:rsidRPr="001B04F9" w:rsidRDefault="006D73CD" w:rsidP="006D73CD">
            <w:pPr>
              <w:spacing w:before="120" w:after="120"/>
              <w:rPr>
                <w:rFonts w:ascii="Times New Roman" w:hAnsi="Times New Roman" w:cs="Times New Roman"/>
                <w:szCs w:val="22"/>
                <w:lang w:val="de-DE"/>
              </w:rPr>
            </w:pPr>
            <w:r w:rsidRPr="001B04F9">
              <w:rPr>
                <w:rFonts w:ascii="Times New Roman" w:hAnsi="Times New Roman" w:cs="Times New Roman"/>
                <w:szCs w:val="22"/>
                <w:lang w:val="de-DE"/>
              </w:rPr>
              <w:t>WTHI-TV, Terre Haute, IN</w:t>
            </w:r>
          </w:p>
        </w:tc>
        <w:tc>
          <w:tcPr>
            <w:tcW w:w="1078" w:type="dxa"/>
          </w:tcPr>
          <w:p w14:paraId="56938857"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70655</w:t>
            </w:r>
          </w:p>
        </w:tc>
        <w:tc>
          <w:tcPr>
            <w:tcW w:w="2728" w:type="dxa"/>
          </w:tcPr>
          <w:p w14:paraId="74E243E0"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BTCCDT-20140509ADC</w:t>
            </w:r>
          </w:p>
        </w:tc>
      </w:tr>
      <w:tr w:rsidR="006D73CD" w:rsidRPr="006D73CD" w14:paraId="6EB37032" w14:textId="77777777" w:rsidTr="006D73CD">
        <w:trPr>
          <w:jc w:val="center"/>
        </w:trPr>
        <w:tc>
          <w:tcPr>
            <w:tcW w:w="3780" w:type="dxa"/>
          </w:tcPr>
          <w:p w14:paraId="2F7B2C80"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KBVO(TV), Llano, TX</w:t>
            </w:r>
            <w:r w:rsidRPr="001B04F9">
              <w:rPr>
                <w:rFonts w:ascii="Times New Roman" w:hAnsi="Times New Roman" w:cs="Times New Roman"/>
                <w:szCs w:val="22"/>
                <w:vertAlign w:val="superscript"/>
              </w:rPr>
              <w:footnoteReference w:id="112"/>
            </w:r>
          </w:p>
        </w:tc>
        <w:tc>
          <w:tcPr>
            <w:tcW w:w="1078" w:type="dxa"/>
          </w:tcPr>
          <w:p w14:paraId="2367003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35909</w:t>
            </w:r>
          </w:p>
        </w:tc>
        <w:tc>
          <w:tcPr>
            <w:tcW w:w="2728" w:type="dxa"/>
          </w:tcPr>
          <w:p w14:paraId="41803664"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BTCCDT-20140509AJO</w:t>
            </w:r>
          </w:p>
        </w:tc>
      </w:tr>
      <w:tr w:rsidR="006D73CD" w:rsidRPr="006D73CD" w14:paraId="66702615" w14:textId="77777777" w:rsidTr="006D73CD">
        <w:trPr>
          <w:jc w:val="center"/>
        </w:trPr>
        <w:tc>
          <w:tcPr>
            <w:tcW w:w="3780" w:type="dxa"/>
          </w:tcPr>
          <w:p w14:paraId="74E40E25"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KXAN-TV, Austin, TX</w:t>
            </w:r>
          </w:p>
        </w:tc>
        <w:tc>
          <w:tcPr>
            <w:tcW w:w="1078" w:type="dxa"/>
          </w:tcPr>
          <w:p w14:paraId="6BFF958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35920</w:t>
            </w:r>
          </w:p>
        </w:tc>
        <w:tc>
          <w:tcPr>
            <w:tcW w:w="2728" w:type="dxa"/>
          </w:tcPr>
          <w:p w14:paraId="47175DA4"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BTCCDT-20140509AJN</w:t>
            </w:r>
          </w:p>
        </w:tc>
      </w:tr>
      <w:tr w:rsidR="006D73CD" w:rsidRPr="006D73CD" w14:paraId="4DC1427B" w14:textId="77777777" w:rsidTr="006D73CD">
        <w:trPr>
          <w:jc w:val="center"/>
        </w:trPr>
        <w:tc>
          <w:tcPr>
            <w:tcW w:w="3780" w:type="dxa"/>
          </w:tcPr>
          <w:p w14:paraId="7771D4BC"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WLFI-TV, Lafayette, IN</w:t>
            </w:r>
          </w:p>
        </w:tc>
        <w:tc>
          <w:tcPr>
            <w:tcW w:w="1078" w:type="dxa"/>
          </w:tcPr>
          <w:p w14:paraId="64FB19B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73204</w:t>
            </w:r>
          </w:p>
        </w:tc>
        <w:tc>
          <w:tcPr>
            <w:tcW w:w="2728" w:type="dxa"/>
          </w:tcPr>
          <w:p w14:paraId="1016979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BTCCDT-20140509AIM</w:t>
            </w:r>
          </w:p>
        </w:tc>
      </w:tr>
      <w:tr w:rsidR="006D73CD" w:rsidRPr="006D73CD" w14:paraId="7204D8B2" w14:textId="77777777" w:rsidTr="006D73CD">
        <w:trPr>
          <w:jc w:val="center"/>
        </w:trPr>
        <w:tc>
          <w:tcPr>
            <w:tcW w:w="3780" w:type="dxa"/>
          </w:tcPr>
          <w:p w14:paraId="0A205A5A"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WPRI-TV, Providence, RI</w:t>
            </w:r>
          </w:p>
        </w:tc>
        <w:tc>
          <w:tcPr>
            <w:tcW w:w="1078" w:type="dxa"/>
          </w:tcPr>
          <w:p w14:paraId="1636F73B"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47404</w:t>
            </w:r>
          </w:p>
        </w:tc>
        <w:tc>
          <w:tcPr>
            <w:tcW w:w="2728" w:type="dxa"/>
          </w:tcPr>
          <w:p w14:paraId="55B73F5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BTCCDT-20140509AIG</w:t>
            </w:r>
          </w:p>
        </w:tc>
      </w:tr>
      <w:tr w:rsidR="006D73CD" w:rsidRPr="006D73CD" w14:paraId="07DC33D7" w14:textId="77777777" w:rsidTr="006D73CD">
        <w:trPr>
          <w:jc w:val="center"/>
        </w:trPr>
        <w:tc>
          <w:tcPr>
            <w:tcW w:w="3780" w:type="dxa"/>
          </w:tcPr>
          <w:p w14:paraId="3EFA0F70"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WAVY-TV, Portsmouth, VA</w:t>
            </w:r>
          </w:p>
        </w:tc>
        <w:tc>
          <w:tcPr>
            <w:tcW w:w="1078" w:type="dxa"/>
          </w:tcPr>
          <w:p w14:paraId="1A2F0F63"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71127</w:t>
            </w:r>
          </w:p>
        </w:tc>
        <w:tc>
          <w:tcPr>
            <w:tcW w:w="2728" w:type="dxa"/>
          </w:tcPr>
          <w:p w14:paraId="1A6DF852"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BTCCDT-20140509AHV</w:t>
            </w:r>
          </w:p>
        </w:tc>
      </w:tr>
      <w:tr w:rsidR="006D73CD" w:rsidRPr="006D73CD" w14:paraId="526745C3" w14:textId="77777777" w:rsidTr="006D73CD">
        <w:trPr>
          <w:jc w:val="center"/>
        </w:trPr>
        <w:tc>
          <w:tcPr>
            <w:tcW w:w="3780" w:type="dxa"/>
          </w:tcPr>
          <w:p w14:paraId="25BD6E9D"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WVBT(TV), Virginia Beach, VA</w:t>
            </w:r>
          </w:p>
        </w:tc>
        <w:tc>
          <w:tcPr>
            <w:tcW w:w="1078" w:type="dxa"/>
          </w:tcPr>
          <w:p w14:paraId="6F4936A7"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65387</w:t>
            </w:r>
          </w:p>
        </w:tc>
        <w:tc>
          <w:tcPr>
            <w:tcW w:w="2728" w:type="dxa"/>
          </w:tcPr>
          <w:p w14:paraId="66C298A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BTCCDT-20140509AIC</w:t>
            </w:r>
          </w:p>
        </w:tc>
      </w:tr>
      <w:tr w:rsidR="006D73CD" w:rsidRPr="006D73CD" w14:paraId="0617C1B5" w14:textId="77777777" w:rsidTr="006D73CD">
        <w:trPr>
          <w:jc w:val="center"/>
        </w:trPr>
        <w:tc>
          <w:tcPr>
            <w:tcW w:w="3780" w:type="dxa"/>
          </w:tcPr>
          <w:p w14:paraId="5EEC36C9"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WDTN(TV), Dayton, OH</w:t>
            </w:r>
          </w:p>
        </w:tc>
        <w:tc>
          <w:tcPr>
            <w:tcW w:w="1078" w:type="dxa"/>
          </w:tcPr>
          <w:p w14:paraId="26FE9AE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65690</w:t>
            </w:r>
          </w:p>
        </w:tc>
        <w:tc>
          <w:tcPr>
            <w:tcW w:w="2728" w:type="dxa"/>
          </w:tcPr>
          <w:p w14:paraId="1089809D"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BTCCDT-20140509AIJ</w:t>
            </w:r>
          </w:p>
        </w:tc>
      </w:tr>
      <w:tr w:rsidR="006D73CD" w:rsidRPr="006D73CD" w14:paraId="7BEF0C11" w14:textId="77777777" w:rsidTr="006D73CD">
        <w:trPr>
          <w:jc w:val="center"/>
        </w:trPr>
        <w:tc>
          <w:tcPr>
            <w:tcW w:w="3780" w:type="dxa"/>
          </w:tcPr>
          <w:p w14:paraId="586EF8D8"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WIVB-TV, Buffalo, NY</w:t>
            </w:r>
          </w:p>
        </w:tc>
        <w:tc>
          <w:tcPr>
            <w:tcW w:w="1078" w:type="dxa"/>
          </w:tcPr>
          <w:p w14:paraId="344D6A3C"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7780</w:t>
            </w:r>
          </w:p>
        </w:tc>
        <w:tc>
          <w:tcPr>
            <w:tcW w:w="2728" w:type="dxa"/>
          </w:tcPr>
          <w:p w14:paraId="18F14BA1"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BTCCDT-20140509AIE</w:t>
            </w:r>
          </w:p>
        </w:tc>
      </w:tr>
      <w:tr w:rsidR="006D73CD" w:rsidRPr="006D73CD" w14:paraId="7C439955" w14:textId="77777777" w:rsidTr="006D73CD">
        <w:trPr>
          <w:jc w:val="center"/>
        </w:trPr>
        <w:tc>
          <w:tcPr>
            <w:tcW w:w="3780" w:type="dxa"/>
          </w:tcPr>
          <w:p w14:paraId="1CAEEB4E"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WNLO(TV), Buffalo, NY</w:t>
            </w:r>
          </w:p>
        </w:tc>
        <w:tc>
          <w:tcPr>
            <w:tcW w:w="1078" w:type="dxa"/>
          </w:tcPr>
          <w:p w14:paraId="7D85BE03"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71905</w:t>
            </w:r>
          </w:p>
        </w:tc>
        <w:tc>
          <w:tcPr>
            <w:tcW w:w="2728" w:type="dxa"/>
          </w:tcPr>
          <w:p w14:paraId="0ED77F84"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BTCCDT-20140509AIF</w:t>
            </w:r>
          </w:p>
        </w:tc>
      </w:tr>
      <w:tr w:rsidR="006D73CD" w:rsidRPr="006D73CD" w14:paraId="36DA8731" w14:textId="77777777" w:rsidTr="006D73CD">
        <w:trPr>
          <w:jc w:val="center"/>
        </w:trPr>
        <w:tc>
          <w:tcPr>
            <w:tcW w:w="3780" w:type="dxa"/>
          </w:tcPr>
          <w:p w14:paraId="485E3C6D"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WOOD-TV, Grand Rapids, MI</w:t>
            </w:r>
          </w:p>
        </w:tc>
        <w:tc>
          <w:tcPr>
            <w:tcW w:w="1078" w:type="dxa"/>
          </w:tcPr>
          <w:p w14:paraId="624106D3"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36838</w:t>
            </w:r>
          </w:p>
        </w:tc>
        <w:tc>
          <w:tcPr>
            <w:tcW w:w="2728" w:type="dxa"/>
          </w:tcPr>
          <w:p w14:paraId="73AFB5B3"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BTCCDT-20140509AER</w:t>
            </w:r>
          </w:p>
        </w:tc>
      </w:tr>
      <w:tr w:rsidR="006D73CD" w:rsidRPr="006D73CD" w14:paraId="0944FDDE" w14:textId="77777777" w:rsidTr="006D73CD">
        <w:trPr>
          <w:jc w:val="center"/>
        </w:trPr>
        <w:tc>
          <w:tcPr>
            <w:tcW w:w="3780" w:type="dxa"/>
          </w:tcPr>
          <w:p w14:paraId="788143AE"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WOTV(TV), Battle Creek, MI</w:t>
            </w:r>
          </w:p>
        </w:tc>
        <w:tc>
          <w:tcPr>
            <w:tcW w:w="1078" w:type="dxa"/>
          </w:tcPr>
          <w:p w14:paraId="120E6519"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10212</w:t>
            </w:r>
          </w:p>
        </w:tc>
        <w:tc>
          <w:tcPr>
            <w:tcW w:w="2728" w:type="dxa"/>
          </w:tcPr>
          <w:p w14:paraId="4D491F5C"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BTCCDT-20140509AEY</w:t>
            </w:r>
          </w:p>
        </w:tc>
      </w:tr>
      <w:tr w:rsidR="006D73CD" w:rsidRPr="006D73CD" w14:paraId="440241A1" w14:textId="77777777" w:rsidTr="006D73CD">
        <w:trPr>
          <w:jc w:val="center"/>
        </w:trPr>
        <w:tc>
          <w:tcPr>
            <w:tcW w:w="3780" w:type="dxa"/>
          </w:tcPr>
          <w:p w14:paraId="36CBE146" w14:textId="7A56326B" w:rsidR="006D73CD" w:rsidRPr="001B04F9" w:rsidRDefault="006D73CD" w:rsidP="00A97A62">
            <w:pPr>
              <w:keepNext/>
              <w:keepLines/>
              <w:spacing w:before="120" w:after="120"/>
              <w:rPr>
                <w:rFonts w:ascii="Times New Roman" w:hAnsi="Times New Roman" w:cs="Times New Roman"/>
                <w:szCs w:val="22"/>
              </w:rPr>
            </w:pPr>
            <w:r w:rsidRPr="001B04F9">
              <w:rPr>
                <w:rFonts w:ascii="Times New Roman" w:hAnsi="Times New Roman" w:cs="Times New Roman"/>
                <w:szCs w:val="22"/>
              </w:rPr>
              <w:t>WCTX(TV), New Haven, CT</w:t>
            </w:r>
            <w:r w:rsidRPr="001B04F9">
              <w:rPr>
                <w:rStyle w:val="FootnoteReference"/>
                <w:rFonts w:cs="Times New Roman"/>
                <w:szCs w:val="22"/>
              </w:rPr>
              <w:footnoteReference w:id="113"/>
            </w:r>
          </w:p>
        </w:tc>
        <w:tc>
          <w:tcPr>
            <w:tcW w:w="1078" w:type="dxa"/>
          </w:tcPr>
          <w:p w14:paraId="468E1A0A"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33081</w:t>
            </w:r>
          </w:p>
        </w:tc>
        <w:tc>
          <w:tcPr>
            <w:tcW w:w="2728" w:type="dxa"/>
          </w:tcPr>
          <w:p w14:paraId="5489C2C7"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BTCTTA-20140509AHX</w:t>
            </w:r>
          </w:p>
        </w:tc>
      </w:tr>
      <w:tr w:rsidR="006D73CD" w:rsidRPr="006D73CD" w14:paraId="0941DEE1" w14:textId="77777777" w:rsidTr="006D73CD">
        <w:trPr>
          <w:jc w:val="center"/>
        </w:trPr>
        <w:tc>
          <w:tcPr>
            <w:tcW w:w="3780" w:type="dxa"/>
          </w:tcPr>
          <w:p w14:paraId="259CA890"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WTNH(TV), New Haven, CT</w:t>
            </w:r>
          </w:p>
        </w:tc>
        <w:tc>
          <w:tcPr>
            <w:tcW w:w="1078" w:type="dxa"/>
          </w:tcPr>
          <w:p w14:paraId="05FB6572"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74109</w:t>
            </w:r>
          </w:p>
        </w:tc>
        <w:tc>
          <w:tcPr>
            <w:tcW w:w="2728" w:type="dxa"/>
          </w:tcPr>
          <w:p w14:paraId="186F84AF"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BTCCDT-20140509ADG</w:t>
            </w:r>
          </w:p>
        </w:tc>
      </w:tr>
      <w:tr w:rsidR="006D73CD" w:rsidRPr="006D73CD" w14:paraId="5090DF9C" w14:textId="77777777" w:rsidTr="006D73CD">
        <w:trPr>
          <w:jc w:val="center"/>
        </w:trPr>
        <w:tc>
          <w:tcPr>
            <w:tcW w:w="3780" w:type="dxa"/>
          </w:tcPr>
          <w:p w14:paraId="3F102525"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WWLP(TV), Springfield, MA</w:t>
            </w:r>
          </w:p>
        </w:tc>
        <w:tc>
          <w:tcPr>
            <w:tcW w:w="1078" w:type="dxa"/>
          </w:tcPr>
          <w:p w14:paraId="696DDA40"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6868</w:t>
            </w:r>
          </w:p>
        </w:tc>
        <w:tc>
          <w:tcPr>
            <w:tcW w:w="2728" w:type="dxa"/>
          </w:tcPr>
          <w:p w14:paraId="365AB2FA" w14:textId="77777777" w:rsidR="006D73CD" w:rsidRPr="001B04F9" w:rsidRDefault="006D73CD" w:rsidP="006D73CD">
            <w:pPr>
              <w:spacing w:before="120" w:after="120"/>
              <w:rPr>
                <w:rFonts w:ascii="Times New Roman" w:hAnsi="Times New Roman" w:cs="Times New Roman"/>
                <w:szCs w:val="22"/>
              </w:rPr>
            </w:pPr>
            <w:r w:rsidRPr="001B04F9">
              <w:rPr>
                <w:rFonts w:ascii="Times New Roman" w:hAnsi="Times New Roman" w:cs="Times New Roman"/>
                <w:szCs w:val="22"/>
              </w:rPr>
              <w:t>BTCCDT-20140509AIK</w:t>
            </w:r>
          </w:p>
        </w:tc>
      </w:tr>
    </w:tbl>
    <w:p w14:paraId="60DF45C0" w14:textId="77777777" w:rsidR="006D73CD" w:rsidRPr="006D73CD" w:rsidRDefault="006D73CD" w:rsidP="006D73CD">
      <w:pPr>
        <w:rPr>
          <w:szCs w:val="22"/>
        </w:rPr>
        <w:sectPr w:rsidR="006D73CD" w:rsidRPr="006D73CD" w:rsidSect="006D73CD">
          <w:footerReference w:type="default" r:id="rId16"/>
          <w:footnotePr>
            <w:numRestart w:val="eachSect"/>
          </w:footnotePr>
          <w:pgSz w:w="12240" w:h="15840"/>
          <w:pgMar w:top="1440" w:right="1800" w:bottom="1440" w:left="1800" w:header="720" w:footer="720" w:gutter="0"/>
          <w:pgNumType w:fmt="lowerRoman" w:start="1"/>
          <w:cols w:space="720"/>
          <w:titlePg/>
          <w:docGrid w:linePitch="360"/>
        </w:sectPr>
      </w:pPr>
    </w:p>
    <w:p w14:paraId="7083CE08" w14:textId="77777777" w:rsidR="006D73CD" w:rsidRPr="006D73CD" w:rsidRDefault="006D73CD" w:rsidP="006D73CD">
      <w:pPr>
        <w:jc w:val="center"/>
        <w:rPr>
          <w:b/>
          <w:sz w:val="40"/>
          <w:szCs w:val="40"/>
        </w:rPr>
      </w:pPr>
      <w:r w:rsidRPr="006D73CD">
        <w:rPr>
          <w:b/>
          <w:sz w:val="40"/>
          <w:szCs w:val="40"/>
        </w:rPr>
        <w:t>Appendix B</w:t>
      </w:r>
    </w:p>
    <w:p w14:paraId="0B840FB5" w14:textId="77777777" w:rsidR="006D73CD" w:rsidRPr="004872A1" w:rsidRDefault="006D73CD" w:rsidP="006D73CD">
      <w:pPr>
        <w:rPr>
          <w:sz w:val="24"/>
          <w:szCs w:val="24"/>
        </w:rPr>
      </w:pPr>
    </w:p>
    <w:p w14:paraId="645B3D89" w14:textId="77777777" w:rsidR="006D73CD" w:rsidRPr="006D73CD" w:rsidRDefault="006D73CD" w:rsidP="006D73CD">
      <w:pPr>
        <w:jc w:val="center"/>
        <w:rPr>
          <w:b/>
          <w:sz w:val="24"/>
          <w:szCs w:val="24"/>
        </w:rPr>
      </w:pPr>
      <w:r w:rsidRPr="006D73CD">
        <w:rPr>
          <w:b/>
          <w:sz w:val="24"/>
          <w:szCs w:val="24"/>
        </w:rPr>
        <w:t>FCC Form 316 Transfer of Control Applications</w:t>
      </w:r>
    </w:p>
    <w:p w14:paraId="1B54A61C" w14:textId="77777777" w:rsidR="006D73CD" w:rsidRPr="006D73CD" w:rsidRDefault="006D73CD" w:rsidP="006D73CD">
      <w:pPr>
        <w:rPr>
          <w:szCs w:val="22"/>
        </w:rPr>
      </w:pPr>
    </w:p>
    <w:tbl>
      <w:tblPr>
        <w:tblStyle w:val="TableGrid1"/>
        <w:tblW w:w="7614" w:type="dxa"/>
        <w:jc w:val="center"/>
        <w:tblLook w:val="04A0" w:firstRow="1" w:lastRow="0" w:firstColumn="1" w:lastColumn="0" w:noHBand="0" w:noVBand="1"/>
      </w:tblPr>
      <w:tblGrid>
        <w:gridCol w:w="3780"/>
        <w:gridCol w:w="1078"/>
        <w:gridCol w:w="2756"/>
      </w:tblGrid>
      <w:tr w:rsidR="006D73CD" w:rsidRPr="004872A1" w14:paraId="3632FC7B" w14:textId="77777777" w:rsidTr="006D73CD">
        <w:trPr>
          <w:tblHeader/>
          <w:jc w:val="center"/>
        </w:trPr>
        <w:tc>
          <w:tcPr>
            <w:tcW w:w="3780" w:type="dxa"/>
            <w:shd w:val="clear" w:color="auto" w:fill="BFBFBF" w:themeFill="background1" w:themeFillShade="BF"/>
          </w:tcPr>
          <w:p w14:paraId="197544E2" w14:textId="77777777" w:rsidR="006D73CD" w:rsidRPr="004872A1" w:rsidRDefault="006D73CD" w:rsidP="006D73CD">
            <w:pPr>
              <w:jc w:val="center"/>
              <w:rPr>
                <w:rFonts w:ascii="Times New Roman" w:hAnsi="Times New Roman" w:cs="Times New Roman"/>
                <w:szCs w:val="22"/>
              </w:rPr>
            </w:pPr>
            <w:r w:rsidRPr="004872A1">
              <w:rPr>
                <w:rFonts w:ascii="Times New Roman" w:hAnsi="Times New Roman" w:cs="Times New Roman"/>
                <w:szCs w:val="22"/>
              </w:rPr>
              <w:t>Call Sign and Community of License</w:t>
            </w:r>
          </w:p>
        </w:tc>
        <w:tc>
          <w:tcPr>
            <w:tcW w:w="1078" w:type="dxa"/>
            <w:shd w:val="clear" w:color="auto" w:fill="BFBFBF" w:themeFill="background1" w:themeFillShade="BF"/>
          </w:tcPr>
          <w:p w14:paraId="42E05B3B" w14:textId="77777777" w:rsidR="006D73CD" w:rsidRPr="004872A1" w:rsidRDefault="006D73CD" w:rsidP="006D73CD">
            <w:pPr>
              <w:jc w:val="center"/>
              <w:rPr>
                <w:rFonts w:ascii="Times New Roman" w:hAnsi="Times New Roman" w:cs="Times New Roman"/>
                <w:szCs w:val="22"/>
              </w:rPr>
            </w:pPr>
            <w:r w:rsidRPr="004872A1">
              <w:rPr>
                <w:rFonts w:ascii="Times New Roman" w:hAnsi="Times New Roman" w:cs="Times New Roman"/>
                <w:szCs w:val="22"/>
              </w:rPr>
              <w:t>FCC ID</w:t>
            </w:r>
          </w:p>
        </w:tc>
        <w:tc>
          <w:tcPr>
            <w:tcW w:w="2756" w:type="dxa"/>
            <w:shd w:val="clear" w:color="auto" w:fill="BFBFBF" w:themeFill="background1" w:themeFillShade="BF"/>
          </w:tcPr>
          <w:p w14:paraId="3418CB10" w14:textId="77777777" w:rsidR="006D73CD" w:rsidRPr="004872A1" w:rsidRDefault="006D73CD" w:rsidP="006D73CD">
            <w:pPr>
              <w:jc w:val="center"/>
              <w:rPr>
                <w:rFonts w:ascii="Times New Roman" w:hAnsi="Times New Roman" w:cs="Times New Roman"/>
                <w:szCs w:val="22"/>
              </w:rPr>
            </w:pPr>
            <w:r w:rsidRPr="004872A1">
              <w:rPr>
                <w:rFonts w:ascii="Times New Roman" w:hAnsi="Times New Roman" w:cs="Times New Roman"/>
                <w:szCs w:val="22"/>
              </w:rPr>
              <w:t>Application  File Number</w:t>
            </w:r>
          </w:p>
        </w:tc>
      </w:tr>
      <w:tr w:rsidR="006D73CD" w:rsidRPr="004872A1" w14:paraId="74930055" w14:textId="77777777" w:rsidTr="006D73CD">
        <w:trPr>
          <w:jc w:val="center"/>
        </w:trPr>
        <w:tc>
          <w:tcPr>
            <w:tcW w:w="3780" w:type="dxa"/>
          </w:tcPr>
          <w:p w14:paraId="5D0CC217"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WTEN(TV), Albany, NY</w:t>
            </w:r>
          </w:p>
        </w:tc>
        <w:tc>
          <w:tcPr>
            <w:tcW w:w="1078" w:type="dxa"/>
          </w:tcPr>
          <w:p w14:paraId="4D7ECA2A"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74422</w:t>
            </w:r>
          </w:p>
        </w:tc>
        <w:tc>
          <w:tcPr>
            <w:tcW w:w="2756" w:type="dxa"/>
          </w:tcPr>
          <w:p w14:paraId="141E96FC"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BTCCDT-20140509AMZ</w:t>
            </w:r>
          </w:p>
        </w:tc>
      </w:tr>
      <w:tr w:rsidR="006D73CD" w:rsidRPr="004872A1" w14:paraId="77C93534" w14:textId="77777777" w:rsidTr="006D73CD">
        <w:trPr>
          <w:jc w:val="center"/>
        </w:trPr>
        <w:tc>
          <w:tcPr>
            <w:tcW w:w="3780" w:type="dxa"/>
          </w:tcPr>
          <w:p w14:paraId="4680C553"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WCDC-TV, Adams, MA</w:t>
            </w:r>
            <w:r w:rsidRPr="004872A1">
              <w:rPr>
                <w:rFonts w:ascii="Times New Roman" w:hAnsi="Times New Roman" w:cs="Times New Roman"/>
                <w:szCs w:val="22"/>
                <w:vertAlign w:val="superscript"/>
              </w:rPr>
              <w:footnoteReference w:id="114"/>
            </w:r>
            <w:r w:rsidRPr="004872A1">
              <w:rPr>
                <w:rFonts w:ascii="Times New Roman" w:hAnsi="Times New Roman" w:cs="Times New Roman"/>
                <w:szCs w:val="22"/>
              </w:rPr>
              <w:t xml:space="preserve"> </w:t>
            </w:r>
          </w:p>
        </w:tc>
        <w:tc>
          <w:tcPr>
            <w:tcW w:w="1078" w:type="dxa"/>
          </w:tcPr>
          <w:p w14:paraId="551ED226"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74419</w:t>
            </w:r>
          </w:p>
        </w:tc>
        <w:tc>
          <w:tcPr>
            <w:tcW w:w="2756" w:type="dxa"/>
          </w:tcPr>
          <w:p w14:paraId="1A70E335"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BTCCDT-20140509ANA</w:t>
            </w:r>
          </w:p>
        </w:tc>
      </w:tr>
      <w:tr w:rsidR="006D73CD" w:rsidRPr="004872A1" w14:paraId="5CB9EC7A" w14:textId="77777777" w:rsidTr="006D73CD">
        <w:trPr>
          <w:jc w:val="center"/>
        </w:trPr>
        <w:tc>
          <w:tcPr>
            <w:tcW w:w="3780" w:type="dxa"/>
          </w:tcPr>
          <w:p w14:paraId="7D0AFAA2"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KWQC-TV, Davenport, IA</w:t>
            </w:r>
          </w:p>
        </w:tc>
        <w:tc>
          <w:tcPr>
            <w:tcW w:w="1078" w:type="dxa"/>
          </w:tcPr>
          <w:p w14:paraId="293E04AD"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6885</w:t>
            </w:r>
          </w:p>
        </w:tc>
        <w:tc>
          <w:tcPr>
            <w:tcW w:w="2756" w:type="dxa"/>
          </w:tcPr>
          <w:p w14:paraId="4B462302"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BTCCDT-20140509ANC</w:t>
            </w:r>
          </w:p>
        </w:tc>
      </w:tr>
      <w:tr w:rsidR="006D73CD" w:rsidRPr="004872A1" w14:paraId="55DEF381" w14:textId="77777777" w:rsidTr="006D73CD">
        <w:trPr>
          <w:jc w:val="center"/>
        </w:trPr>
        <w:tc>
          <w:tcPr>
            <w:tcW w:w="3780" w:type="dxa"/>
          </w:tcPr>
          <w:p w14:paraId="63B1DB9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WBAY-TV, Green Bay, WI</w:t>
            </w:r>
          </w:p>
        </w:tc>
        <w:tc>
          <w:tcPr>
            <w:tcW w:w="1078" w:type="dxa"/>
          </w:tcPr>
          <w:p w14:paraId="3942E0F7"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74417</w:t>
            </w:r>
          </w:p>
        </w:tc>
        <w:tc>
          <w:tcPr>
            <w:tcW w:w="2756" w:type="dxa"/>
          </w:tcPr>
          <w:p w14:paraId="55BD2FC8"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BTCCDT-20140509AND</w:t>
            </w:r>
          </w:p>
        </w:tc>
      </w:tr>
      <w:tr w:rsidR="006D73CD" w:rsidRPr="004872A1" w14:paraId="18811663" w14:textId="77777777" w:rsidTr="006D73CD">
        <w:trPr>
          <w:jc w:val="center"/>
        </w:trPr>
        <w:tc>
          <w:tcPr>
            <w:tcW w:w="3780" w:type="dxa"/>
          </w:tcPr>
          <w:p w14:paraId="6530929F"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WLNS-TV, Lansing, MI</w:t>
            </w:r>
          </w:p>
        </w:tc>
        <w:tc>
          <w:tcPr>
            <w:tcW w:w="1078" w:type="dxa"/>
          </w:tcPr>
          <w:p w14:paraId="1375DA2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74420</w:t>
            </w:r>
          </w:p>
        </w:tc>
        <w:tc>
          <w:tcPr>
            <w:tcW w:w="2756" w:type="dxa"/>
          </w:tcPr>
          <w:p w14:paraId="2B3E8500"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BTCCDT-20140509ANF</w:t>
            </w:r>
          </w:p>
        </w:tc>
      </w:tr>
      <w:tr w:rsidR="006D73CD" w:rsidRPr="004872A1" w14:paraId="76DF1D7D" w14:textId="77777777" w:rsidTr="006D73CD">
        <w:trPr>
          <w:jc w:val="center"/>
        </w:trPr>
        <w:tc>
          <w:tcPr>
            <w:tcW w:w="3780" w:type="dxa"/>
          </w:tcPr>
          <w:p w14:paraId="2B448F16"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KCLO-TV, Rapid City, SD</w:t>
            </w:r>
          </w:p>
        </w:tc>
        <w:tc>
          <w:tcPr>
            <w:tcW w:w="1078" w:type="dxa"/>
          </w:tcPr>
          <w:p w14:paraId="0031FE89"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41969</w:t>
            </w:r>
          </w:p>
        </w:tc>
        <w:tc>
          <w:tcPr>
            <w:tcW w:w="2756" w:type="dxa"/>
          </w:tcPr>
          <w:p w14:paraId="18FE8272"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BTCCDT-20140509ANJ</w:t>
            </w:r>
          </w:p>
        </w:tc>
      </w:tr>
      <w:tr w:rsidR="006D73CD" w:rsidRPr="004872A1" w14:paraId="3A14BC30" w14:textId="77777777" w:rsidTr="006D73CD">
        <w:trPr>
          <w:jc w:val="center"/>
        </w:trPr>
        <w:tc>
          <w:tcPr>
            <w:tcW w:w="3780" w:type="dxa"/>
          </w:tcPr>
          <w:p w14:paraId="687B36F4"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WRIC-TV, Petersburg, VA</w:t>
            </w:r>
          </w:p>
        </w:tc>
        <w:tc>
          <w:tcPr>
            <w:tcW w:w="1078" w:type="dxa"/>
          </w:tcPr>
          <w:p w14:paraId="59F82C4B"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74416</w:t>
            </w:r>
          </w:p>
        </w:tc>
        <w:tc>
          <w:tcPr>
            <w:tcW w:w="2756" w:type="dxa"/>
          </w:tcPr>
          <w:p w14:paraId="20C82A8A"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BTCCDT-20140509ANK</w:t>
            </w:r>
          </w:p>
        </w:tc>
      </w:tr>
      <w:tr w:rsidR="006D73CD" w:rsidRPr="004872A1" w14:paraId="38959617" w14:textId="77777777" w:rsidTr="006D73CD">
        <w:trPr>
          <w:jc w:val="center"/>
        </w:trPr>
        <w:tc>
          <w:tcPr>
            <w:tcW w:w="3780" w:type="dxa"/>
          </w:tcPr>
          <w:p w14:paraId="48843EED"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KRON-TV, San Francisco, CA</w:t>
            </w:r>
          </w:p>
        </w:tc>
        <w:tc>
          <w:tcPr>
            <w:tcW w:w="1078" w:type="dxa"/>
          </w:tcPr>
          <w:p w14:paraId="146EDA80"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65526</w:t>
            </w:r>
          </w:p>
        </w:tc>
        <w:tc>
          <w:tcPr>
            <w:tcW w:w="2756" w:type="dxa"/>
          </w:tcPr>
          <w:p w14:paraId="7BC11027"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BTCCDT-20140509ANL</w:t>
            </w:r>
          </w:p>
        </w:tc>
      </w:tr>
      <w:tr w:rsidR="006D73CD" w:rsidRPr="004872A1" w14:paraId="5EA0076C" w14:textId="77777777" w:rsidTr="006D73CD">
        <w:trPr>
          <w:jc w:val="center"/>
        </w:trPr>
        <w:tc>
          <w:tcPr>
            <w:tcW w:w="3780" w:type="dxa"/>
          </w:tcPr>
          <w:p w14:paraId="5DABB5D0"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KELO-TV, Sioux Falls, SD</w:t>
            </w:r>
          </w:p>
        </w:tc>
        <w:tc>
          <w:tcPr>
            <w:tcW w:w="1078" w:type="dxa"/>
          </w:tcPr>
          <w:p w14:paraId="1F6AD504"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41983</w:t>
            </w:r>
          </w:p>
        </w:tc>
        <w:tc>
          <w:tcPr>
            <w:tcW w:w="2756" w:type="dxa"/>
          </w:tcPr>
          <w:p w14:paraId="607AB5DF"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BTCCDT-20140509ANN</w:t>
            </w:r>
          </w:p>
        </w:tc>
      </w:tr>
      <w:tr w:rsidR="006D73CD" w:rsidRPr="004872A1" w14:paraId="66C5767F" w14:textId="77777777" w:rsidTr="006D73CD">
        <w:trPr>
          <w:jc w:val="center"/>
        </w:trPr>
        <w:tc>
          <w:tcPr>
            <w:tcW w:w="3780" w:type="dxa"/>
          </w:tcPr>
          <w:p w14:paraId="3C49AB27"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KDLO-TV, Florence, SD</w:t>
            </w:r>
            <w:r w:rsidRPr="004872A1">
              <w:rPr>
                <w:rFonts w:ascii="Times New Roman" w:hAnsi="Times New Roman" w:cs="Times New Roman"/>
                <w:szCs w:val="22"/>
                <w:vertAlign w:val="superscript"/>
              </w:rPr>
              <w:footnoteReference w:id="115"/>
            </w:r>
          </w:p>
        </w:tc>
        <w:tc>
          <w:tcPr>
            <w:tcW w:w="1078" w:type="dxa"/>
          </w:tcPr>
          <w:p w14:paraId="7137C6BD"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41975</w:t>
            </w:r>
          </w:p>
        </w:tc>
        <w:tc>
          <w:tcPr>
            <w:tcW w:w="2756" w:type="dxa"/>
          </w:tcPr>
          <w:p w14:paraId="03D03D1F"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BTCCDT-20140509ANO</w:t>
            </w:r>
          </w:p>
        </w:tc>
      </w:tr>
      <w:tr w:rsidR="006D73CD" w:rsidRPr="004872A1" w14:paraId="6AA813A6" w14:textId="77777777" w:rsidTr="006D73CD">
        <w:trPr>
          <w:jc w:val="center"/>
        </w:trPr>
        <w:tc>
          <w:tcPr>
            <w:tcW w:w="3780" w:type="dxa"/>
          </w:tcPr>
          <w:p w14:paraId="405FD4BB"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KPLO-TV, Reliance, SD</w:t>
            </w:r>
            <w:r w:rsidRPr="004872A1">
              <w:rPr>
                <w:rFonts w:ascii="Times New Roman" w:hAnsi="Times New Roman" w:cs="Times New Roman"/>
                <w:szCs w:val="22"/>
                <w:vertAlign w:val="superscript"/>
              </w:rPr>
              <w:footnoteReference w:id="116"/>
            </w:r>
          </w:p>
        </w:tc>
        <w:tc>
          <w:tcPr>
            <w:tcW w:w="1078" w:type="dxa"/>
          </w:tcPr>
          <w:p w14:paraId="3770E7AB"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41964</w:t>
            </w:r>
          </w:p>
        </w:tc>
        <w:tc>
          <w:tcPr>
            <w:tcW w:w="2756" w:type="dxa"/>
          </w:tcPr>
          <w:p w14:paraId="01746DE1"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BTCCDT-20140509ANQ</w:t>
            </w:r>
          </w:p>
        </w:tc>
      </w:tr>
      <w:tr w:rsidR="006D73CD" w:rsidRPr="004872A1" w14:paraId="551477E2" w14:textId="77777777" w:rsidTr="006D73CD">
        <w:trPr>
          <w:jc w:val="center"/>
        </w:trPr>
        <w:tc>
          <w:tcPr>
            <w:tcW w:w="3780" w:type="dxa"/>
          </w:tcPr>
          <w:p w14:paraId="4D06A903"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KLFY-TV, Lafayette, LA</w:t>
            </w:r>
          </w:p>
        </w:tc>
        <w:tc>
          <w:tcPr>
            <w:tcW w:w="1078" w:type="dxa"/>
          </w:tcPr>
          <w:p w14:paraId="138EB800"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35059</w:t>
            </w:r>
          </w:p>
        </w:tc>
        <w:tc>
          <w:tcPr>
            <w:tcW w:w="2756" w:type="dxa"/>
          </w:tcPr>
          <w:p w14:paraId="65359EA8"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BTCCDT-20140509AKR</w:t>
            </w:r>
          </w:p>
        </w:tc>
      </w:tr>
      <w:tr w:rsidR="006D73CD" w:rsidRPr="004872A1" w14:paraId="0F8A9501" w14:textId="77777777" w:rsidTr="006D73CD">
        <w:trPr>
          <w:jc w:val="center"/>
        </w:trPr>
        <w:tc>
          <w:tcPr>
            <w:tcW w:w="3780" w:type="dxa"/>
          </w:tcPr>
          <w:p w14:paraId="0D4805AD"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WATE-TV, Knoxville, TN</w:t>
            </w:r>
          </w:p>
        </w:tc>
        <w:tc>
          <w:tcPr>
            <w:tcW w:w="1078" w:type="dxa"/>
          </w:tcPr>
          <w:p w14:paraId="1F0E78E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71082</w:t>
            </w:r>
          </w:p>
        </w:tc>
        <w:tc>
          <w:tcPr>
            <w:tcW w:w="2756" w:type="dxa"/>
          </w:tcPr>
          <w:p w14:paraId="0940A1C4"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BTCCDT-20140509AME</w:t>
            </w:r>
          </w:p>
        </w:tc>
      </w:tr>
      <w:tr w:rsidR="006D73CD" w:rsidRPr="004872A1" w14:paraId="039E58F5" w14:textId="77777777" w:rsidTr="006D73CD">
        <w:trPr>
          <w:jc w:val="center"/>
        </w:trPr>
        <w:tc>
          <w:tcPr>
            <w:tcW w:w="3780" w:type="dxa"/>
          </w:tcPr>
          <w:p w14:paraId="5282EEB3"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WKRN-TV, Nashville, TN</w:t>
            </w:r>
          </w:p>
        </w:tc>
        <w:tc>
          <w:tcPr>
            <w:tcW w:w="1078" w:type="dxa"/>
          </w:tcPr>
          <w:p w14:paraId="040C30BB"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bCs/>
                <w:szCs w:val="22"/>
              </w:rPr>
              <w:t>73188</w:t>
            </w:r>
          </w:p>
        </w:tc>
        <w:tc>
          <w:tcPr>
            <w:tcW w:w="2756" w:type="dxa"/>
          </w:tcPr>
          <w:p w14:paraId="62B63865" w14:textId="77777777" w:rsidR="006D73CD" w:rsidRPr="004872A1" w:rsidRDefault="006D73CD" w:rsidP="006D73CD">
            <w:pPr>
              <w:spacing w:before="120" w:after="120"/>
              <w:rPr>
                <w:rFonts w:ascii="Times New Roman" w:hAnsi="Times New Roman" w:cs="Times New Roman"/>
                <w:bCs/>
                <w:szCs w:val="22"/>
              </w:rPr>
            </w:pPr>
            <w:r w:rsidRPr="004872A1">
              <w:rPr>
                <w:rFonts w:ascii="Times New Roman" w:hAnsi="Times New Roman" w:cs="Times New Roman"/>
                <w:bCs/>
                <w:szCs w:val="22"/>
              </w:rPr>
              <w:t>BTCCDT-20140509ANQ</w:t>
            </w:r>
          </w:p>
        </w:tc>
      </w:tr>
      <w:tr w:rsidR="006D73CD" w:rsidRPr="004872A1" w14:paraId="64ABAC7F" w14:textId="77777777" w:rsidTr="006D73CD">
        <w:trPr>
          <w:jc w:val="center"/>
        </w:trPr>
        <w:tc>
          <w:tcPr>
            <w:tcW w:w="3780" w:type="dxa"/>
          </w:tcPr>
          <w:p w14:paraId="6CC74F72"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WNCT-TV, Greenville, NC</w:t>
            </w:r>
          </w:p>
        </w:tc>
        <w:tc>
          <w:tcPr>
            <w:tcW w:w="1078" w:type="dxa"/>
          </w:tcPr>
          <w:p w14:paraId="353FBB3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57838</w:t>
            </w:r>
          </w:p>
        </w:tc>
        <w:tc>
          <w:tcPr>
            <w:tcW w:w="2756" w:type="dxa"/>
          </w:tcPr>
          <w:p w14:paraId="68FD9E38"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BTCCDT-20140509ALD</w:t>
            </w:r>
          </w:p>
        </w:tc>
      </w:tr>
      <w:tr w:rsidR="006D73CD" w:rsidRPr="004872A1" w14:paraId="44A1A407" w14:textId="77777777" w:rsidTr="006D73CD">
        <w:trPr>
          <w:jc w:val="center"/>
        </w:trPr>
        <w:tc>
          <w:tcPr>
            <w:tcW w:w="3780" w:type="dxa"/>
          </w:tcPr>
          <w:p w14:paraId="2905826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WSLS-TV, Roanoke, VA</w:t>
            </w:r>
          </w:p>
        </w:tc>
        <w:tc>
          <w:tcPr>
            <w:tcW w:w="1078" w:type="dxa"/>
          </w:tcPr>
          <w:p w14:paraId="536812A4"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57840</w:t>
            </w:r>
          </w:p>
        </w:tc>
        <w:tc>
          <w:tcPr>
            <w:tcW w:w="2756" w:type="dxa"/>
          </w:tcPr>
          <w:p w14:paraId="5A9FEF06"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 xml:space="preserve">BTCCDT-20140509ALG                                                                                                                                                                                                                                                                                                                                                                                                                                                                                                                                                                                                                                                                                                                                                                                                                                                                                                                                                                          </w:t>
            </w:r>
          </w:p>
        </w:tc>
      </w:tr>
      <w:tr w:rsidR="006D73CD" w:rsidRPr="004872A1" w14:paraId="6623518A" w14:textId="77777777" w:rsidTr="006D73CD">
        <w:trPr>
          <w:jc w:val="center"/>
        </w:trPr>
        <w:tc>
          <w:tcPr>
            <w:tcW w:w="3780" w:type="dxa"/>
          </w:tcPr>
          <w:p w14:paraId="081E7B23"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WJHL-TV, Johnson City, TN</w:t>
            </w:r>
          </w:p>
        </w:tc>
        <w:tc>
          <w:tcPr>
            <w:tcW w:w="1078" w:type="dxa"/>
          </w:tcPr>
          <w:p w14:paraId="146691F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57826</w:t>
            </w:r>
          </w:p>
        </w:tc>
        <w:tc>
          <w:tcPr>
            <w:tcW w:w="2756" w:type="dxa"/>
          </w:tcPr>
          <w:p w14:paraId="3DFB20BA"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BTCCDT-20140509AKZ</w:t>
            </w:r>
          </w:p>
        </w:tc>
      </w:tr>
      <w:tr w:rsidR="006D73CD" w:rsidRPr="004872A1" w14:paraId="3DD136AD" w14:textId="77777777" w:rsidTr="006D73CD">
        <w:trPr>
          <w:jc w:val="center"/>
        </w:trPr>
        <w:tc>
          <w:tcPr>
            <w:tcW w:w="3780" w:type="dxa"/>
          </w:tcPr>
          <w:p w14:paraId="73FC106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WCBD-TV, Charleston, SC</w:t>
            </w:r>
          </w:p>
        </w:tc>
        <w:tc>
          <w:tcPr>
            <w:tcW w:w="1078" w:type="dxa"/>
          </w:tcPr>
          <w:p w14:paraId="280DD6C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10587</w:t>
            </w:r>
          </w:p>
        </w:tc>
        <w:tc>
          <w:tcPr>
            <w:tcW w:w="2756" w:type="dxa"/>
          </w:tcPr>
          <w:p w14:paraId="35F61D5D"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BTCCDT-20140509AKU</w:t>
            </w:r>
          </w:p>
        </w:tc>
      </w:tr>
      <w:tr w:rsidR="006D73CD" w:rsidRPr="004872A1" w14:paraId="4C1D56B0" w14:textId="77777777" w:rsidTr="006D73CD">
        <w:trPr>
          <w:jc w:val="center"/>
        </w:trPr>
        <w:tc>
          <w:tcPr>
            <w:tcW w:w="3780" w:type="dxa"/>
          </w:tcPr>
          <w:p w14:paraId="1E2B660A" w14:textId="77777777" w:rsidR="006D73CD" w:rsidRPr="004872A1" w:rsidRDefault="006D73CD" w:rsidP="006D73CD">
            <w:pPr>
              <w:spacing w:before="120" w:after="120"/>
              <w:rPr>
                <w:rFonts w:ascii="Times New Roman" w:hAnsi="Times New Roman" w:cs="Times New Roman"/>
                <w:szCs w:val="22"/>
                <w:lang w:val="pt-BR"/>
              </w:rPr>
            </w:pPr>
            <w:r w:rsidRPr="004872A1">
              <w:rPr>
                <w:rFonts w:ascii="Times New Roman" w:hAnsi="Times New Roman" w:cs="Times New Roman"/>
                <w:szCs w:val="22"/>
                <w:lang w:val="pt-BR"/>
              </w:rPr>
              <w:t>WFLA-TV, Tampa, FL</w:t>
            </w:r>
          </w:p>
        </w:tc>
        <w:tc>
          <w:tcPr>
            <w:tcW w:w="1078" w:type="dxa"/>
          </w:tcPr>
          <w:p w14:paraId="01F64349" w14:textId="77777777" w:rsidR="006D73CD" w:rsidRPr="004872A1" w:rsidRDefault="006D73CD" w:rsidP="006D73CD">
            <w:pPr>
              <w:spacing w:before="120" w:after="120"/>
              <w:rPr>
                <w:rFonts w:ascii="Times New Roman" w:hAnsi="Times New Roman" w:cs="Times New Roman"/>
                <w:szCs w:val="22"/>
                <w:lang w:val="pt-BR"/>
              </w:rPr>
            </w:pPr>
            <w:r w:rsidRPr="004872A1">
              <w:rPr>
                <w:rFonts w:ascii="Times New Roman" w:hAnsi="Times New Roman" w:cs="Times New Roman"/>
                <w:szCs w:val="22"/>
                <w:lang w:val="pt-BR"/>
              </w:rPr>
              <w:t>64592</w:t>
            </w:r>
          </w:p>
        </w:tc>
        <w:tc>
          <w:tcPr>
            <w:tcW w:w="2756" w:type="dxa"/>
          </w:tcPr>
          <w:p w14:paraId="5F7FFD17" w14:textId="77777777" w:rsidR="006D73CD" w:rsidRPr="004872A1" w:rsidRDefault="006D73CD" w:rsidP="006D73CD">
            <w:pPr>
              <w:spacing w:before="120" w:after="120"/>
              <w:rPr>
                <w:rFonts w:ascii="Times New Roman" w:hAnsi="Times New Roman" w:cs="Times New Roman"/>
                <w:szCs w:val="22"/>
                <w:lang w:val="pt-BR"/>
              </w:rPr>
            </w:pPr>
            <w:r w:rsidRPr="004872A1">
              <w:rPr>
                <w:rFonts w:ascii="Times New Roman" w:hAnsi="Times New Roman" w:cs="Times New Roman"/>
                <w:szCs w:val="22"/>
                <w:lang w:val="pt-BR"/>
              </w:rPr>
              <w:t>BTCCDT-20140509AKS</w:t>
            </w:r>
          </w:p>
        </w:tc>
      </w:tr>
      <w:tr w:rsidR="006D73CD" w:rsidRPr="004872A1" w14:paraId="7B3016B5" w14:textId="77777777" w:rsidTr="006D73CD">
        <w:trPr>
          <w:jc w:val="center"/>
        </w:trPr>
        <w:tc>
          <w:tcPr>
            <w:tcW w:w="3780" w:type="dxa"/>
          </w:tcPr>
          <w:p w14:paraId="1C938E08"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WSAV-TV, Savannah, GA</w:t>
            </w:r>
          </w:p>
        </w:tc>
        <w:tc>
          <w:tcPr>
            <w:tcW w:w="1078" w:type="dxa"/>
          </w:tcPr>
          <w:p w14:paraId="63BC988E"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48662</w:t>
            </w:r>
          </w:p>
        </w:tc>
        <w:tc>
          <w:tcPr>
            <w:tcW w:w="2756" w:type="dxa"/>
          </w:tcPr>
          <w:p w14:paraId="55355CA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BTCCDT-20140509ALF</w:t>
            </w:r>
          </w:p>
        </w:tc>
      </w:tr>
      <w:tr w:rsidR="006D73CD" w:rsidRPr="004872A1" w14:paraId="0BB1E7C4" w14:textId="77777777" w:rsidTr="006D73CD">
        <w:trPr>
          <w:jc w:val="center"/>
        </w:trPr>
        <w:tc>
          <w:tcPr>
            <w:tcW w:w="3780" w:type="dxa"/>
          </w:tcPr>
          <w:p w14:paraId="7EE405C0"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WJTV(TV), Jackson, MS</w:t>
            </w:r>
          </w:p>
        </w:tc>
        <w:tc>
          <w:tcPr>
            <w:tcW w:w="1078" w:type="dxa"/>
          </w:tcPr>
          <w:p w14:paraId="0CBD9B74"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48667</w:t>
            </w:r>
          </w:p>
        </w:tc>
        <w:tc>
          <w:tcPr>
            <w:tcW w:w="2756" w:type="dxa"/>
          </w:tcPr>
          <w:p w14:paraId="610158A0"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BTCCDT-20140509ALA</w:t>
            </w:r>
          </w:p>
        </w:tc>
      </w:tr>
      <w:tr w:rsidR="006D73CD" w:rsidRPr="004872A1" w14:paraId="7304523F" w14:textId="77777777" w:rsidTr="006D73CD">
        <w:trPr>
          <w:jc w:val="center"/>
        </w:trPr>
        <w:tc>
          <w:tcPr>
            <w:tcW w:w="3780" w:type="dxa"/>
          </w:tcPr>
          <w:p w14:paraId="4315046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WHLT(TV), Hattiesburg, MS</w:t>
            </w:r>
          </w:p>
        </w:tc>
        <w:tc>
          <w:tcPr>
            <w:tcW w:w="1078" w:type="dxa"/>
          </w:tcPr>
          <w:p w14:paraId="1857823F"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48668</w:t>
            </w:r>
          </w:p>
        </w:tc>
        <w:tc>
          <w:tcPr>
            <w:tcW w:w="2756" w:type="dxa"/>
          </w:tcPr>
          <w:p w14:paraId="702C6AA6"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BTCCDT-20140509AKW</w:t>
            </w:r>
          </w:p>
        </w:tc>
      </w:tr>
      <w:tr w:rsidR="006D73CD" w:rsidRPr="004872A1" w14:paraId="62538434" w14:textId="77777777" w:rsidTr="006D73CD">
        <w:trPr>
          <w:jc w:val="center"/>
        </w:trPr>
        <w:tc>
          <w:tcPr>
            <w:tcW w:w="3780" w:type="dxa"/>
          </w:tcPr>
          <w:p w14:paraId="07D4231E"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WSPA-TV, Spartanburg, SC</w:t>
            </w:r>
          </w:p>
        </w:tc>
        <w:tc>
          <w:tcPr>
            <w:tcW w:w="1078" w:type="dxa"/>
          </w:tcPr>
          <w:p w14:paraId="7053DC7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66391</w:t>
            </w:r>
          </w:p>
        </w:tc>
        <w:tc>
          <w:tcPr>
            <w:tcW w:w="2756" w:type="dxa"/>
          </w:tcPr>
          <w:p w14:paraId="5C3E6FCA"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BTCCDT-20140509ALH</w:t>
            </w:r>
          </w:p>
        </w:tc>
      </w:tr>
      <w:tr w:rsidR="006D73CD" w:rsidRPr="004872A1" w14:paraId="6BD366CA" w14:textId="77777777" w:rsidTr="006D73CD">
        <w:trPr>
          <w:jc w:val="center"/>
        </w:trPr>
        <w:tc>
          <w:tcPr>
            <w:tcW w:w="3780" w:type="dxa"/>
          </w:tcPr>
          <w:p w14:paraId="3903A757"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WYCW(TV), Asheville, NC</w:t>
            </w:r>
          </w:p>
        </w:tc>
        <w:tc>
          <w:tcPr>
            <w:tcW w:w="1078" w:type="dxa"/>
          </w:tcPr>
          <w:p w14:paraId="5C379663"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70149</w:t>
            </w:r>
          </w:p>
        </w:tc>
        <w:tc>
          <w:tcPr>
            <w:tcW w:w="2756" w:type="dxa"/>
          </w:tcPr>
          <w:p w14:paraId="5B912F60"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BTCCDT-20140509ALJ</w:t>
            </w:r>
          </w:p>
        </w:tc>
      </w:tr>
      <w:tr w:rsidR="006D73CD" w:rsidRPr="004872A1" w14:paraId="7D5AF587" w14:textId="77777777" w:rsidTr="006D73CD">
        <w:trPr>
          <w:jc w:val="center"/>
        </w:trPr>
        <w:tc>
          <w:tcPr>
            <w:tcW w:w="3780" w:type="dxa"/>
          </w:tcPr>
          <w:p w14:paraId="281B4952"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WBTW(TV), Florence, SC</w:t>
            </w:r>
          </w:p>
        </w:tc>
        <w:tc>
          <w:tcPr>
            <w:tcW w:w="1078" w:type="dxa"/>
          </w:tcPr>
          <w:p w14:paraId="39D8A508"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66407</w:t>
            </w:r>
          </w:p>
        </w:tc>
        <w:tc>
          <w:tcPr>
            <w:tcW w:w="2756" w:type="dxa"/>
          </w:tcPr>
          <w:p w14:paraId="4740005E"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BTCCDT-20140509AKT</w:t>
            </w:r>
          </w:p>
        </w:tc>
      </w:tr>
      <w:tr w:rsidR="006D73CD" w:rsidRPr="004872A1" w14:paraId="2EBF488E" w14:textId="77777777" w:rsidTr="006D73CD">
        <w:trPr>
          <w:jc w:val="center"/>
        </w:trPr>
        <w:tc>
          <w:tcPr>
            <w:tcW w:w="3780" w:type="dxa"/>
          </w:tcPr>
          <w:p w14:paraId="258A4504"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WJBF(TV), Augusta, GA</w:t>
            </w:r>
          </w:p>
        </w:tc>
        <w:tc>
          <w:tcPr>
            <w:tcW w:w="1078" w:type="dxa"/>
          </w:tcPr>
          <w:p w14:paraId="44865F6D"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27140</w:t>
            </w:r>
          </w:p>
        </w:tc>
        <w:tc>
          <w:tcPr>
            <w:tcW w:w="2756" w:type="dxa"/>
          </w:tcPr>
          <w:p w14:paraId="7207C28B"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BTCCDT-20140509AKY</w:t>
            </w:r>
          </w:p>
        </w:tc>
      </w:tr>
      <w:tr w:rsidR="006D73CD" w:rsidRPr="004872A1" w14:paraId="1ED4E7C8" w14:textId="77777777" w:rsidTr="006D73CD">
        <w:trPr>
          <w:jc w:val="center"/>
        </w:trPr>
        <w:tc>
          <w:tcPr>
            <w:tcW w:w="3780" w:type="dxa"/>
          </w:tcPr>
          <w:p w14:paraId="7B4F4560"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WRBL(TV), Columbus, GA</w:t>
            </w:r>
          </w:p>
        </w:tc>
        <w:tc>
          <w:tcPr>
            <w:tcW w:w="1078" w:type="dxa"/>
          </w:tcPr>
          <w:p w14:paraId="2B257341"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3359</w:t>
            </w:r>
          </w:p>
        </w:tc>
        <w:tc>
          <w:tcPr>
            <w:tcW w:w="2756" w:type="dxa"/>
          </w:tcPr>
          <w:p w14:paraId="56C3565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BTCCDT-20140509ALE</w:t>
            </w:r>
          </w:p>
        </w:tc>
      </w:tr>
      <w:tr w:rsidR="006D73CD" w:rsidRPr="004872A1" w14:paraId="454B5C80" w14:textId="77777777" w:rsidTr="006D73CD">
        <w:trPr>
          <w:jc w:val="center"/>
        </w:trPr>
        <w:tc>
          <w:tcPr>
            <w:tcW w:w="3780" w:type="dxa"/>
          </w:tcPr>
          <w:p w14:paraId="68CCADC2"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WKRG-TV, Mobile, AL</w:t>
            </w:r>
          </w:p>
        </w:tc>
        <w:tc>
          <w:tcPr>
            <w:tcW w:w="1078" w:type="dxa"/>
          </w:tcPr>
          <w:p w14:paraId="0F32DDF8"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73187</w:t>
            </w:r>
          </w:p>
        </w:tc>
        <w:tc>
          <w:tcPr>
            <w:tcW w:w="2756" w:type="dxa"/>
          </w:tcPr>
          <w:p w14:paraId="2D7A3B8D"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BTCCDT-20140509ALB</w:t>
            </w:r>
          </w:p>
        </w:tc>
      </w:tr>
      <w:tr w:rsidR="006D73CD" w:rsidRPr="004872A1" w14:paraId="24DA0FF9" w14:textId="77777777" w:rsidTr="006D73CD">
        <w:trPr>
          <w:jc w:val="center"/>
        </w:trPr>
        <w:tc>
          <w:tcPr>
            <w:tcW w:w="3780" w:type="dxa"/>
          </w:tcPr>
          <w:p w14:paraId="772870E4"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WJAR(TV), Providence, RI</w:t>
            </w:r>
            <w:r w:rsidRPr="004872A1">
              <w:rPr>
                <w:rFonts w:ascii="Times New Roman" w:hAnsi="Times New Roman" w:cs="Times New Roman"/>
                <w:szCs w:val="22"/>
                <w:vertAlign w:val="superscript"/>
              </w:rPr>
              <w:footnoteReference w:id="117"/>
            </w:r>
          </w:p>
        </w:tc>
        <w:tc>
          <w:tcPr>
            <w:tcW w:w="1078" w:type="dxa"/>
          </w:tcPr>
          <w:p w14:paraId="657FC539"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50780</w:t>
            </w:r>
          </w:p>
        </w:tc>
        <w:tc>
          <w:tcPr>
            <w:tcW w:w="2756" w:type="dxa"/>
          </w:tcPr>
          <w:p w14:paraId="71BE1936"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BTCCDT-20140509AKX</w:t>
            </w:r>
          </w:p>
        </w:tc>
      </w:tr>
      <w:tr w:rsidR="006D73CD" w:rsidRPr="004872A1" w14:paraId="40701F7C" w14:textId="77777777" w:rsidTr="006D73CD">
        <w:trPr>
          <w:jc w:val="center"/>
        </w:trPr>
        <w:tc>
          <w:tcPr>
            <w:tcW w:w="3780" w:type="dxa"/>
          </w:tcPr>
          <w:p w14:paraId="5CA397E6"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WNCN(TV), Goldsboro, NC</w:t>
            </w:r>
          </w:p>
        </w:tc>
        <w:tc>
          <w:tcPr>
            <w:tcW w:w="1078" w:type="dxa"/>
          </w:tcPr>
          <w:p w14:paraId="0B074799"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50782</w:t>
            </w:r>
          </w:p>
        </w:tc>
        <w:tc>
          <w:tcPr>
            <w:tcW w:w="2756" w:type="dxa"/>
          </w:tcPr>
          <w:p w14:paraId="3152616B"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 xml:space="preserve">BTCCDT-20140509ALC </w:t>
            </w:r>
          </w:p>
        </w:tc>
      </w:tr>
      <w:tr w:rsidR="006D73CD" w:rsidRPr="004872A1" w14:paraId="267DE62E" w14:textId="77777777" w:rsidTr="006D73CD">
        <w:trPr>
          <w:jc w:val="center"/>
        </w:trPr>
        <w:tc>
          <w:tcPr>
            <w:tcW w:w="3780" w:type="dxa"/>
          </w:tcPr>
          <w:p w14:paraId="2874BB2E"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WCMH-TV, Columbus, OH</w:t>
            </w:r>
          </w:p>
        </w:tc>
        <w:tc>
          <w:tcPr>
            <w:tcW w:w="1078" w:type="dxa"/>
          </w:tcPr>
          <w:p w14:paraId="213D931A"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50781</w:t>
            </w:r>
          </w:p>
        </w:tc>
        <w:tc>
          <w:tcPr>
            <w:tcW w:w="2756" w:type="dxa"/>
          </w:tcPr>
          <w:p w14:paraId="5241198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BTCCDT-20140509AKV</w:t>
            </w:r>
          </w:p>
        </w:tc>
      </w:tr>
      <w:tr w:rsidR="006D73CD" w:rsidRPr="004872A1" w14:paraId="567F947E" w14:textId="77777777" w:rsidTr="006D73CD">
        <w:trPr>
          <w:jc w:val="center"/>
        </w:trPr>
        <w:tc>
          <w:tcPr>
            <w:tcW w:w="3780" w:type="dxa"/>
          </w:tcPr>
          <w:p w14:paraId="46F42FC7"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WVTM-TV, Birmingham, AL</w:t>
            </w:r>
            <w:r w:rsidRPr="004872A1">
              <w:rPr>
                <w:rFonts w:ascii="Times New Roman" w:hAnsi="Times New Roman" w:cs="Times New Roman"/>
                <w:szCs w:val="22"/>
                <w:vertAlign w:val="superscript"/>
              </w:rPr>
              <w:footnoteReference w:id="118"/>
            </w:r>
          </w:p>
        </w:tc>
        <w:tc>
          <w:tcPr>
            <w:tcW w:w="1078" w:type="dxa"/>
          </w:tcPr>
          <w:p w14:paraId="20D9C08F"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74173</w:t>
            </w:r>
          </w:p>
        </w:tc>
        <w:tc>
          <w:tcPr>
            <w:tcW w:w="2756" w:type="dxa"/>
          </w:tcPr>
          <w:p w14:paraId="5CBCEA91"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BTCDDT-20140509ALI</w:t>
            </w:r>
          </w:p>
        </w:tc>
      </w:tr>
    </w:tbl>
    <w:p w14:paraId="77707B1D" w14:textId="77777777" w:rsidR="006D73CD" w:rsidRPr="006D73CD" w:rsidRDefault="006D73CD" w:rsidP="006D73CD">
      <w:pPr>
        <w:rPr>
          <w:szCs w:val="22"/>
        </w:rPr>
        <w:sectPr w:rsidR="006D73CD" w:rsidRPr="006D73CD" w:rsidSect="006D73CD">
          <w:footerReference w:type="default" r:id="rId17"/>
          <w:footerReference w:type="first" r:id="rId18"/>
          <w:footnotePr>
            <w:numRestart w:val="eachSect"/>
          </w:footnotePr>
          <w:pgSz w:w="12240" w:h="15840"/>
          <w:pgMar w:top="1440" w:right="1800" w:bottom="1440" w:left="1800" w:header="720" w:footer="720" w:gutter="0"/>
          <w:pgNumType w:fmt="lowerRoman" w:start="1"/>
          <w:cols w:space="720"/>
          <w:titlePg/>
          <w:docGrid w:linePitch="360"/>
        </w:sectPr>
      </w:pPr>
    </w:p>
    <w:p w14:paraId="31300378" w14:textId="77777777" w:rsidR="006D73CD" w:rsidRPr="006D73CD" w:rsidRDefault="006D73CD" w:rsidP="006D73CD">
      <w:pPr>
        <w:jc w:val="center"/>
        <w:rPr>
          <w:b/>
          <w:sz w:val="40"/>
          <w:szCs w:val="40"/>
        </w:rPr>
      </w:pPr>
      <w:r w:rsidRPr="006D73CD">
        <w:rPr>
          <w:b/>
          <w:sz w:val="40"/>
          <w:szCs w:val="40"/>
        </w:rPr>
        <w:t>Exhibit C</w:t>
      </w:r>
    </w:p>
    <w:p w14:paraId="1A01D6DB" w14:textId="77777777" w:rsidR="006D73CD" w:rsidRPr="004872A1" w:rsidRDefault="006D73CD" w:rsidP="006D73CD">
      <w:pPr>
        <w:jc w:val="center"/>
        <w:rPr>
          <w:b/>
          <w:sz w:val="24"/>
          <w:szCs w:val="24"/>
        </w:rPr>
      </w:pPr>
    </w:p>
    <w:p w14:paraId="539C553E" w14:textId="77777777" w:rsidR="006D73CD" w:rsidRPr="006D73CD" w:rsidRDefault="006D73CD" w:rsidP="006D73CD">
      <w:pPr>
        <w:jc w:val="center"/>
        <w:rPr>
          <w:b/>
          <w:sz w:val="24"/>
          <w:szCs w:val="24"/>
        </w:rPr>
      </w:pPr>
      <w:r w:rsidRPr="006D73CD">
        <w:rPr>
          <w:b/>
          <w:sz w:val="24"/>
          <w:szCs w:val="24"/>
        </w:rPr>
        <w:t xml:space="preserve">FCC Form 314 Applications for Consent to Assign Licenses </w:t>
      </w:r>
    </w:p>
    <w:p w14:paraId="2F7F0284" w14:textId="77777777" w:rsidR="006D73CD" w:rsidRPr="006D73CD" w:rsidRDefault="006D73CD" w:rsidP="006D73CD">
      <w:pPr>
        <w:jc w:val="center"/>
        <w:rPr>
          <w:b/>
          <w:sz w:val="28"/>
          <w:szCs w:val="28"/>
        </w:rPr>
      </w:pPr>
    </w:p>
    <w:tbl>
      <w:tblPr>
        <w:tblStyle w:val="TableGrid1"/>
        <w:tblW w:w="7586" w:type="dxa"/>
        <w:jc w:val="center"/>
        <w:tblLook w:val="04A0" w:firstRow="1" w:lastRow="0" w:firstColumn="1" w:lastColumn="0" w:noHBand="0" w:noVBand="1"/>
      </w:tblPr>
      <w:tblGrid>
        <w:gridCol w:w="3780"/>
        <w:gridCol w:w="1078"/>
        <w:gridCol w:w="2728"/>
      </w:tblGrid>
      <w:tr w:rsidR="006D73CD" w:rsidRPr="004872A1" w14:paraId="1870229B" w14:textId="77777777" w:rsidTr="006D73CD">
        <w:trPr>
          <w:tblHeader/>
          <w:jc w:val="center"/>
        </w:trPr>
        <w:tc>
          <w:tcPr>
            <w:tcW w:w="3780" w:type="dxa"/>
            <w:shd w:val="clear" w:color="auto" w:fill="BFBFBF" w:themeFill="background1" w:themeFillShade="BF"/>
          </w:tcPr>
          <w:p w14:paraId="3690575F" w14:textId="77777777" w:rsidR="006D73CD" w:rsidRPr="004872A1" w:rsidRDefault="006D73CD" w:rsidP="006D73CD">
            <w:pPr>
              <w:jc w:val="center"/>
              <w:rPr>
                <w:rFonts w:ascii="Times New Roman" w:hAnsi="Times New Roman" w:cs="Times New Roman"/>
                <w:szCs w:val="22"/>
              </w:rPr>
            </w:pPr>
            <w:r w:rsidRPr="004872A1">
              <w:rPr>
                <w:rFonts w:ascii="Times New Roman" w:hAnsi="Times New Roman" w:cs="Times New Roman"/>
                <w:szCs w:val="22"/>
              </w:rPr>
              <w:t>Call Sign and Community of License</w:t>
            </w:r>
          </w:p>
        </w:tc>
        <w:tc>
          <w:tcPr>
            <w:tcW w:w="1078" w:type="dxa"/>
            <w:shd w:val="clear" w:color="auto" w:fill="BFBFBF" w:themeFill="background1" w:themeFillShade="BF"/>
          </w:tcPr>
          <w:p w14:paraId="5A74B40C" w14:textId="77777777" w:rsidR="006D73CD" w:rsidRPr="004872A1" w:rsidRDefault="006D73CD" w:rsidP="006D73CD">
            <w:pPr>
              <w:jc w:val="center"/>
              <w:rPr>
                <w:rFonts w:ascii="Times New Roman" w:hAnsi="Times New Roman" w:cs="Times New Roman"/>
                <w:szCs w:val="22"/>
              </w:rPr>
            </w:pPr>
            <w:r w:rsidRPr="004872A1">
              <w:rPr>
                <w:rFonts w:ascii="Times New Roman" w:hAnsi="Times New Roman" w:cs="Times New Roman"/>
                <w:szCs w:val="22"/>
              </w:rPr>
              <w:t>FCC ID</w:t>
            </w:r>
          </w:p>
        </w:tc>
        <w:tc>
          <w:tcPr>
            <w:tcW w:w="2728" w:type="dxa"/>
            <w:shd w:val="clear" w:color="auto" w:fill="BFBFBF" w:themeFill="background1" w:themeFillShade="BF"/>
          </w:tcPr>
          <w:p w14:paraId="4A2C16B6" w14:textId="77777777" w:rsidR="006D73CD" w:rsidRPr="004872A1" w:rsidRDefault="006D73CD" w:rsidP="006D73CD">
            <w:pPr>
              <w:jc w:val="center"/>
              <w:rPr>
                <w:rFonts w:ascii="Times New Roman" w:hAnsi="Times New Roman" w:cs="Times New Roman"/>
                <w:szCs w:val="22"/>
              </w:rPr>
            </w:pPr>
            <w:r w:rsidRPr="004872A1">
              <w:rPr>
                <w:rFonts w:ascii="Times New Roman" w:hAnsi="Times New Roman" w:cs="Times New Roman"/>
                <w:szCs w:val="22"/>
              </w:rPr>
              <w:t>Application  File Number</w:t>
            </w:r>
          </w:p>
        </w:tc>
      </w:tr>
      <w:tr w:rsidR="006D73CD" w:rsidRPr="004872A1" w14:paraId="7BFE7F97" w14:textId="77777777" w:rsidTr="006D73CD">
        <w:trPr>
          <w:jc w:val="center"/>
        </w:trPr>
        <w:tc>
          <w:tcPr>
            <w:tcW w:w="3780" w:type="dxa"/>
          </w:tcPr>
          <w:p w14:paraId="20EC49A9"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 xml:space="preserve">WVTM-TV, Birmingham, AL </w:t>
            </w:r>
          </w:p>
        </w:tc>
        <w:tc>
          <w:tcPr>
            <w:tcW w:w="1078" w:type="dxa"/>
          </w:tcPr>
          <w:p w14:paraId="23D29876"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74173</w:t>
            </w:r>
          </w:p>
        </w:tc>
        <w:tc>
          <w:tcPr>
            <w:tcW w:w="2728" w:type="dxa"/>
          </w:tcPr>
          <w:p w14:paraId="612FA5F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BALCDT-20140827ACP</w:t>
            </w:r>
          </w:p>
        </w:tc>
      </w:tr>
      <w:tr w:rsidR="006D73CD" w:rsidRPr="004872A1" w14:paraId="6183DAD7" w14:textId="77777777" w:rsidTr="006D73CD">
        <w:trPr>
          <w:jc w:val="center"/>
        </w:trPr>
        <w:tc>
          <w:tcPr>
            <w:tcW w:w="3780" w:type="dxa"/>
          </w:tcPr>
          <w:p w14:paraId="6D71D10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 xml:space="preserve">WJAR(TV), Providence, RI </w:t>
            </w:r>
          </w:p>
        </w:tc>
        <w:tc>
          <w:tcPr>
            <w:tcW w:w="1078" w:type="dxa"/>
          </w:tcPr>
          <w:p w14:paraId="426C8EBF"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50780</w:t>
            </w:r>
          </w:p>
        </w:tc>
        <w:tc>
          <w:tcPr>
            <w:tcW w:w="2728" w:type="dxa"/>
          </w:tcPr>
          <w:p w14:paraId="59AD1ECF"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BALCDT-20140827ANP</w:t>
            </w:r>
          </w:p>
        </w:tc>
      </w:tr>
      <w:tr w:rsidR="006D73CD" w:rsidRPr="004872A1" w14:paraId="6044023D" w14:textId="77777777" w:rsidTr="006D73CD">
        <w:trPr>
          <w:jc w:val="center"/>
        </w:trPr>
        <w:tc>
          <w:tcPr>
            <w:tcW w:w="3780" w:type="dxa"/>
          </w:tcPr>
          <w:p w14:paraId="1A6F5CA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 xml:space="preserve">WJCL(TV), Savannah, GA </w:t>
            </w:r>
          </w:p>
        </w:tc>
        <w:tc>
          <w:tcPr>
            <w:tcW w:w="1078" w:type="dxa"/>
          </w:tcPr>
          <w:p w14:paraId="3D4301E9"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37174</w:t>
            </w:r>
          </w:p>
        </w:tc>
        <w:tc>
          <w:tcPr>
            <w:tcW w:w="2728" w:type="dxa"/>
          </w:tcPr>
          <w:p w14:paraId="4EAD0FCD"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BALCDT-20140827ACM</w:t>
            </w:r>
          </w:p>
        </w:tc>
      </w:tr>
      <w:tr w:rsidR="006D73CD" w:rsidRPr="004872A1" w14:paraId="583D56E2" w14:textId="77777777" w:rsidTr="006D73CD">
        <w:trPr>
          <w:jc w:val="center"/>
        </w:trPr>
        <w:tc>
          <w:tcPr>
            <w:tcW w:w="3780" w:type="dxa"/>
          </w:tcPr>
          <w:p w14:paraId="2C16C50A"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 xml:space="preserve">WLUK-TV, Green Bay, WI </w:t>
            </w:r>
          </w:p>
        </w:tc>
        <w:tc>
          <w:tcPr>
            <w:tcW w:w="1078" w:type="dxa"/>
          </w:tcPr>
          <w:p w14:paraId="0091D32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4150</w:t>
            </w:r>
          </w:p>
        </w:tc>
        <w:tc>
          <w:tcPr>
            <w:tcW w:w="2728" w:type="dxa"/>
          </w:tcPr>
          <w:p w14:paraId="755EFDD9"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BALCDT-20140827ANM</w:t>
            </w:r>
          </w:p>
        </w:tc>
      </w:tr>
      <w:tr w:rsidR="006D73CD" w:rsidRPr="004872A1" w14:paraId="7B250D40" w14:textId="77777777" w:rsidTr="006D73CD">
        <w:trPr>
          <w:jc w:val="center"/>
        </w:trPr>
        <w:tc>
          <w:tcPr>
            <w:tcW w:w="3780" w:type="dxa"/>
          </w:tcPr>
          <w:p w14:paraId="443AF471"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 xml:space="preserve">WCWF(TV), Suring, WI </w:t>
            </w:r>
          </w:p>
        </w:tc>
        <w:tc>
          <w:tcPr>
            <w:tcW w:w="1078" w:type="dxa"/>
          </w:tcPr>
          <w:p w14:paraId="24C072D0"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73042</w:t>
            </w:r>
          </w:p>
        </w:tc>
        <w:tc>
          <w:tcPr>
            <w:tcW w:w="2728" w:type="dxa"/>
          </w:tcPr>
          <w:p w14:paraId="06014E49"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BALCDT-20140827ANL</w:t>
            </w:r>
          </w:p>
        </w:tc>
      </w:tr>
      <w:tr w:rsidR="006D73CD" w:rsidRPr="004872A1" w14:paraId="4738A09B" w14:textId="77777777" w:rsidTr="006D73CD">
        <w:trPr>
          <w:jc w:val="center"/>
        </w:trPr>
        <w:tc>
          <w:tcPr>
            <w:tcW w:w="3780" w:type="dxa"/>
          </w:tcPr>
          <w:p w14:paraId="577A3C12"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 xml:space="preserve">WALA-TV, Mobile, AL </w:t>
            </w:r>
          </w:p>
        </w:tc>
        <w:tc>
          <w:tcPr>
            <w:tcW w:w="1078" w:type="dxa"/>
          </w:tcPr>
          <w:p w14:paraId="075F6711"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4143</w:t>
            </w:r>
          </w:p>
        </w:tc>
        <w:tc>
          <w:tcPr>
            <w:tcW w:w="2728" w:type="dxa"/>
          </w:tcPr>
          <w:p w14:paraId="7201B98F"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BALCDT-20140827ANO</w:t>
            </w:r>
          </w:p>
        </w:tc>
      </w:tr>
      <w:tr w:rsidR="006D73CD" w:rsidRPr="004872A1" w14:paraId="5185E832" w14:textId="77777777" w:rsidTr="006D73CD">
        <w:trPr>
          <w:jc w:val="center"/>
        </w:trPr>
        <w:tc>
          <w:tcPr>
            <w:tcW w:w="3780" w:type="dxa"/>
          </w:tcPr>
          <w:p w14:paraId="6276254F"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KXRM-TV, Colorado Springs, CO</w:t>
            </w:r>
          </w:p>
        </w:tc>
        <w:tc>
          <w:tcPr>
            <w:tcW w:w="1078" w:type="dxa"/>
          </w:tcPr>
          <w:p w14:paraId="6982411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35991</w:t>
            </w:r>
          </w:p>
        </w:tc>
        <w:tc>
          <w:tcPr>
            <w:tcW w:w="2728" w:type="dxa"/>
          </w:tcPr>
          <w:p w14:paraId="4507A65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BALCDT-20140827ANV</w:t>
            </w:r>
          </w:p>
        </w:tc>
      </w:tr>
      <w:tr w:rsidR="006D73CD" w:rsidRPr="004872A1" w14:paraId="029A6FD4" w14:textId="77777777" w:rsidTr="006D73CD">
        <w:trPr>
          <w:jc w:val="center"/>
        </w:trPr>
        <w:tc>
          <w:tcPr>
            <w:tcW w:w="3780" w:type="dxa"/>
          </w:tcPr>
          <w:p w14:paraId="192998AA"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WTTA(TV), St. Petersburg, FL</w:t>
            </w:r>
          </w:p>
        </w:tc>
        <w:tc>
          <w:tcPr>
            <w:tcW w:w="1078" w:type="dxa"/>
          </w:tcPr>
          <w:p w14:paraId="6BD264B5"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4108</w:t>
            </w:r>
          </w:p>
        </w:tc>
        <w:tc>
          <w:tcPr>
            <w:tcW w:w="2728" w:type="dxa"/>
          </w:tcPr>
          <w:p w14:paraId="016E6161"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BALCDT-20140827ANY</w:t>
            </w:r>
          </w:p>
        </w:tc>
      </w:tr>
      <w:tr w:rsidR="006D73CD" w:rsidRPr="004872A1" w14:paraId="52A2B752" w14:textId="77777777" w:rsidTr="006D73CD">
        <w:trPr>
          <w:jc w:val="center"/>
        </w:trPr>
        <w:tc>
          <w:tcPr>
            <w:tcW w:w="3780" w:type="dxa"/>
          </w:tcPr>
          <w:p w14:paraId="79C0C439"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WTGS(TV), Hardeeville, SC</w:t>
            </w:r>
          </w:p>
        </w:tc>
        <w:tc>
          <w:tcPr>
            <w:tcW w:w="1078" w:type="dxa"/>
          </w:tcPr>
          <w:p w14:paraId="7334AA7C"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27245</w:t>
            </w:r>
          </w:p>
        </w:tc>
        <w:tc>
          <w:tcPr>
            <w:tcW w:w="2728" w:type="dxa"/>
          </w:tcPr>
          <w:p w14:paraId="467D5E98" w14:textId="77777777" w:rsidR="006D73CD" w:rsidRPr="004872A1" w:rsidRDefault="006D73CD" w:rsidP="006D73CD">
            <w:pPr>
              <w:spacing w:before="120" w:after="120"/>
              <w:rPr>
                <w:rFonts w:ascii="Times New Roman" w:hAnsi="Times New Roman" w:cs="Times New Roman"/>
                <w:szCs w:val="22"/>
              </w:rPr>
            </w:pPr>
            <w:r w:rsidRPr="004872A1">
              <w:rPr>
                <w:rFonts w:ascii="Times New Roman" w:hAnsi="Times New Roman" w:cs="Times New Roman"/>
                <w:szCs w:val="22"/>
              </w:rPr>
              <w:t>BALCDT-20140827ADC</w:t>
            </w:r>
          </w:p>
        </w:tc>
      </w:tr>
    </w:tbl>
    <w:p w14:paraId="475FB748" w14:textId="77777777" w:rsidR="006D73CD" w:rsidRPr="006D73CD" w:rsidRDefault="006D73CD" w:rsidP="006D73CD">
      <w:pPr>
        <w:rPr>
          <w:szCs w:val="22"/>
        </w:rPr>
      </w:pPr>
    </w:p>
    <w:p w14:paraId="4C257C78" w14:textId="4FEA6A1D" w:rsidR="00D160E4" w:rsidRPr="00F86C45" w:rsidRDefault="00D160E4" w:rsidP="00362474">
      <w:pPr>
        <w:pStyle w:val="ParaNum"/>
        <w:numPr>
          <w:ilvl w:val="0"/>
          <w:numId w:val="0"/>
        </w:numPr>
        <w:spacing w:after="0"/>
        <w:rPr>
          <w:szCs w:val="22"/>
        </w:rPr>
      </w:pPr>
    </w:p>
    <w:sectPr w:rsidR="00D160E4" w:rsidRPr="00F86C45">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1A38" w14:textId="77777777" w:rsidR="00EA56A2" w:rsidRDefault="00EA56A2">
      <w:r>
        <w:separator/>
      </w:r>
    </w:p>
  </w:endnote>
  <w:endnote w:type="continuationSeparator" w:id="0">
    <w:p w14:paraId="746FC9A4" w14:textId="77777777" w:rsidR="00EA56A2" w:rsidRDefault="00EA56A2">
      <w:r>
        <w:continuationSeparator/>
      </w:r>
    </w:p>
  </w:endnote>
  <w:endnote w:type="continuationNotice" w:id="1">
    <w:p w14:paraId="7268F7B1" w14:textId="77777777" w:rsidR="00EA56A2" w:rsidRDefault="00EA5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97F8" w14:textId="77777777" w:rsidR="00EF0532" w:rsidRDefault="00EF0532" w:rsidP="00FD0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4C42F" w14:textId="77777777" w:rsidR="00EF0532" w:rsidRDefault="00EF0532" w:rsidP="00FD01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5E8F" w14:textId="77777777" w:rsidR="00EF0532" w:rsidRDefault="00EF0532" w:rsidP="006B7711">
    <w:pPr>
      <w:pStyle w:val="Footer"/>
      <w:framePr w:w="271" w:wrap="around" w:vAnchor="text" w:hAnchor="margin" w:xAlign="center" w:y="-3"/>
      <w:rPr>
        <w:rStyle w:val="PageNumber"/>
      </w:rPr>
    </w:pPr>
    <w:r>
      <w:rPr>
        <w:rStyle w:val="PageNumber"/>
      </w:rPr>
      <w:fldChar w:fldCharType="begin"/>
    </w:r>
    <w:r>
      <w:rPr>
        <w:rStyle w:val="PageNumber"/>
      </w:rPr>
      <w:instrText xml:space="preserve">PAGE  </w:instrText>
    </w:r>
    <w:r>
      <w:rPr>
        <w:rStyle w:val="PageNumber"/>
      </w:rPr>
      <w:fldChar w:fldCharType="separate"/>
    </w:r>
    <w:r w:rsidR="00E930D6">
      <w:rPr>
        <w:rStyle w:val="PageNumber"/>
        <w:noProof/>
      </w:rPr>
      <w:t>2</w:t>
    </w:r>
    <w:r>
      <w:rPr>
        <w:rStyle w:val="PageNumber"/>
      </w:rPr>
      <w:fldChar w:fldCharType="end"/>
    </w:r>
  </w:p>
  <w:p w14:paraId="20F175E2" w14:textId="77777777" w:rsidR="00EF0532" w:rsidRPr="00FF1C9A" w:rsidRDefault="00EF0532" w:rsidP="006B771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160F" w14:textId="5C50AEE2" w:rsidR="00EF0532" w:rsidRDefault="00EF0532">
    <w:pPr>
      <w:pStyle w:val="Footer"/>
      <w:jc w:val="center"/>
    </w:pPr>
  </w:p>
  <w:p w14:paraId="1DEF2AFC" w14:textId="77777777" w:rsidR="00EF0532" w:rsidRPr="0072415C" w:rsidRDefault="00EF0532" w:rsidP="006B771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487757"/>
      <w:docPartObj>
        <w:docPartGallery w:val="Page Numbers (Bottom of Page)"/>
        <w:docPartUnique/>
      </w:docPartObj>
    </w:sdtPr>
    <w:sdtEndPr>
      <w:rPr>
        <w:noProof/>
      </w:rPr>
    </w:sdtEndPr>
    <w:sdtContent>
      <w:p w14:paraId="2C249E83" w14:textId="77777777" w:rsidR="00EF0532" w:rsidRDefault="00EF0532">
        <w:pPr>
          <w:pStyle w:val="Footer"/>
          <w:jc w:val="center"/>
        </w:pPr>
        <w:r>
          <w:fldChar w:fldCharType="begin"/>
        </w:r>
        <w:r>
          <w:instrText xml:space="preserve"> PAGE   \* MERGEFORMAT </w:instrText>
        </w:r>
        <w:r>
          <w:fldChar w:fldCharType="separate"/>
        </w:r>
        <w:r w:rsidR="00610F3D">
          <w:rPr>
            <w:noProof/>
          </w:rPr>
          <w:t>iii</w:t>
        </w:r>
        <w:r>
          <w:rPr>
            <w:noProof/>
          </w:rPr>
          <w:fldChar w:fldCharType="end"/>
        </w:r>
      </w:p>
    </w:sdtContent>
  </w:sdt>
  <w:p w14:paraId="13E1E4A7" w14:textId="77777777" w:rsidR="00EF0532" w:rsidRDefault="00EF05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65235"/>
      <w:docPartObj>
        <w:docPartGallery w:val="Page Numbers (Bottom of Page)"/>
        <w:docPartUnique/>
      </w:docPartObj>
    </w:sdtPr>
    <w:sdtEndPr>
      <w:rPr>
        <w:noProof/>
      </w:rPr>
    </w:sdtEndPr>
    <w:sdtContent>
      <w:p w14:paraId="59E72D03" w14:textId="407B10F1" w:rsidR="00EF0532" w:rsidRDefault="00EF0532">
        <w:pPr>
          <w:pStyle w:val="Footer"/>
          <w:jc w:val="center"/>
        </w:pPr>
        <w:r>
          <w:fldChar w:fldCharType="begin"/>
        </w:r>
        <w:r>
          <w:instrText xml:space="preserve"> PAGE   \* MERGEFORMAT </w:instrText>
        </w:r>
        <w:r>
          <w:fldChar w:fldCharType="separate"/>
        </w:r>
        <w:r w:rsidR="00610F3D">
          <w:rPr>
            <w:noProof/>
          </w:rPr>
          <w:t>ii</w:t>
        </w:r>
        <w:r>
          <w:rPr>
            <w:noProof/>
          </w:rPr>
          <w:fldChar w:fldCharType="end"/>
        </w:r>
      </w:p>
    </w:sdtContent>
  </w:sdt>
  <w:p w14:paraId="0F34C85F" w14:textId="77777777" w:rsidR="00EF0532" w:rsidRDefault="00EF053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EF02" w14:textId="0B1CB9E0" w:rsidR="00EF0532" w:rsidRDefault="00EF0532">
    <w:pPr>
      <w:pStyle w:val="Footer"/>
      <w:jc w:val="center"/>
    </w:pPr>
  </w:p>
  <w:p w14:paraId="72AEDB97" w14:textId="77777777" w:rsidR="00EF0532" w:rsidRPr="0072415C" w:rsidRDefault="00EF0532" w:rsidP="006B771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C271A" w14:textId="723E8929" w:rsidR="00EF0532" w:rsidRDefault="00EF0532">
    <w:pPr>
      <w:pStyle w:val="Footer"/>
      <w:jc w:val="center"/>
    </w:pPr>
  </w:p>
  <w:p w14:paraId="40B4B5D6" w14:textId="77777777" w:rsidR="00EF0532" w:rsidRDefault="00EF0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BB195" w14:textId="77777777" w:rsidR="00EA56A2" w:rsidRDefault="00EA56A2">
      <w:pPr>
        <w:rPr>
          <w:sz w:val="20"/>
        </w:rPr>
      </w:pPr>
      <w:r>
        <w:rPr>
          <w:sz w:val="20"/>
        </w:rPr>
        <w:separator/>
      </w:r>
    </w:p>
  </w:footnote>
  <w:footnote w:type="continuationSeparator" w:id="0">
    <w:p w14:paraId="51578093" w14:textId="77777777" w:rsidR="00EA56A2" w:rsidRDefault="00EA56A2">
      <w:pPr>
        <w:rPr>
          <w:sz w:val="20"/>
        </w:rPr>
      </w:pPr>
      <w:r>
        <w:rPr>
          <w:sz w:val="20"/>
        </w:rPr>
        <w:separator/>
      </w:r>
    </w:p>
    <w:p w14:paraId="24EC6271" w14:textId="77777777" w:rsidR="00EA56A2" w:rsidRDefault="00EA56A2">
      <w:pPr>
        <w:rPr>
          <w:sz w:val="20"/>
        </w:rPr>
      </w:pPr>
      <w:r>
        <w:rPr>
          <w:sz w:val="20"/>
        </w:rPr>
        <w:t>(...continued from previous page)</w:t>
      </w:r>
    </w:p>
  </w:footnote>
  <w:footnote w:type="continuationNotice" w:id="1">
    <w:p w14:paraId="7EE04ACD" w14:textId="77777777" w:rsidR="00EA56A2" w:rsidRDefault="00EA56A2">
      <w:pPr>
        <w:jc w:val="right"/>
        <w:rPr>
          <w:sz w:val="20"/>
        </w:rPr>
      </w:pPr>
      <w:r>
        <w:rPr>
          <w:sz w:val="20"/>
        </w:rPr>
        <w:t>(continued....)</w:t>
      </w:r>
    </w:p>
  </w:footnote>
  <w:footnote w:id="2">
    <w:p w14:paraId="5524E9E6" w14:textId="3FE8D20E" w:rsidR="00EF0532" w:rsidRPr="008C7C9E" w:rsidRDefault="00EF0532" w:rsidP="008C7C9E">
      <w:pPr>
        <w:pStyle w:val="FootnoteText"/>
      </w:pPr>
      <w:r w:rsidRPr="008C7C9E">
        <w:rPr>
          <w:rStyle w:val="FootnoteReference"/>
        </w:rPr>
        <w:footnoteRef/>
      </w:r>
      <w:r w:rsidRPr="008C7C9E">
        <w:t xml:space="preserve"> </w:t>
      </w:r>
      <w:r w:rsidRPr="008C7C9E">
        <w:rPr>
          <w:i/>
        </w:rPr>
        <w:t>See infra</w:t>
      </w:r>
      <w:r w:rsidRPr="008C7C9E">
        <w:t xml:space="preserve"> Appendix A.  Applications seeking consent to the pro forma transfer of control of the licensee subsidiaries of Media General, Inc. to Post-Merger Media General have also been filed with the Commission.  </w:t>
      </w:r>
      <w:r w:rsidRPr="008C7C9E">
        <w:rPr>
          <w:i/>
        </w:rPr>
        <w:t>See infra</w:t>
      </w:r>
      <w:r w:rsidRPr="008C7C9E">
        <w:t xml:space="preserve"> Appendix B.</w:t>
      </w:r>
    </w:p>
  </w:footnote>
  <w:footnote w:id="3">
    <w:p w14:paraId="042E0263" w14:textId="77777777" w:rsidR="00EF0532" w:rsidRPr="008C7C9E" w:rsidRDefault="00EF0532" w:rsidP="008C7C9E">
      <w:pPr>
        <w:pStyle w:val="FootnoteText"/>
      </w:pPr>
      <w:r w:rsidRPr="008C7C9E">
        <w:rPr>
          <w:rStyle w:val="FootnoteReference"/>
        </w:rPr>
        <w:footnoteRef/>
      </w:r>
      <w:r w:rsidRPr="008C7C9E">
        <w:t xml:space="preserve"> 47 C.F.R. § 73.3555(b).</w:t>
      </w:r>
    </w:p>
  </w:footnote>
  <w:footnote w:id="4">
    <w:p w14:paraId="741E3DAB" w14:textId="65BAD557" w:rsidR="00EF0532" w:rsidRPr="008C7C9E" w:rsidRDefault="00EF0532" w:rsidP="008C7C9E">
      <w:pPr>
        <w:pStyle w:val="FootnoteText"/>
      </w:pPr>
      <w:r w:rsidRPr="008C7C9E">
        <w:rPr>
          <w:rStyle w:val="FootnoteReference"/>
        </w:rPr>
        <w:footnoteRef/>
      </w:r>
      <w:r w:rsidRPr="008C7C9E">
        <w:t xml:space="preserve"> </w:t>
      </w:r>
      <w:r w:rsidRPr="008C7C9E">
        <w:rPr>
          <w:i/>
        </w:rPr>
        <w:t>See infra</w:t>
      </w:r>
      <w:r w:rsidRPr="008C7C9E">
        <w:t xml:space="preserve"> Appendix C.</w:t>
      </w:r>
    </w:p>
  </w:footnote>
  <w:footnote w:id="5">
    <w:p w14:paraId="4730C1AE" w14:textId="77777777" w:rsidR="00EF0532" w:rsidRPr="008C7C9E" w:rsidRDefault="00EF0532" w:rsidP="008C7C9E">
      <w:pPr>
        <w:pStyle w:val="FootnoteText"/>
        <w:tabs>
          <w:tab w:val="left" w:pos="2940"/>
        </w:tabs>
      </w:pPr>
      <w:r w:rsidRPr="008C7C9E">
        <w:rPr>
          <w:rStyle w:val="FootnoteReference"/>
        </w:rPr>
        <w:footnoteRef/>
      </w:r>
      <w:r w:rsidRPr="008C7C9E">
        <w:t xml:space="preserve"> 47 C.F.R. §73.3555(b), note 5. </w:t>
      </w:r>
    </w:p>
  </w:footnote>
  <w:footnote w:id="6">
    <w:p w14:paraId="34831417" w14:textId="77777777" w:rsidR="00EF0532" w:rsidRPr="008C7C9E" w:rsidRDefault="00EF0532" w:rsidP="008C7C9E">
      <w:pPr>
        <w:pStyle w:val="FootnoteText"/>
      </w:pPr>
      <w:r w:rsidRPr="008C7C9E">
        <w:rPr>
          <w:rStyle w:val="FootnoteReference"/>
        </w:rPr>
        <w:footnoteRef/>
      </w:r>
      <w:r w:rsidRPr="008C7C9E">
        <w:t xml:space="preserve"> 47 C.F.R. §73.3555(b), note 7.</w:t>
      </w:r>
    </w:p>
  </w:footnote>
  <w:footnote w:id="7">
    <w:p w14:paraId="23A69511" w14:textId="320620AB" w:rsidR="00EF0532" w:rsidRPr="008C7C9E" w:rsidRDefault="00EF0532" w:rsidP="008C7C9E">
      <w:pPr>
        <w:pStyle w:val="Default"/>
        <w:spacing w:after="120"/>
        <w:rPr>
          <w:rFonts w:ascii="Times New Roman" w:hAnsi="Times New Roman" w:cs="Times New Roman"/>
          <w:sz w:val="20"/>
          <w:szCs w:val="20"/>
        </w:rPr>
      </w:pPr>
      <w:r w:rsidRPr="008C7C9E">
        <w:rPr>
          <w:rStyle w:val="FootnoteReference"/>
          <w:rFonts w:cs="Times New Roman"/>
          <w:szCs w:val="20"/>
        </w:rPr>
        <w:footnoteRef/>
      </w:r>
      <w:r w:rsidRPr="008C7C9E">
        <w:rPr>
          <w:rFonts w:ascii="Times New Roman" w:hAnsi="Times New Roman" w:cs="Times New Roman"/>
          <w:sz w:val="20"/>
          <w:szCs w:val="20"/>
        </w:rPr>
        <w:t xml:space="preserve"> The number of full power stations consists of all stations that will remain with Post-Merger Media General following the proposed divestitures.  It also includes WHTM-TV, Harrisburg, PA, which is currently licensed to WHTM Acquisition, LLC, an Exchange Accommodation Titleholder (“EAT”).  WHTM-TV is currently operated by Media General, but its license and assets are held by an EAT in order to facilitate a reverse like-kind exchange and receive favorable tax treatment under Internal Revenue Service Code.  In order for the tax benefit to accrue, the station’s assets or all of the interests of the EAT must be assigned within 180 days of the acquisition by the EAT. The Commission has previously approved the EAT structure and procedures.  </w:t>
      </w:r>
      <w:r w:rsidRPr="008C7C9E">
        <w:rPr>
          <w:rFonts w:ascii="Times New Roman" w:hAnsi="Times New Roman" w:cs="Times New Roman"/>
          <w:i/>
          <w:sz w:val="20"/>
          <w:szCs w:val="20"/>
        </w:rPr>
        <w:t>See e.g.,</w:t>
      </w:r>
      <w:r w:rsidRPr="008C7C9E">
        <w:rPr>
          <w:rFonts w:ascii="Times New Roman" w:hAnsi="Times New Roman" w:cs="Times New Roman"/>
          <w:sz w:val="20"/>
          <w:szCs w:val="20"/>
        </w:rPr>
        <w:t xml:space="preserve"> </w:t>
      </w:r>
      <w:r w:rsidRPr="008C7C9E">
        <w:rPr>
          <w:rFonts w:ascii="Times New Roman" w:hAnsi="Times New Roman" w:cs="Times New Roman"/>
          <w:i/>
          <w:iCs/>
          <w:sz w:val="20"/>
          <w:szCs w:val="20"/>
        </w:rPr>
        <w:t>Cox Radio, Inc. and Cox Television Jacksonville, LLC</w:t>
      </w:r>
      <w:r w:rsidRPr="008C7C9E">
        <w:rPr>
          <w:rFonts w:ascii="Times New Roman" w:hAnsi="Times New Roman" w:cs="Times New Roman"/>
          <w:sz w:val="20"/>
          <w:szCs w:val="20"/>
        </w:rPr>
        <w:t xml:space="preserve">, Application for Assignment of License of WAWS(TV), FCC File No. BALCDT-20120907AEB; </w:t>
      </w:r>
      <w:r w:rsidRPr="008C7C9E">
        <w:rPr>
          <w:rFonts w:ascii="Times New Roman" w:hAnsi="Times New Roman" w:cs="Times New Roman"/>
          <w:i/>
          <w:iCs/>
          <w:sz w:val="20"/>
          <w:szCs w:val="20"/>
        </w:rPr>
        <w:t>KTVU, Inc. and Cox Television Tulsa, LLC</w:t>
      </w:r>
      <w:r w:rsidRPr="008C7C9E">
        <w:rPr>
          <w:rFonts w:ascii="Times New Roman" w:hAnsi="Times New Roman" w:cs="Times New Roman"/>
          <w:sz w:val="20"/>
          <w:szCs w:val="20"/>
        </w:rPr>
        <w:t xml:space="preserve">, Application for Assignment of Licenses of KMYT-TV and KOKI-TV, FCC File Nos. BALCDT-20120907ADZ and BALCDT-20120907AEA; </w:t>
      </w:r>
      <w:r w:rsidRPr="008C7C9E">
        <w:rPr>
          <w:rFonts w:ascii="Times New Roman" w:hAnsi="Times New Roman" w:cs="Times New Roman"/>
          <w:i/>
          <w:iCs/>
          <w:sz w:val="20"/>
          <w:szCs w:val="20"/>
        </w:rPr>
        <w:t xml:space="preserve">see also Cox Radio, Inc. and SummitMedia, LLC, </w:t>
      </w:r>
      <w:r w:rsidRPr="008C7C9E">
        <w:rPr>
          <w:rFonts w:ascii="Times New Roman" w:hAnsi="Times New Roman" w:cs="Times New Roman"/>
          <w:sz w:val="20"/>
          <w:szCs w:val="20"/>
        </w:rPr>
        <w:t xml:space="preserve">28 FCC Rcd 5674 (MB 2013), </w:t>
      </w:r>
      <w:r w:rsidRPr="008C7C9E">
        <w:rPr>
          <w:rFonts w:ascii="Times New Roman" w:hAnsi="Times New Roman" w:cs="Times New Roman"/>
          <w:i/>
          <w:iCs/>
          <w:sz w:val="20"/>
          <w:szCs w:val="20"/>
        </w:rPr>
        <w:t xml:space="preserve">review denied, </w:t>
      </w:r>
      <w:r w:rsidRPr="008C7C9E">
        <w:rPr>
          <w:rFonts w:ascii="Times New Roman" w:hAnsi="Times New Roman" w:cs="Times New Roman"/>
          <w:sz w:val="20"/>
          <w:szCs w:val="20"/>
        </w:rPr>
        <w:t xml:space="preserve">29 FCC Rcd 2546 (2014) (rejecting Petition to Deny alleging that like-kind exchange transactions are not in the public interest).   WHTM-TV was assigned from Sinclair to the EAT, pursuant to a long form assignment application.  </w:t>
      </w:r>
      <w:r w:rsidRPr="008C7C9E">
        <w:rPr>
          <w:rFonts w:ascii="Times New Roman" w:hAnsi="Times New Roman" w:cs="Times New Roman"/>
          <w:i/>
          <w:sz w:val="20"/>
          <w:szCs w:val="20"/>
        </w:rPr>
        <w:t>See</w:t>
      </w:r>
      <w:r w:rsidRPr="008C7C9E">
        <w:rPr>
          <w:rFonts w:ascii="Times New Roman" w:hAnsi="Times New Roman" w:cs="Times New Roman"/>
          <w:sz w:val="20"/>
          <w:szCs w:val="20"/>
        </w:rPr>
        <w:t xml:space="preserve"> File No. BALCDT-20140625AOV (consummated Sept. 2, 2014).  Subsequently, a short form transfer of control application was filed to transfer control of WHTM-TV from the EAT to Post-Merger Media General.  </w:t>
      </w:r>
      <w:r w:rsidRPr="008C7C9E">
        <w:rPr>
          <w:rFonts w:ascii="Times New Roman" w:hAnsi="Times New Roman" w:cs="Times New Roman"/>
          <w:i/>
          <w:sz w:val="20"/>
          <w:szCs w:val="20"/>
        </w:rPr>
        <w:t>See Media General Communications, Inc.</w:t>
      </w:r>
      <w:r w:rsidRPr="008C7C9E">
        <w:rPr>
          <w:rFonts w:ascii="Times New Roman" w:hAnsi="Times New Roman" w:cs="Times New Roman"/>
          <w:sz w:val="20"/>
          <w:szCs w:val="20"/>
        </w:rPr>
        <w:t>, 21 FCC Rcd 7669 (2006) (holding that assignment of station licenses from licensee to licensee-controlled EAT entity qualifies for “short form” treatment). This application will be acted on separately under staff action.</w:t>
      </w:r>
    </w:p>
  </w:footnote>
  <w:footnote w:id="8">
    <w:p w14:paraId="48B1776E" w14:textId="766B3193" w:rsidR="00EF0532" w:rsidRPr="008C7C9E" w:rsidRDefault="00EF0532" w:rsidP="008C7C9E">
      <w:pPr>
        <w:pStyle w:val="FootnoteText"/>
      </w:pPr>
      <w:r w:rsidRPr="008C7C9E">
        <w:rPr>
          <w:rStyle w:val="FootnoteReference"/>
        </w:rPr>
        <w:footnoteRef/>
      </w:r>
      <w:r w:rsidRPr="008C7C9E">
        <w:t xml:space="preserve"> </w:t>
      </w:r>
      <w:r w:rsidRPr="008C7C9E">
        <w:rPr>
          <w:i/>
        </w:rPr>
        <w:t>See</w:t>
      </w:r>
      <w:r w:rsidRPr="008C7C9E">
        <w:t xml:space="preserve"> Media General-LIN Media Merger Applications, Comprehensive Exhibit at 4-5 (“Comprehensive Exhibit”).  </w:t>
      </w:r>
    </w:p>
  </w:footnote>
  <w:footnote w:id="9">
    <w:p w14:paraId="5B3F9106"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at 3.</w:t>
      </w:r>
    </w:p>
  </w:footnote>
  <w:footnote w:id="10">
    <w:p w14:paraId="30AB79C2" w14:textId="77777777" w:rsidR="00EF0532" w:rsidRPr="008C7C9E" w:rsidRDefault="00EF0532" w:rsidP="008C7C9E">
      <w:pPr>
        <w:pStyle w:val="Default"/>
        <w:spacing w:after="120"/>
        <w:rPr>
          <w:rFonts w:ascii="Times New Roman" w:hAnsi="Times New Roman" w:cs="Times New Roman"/>
          <w:sz w:val="20"/>
          <w:szCs w:val="20"/>
        </w:rPr>
      </w:pPr>
      <w:r w:rsidRPr="008C7C9E">
        <w:rPr>
          <w:rStyle w:val="FootnoteReference"/>
          <w:rFonts w:cs="Times New Roman"/>
          <w:szCs w:val="20"/>
        </w:rPr>
        <w:footnoteRef/>
      </w:r>
      <w:r w:rsidRPr="008C7C9E">
        <w:rPr>
          <w:rFonts w:ascii="Times New Roman" w:hAnsi="Times New Roman" w:cs="Times New Roman"/>
          <w:sz w:val="20"/>
          <w:szCs w:val="20"/>
        </w:rPr>
        <w:t xml:space="preserve"> LIN Media shareholders will receive per share, at their election, $25.97 in cash or 1.4714 shares of Post-Merger Media General, subject to proration.  The total cash amount available for LIN Media shareholders electing cash is $763 million.  Press Release, Media General and LIN Media, Media General and LIN Media Announce Amendment to Merger Agreement (Aug. 20, 2014) </w:t>
      </w:r>
      <w:r w:rsidRPr="008C7C9E">
        <w:rPr>
          <w:rFonts w:ascii="Times New Roman" w:hAnsi="Times New Roman" w:cs="Times New Roman"/>
          <w:i/>
          <w:sz w:val="20"/>
          <w:szCs w:val="20"/>
        </w:rPr>
        <w:t>available at</w:t>
      </w:r>
      <w:r w:rsidRPr="008C7C9E">
        <w:rPr>
          <w:rFonts w:ascii="Times New Roman" w:hAnsi="Times New Roman" w:cs="Times New Roman"/>
          <w:sz w:val="20"/>
          <w:szCs w:val="20"/>
        </w:rPr>
        <w:t xml:space="preserve"> http://mediageneral.com/press/2014/aug20_14_merger.html.</w:t>
      </w:r>
    </w:p>
  </w:footnote>
  <w:footnote w:id="11">
    <w:p w14:paraId="3D6AD481" w14:textId="322D353D" w:rsidR="00EF0532" w:rsidRPr="008C7C9E" w:rsidRDefault="00EF0532" w:rsidP="008C7C9E">
      <w:pPr>
        <w:pStyle w:val="FootnoteText"/>
      </w:pPr>
      <w:r w:rsidRPr="008C7C9E">
        <w:rPr>
          <w:rStyle w:val="FootnoteReference"/>
        </w:rPr>
        <w:footnoteRef/>
      </w:r>
      <w:r w:rsidRPr="008C7C9E">
        <w:t xml:space="preserve"> The stations in the legacy rule-complaint duopolies include: (i) WIVB-TV and WNLO(TV), both in Buffalo, New York; (ii) WOOD-TV, Grand Rapids, Michigan and WOTV(TV), Battle Creek, Michigan; (iii) WISH-TV, Indianapolis, Indiana and WNDY-TV, Marion, Indiana; (iv) WAVY-TV, Portsmouth, Virginia and WVBT(TV), Virginia Beach, Virginia; (v) WALA(TV), Mobile, Alabama and WFNA(TV), Gulf Shores, Alabama; and (vi) KASA-TV, Santa Fe, New Mexico and KRQE(TV), Albuquerque, New Mexico, as well as satellite stations KBIM-TV, Roswell, New Mexico and KREZ-TV, Durango, Colorado.  It should be noted that KREZ-TV and KBIM-TV operate as satellite stations of KRQE(TV), but because of the lack of signal overlap both KBIM(TV) and KREZ-TV can be owned in combination with KRQE(TV) and KASA-TV under the local TV ownership rule and do not need a satellite exemption.  Comprehensive Exhibit at 21-23.</w:t>
      </w:r>
    </w:p>
  </w:footnote>
  <w:footnote w:id="12">
    <w:p w14:paraId="46672836" w14:textId="3FC9D5D2" w:rsidR="00EF0532" w:rsidRPr="008C7C9E" w:rsidRDefault="00EF0532" w:rsidP="008C7C9E">
      <w:pPr>
        <w:pStyle w:val="FootnoteText"/>
      </w:pPr>
      <w:r w:rsidRPr="008C7C9E">
        <w:rPr>
          <w:rStyle w:val="FootnoteReference"/>
        </w:rPr>
        <w:footnoteRef/>
      </w:r>
      <w:r w:rsidRPr="008C7C9E">
        <w:t xml:space="preserve"> Comprehensive Exhibit at 20-22.  The stations within the new Media General-LIN Media overlap markets include:  (i) WVTM-TV (Media General) and WIAT(TV) (LIN Media), both Birmingham, Alabama; (ii) WBAY-TV, Green Bay, Wisconsin (Media General) and WLUK-TV, Green Bay Wisconsin/WCWF(TV), Suring, Wisconsin (LIN Media); (iii) WKRG-TV, Mobile, Alabama (Media General) and WFNA(TV), Gulf Shores, Alabama/WALA-TV, Mobile, Alabama (LIN Media); (iv) WJAR-TV (Media General) and WPRI-TV, both Providence, Rhode Island; (v) WSAV-TV and WJCL(TV), both Savannah, Georgia.</w:t>
      </w:r>
    </w:p>
  </w:footnote>
  <w:footnote w:id="13">
    <w:p w14:paraId="7E7E872A" w14:textId="77777777" w:rsidR="00EF0532" w:rsidRPr="008C7C9E" w:rsidRDefault="00EF0532" w:rsidP="008C7C9E">
      <w:pPr>
        <w:pStyle w:val="FootnoteText"/>
      </w:pPr>
      <w:r w:rsidRPr="008C7C9E">
        <w:rPr>
          <w:rStyle w:val="FootnoteReference"/>
        </w:rPr>
        <w:footnoteRef/>
      </w:r>
      <w:r w:rsidRPr="008C7C9E">
        <w:t xml:space="preserve"> 47 C.F.R. § 73.3555(b).</w:t>
      </w:r>
    </w:p>
  </w:footnote>
  <w:footnote w:id="14">
    <w:p w14:paraId="57145782" w14:textId="77777777" w:rsidR="00EF0532" w:rsidRPr="008C7C9E" w:rsidRDefault="00EF0532" w:rsidP="008C7C9E">
      <w:pPr>
        <w:pStyle w:val="FootnoteText"/>
      </w:pPr>
      <w:r w:rsidRPr="008C7C9E">
        <w:rPr>
          <w:rStyle w:val="FootnoteReference"/>
        </w:rPr>
        <w:footnoteRef/>
      </w:r>
      <w:r w:rsidRPr="008C7C9E">
        <w:t xml:space="preserve"> File Nos. BTCCDT-20140509AJO and BTCCDT-20140509AJN.</w:t>
      </w:r>
    </w:p>
  </w:footnote>
  <w:footnote w:id="15">
    <w:p w14:paraId="426DFCCE" w14:textId="77777777" w:rsidR="00EF0532" w:rsidRPr="008C7C9E" w:rsidRDefault="00EF0532" w:rsidP="008C7C9E">
      <w:pPr>
        <w:pStyle w:val="FootnoteText"/>
      </w:pPr>
      <w:r w:rsidRPr="008C7C9E">
        <w:rPr>
          <w:rStyle w:val="FootnoteReference"/>
        </w:rPr>
        <w:footnoteRef/>
      </w:r>
      <w:r w:rsidRPr="008C7C9E">
        <w:t xml:space="preserve"> File Nos. BTCCDT-20140509AIW, BTCCDT-20140509AIO and BTCCDT-20140509AIX.</w:t>
      </w:r>
    </w:p>
  </w:footnote>
  <w:footnote w:id="16">
    <w:p w14:paraId="108837DE" w14:textId="77777777" w:rsidR="00EF0532" w:rsidRPr="008C7C9E" w:rsidRDefault="00EF0532" w:rsidP="008C7C9E">
      <w:pPr>
        <w:pStyle w:val="FootnoteText"/>
      </w:pPr>
      <w:r w:rsidRPr="008C7C9E">
        <w:rPr>
          <w:rStyle w:val="FootnoteReference"/>
        </w:rPr>
        <w:footnoteRef/>
      </w:r>
      <w:r w:rsidRPr="008C7C9E">
        <w:t xml:space="preserve"> File Nos. BTCCDT-20140509AJB and BTCCDT-20140509AJG.</w:t>
      </w:r>
    </w:p>
  </w:footnote>
  <w:footnote w:id="17">
    <w:p w14:paraId="54D3E8A2" w14:textId="77777777" w:rsidR="00EF0532" w:rsidRPr="008C7C9E" w:rsidRDefault="00EF0532" w:rsidP="008C7C9E">
      <w:pPr>
        <w:pStyle w:val="FootnoteText"/>
      </w:pPr>
      <w:r w:rsidRPr="008C7C9E">
        <w:rPr>
          <w:rStyle w:val="FootnoteReference"/>
        </w:rPr>
        <w:footnoteRef/>
      </w:r>
      <w:r w:rsidRPr="008C7C9E">
        <w:t xml:space="preserve"> File No. BTCCDT-20140509ADH.</w:t>
      </w:r>
    </w:p>
  </w:footnote>
  <w:footnote w:id="18">
    <w:p w14:paraId="60907667" w14:textId="77777777" w:rsidR="00EF0532" w:rsidRPr="008C7C9E" w:rsidRDefault="00EF0532" w:rsidP="008C7C9E">
      <w:pPr>
        <w:autoSpaceDE w:val="0"/>
        <w:autoSpaceDN w:val="0"/>
        <w:adjustRightInd w:val="0"/>
        <w:spacing w:after="120"/>
        <w:rPr>
          <w:i/>
          <w:iCs/>
          <w:sz w:val="20"/>
        </w:rPr>
      </w:pPr>
      <w:r w:rsidRPr="008C7C9E">
        <w:rPr>
          <w:rStyle w:val="FootnoteReference"/>
        </w:rPr>
        <w:footnoteRef/>
      </w:r>
      <w:r w:rsidRPr="008C7C9E">
        <w:rPr>
          <w:sz w:val="20"/>
        </w:rPr>
        <w:t xml:space="preserve"> </w:t>
      </w:r>
      <w:r w:rsidRPr="008C7C9E">
        <w:rPr>
          <w:i/>
          <w:iCs/>
          <w:sz w:val="20"/>
        </w:rPr>
        <w:t>Application of K-W TV, Inc. and WTNH Broadcasting, Inc. for Consent to the Assignment of WCTX(TV)</w:t>
      </w:r>
      <w:r w:rsidRPr="008C7C9E">
        <w:rPr>
          <w:sz w:val="20"/>
        </w:rPr>
        <w:t xml:space="preserve">, </w:t>
      </w:r>
      <w:r w:rsidRPr="008C7C9E">
        <w:rPr>
          <w:i/>
          <w:iCs/>
          <w:sz w:val="20"/>
        </w:rPr>
        <w:t>New Haven, Connecticut</w:t>
      </w:r>
      <w:r w:rsidRPr="008C7C9E">
        <w:rPr>
          <w:sz w:val="20"/>
        </w:rPr>
        <w:t>, 77 FCC Rcd 775 (MMB 2000) (granting an unbuilt station waiver request).</w:t>
      </w:r>
    </w:p>
  </w:footnote>
  <w:footnote w:id="19">
    <w:p w14:paraId="211B284F" w14:textId="3D1CA1E5" w:rsidR="00EF0532" w:rsidRPr="008C7C9E" w:rsidRDefault="00EF0532" w:rsidP="008C7C9E">
      <w:pPr>
        <w:pStyle w:val="FootnoteText"/>
      </w:pPr>
      <w:r w:rsidRPr="008C7C9E">
        <w:rPr>
          <w:rStyle w:val="FootnoteReference"/>
        </w:rPr>
        <w:footnoteRef/>
      </w:r>
      <w:r w:rsidRPr="008C7C9E">
        <w:t xml:space="preserve"> File No. BTCCDT-20140509ADI.</w:t>
      </w:r>
    </w:p>
  </w:footnote>
  <w:footnote w:id="20">
    <w:p w14:paraId="29E61ED7" w14:textId="3B51D8FE" w:rsidR="00EF0532" w:rsidRPr="008C7C9E" w:rsidRDefault="00EF0532" w:rsidP="008C7C9E">
      <w:pPr>
        <w:pStyle w:val="FootnoteText"/>
      </w:pPr>
      <w:r w:rsidRPr="008C7C9E">
        <w:rPr>
          <w:rStyle w:val="FootnoteReference"/>
        </w:rPr>
        <w:footnoteRef/>
      </w:r>
      <w:r w:rsidRPr="008C7C9E">
        <w:t xml:space="preserve"> </w:t>
      </w:r>
      <w:r w:rsidRPr="008C7C9E">
        <w:rPr>
          <w:i/>
        </w:rPr>
        <w:t>See In re WCWF(DT), Suring, WI, ID No. 73042, File No. BALCDT-20100917AAF</w:t>
      </w:r>
      <w:r w:rsidRPr="008C7C9E">
        <w:t>, Letter Opinion, 26 FCC Rcd 5189 (MB 2011) (granting a “failing” station waiver).</w:t>
      </w:r>
    </w:p>
  </w:footnote>
  <w:footnote w:id="21">
    <w:p w14:paraId="7C39E429" w14:textId="77777777" w:rsidR="00EF0532" w:rsidRPr="008C7C9E" w:rsidRDefault="00EF0532" w:rsidP="008C7C9E">
      <w:pPr>
        <w:pStyle w:val="FootnoteText"/>
      </w:pPr>
      <w:r w:rsidRPr="008C7C9E">
        <w:rPr>
          <w:rStyle w:val="FootnoteReference"/>
        </w:rPr>
        <w:footnoteRef/>
      </w:r>
      <w:r w:rsidRPr="008C7C9E">
        <w:t xml:space="preserve"> File No. BALCDT-20140827ANL.</w:t>
      </w:r>
    </w:p>
  </w:footnote>
  <w:footnote w:id="22">
    <w:p w14:paraId="53F2F2BA" w14:textId="076628C7" w:rsidR="00EF0532" w:rsidRPr="008C7C9E" w:rsidRDefault="00EF0532" w:rsidP="008C7C9E">
      <w:pPr>
        <w:autoSpaceDE w:val="0"/>
        <w:autoSpaceDN w:val="0"/>
        <w:adjustRightInd w:val="0"/>
        <w:spacing w:after="120"/>
        <w:rPr>
          <w:sz w:val="20"/>
        </w:rPr>
      </w:pPr>
      <w:r w:rsidRPr="008C7C9E">
        <w:rPr>
          <w:rStyle w:val="FootnoteReference"/>
        </w:rPr>
        <w:footnoteRef/>
      </w:r>
      <w:r w:rsidRPr="008C7C9E">
        <w:rPr>
          <w:sz w:val="20"/>
        </w:rPr>
        <w:t xml:space="preserve"> </w:t>
      </w:r>
      <w:r w:rsidRPr="008C7C9E">
        <w:rPr>
          <w:i/>
          <w:sz w:val="20"/>
        </w:rPr>
        <w:t>2014 Quadrennial Regulatory Review — Review of the Commission's Broadcast Ownership Rules and Other Rules Adopted Pursuant to Section 202 of the Telecommunications Act of 1996</w:t>
      </w:r>
      <w:r w:rsidRPr="008C7C9E">
        <w:rPr>
          <w:sz w:val="20"/>
        </w:rPr>
        <w:t>, Report and Order and Further Notice of Proposed Rulemaking, 29 FCC Rcd 4371 (2014) (“</w:t>
      </w:r>
      <w:r w:rsidRPr="008C7C9E">
        <w:rPr>
          <w:i/>
          <w:sz w:val="20"/>
        </w:rPr>
        <w:t>2014 Quadrennial Review Order</w:t>
      </w:r>
      <w:r w:rsidRPr="008C7C9E">
        <w:rPr>
          <w:sz w:val="20"/>
        </w:rPr>
        <w:t xml:space="preserve">”) (attributing JSAs involving the sale of more than 15 percent of another station’s local advertising time). </w:t>
      </w:r>
    </w:p>
  </w:footnote>
  <w:footnote w:id="23">
    <w:p w14:paraId="2A56B0E6" w14:textId="60E7F6BF" w:rsidR="00EF0532" w:rsidRPr="008C7C9E" w:rsidRDefault="00EF0532" w:rsidP="008C7C9E">
      <w:pPr>
        <w:pStyle w:val="FootnoteText"/>
      </w:pPr>
      <w:r w:rsidRPr="008C7C9E">
        <w:rPr>
          <w:rStyle w:val="FootnoteReference"/>
        </w:rPr>
        <w:footnoteRef/>
      </w:r>
      <w:r w:rsidRPr="008C7C9E">
        <w:t xml:space="preserve"> Copies of all these agreements have been filed with the Commission as part of the relevant transfer of control applications.  File No. BTCCDT-20140509AIJ (listing a JSA/SSA between WDTN-TV, Dayton, OH, the brokering station and WBDT(TV), Springfield, OH, the brokered station);  File No. BTCCDT-20150509AJK (listing a JSA/SSA between WKBN-TV, Youngstown, OH, the brokering station and WYTV(TV), Youngstown, OH, the brokered station); File No. BTCCDT-20140509AJF (JSA/SSA between KSNT(TV), Topeka, KS, the brokering station and KTKA-TV, Topeka, KS, the brokered station); and File No. BTCCDT-201540509AFB (SSA between KRQE(TV) Albuquerque, NM/KASA-TV, Santa Fe, NM, brokering stations and KSAY-TV, Albuquerque, NM/KWBQ(TV), Albuquerque, NM/KRWB-TV, Roswell, NM, brokered stations).  The applicants also note that license subsidiaries of Existing Media General are also parties to three JSAs and SSAs. </w:t>
      </w:r>
      <w:r w:rsidRPr="008C7C9E">
        <w:rPr>
          <w:i/>
        </w:rPr>
        <w:t>See</w:t>
      </w:r>
      <w:r w:rsidRPr="008C7C9E">
        <w:t xml:space="preserve"> Comprehensive Exhibit at 20, n. 27 (noting a JSA/SSA between: WJBF(TV), Augusta, GA, the brokering station and WAGT(TV), August, GA the brokered station; WLNS-TV, Lansing, MI, the brokering station and WLAJ(TV), Lansing, MI, the brokered station; and WTEN(TV), Albany, NY, the brokering station and WXXA(TV), Albany, NY the brokered station).  Copies of all the aforementioned JSAs are available in each station’s electronic local public inspection file, as required by 47 C.F.R. 73.3526, which can be accessed by visiting </w:t>
      </w:r>
      <w:hyperlink r:id="rId1" w:history="1">
        <w:r w:rsidRPr="008C7C9E">
          <w:rPr>
            <w:rStyle w:val="Hyperlink"/>
          </w:rPr>
          <w:t>https://stations.fcc.gov</w:t>
        </w:r>
      </w:hyperlink>
      <w:r w:rsidRPr="008C7C9E">
        <w:t xml:space="preserve">.  The applicants also note the existence of two grandfathered local marketing agreements (“LMAs”), both of which are fully transferable as they were entered into prior to November 5, 1996.  </w:t>
      </w:r>
      <w:r w:rsidRPr="008C7C9E">
        <w:rPr>
          <w:i/>
          <w:color w:val="010101"/>
        </w:rPr>
        <w:t>Review of the Commission’s Regulations Governing Television Broadcasting</w:t>
      </w:r>
      <w:r w:rsidRPr="008C7C9E">
        <w:rPr>
          <w:color w:val="010101"/>
        </w:rPr>
        <w:t xml:space="preserve">, Report and Order, 14 FCC Rcd 12903, 12965, ¶ 145 (establishing grandfathering provisions for LMAs and permitting LMAs that qualify for grandfathering to be transferred).  The first LMA was originally entered into on June 10, 1996, and is between </w:t>
      </w:r>
      <w:r w:rsidRPr="008C7C9E">
        <w:t xml:space="preserve">WPRI-TV, Providence, RI, the brokering station and WNAC-TV, Providence, RI, the brokered station (File No. BTCCDT-20140509AIG).  The second LMA was originally entered into on June 24, 1994, and is between  KXAN-TV, Austin, TX, the brokering station and KNVA(TV), Austin, TX the brokered station (File No. BTCCDT-20140509AJN).  </w:t>
      </w:r>
    </w:p>
  </w:footnote>
  <w:footnote w:id="24">
    <w:p w14:paraId="0C58D3A3" w14:textId="77777777" w:rsidR="00EF0532" w:rsidRPr="008C7C9E" w:rsidRDefault="00EF0532" w:rsidP="008C7C9E">
      <w:pPr>
        <w:pStyle w:val="FootnoteText"/>
        <w:keepLines/>
      </w:pPr>
      <w:r w:rsidRPr="008C7C9E">
        <w:rPr>
          <w:rStyle w:val="FootnoteReference"/>
        </w:rPr>
        <w:footnoteRef/>
      </w:r>
      <w:r w:rsidRPr="008C7C9E">
        <w:t xml:space="preserve"> Section 310(d) requires that the Commission consider the applications as if the proposed transferee were applying for the licenses directly.  47 U.S.C. § 310(d).   </w:t>
      </w:r>
      <w:r w:rsidRPr="008C7C9E">
        <w:rPr>
          <w:i/>
        </w:rPr>
        <w:t xml:space="preserve">See SBC Communications Inc. and AT&amp;T Corp. Applications for Approval of Transfer of Control, </w:t>
      </w:r>
      <w:r w:rsidRPr="008C7C9E">
        <w:t>20 FCC Rcd 18290, 18300 ¶ 16 (2005) (“</w:t>
      </w:r>
      <w:r w:rsidRPr="008C7C9E">
        <w:rPr>
          <w:i/>
        </w:rPr>
        <w:t>SBC-AT&amp;T Order</w:t>
      </w:r>
      <w:r w:rsidRPr="008C7C9E">
        <w:t>”); V</w:t>
      </w:r>
      <w:r w:rsidRPr="008C7C9E">
        <w:rPr>
          <w:i/>
        </w:rPr>
        <w:t xml:space="preserve">erizon Communications, Inc. and MCI, Inc. Applications for Approval of Transfer of Control, </w:t>
      </w:r>
      <w:r w:rsidRPr="008C7C9E">
        <w:t>20 FCC Rcd 18433, 18442-43 ¶ 16 (2005) (“</w:t>
      </w:r>
      <w:r w:rsidRPr="008C7C9E">
        <w:rPr>
          <w:i/>
        </w:rPr>
        <w:t>Verizon-MCI Order</w:t>
      </w:r>
      <w:r w:rsidRPr="008C7C9E">
        <w:t xml:space="preserve">”); </w:t>
      </w:r>
      <w:r w:rsidRPr="008C7C9E">
        <w:rPr>
          <w:i/>
        </w:rPr>
        <w:t xml:space="preserve">Applications of Nextel Communications, Inc. and Sprint Corporation, </w:t>
      </w:r>
      <w:r w:rsidRPr="008C7C9E">
        <w:t>20 FCC Rcd 13967, 13976 ¶ 20 (2005) (“</w:t>
      </w:r>
      <w:r w:rsidRPr="008C7C9E">
        <w:rPr>
          <w:i/>
        </w:rPr>
        <w:t>Sprint-Nextel Order</w:t>
      </w:r>
      <w:r w:rsidRPr="008C7C9E">
        <w:t xml:space="preserve">”); </w:t>
      </w:r>
      <w:r w:rsidRPr="008C7C9E">
        <w:rPr>
          <w:i/>
        </w:rPr>
        <w:t xml:space="preserve">News Corp.-Hughes Order, </w:t>
      </w:r>
      <w:r w:rsidRPr="008C7C9E">
        <w:t xml:space="preserve">19 FCC Rcd at 483 ¶ 15; </w:t>
      </w:r>
      <w:r w:rsidRPr="008C7C9E">
        <w:rPr>
          <w:i/>
        </w:rPr>
        <w:t xml:space="preserve">Comcast-AT&amp;T Order, </w:t>
      </w:r>
      <w:r w:rsidRPr="008C7C9E">
        <w:t xml:space="preserve">17 FCC Rcd at 23255 ¶ 26.    </w:t>
      </w:r>
    </w:p>
  </w:footnote>
  <w:footnote w:id="25">
    <w:p w14:paraId="46BBD926"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See, e.g., SBC-AT&amp;T Order</w:t>
      </w:r>
      <w:r w:rsidRPr="008C7C9E">
        <w:t xml:space="preserve">, 20 FCC Rcd at 18300 ¶ 16; </w:t>
      </w:r>
      <w:r w:rsidRPr="008C7C9E">
        <w:rPr>
          <w:i/>
        </w:rPr>
        <w:t>Verizon-MCI Order</w:t>
      </w:r>
      <w:r w:rsidRPr="008C7C9E">
        <w:t xml:space="preserve">, 20 FCC Rcd at 18442-43 ¶ 16; </w:t>
      </w:r>
      <w:r w:rsidRPr="008C7C9E">
        <w:rPr>
          <w:i/>
        </w:rPr>
        <w:t>Applications for Consent to the Assignment of Licenses Pursuant to Section 310(d) of the Communications Act from NextWave Personal Communications, Inc., Debtor-in-Possession, and NextWave Power Partners, Inc., Debtor-in-Possession, to Subsidiaries of Cingular Wireless LLC</w:t>
      </w:r>
      <w:r w:rsidRPr="008C7C9E">
        <w:t xml:space="preserve">, 19 FCC Rcd 2570, 2580-81 ¶ 24 (2004); </w:t>
      </w:r>
      <w:r w:rsidRPr="008C7C9E">
        <w:rPr>
          <w:i/>
        </w:rPr>
        <w:t>EchoStar Communications Corp., General Motors Corp. and Hughes Electronics Corp., and EchoStar Communications Corp., Hearing Designation Order</w:t>
      </w:r>
      <w:r w:rsidRPr="008C7C9E">
        <w:t>, 17 FCC Rcd 20559, 20574 ¶ 25 (2002) (“</w:t>
      </w:r>
      <w:r w:rsidRPr="008C7C9E">
        <w:rPr>
          <w:i/>
        </w:rPr>
        <w:t>EchoStar-DIRECTV HDO</w:t>
      </w:r>
      <w:r w:rsidRPr="008C7C9E">
        <w:t xml:space="preserve">”).  </w:t>
      </w:r>
    </w:p>
  </w:footnote>
  <w:footnote w:id="26">
    <w:p w14:paraId="2F8664D7"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 xml:space="preserve">See SBC-AT&amp;T Order, </w:t>
      </w:r>
      <w:r w:rsidRPr="008C7C9E">
        <w:t xml:space="preserve">20 FCC Rcd at 18300 ¶ 16; </w:t>
      </w:r>
      <w:r w:rsidRPr="008C7C9E">
        <w:rPr>
          <w:i/>
        </w:rPr>
        <w:t xml:space="preserve">Verizon-MCI Order, </w:t>
      </w:r>
      <w:r w:rsidRPr="008C7C9E">
        <w:t xml:space="preserve">20 FCC Rcd at 18443 ¶ 16; </w:t>
      </w:r>
      <w:r w:rsidRPr="008C7C9E">
        <w:rPr>
          <w:i/>
        </w:rPr>
        <w:t xml:space="preserve">Sprint-Nextel Order, </w:t>
      </w:r>
      <w:r w:rsidRPr="008C7C9E">
        <w:t xml:space="preserve">20 FCC Rcd at 13976 ¶ 20.  </w:t>
      </w:r>
    </w:p>
  </w:footnote>
  <w:footnote w:id="27">
    <w:p w14:paraId="51D7645F"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 xml:space="preserve">See SBC-AT&amp;T Order, </w:t>
      </w:r>
      <w:r w:rsidRPr="008C7C9E">
        <w:t xml:space="preserve">20 FCC Rcd at 18300 ¶ 16; </w:t>
      </w:r>
      <w:r w:rsidRPr="008C7C9E">
        <w:rPr>
          <w:i/>
        </w:rPr>
        <w:t xml:space="preserve">Verizon-MCI Order, </w:t>
      </w:r>
      <w:r w:rsidRPr="008C7C9E">
        <w:t xml:space="preserve">20 FCC Rcd at 18443 ¶ 16; </w:t>
      </w:r>
      <w:r w:rsidRPr="008C7C9E">
        <w:rPr>
          <w:i/>
        </w:rPr>
        <w:t>Sprint-Nextel Order,</w:t>
      </w:r>
      <w:r w:rsidRPr="008C7C9E">
        <w:t xml:space="preserve"> 20 FCC Rcd at 13976 ¶ 20; </w:t>
      </w:r>
      <w:r w:rsidRPr="008C7C9E">
        <w:rPr>
          <w:i/>
        </w:rPr>
        <w:t>News Corp.-Hughes Order</w:t>
      </w:r>
      <w:r w:rsidRPr="008C7C9E">
        <w:t>, 19 FCC Rcd at 483</w:t>
      </w:r>
      <w:r w:rsidRPr="008C7C9E">
        <w:rPr>
          <w:b/>
        </w:rPr>
        <w:t xml:space="preserve"> </w:t>
      </w:r>
      <w:r w:rsidRPr="008C7C9E">
        <w:t xml:space="preserve">¶ 15; </w:t>
      </w:r>
      <w:r w:rsidRPr="008C7C9E">
        <w:rPr>
          <w:i/>
        </w:rPr>
        <w:t>Comcast-AT&amp;T Order</w:t>
      </w:r>
      <w:r w:rsidRPr="008C7C9E">
        <w:t>, 17 FCC Rcd at 23255 ¶ 26.</w:t>
      </w:r>
      <w:r w:rsidRPr="008C7C9E">
        <w:rPr>
          <w:b/>
        </w:rPr>
        <w:t xml:space="preserve">   </w:t>
      </w:r>
    </w:p>
  </w:footnote>
  <w:footnote w:id="28">
    <w:p w14:paraId="4F32694D"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See</w:t>
      </w:r>
      <w:r w:rsidRPr="008C7C9E">
        <w:t xml:space="preserve"> </w:t>
      </w:r>
      <w:r w:rsidRPr="008C7C9E">
        <w:rPr>
          <w:i/>
        </w:rPr>
        <w:t>SBC-AT&amp;T Order</w:t>
      </w:r>
      <w:r w:rsidRPr="008C7C9E">
        <w:t xml:space="preserve">, 20 FCC Rcd at 18300 ¶ 16; </w:t>
      </w:r>
      <w:r w:rsidRPr="008C7C9E">
        <w:rPr>
          <w:i/>
        </w:rPr>
        <w:t>Verizon-MCI Order</w:t>
      </w:r>
      <w:r w:rsidRPr="008C7C9E">
        <w:t xml:space="preserve">, 20 FCC Rcd at 18443 ¶ 16; </w:t>
      </w:r>
      <w:r w:rsidRPr="008C7C9E">
        <w:rPr>
          <w:i/>
        </w:rPr>
        <w:t>Comcast-AT&amp;T Order,</w:t>
      </w:r>
      <w:r w:rsidRPr="008C7C9E">
        <w:t xml:space="preserve"> 17 FCC Rcd at 23255 ¶ 26; </w:t>
      </w:r>
      <w:r w:rsidRPr="008C7C9E">
        <w:rPr>
          <w:i/>
        </w:rPr>
        <w:t>EchoStar-DIRECTV HDO</w:t>
      </w:r>
      <w:r w:rsidRPr="008C7C9E">
        <w:t xml:space="preserve">, 17 FCC Rcd at 20574 ¶ 25. </w:t>
      </w:r>
      <w:r w:rsidRPr="008C7C9E">
        <w:rPr>
          <w:i/>
        </w:rPr>
        <w:t xml:space="preserve"> </w:t>
      </w:r>
    </w:p>
  </w:footnote>
  <w:footnote w:id="29">
    <w:p w14:paraId="5BFE922D" w14:textId="77777777" w:rsidR="00EF0532" w:rsidRPr="008C7C9E" w:rsidRDefault="00EF0532" w:rsidP="008C7C9E">
      <w:pPr>
        <w:pStyle w:val="FootnoteText"/>
      </w:pPr>
      <w:r w:rsidRPr="008C7C9E">
        <w:rPr>
          <w:rStyle w:val="FootnoteReference"/>
        </w:rPr>
        <w:footnoteRef/>
      </w:r>
      <w:r w:rsidRPr="008C7C9E">
        <w:t xml:space="preserve"> 47 U.S.C. § 309(e); </w:t>
      </w:r>
      <w:r w:rsidRPr="008C7C9E">
        <w:rPr>
          <w:i/>
        </w:rPr>
        <w:t xml:space="preserve">see also News Corp.-Hughes Order, </w:t>
      </w:r>
      <w:r w:rsidRPr="008C7C9E">
        <w:t xml:space="preserve">19 FCC Rcd at 483 n.49; </w:t>
      </w:r>
      <w:r w:rsidRPr="008C7C9E">
        <w:rPr>
          <w:i/>
        </w:rPr>
        <w:t xml:space="preserve">EchoStar-DIRECTV HDO, </w:t>
      </w:r>
      <w:r w:rsidRPr="008C7C9E">
        <w:t xml:space="preserve">17 FCC Rcd at 20574 ¶ 25.    </w:t>
      </w:r>
      <w:r w:rsidRPr="008C7C9E">
        <w:rPr>
          <w:b/>
        </w:rPr>
        <w:t xml:space="preserve">   </w:t>
      </w:r>
    </w:p>
  </w:footnote>
  <w:footnote w:id="30">
    <w:p w14:paraId="503AB511" w14:textId="77777777" w:rsidR="00EF0532" w:rsidRPr="008C7C9E" w:rsidRDefault="00EF0532" w:rsidP="008C7C9E">
      <w:pPr>
        <w:pStyle w:val="FootnoteText"/>
      </w:pPr>
      <w:r w:rsidRPr="008C7C9E">
        <w:rPr>
          <w:rStyle w:val="FootnoteReference"/>
        </w:rPr>
        <w:footnoteRef/>
      </w:r>
      <w:r w:rsidRPr="008C7C9E">
        <w:t xml:space="preserve"> 47 C.F.R. § 73.3555(b)(2).</w:t>
      </w:r>
    </w:p>
  </w:footnote>
  <w:footnote w:id="31">
    <w:p w14:paraId="77413C84" w14:textId="77777777" w:rsidR="00EF0532" w:rsidRPr="008C7C9E" w:rsidRDefault="00EF0532" w:rsidP="008C7C9E">
      <w:pPr>
        <w:pStyle w:val="FootnoteText"/>
      </w:pPr>
      <w:r w:rsidRPr="008C7C9E">
        <w:rPr>
          <w:rStyle w:val="FootnoteReference"/>
        </w:rPr>
        <w:footnoteRef/>
      </w:r>
      <w:r w:rsidRPr="008C7C9E">
        <w:t xml:space="preserve"> Following the digital transition the Commission has treated a station’s digital noise-limited contour as the “functional equivalent” of a station’s analog-Grade B contour for purposes of the local television ownership rule.  </w:t>
      </w:r>
      <w:r w:rsidRPr="008C7C9E">
        <w:rPr>
          <w:i/>
        </w:rPr>
        <w:t>Riverside Media</w:t>
      </w:r>
      <w:r w:rsidRPr="008C7C9E">
        <w:t xml:space="preserve">, Letter, 26 FCC Rcd 16038, 16060, n. 2 (2011) (citations omitted).  As a result, on April 15, 2014, the Commission tentatively concluded the digital noise-limited contour should replace the analog Grade B contour in determining whether the local TV ownership rule is implicated.    </w:t>
      </w:r>
      <w:r w:rsidRPr="008C7C9E">
        <w:rPr>
          <w:i/>
        </w:rPr>
        <w:t>2014 Quadrennial Regulatory Review — Review of the Commission's Broadcast Ownership Rules and Other Rules Adopted Pursuant to Section 202 of the Telecommunications Act of 1996</w:t>
      </w:r>
      <w:r w:rsidRPr="008C7C9E">
        <w:t>, Report and Order and Further Notice of Proposed Rulemaking, 29 FCC Rcd 4371, 4385 (2014).</w:t>
      </w:r>
    </w:p>
  </w:footnote>
  <w:footnote w:id="32">
    <w:p w14:paraId="1CBB9103" w14:textId="77777777" w:rsidR="00EF0532" w:rsidRPr="008C7C9E" w:rsidRDefault="00EF0532" w:rsidP="008C7C9E">
      <w:pPr>
        <w:pStyle w:val="FootnoteText"/>
      </w:pPr>
      <w:r w:rsidRPr="008C7C9E">
        <w:rPr>
          <w:rStyle w:val="FootnoteReference"/>
        </w:rPr>
        <w:footnoteRef/>
      </w:r>
      <w:r w:rsidRPr="008C7C9E">
        <w:t xml:space="preserve"> 47 C.F.R. § 73.3555(b)(2).</w:t>
      </w:r>
    </w:p>
  </w:footnote>
  <w:footnote w:id="33">
    <w:p w14:paraId="62B6D9B5"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Supra</w:t>
      </w:r>
      <w:r w:rsidRPr="008C7C9E">
        <w:t>, ¶ 5 and n. 10.</w:t>
      </w:r>
    </w:p>
  </w:footnote>
  <w:footnote w:id="34">
    <w:p w14:paraId="1BCAE8BF"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Supra</w:t>
      </w:r>
      <w:r w:rsidRPr="008C7C9E">
        <w:t>, ¶ 5 and n. 11.</w:t>
      </w:r>
    </w:p>
  </w:footnote>
  <w:footnote w:id="35">
    <w:p w14:paraId="524FA1C1" w14:textId="77777777" w:rsidR="00EF0532" w:rsidRPr="008C7C9E" w:rsidRDefault="00EF0532" w:rsidP="008C7C9E">
      <w:pPr>
        <w:pStyle w:val="FootnoteText"/>
      </w:pPr>
      <w:r w:rsidRPr="008C7C9E">
        <w:rPr>
          <w:rStyle w:val="FootnoteReference"/>
        </w:rPr>
        <w:footnoteRef/>
      </w:r>
      <w:r w:rsidRPr="008C7C9E">
        <w:t xml:space="preserve"> File Nos. BALCDT-20140827ACP and BALCDT-20140827ACM.</w:t>
      </w:r>
    </w:p>
  </w:footnote>
  <w:footnote w:id="36">
    <w:p w14:paraId="53FD560F" w14:textId="77777777" w:rsidR="00EF0532" w:rsidRPr="008C7C9E" w:rsidRDefault="00EF0532" w:rsidP="008C7C9E">
      <w:pPr>
        <w:pStyle w:val="FootnoteText"/>
      </w:pPr>
      <w:r w:rsidRPr="008C7C9E">
        <w:rPr>
          <w:rStyle w:val="FootnoteReference"/>
        </w:rPr>
        <w:footnoteRef/>
      </w:r>
      <w:r w:rsidRPr="008C7C9E">
        <w:t xml:space="preserve"> File No. BALCDT-20140827ANO.</w:t>
      </w:r>
    </w:p>
  </w:footnote>
  <w:footnote w:id="37">
    <w:p w14:paraId="38DB5B56" w14:textId="77777777" w:rsidR="00EF0532" w:rsidRPr="008C7C9E" w:rsidRDefault="00EF0532" w:rsidP="008C7C9E">
      <w:pPr>
        <w:pStyle w:val="FootnoteText"/>
      </w:pPr>
      <w:r w:rsidRPr="008C7C9E">
        <w:rPr>
          <w:rStyle w:val="FootnoteReference"/>
        </w:rPr>
        <w:footnoteRef/>
      </w:r>
      <w:r w:rsidRPr="008C7C9E">
        <w:t xml:space="preserve"> File Nos. BALCDT-0827ANP, BALCDT-20140827ANM, and BALCDT-20140827ANL (“Sinclair Divesture Applications”).</w:t>
      </w:r>
    </w:p>
  </w:footnote>
  <w:footnote w:id="38">
    <w:p w14:paraId="524BBC92" w14:textId="5CB34941" w:rsidR="00EF0532" w:rsidRPr="008C7C9E" w:rsidRDefault="00EF0532" w:rsidP="008C7C9E">
      <w:pPr>
        <w:pStyle w:val="FootnoteText"/>
      </w:pPr>
      <w:r w:rsidRPr="008C7C9E">
        <w:rPr>
          <w:rStyle w:val="FootnoteReference"/>
        </w:rPr>
        <w:footnoteRef/>
      </w:r>
      <w:r w:rsidRPr="008C7C9E">
        <w:t xml:space="preserve"> File Nos. BALCDT-20140827ANV, BALCDT-20140827ANW, and BALCDT-20140827ANY.</w:t>
      </w:r>
    </w:p>
  </w:footnote>
  <w:footnote w:id="39">
    <w:p w14:paraId="3E8E0E12" w14:textId="77777777" w:rsidR="00EF0532" w:rsidRPr="008C7C9E" w:rsidRDefault="00EF0532" w:rsidP="008C7C9E">
      <w:pPr>
        <w:pStyle w:val="FootnoteText"/>
      </w:pPr>
      <w:r w:rsidRPr="008C7C9E">
        <w:rPr>
          <w:rStyle w:val="FootnoteReference"/>
        </w:rPr>
        <w:footnoteRef/>
      </w:r>
      <w:r w:rsidRPr="008C7C9E">
        <w:t xml:space="preserve"> File No. BALCDT-20140827ADC. </w:t>
      </w:r>
    </w:p>
  </w:footnote>
  <w:footnote w:id="40">
    <w:p w14:paraId="6ABEAAFE" w14:textId="650E23A5" w:rsidR="00EF0532" w:rsidRPr="008C7C9E" w:rsidRDefault="00EF0532" w:rsidP="008C7C9E">
      <w:pPr>
        <w:pStyle w:val="FootnoteText"/>
      </w:pPr>
      <w:r w:rsidRPr="008C7C9E">
        <w:rPr>
          <w:rStyle w:val="FootnoteReference"/>
        </w:rPr>
        <w:footnoteRef/>
      </w:r>
      <w:r w:rsidRPr="008C7C9E">
        <w:t xml:space="preserve"> Sinclair Divestiture Applications, Exhibit 13 (Statement in Support of Application) at 2.  Sinclair also contends the proposed acquisitions would not cause it to exceed the national audience cap whether or not the “UHF discount,” provided for in 47 C.F.R. § 73.3555(e)(2)(i), is used.</w:t>
      </w:r>
    </w:p>
  </w:footnote>
  <w:footnote w:id="41">
    <w:p w14:paraId="2E285CEF" w14:textId="5C8F055B" w:rsidR="00EF0532" w:rsidRPr="008C7C9E" w:rsidRDefault="00EF0532" w:rsidP="008C7C9E">
      <w:pPr>
        <w:pStyle w:val="FootnoteText"/>
      </w:pPr>
      <w:r w:rsidRPr="008C7C9E">
        <w:rPr>
          <w:rStyle w:val="FootnoteReference"/>
        </w:rPr>
        <w:footnoteRef/>
      </w:r>
      <w:r w:rsidRPr="008C7C9E">
        <w:t xml:space="preserve"> DOJ has terminated its HSRA review of Post-Merger Media General’s acquisition of stations from Sinclair.  The divestiture stations being assigned from Post-Merger Media General to Meredith, Hearst,</w:t>
      </w:r>
      <w:r w:rsidR="0027173E">
        <w:t xml:space="preserve"> and Sinclair are subject to a consent d</w:t>
      </w:r>
      <w:r w:rsidRPr="008C7C9E">
        <w:t xml:space="preserve">ecree </w:t>
      </w:r>
      <w:r>
        <w:t xml:space="preserve">that was </w:t>
      </w:r>
      <w:r w:rsidRPr="008C7C9E">
        <w:t>filed in the U.S. District Court in Washington, D.C. on October 3</w:t>
      </w:r>
      <w:r w:rsidR="0027173E">
        <w:t>1</w:t>
      </w:r>
      <w:r w:rsidRPr="008C7C9E">
        <w:t xml:space="preserve">, 2014.  </w:t>
      </w:r>
      <w:r>
        <w:t>Following</w:t>
      </w:r>
      <w:r w:rsidRPr="008C7C9E">
        <w:t xml:space="preserve"> the court’s entry of the Hold Separate Stipulation and Order, the DOJ</w:t>
      </w:r>
      <w:r w:rsidR="0027173E">
        <w:t xml:space="preserve"> subsequently</w:t>
      </w:r>
      <w:r w:rsidRPr="008C7C9E">
        <w:t xml:space="preserve"> terminated its HSRA review of the overriding merger between Media General and LIN Media.</w:t>
      </w:r>
    </w:p>
  </w:footnote>
  <w:footnote w:id="42">
    <w:p w14:paraId="7A1DF9D3" w14:textId="1D75C18C" w:rsidR="00EF0532" w:rsidRPr="008C7C9E" w:rsidRDefault="00EF0532" w:rsidP="008C7C9E">
      <w:pPr>
        <w:pStyle w:val="FootnoteText"/>
      </w:pPr>
      <w:r w:rsidRPr="008C7C9E">
        <w:rPr>
          <w:rStyle w:val="FootnoteReference"/>
        </w:rPr>
        <w:footnoteRef/>
      </w:r>
      <w:r w:rsidRPr="008C7C9E">
        <w:t xml:space="preserve"> </w:t>
      </w:r>
      <w:r w:rsidRPr="008C7C9E">
        <w:rPr>
          <w:i/>
        </w:rPr>
        <w:t>See supra</w:t>
      </w:r>
      <w:r w:rsidRPr="008C7C9E">
        <w:t xml:space="preserve"> note 22.  The three JSAs at issue here are described by the applicants as currently being “non-attributable” and “continu[ing] to be non-attributable pursuant to the two-year grandfathering period provided in the Commission’s [</w:t>
      </w:r>
      <w:r w:rsidRPr="005F1B08">
        <w:rPr>
          <w:i/>
        </w:rPr>
        <w:t>2014 Quadrennial Review Order</w:t>
      </w:r>
      <w:r w:rsidRPr="008C7C9E">
        <w:t xml:space="preserve">] attributing joint sale agreements involving the sale of more than 15% of another local station’s ad time at such time that the JSA Order becomes effective.”  Comprehensive Exhibit at 20.  </w:t>
      </w:r>
      <w:r>
        <w:t xml:space="preserve">We have also </w:t>
      </w:r>
      <w:r w:rsidRPr="0044220D">
        <w:t>carefully scrutinized LIN Media’s le</w:t>
      </w:r>
      <w:r>
        <w:t>gacy arrangements (e.g., SSAs and JSAs) and for the reasons discussed herein, among other things</w:t>
      </w:r>
      <w:r w:rsidRPr="0044220D">
        <w:t xml:space="preserve"> the </w:t>
      </w:r>
      <w:r>
        <w:t>incidental nature of the arrangements in the overall transaction</w:t>
      </w:r>
      <w:r w:rsidRPr="0044220D">
        <w:t xml:space="preserve">, </w:t>
      </w:r>
      <w:r>
        <w:t xml:space="preserve">we find that </w:t>
      </w:r>
      <w:r w:rsidRPr="0044220D">
        <w:t xml:space="preserve">continuation of </w:t>
      </w:r>
      <w:r>
        <w:t>LIN Media’s</w:t>
      </w:r>
      <w:r w:rsidRPr="0044220D">
        <w:t xml:space="preserve"> legacy a</w:t>
      </w:r>
      <w:r>
        <w:t xml:space="preserve">rrangements is </w:t>
      </w:r>
      <w:r w:rsidRPr="0044220D">
        <w:t xml:space="preserve">permissible.  </w:t>
      </w:r>
      <w:r w:rsidRPr="003A1A0B">
        <w:rPr>
          <w:i/>
        </w:rPr>
        <w:t>See Shareholders of Belo Corp.</w:t>
      </w:r>
      <w:r w:rsidRPr="0044220D">
        <w:t xml:space="preserve">, Memorandum Opinion and Order, 28 FCC Rcd 16867, 16879 (MB 2013); </w:t>
      </w:r>
      <w:r w:rsidRPr="003A1A0B">
        <w:rPr>
          <w:i/>
        </w:rPr>
        <w:t>Processing of Broadcast Television Applications Proposing Sharing Arrangements and Contingent Interests</w:t>
      </w:r>
      <w:r w:rsidRPr="0044220D">
        <w:t>, Public Notice, 29 FCC Rcd 2647 (MB 2014).</w:t>
      </w:r>
    </w:p>
  </w:footnote>
  <w:footnote w:id="43">
    <w:p w14:paraId="5C764E05" w14:textId="5CE50436" w:rsidR="00EF0532" w:rsidRDefault="00EF0532">
      <w:pPr>
        <w:pStyle w:val="FootnoteText"/>
      </w:pPr>
      <w:r>
        <w:rPr>
          <w:rStyle w:val="FootnoteReference"/>
        </w:rPr>
        <w:footnoteRef/>
      </w:r>
      <w:r>
        <w:t xml:space="preserve"> </w:t>
      </w:r>
      <w:r w:rsidRPr="00335267">
        <w:rPr>
          <w:i/>
        </w:rPr>
        <w:t>2014 Quadrennial Review Order</w:t>
      </w:r>
      <w:r>
        <w:t>, 29 FCC Rcd at 4538.</w:t>
      </w:r>
    </w:p>
  </w:footnote>
  <w:footnote w:id="44">
    <w:p w14:paraId="6B06076A" w14:textId="6CBF7D78" w:rsidR="00EF0532" w:rsidRPr="008C7C9E" w:rsidRDefault="00EF0532" w:rsidP="008C7C9E">
      <w:pPr>
        <w:pStyle w:val="FootnoteText"/>
      </w:pPr>
      <w:r w:rsidRPr="008C7C9E">
        <w:rPr>
          <w:rStyle w:val="FootnoteReference"/>
        </w:rPr>
        <w:footnoteRef/>
      </w:r>
      <w:r w:rsidRPr="008C7C9E">
        <w:t xml:space="preserve"> </w:t>
      </w:r>
      <w:r w:rsidRPr="0029744D">
        <w:rPr>
          <w:i/>
        </w:rPr>
        <w:t>Id.</w:t>
      </w:r>
      <w:r>
        <w:t xml:space="preserve"> at 4542; </w:t>
      </w:r>
      <w:r w:rsidRPr="008C7C9E">
        <w:rPr>
          <w:i/>
        </w:rPr>
        <w:t>Media Bureau Announces the Effective Date of the Television Joint Sales Agreement Attribution Rule</w:t>
      </w:r>
      <w:r w:rsidRPr="008C7C9E">
        <w:t>, Public Notice, 29 FCC Rcd 7346 (MB 2014) (“JSA Public Notice”) (announcing the effective date of the Commission’s new JSA attribution rule</w:t>
      </w:r>
      <w:r>
        <w:t xml:space="preserve"> and establishing June 19, 2016 as the end of the two-year compliance period</w:t>
      </w:r>
      <w:r w:rsidRPr="008C7C9E">
        <w:t>)</w:t>
      </w:r>
      <w:r>
        <w:t>.</w:t>
      </w:r>
    </w:p>
  </w:footnote>
  <w:footnote w:id="45">
    <w:p w14:paraId="2CF12FFC" w14:textId="4B422088" w:rsidR="00EF0532" w:rsidRDefault="00EF0532">
      <w:pPr>
        <w:pStyle w:val="FootnoteText"/>
      </w:pPr>
      <w:r>
        <w:rPr>
          <w:rStyle w:val="FootnoteReference"/>
        </w:rPr>
        <w:footnoteRef/>
      </w:r>
      <w:r>
        <w:t xml:space="preserve"> </w:t>
      </w:r>
      <w:r w:rsidRPr="00480173">
        <w:rPr>
          <w:i/>
        </w:rPr>
        <w:t>STELA Reauthorization Act of 2014</w:t>
      </w:r>
      <w:r>
        <w:t xml:space="preserve">, </w:t>
      </w:r>
      <w:r w:rsidRPr="00480173">
        <w:t>Pub. L. No. 113-200, § 104, 128 Stat. 2059, 2063 (2014).</w:t>
      </w:r>
    </w:p>
  </w:footnote>
  <w:footnote w:id="46">
    <w:p w14:paraId="61575FC6"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See e.g.,</w:t>
      </w:r>
      <w:r w:rsidRPr="008C7C9E">
        <w:t xml:space="preserve"> </w:t>
      </w:r>
      <w:r w:rsidRPr="008C7C9E">
        <w:rPr>
          <w:rStyle w:val="Emphasis"/>
        </w:rPr>
        <w:t>Capital Cities/ABC, Inc.</w:t>
      </w:r>
      <w:r w:rsidRPr="008C7C9E">
        <w:t xml:space="preserve">, Memorandum Opinion and Order, 11 FCC Rcd 5841 (1996) (providing a six-month temporary waiver of local TV ownership rule ); </w:t>
      </w:r>
      <w:r w:rsidRPr="008C7C9E">
        <w:rPr>
          <w:i/>
        </w:rPr>
        <w:t xml:space="preserve">UTV of San Francisco, Inc., </w:t>
      </w:r>
      <w:r w:rsidRPr="008C7C9E">
        <w:t xml:space="preserve">Memorandum Opinion and Order, 16 FCC Rcd 14975 (2001) (providing a six-month temporary waiver of local TV ownership rule); </w:t>
      </w:r>
      <w:r w:rsidRPr="008C7C9E">
        <w:rPr>
          <w:i/>
        </w:rPr>
        <w:t>Telemundo Communications Group, Inc.,</w:t>
      </w:r>
      <w:r w:rsidRPr="008C7C9E">
        <w:t xml:space="preserve"> 17 FCC Rcd 6958 (2002) (providing a 12-month temporary waiver of the local TV ownership rule).</w:t>
      </w:r>
    </w:p>
  </w:footnote>
  <w:footnote w:id="47">
    <w:p w14:paraId="191CFEFB" w14:textId="421BBE8E" w:rsidR="00EF0532" w:rsidRPr="008C7C9E" w:rsidRDefault="00EF0532" w:rsidP="008C7C9E">
      <w:pPr>
        <w:pStyle w:val="FootnoteText"/>
      </w:pPr>
      <w:r w:rsidRPr="008C7C9E">
        <w:rPr>
          <w:rStyle w:val="FootnoteReference"/>
        </w:rPr>
        <w:footnoteRef/>
      </w:r>
      <w:r w:rsidRPr="008C7C9E">
        <w:t xml:space="preserve"> Post transaction, both Hearst and Sinclair will be operating in Savannah, GA in place of LIN Media.  Our determination that facilitating the transaction is in the public interest also is supported by the terms of Settlement Agreement entered into between the United States Department of Justice and LIN Media and Media General (Post-Merger Media General).  As part of that agreement, Post-Merger Media General is </w:t>
      </w:r>
      <w:r w:rsidRPr="008C7C9E">
        <w:rPr>
          <w:rFonts w:eastAsia="Calibri"/>
          <w:bCs/>
        </w:rPr>
        <w:t>prohibited from “enter[ing] into any local marketing agreement, joint sales agreement, other cooperative selling arrangement, or shared services agreement, or conduct other business negotiations jointly with the Acquirers with respect to the Divestiture Assets, or [] providing financing or guarantees of financing with respect to the Divesture Assets” for a term of 10 years.</w:t>
      </w:r>
      <w:r>
        <w:rPr>
          <w:rFonts w:eastAsia="Calibri"/>
          <w:bCs/>
        </w:rPr>
        <w:t xml:space="preserve">  </w:t>
      </w:r>
      <w:r w:rsidRPr="00EF0532">
        <w:rPr>
          <w:rFonts w:eastAsia="Calibri"/>
          <w:bCs/>
          <w:i/>
        </w:rPr>
        <w:t>United States of America v. Media General, Inc.</w:t>
      </w:r>
      <w:r>
        <w:rPr>
          <w:rFonts w:eastAsia="Calibri"/>
          <w:bCs/>
          <w:i/>
        </w:rPr>
        <w:t xml:space="preserve">, </w:t>
      </w:r>
      <w:r w:rsidRPr="00EF0532">
        <w:rPr>
          <w:rFonts w:eastAsia="Calibri"/>
          <w:bCs/>
          <w:i/>
        </w:rPr>
        <w:t>and LIN Media LLC</w:t>
      </w:r>
      <w:r>
        <w:rPr>
          <w:rFonts w:eastAsia="Calibri"/>
          <w:bCs/>
        </w:rPr>
        <w:t>, Hold Separate Stipulation and Order, Case No. 14-1823 (D.</w:t>
      </w:r>
      <w:r w:rsidR="0027173E">
        <w:rPr>
          <w:rFonts w:eastAsia="Calibri"/>
          <w:bCs/>
        </w:rPr>
        <w:t>D.</w:t>
      </w:r>
      <w:r>
        <w:rPr>
          <w:rFonts w:eastAsia="Calibri"/>
          <w:bCs/>
        </w:rPr>
        <w:t>C.</w:t>
      </w:r>
      <w:r w:rsidR="0027173E">
        <w:rPr>
          <w:rFonts w:eastAsia="Calibri"/>
          <w:bCs/>
        </w:rPr>
        <w:t xml:space="preserve"> Oct. 31, 2014).</w:t>
      </w:r>
      <w:r w:rsidRPr="008C7C9E">
        <w:rPr>
          <w:rFonts w:eastAsia="Calibri"/>
          <w:bCs/>
        </w:rPr>
        <w:t xml:space="preserve">  This prohibition is another factor weighing in favor of providing a temporary waiver of the Commission’s local TV ownership rules in order to permit this transaction to proceed.  </w:t>
      </w:r>
    </w:p>
  </w:footnote>
  <w:footnote w:id="48">
    <w:p w14:paraId="086EB456" w14:textId="6B8F6E19" w:rsidR="00EF0532" w:rsidRPr="00480173" w:rsidRDefault="00EF0532" w:rsidP="008C7C9E">
      <w:pPr>
        <w:pStyle w:val="FootnoteText"/>
      </w:pPr>
      <w:r w:rsidRPr="008C7C9E">
        <w:rPr>
          <w:rStyle w:val="FootnoteReference"/>
        </w:rPr>
        <w:footnoteRef/>
      </w:r>
      <w:r w:rsidRPr="008C7C9E">
        <w:t xml:space="preserve"> </w:t>
      </w:r>
      <w:r>
        <w:rPr>
          <w:i/>
        </w:rPr>
        <w:t xml:space="preserve">Supra </w:t>
      </w:r>
      <w:r w:rsidRPr="00480173">
        <w:t>note</w:t>
      </w:r>
      <w:r>
        <w:t>s</w:t>
      </w:r>
      <w:r>
        <w:rPr>
          <w:i/>
        </w:rPr>
        <w:t xml:space="preserve"> </w:t>
      </w:r>
      <w:r>
        <w:t>43 and 44.</w:t>
      </w:r>
    </w:p>
  </w:footnote>
  <w:footnote w:id="49">
    <w:p w14:paraId="33F872EB" w14:textId="77777777" w:rsidR="00EF0532" w:rsidRPr="008C7C9E" w:rsidRDefault="00EF0532" w:rsidP="008C7C9E">
      <w:pPr>
        <w:pStyle w:val="FootnoteText"/>
      </w:pPr>
      <w:r w:rsidRPr="008C7C9E">
        <w:rPr>
          <w:rStyle w:val="FootnoteReference"/>
        </w:rPr>
        <w:footnoteRef/>
      </w:r>
      <w:r w:rsidRPr="008C7C9E">
        <w:t xml:space="preserve"> 47 C.F.R. § 73.3555.  </w:t>
      </w:r>
    </w:p>
  </w:footnote>
  <w:footnote w:id="50">
    <w:p w14:paraId="5D5D6F5F" w14:textId="77777777" w:rsidR="00EF0532" w:rsidRPr="008C7C9E" w:rsidRDefault="00EF0532" w:rsidP="008C7C9E">
      <w:pPr>
        <w:pStyle w:val="FootnoteText"/>
      </w:pPr>
      <w:r w:rsidRPr="008C7C9E">
        <w:rPr>
          <w:rStyle w:val="FootnoteReference"/>
        </w:rPr>
        <w:footnoteRef/>
      </w:r>
      <w:r w:rsidRPr="008C7C9E">
        <w:t xml:space="preserve"> File No. BTCCDT-20140509AJO.</w:t>
      </w:r>
    </w:p>
  </w:footnote>
  <w:footnote w:id="51">
    <w:p w14:paraId="64866CB8" w14:textId="77777777" w:rsidR="00EF0532" w:rsidRPr="008C7C9E" w:rsidRDefault="00EF0532" w:rsidP="008C7C9E">
      <w:pPr>
        <w:pStyle w:val="FootnoteText"/>
      </w:pPr>
      <w:r w:rsidRPr="008C7C9E">
        <w:rPr>
          <w:rStyle w:val="FootnoteReference"/>
        </w:rPr>
        <w:footnoteRef/>
      </w:r>
      <w:r w:rsidRPr="008C7C9E">
        <w:t xml:space="preserve"> File Nos. BTCCDT-20140509AIW and BTTCDT-20140509AIO.</w:t>
      </w:r>
    </w:p>
  </w:footnote>
  <w:footnote w:id="52">
    <w:p w14:paraId="1405CD8D" w14:textId="77777777" w:rsidR="00EF0532" w:rsidRPr="008C7C9E" w:rsidRDefault="00EF0532" w:rsidP="008C7C9E">
      <w:pPr>
        <w:pStyle w:val="FootnoteText"/>
      </w:pPr>
      <w:r w:rsidRPr="008C7C9E">
        <w:rPr>
          <w:rStyle w:val="FootnoteReference"/>
        </w:rPr>
        <w:footnoteRef/>
      </w:r>
      <w:r w:rsidRPr="008C7C9E">
        <w:t xml:space="preserve"> File No. BTTCDT-20140509AJB. Post-Merger Media General will also own KSNG(TV), Garden City, Kansas, and KSNK(TV), McCook, Nebraska, which are also satellites of KSNW(TV).  KSNW(TV) is licensed to Wichita-Hutchison DMA.  KSNK(TV) is not licensed to the Wichita-Hutchinson DMA and KSNG(TV) does not have contour overlap with KSNW(TV).  Accordingly, KSNK(TV), KSNG(TV) and KSNW(TV) can all be owned in combination  under the local TV ownership rule and without a “satellite” exemption.  </w:t>
      </w:r>
      <w:r w:rsidRPr="008C7C9E">
        <w:rPr>
          <w:i/>
        </w:rPr>
        <w:t>See</w:t>
      </w:r>
      <w:r w:rsidRPr="008C7C9E">
        <w:t xml:space="preserve"> </w:t>
      </w:r>
      <w:r w:rsidRPr="008C7C9E">
        <w:rPr>
          <w:i/>
        </w:rPr>
        <w:t>HBKV NV LLC et al.</w:t>
      </w:r>
      <w:r w:rsidRPr="008C7C9E">
        <w:t>, Memorandum Opinion and Order, 25 FCC Rcd 2354, 2355, n. 5 (MB 2010) (“</w:t>
      </w:r>
      <w:r w:rsidRPr="008C7C9E">
        <w:rPr>
          <w:i/>
        </w:rPr>
        <w:t>HBKV NV LLC”</w:t>
      </w:r>
      <w:r w:rsidRPr="008C7C9E">
        <w:t>).</w:t>
      </w:r>
    </w:p>
  </w:footnote>
  <w:footnote w:id="53">
    <w:p w14:paraId="3DAB539E"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 xml:space="preserve">Television Satellite Stations Review of Policies and Rules, </w:t>
      </w:r>
      <w:r w:rsidRPr="008C7C9E">
        <w:t>Report and Order</w:t>
      </w:r>
      <w:r w:rsidRPr="008C7C9E">
        <w:rPr>
          <w:i/>
        </w:rPr>
        <w:t>,</w:t>
      </w:r>
      <w:r w:rsidRPr="008C7C9E">
        <w:t xml:space="preserve"> 6 FCC Rcd 4212 (1991)</w:t>
      </w:r>
      <w:bookmarkStart w:id="3" w:name="SR;881"/>
      <w:bookmarkEnd w:id="3"/>
      <w:r w:rsidRPr="008C7C9E">
        <w:t xml:space="preserve">, </w:t>
      </w:r>
      <w:r w:rsidRPr="008C7C9E">
        <w:rPr>
          <w:i/>
        </w:rPr>
        <w:t xml:space="preserve">subsequent citations omitted </w:t>
      </w:r>
      <w:r w:rsidRPr="008C7C9E">
        <w:t>(“</w:t>
      </w:r>
      <w:r w:rsidRPr="008C7C9E">
        <w:rPr>
          <w:i/>
        </w:rPr>
        <w:t>Television Satellite Stations</w:t>
      </w:r>
      <w:r w:rsidRPr="008C7C9E">
        <w:t>”).</w:t>
      </w:r>
    </w:p>
  </w:footnote>
  <w:footnote w:id="54">
    <w:p w14:paraId="70B3B37B" w14:textId="2DF7D080" w:rsidR="00EF0532" w:rsidRPr="008C7C9E" w:rsidRDefault="00EF0532" w:rsidP="008C7C9E">
      <w:pPr>
        <w:spacing w:after="120"/>
        <w:rPr>
          <w:sz w:val="20"/>
        </w:rPr>
      </w:pPr>
      <w:r w:rsidRPr="008C7C9E">
        <w:rPr>
          <w:rStyle w:val="FootnoteReference"/>
        </w:rPr>
        <w:footnoteRef/>
      </w:r>
      <w:r w:rsidRPr="008C7C9E">
        <w:rPr>
          <w:sz w:val="20"/>
        </w:rPr>
        <w:t xml:space="preserve"> </w:t>
      </w:r>
      <w:r w:rsidRPr="008C7C9E">
        <w:rPr>
          <w:i/>
          <w:sz w:val="20"/>
        </w:rPr>
        <w:t xml:space="preserve">Id. </w:t>
      </w:r>
      <w:r w:rsidRPr="008C7C9E">
        <w:rPr>
          <w:sz w:val="20"/>
        </w:rPr>
        <w:t>at 4213-4214, ¶ 12; 47 C.F.R. § 73.3555, note 7.</w:t>
      </w:r>
    </w:p>
  </w:footnote>
  <w:footnote w:id="55">
    <w:p w14:paraId="38F962C8"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 xml:space="preserve">Id. </w:t>
      </w:r>
      <w:r w:rsidRPr="008C7C9E">
        <w:t>at 4214, ¶ 14.</w:t>
      </w:r>
    </w:p>
  </w:footnote>
  <w:footnote w:id="56">
    <w:p w14:paraId="524F581D" w14:textId="610A714D" w:rsidR="00EF0532" w:rsidRPr="008C7C9E" w:rsidRDefault="00EF0532" w:rsidP="008C7C9E">
      <w:pPr>
        <w:pStyle w:val="FootnoteText"/>
      </w:pPr>
      <w:r w:rsidRPr="008C7C9E">
        <w:rPr>
          <w:rStyle w:val="FootnoteReference"/>
        </w:rPr>
        <w:footnoteRef/>
      </w:r>
      <w:r w:rsidRPr="008C7C9E">
        <w:t xml:space="preserve"> Prior to the transition to digital television, there was no City Grade overlap between KAII-TV, KHAW-TV and KHON-TV, or KSNC(TV) and KSNW(TV).  While there was partial overlap between KBVO(TV)’s and KXAN-TV’s City Grade contours, the Commission has previously granted a “satellite” exemption under the Commission’s </w:t>
      </w:r>
      <w:r w:rsidRPr="008C7C9E">
        <w:rPr>
          <w:i/>
        </w:rPr>
        <w:t>ad hoc</w:t>
      </w:r>
      <w:r w:rsidRPr="008C7C9E">
        <w:t xml:space="preserve"> analysis.  </w:t>
      </w:r>
      <w:r w:rsidRPr="008C7C9E">
        <w:rPr>
          <w:i/>
          <w:iCs/>
        </w:rPr>
        <w:t xml:space="preserve">AT&amp;T Corp. et al., </w:t>
      </w:r>
      <w:r w:rsidRPr="008C7C9E">
        <w:rPr>
          <w:iCs/>
        </w:rPr>
        <w:t xml:space="preserve">Memorandum Opinion and Order, </w:t>
      </w:r>
      <w:r w:rsidRPr="008C7C9E">
        <w:t>13 FCC Rcd 4633 (1998) (“</w:t>
      </w:r>
      <w:r w:rsidRPr="008C7C9E">
        <w:rPr>
          <w:i/>
        </w:rPr>
        <w:t>AT&amp;T Corp.</w:t>
      </w:r>
      <w:r w:rsidRPr="008C7C9E">
        <w:t xml:space="preserve">”).  Because the first criterion of the presumptive exemption no longer applies we must evaluate all of these “satellite” exemption requests on an ad hoc basis.  </w:t>
      </w:r>
      <w:r w:rsidRPr="008C7C9E">
        <w:rPr>
          <w:i/>
        </w:rPr>
        <w:t>Television Satellite Stations</w:t>
      </w:r>
      <w:r w:rsidRPr="008C7C9E">
        <w:t>, 6 FCC Rcd at 4214, ¶ 14.</w:t>
      </w:r>
    </w:p>
  </w:footnote>
  <w:footnote w:id="57">
    <w:p w14:paraId="48F438FC" w14:textId="473CEE8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at 4215, ¶19.</w:t>
      </w:r>
    </w:p>
  </w:footnote>
  <w:footnote w:id="58">
    <w:p w14:paraId="5C3AFD54" w14:textId="18C71EE5" w:rsidR="00EF0532" w:rsidRPr="008C7C9E" w:rsidRDefault="00EF0532" w:rsidP="008C7C9E">
      <w:pPr>
        <w:pStyle w:val="FootnoteText"/>
      </w:pPr>
      <w:r w:rsidRPr="008C7C9E">
        <w:rPr>
          <w:rStyle w:val="FootnoteReference"/>
        </w:rPr>
        <w:footnoteRef/>
      </w:r>
      <w:r w:rsidRPr="008C7C9E">
        <w:t xml:space="preserve"> Both KAHW-TV and KAII-TV have historically served as satellites of KHON-TV and brought programming from Honolulu “to viewers dispersed across the state’s eight islands, which are separated from one another by large expanses of water and have mountainous terrain which can obstruct reception of broadcast signals.”  Comprehensive Exhibit at 25; </w:t>
      </w:r>
      <w:r w:rsidRPr="008C7C9E">
        <w:rPr>
          <w:i/>
        </w:rPr>
        <w:t>see</w:t>
      </w:r>
      <w:r w:rsidRPr="008C7C9E">
        <w:t xml:space="preserve"> </w:t>
      </w:r>
      <w:r w:rsidRPr="008C7C9E">
        <w:rPr>
          <w:i/>
        </w:rPr>
        <w:t>BBC License Subsidiary L.P. et al.</w:t>
      </w:r>
      <w:r w:rsidRPr="008C7C9E">
        <w:t>, Memorandum Opinion and Order, 10 FCC Rcd 10968,  10976, ¶¶ 41-44 (1996)(“</w:t>
      </w:r>
      <w:r w:rsidRPr="008C7C9E">
        <w:rPr>
          <w:i/>
        </w:rPr>
        <w:t>BBC License Subsidiary</w:t>
      </w:r>
      <w:r w:rsidRPr="008C7C9E">
        <w:t xml:space="preserve">”) (discussing Hawaii’s unique geography as a basis for granting a “satellite” exemption under the Commission’s ad hoc analysis). </w:t>
      </w:r>
    </w:p>
  </w:footnote>
  <w:footnote w:id="59">
    <w:p w14:paraId="5E155AED"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at 26.</w:t>
      </w:r>
    </w:p>
  </w:footnote>
  <w:footnote w:id="60">
    <w:p w14:paraId="744E2703" w14:textId="77777777" w:rsidR="00EF0532" w:rsidRPr="008C7C9E" w:rsidRDefault="00EF0532" w:rsidP="008C7C9E">
      <w:pPr>
        <w:pStyle w:val="FootnoteText"/>
      </w:pPr>
      <w:r w:rsidRPr="008C7C9E">
        <w:rPr>
          <w:rStyle w:val="FootnoteReference"/>
        </w:rPr>
        <w:footnoteRef/>
      </w:r>
      <w:r w:rsidRPr="008C7C9E">
        <w:t xml:space="preserve"> Comprehensive Exhibit</w:t>
      </w:r>
      <w:r w:rsidRPr="008C7C9E">
        <w:rPr>
          <w:i/>
        </w:rPr>
        <w:t xml:space="preserve">, </w:t>
      </w:r>
      <w:r w:rsidRPr="008C7C9E">
        <w:t>Attachments D-1, D-2, and D-3.  All the letters are dated May 8, 2014.</w:t>
      </w:r>
    </w:p>
  </w:footnote>
  <w:footnote w:id="61">
    <w:p w14:paraId="753B9406"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See e.g.,</w:t>
      </w:r>
      <w:r w:rsidRPr="008C7C9E">
        <w:t xml:space="preserve"> Comprehensive Exhibit</w:t>
      </w:r>
      <w:r w:rsidRPr="008C7C9E">
        <w:rPr>
          <w:i/>
        </w:rPr>
        <w:t xml:space="preserve">, </w:t>
      </w:r>
      <w:r w:rsidRPr="008C7C9E">
        <w:t>Attachment D-1 at 3.</w:t>
      </w:r>
    </w:p>
  </w:footnote>
  <w:footnote w:id="62">
    <w:p w14:paraId="09AAA6CA" w14:textId="22004EE8" w:rsidR="00EF0532" w:rsidRPr="008C7C9E" w:rsidRDefault="00EF0532" w:rsidP="008C7C9E">
      <w:pPr>
        <w:pStyle w:val="FootnoteText"/>
      </w:pPr>
      <w:r w:rsidRPr="008C7C9E">
        <w:rPr>
          <w:rStyle w:val="FootnoteReference"/>
        </w:rPr>
        <w:footnoteRef/>
      </w:r>
      <w:r w:rsidRPr="008C7C9E">
        <w:t xml:space="preserve"> Comprehensive Exhibit, Attachment D-1 at 2-3; Comprehensive Exhibit, Attachment D-3 at 2. </w:t>
      </w:r>
    </w:p>
  </w:footnote>
  <w:footnote w:id="63">
    <w:p w14:paraId="72CD498E" w14:textId="77777777" w:rsidR="00EF0532" w:rsidRPr="008C7C9E" w:rsidRDefault="00EF0532" w:rsidP="008C7C9E">
      <w:pPr>
        <w:pStyle w:val="FootnoteText"/>
      </w:pPr>
      <w:r w:rsidRPr="008C7C9E">
        <w:rPr>
          <w:rStyle w:val="FootnoteReference"/>
        </w:rPr>
        <w:footnoteRef/>
      </w:r>
      <w:r w:rsidRPr="008C7C9E">
        <w:t xml:space="preserve"> Comprehensive Exhibit</w:t>
      </w:r>
      <w:r w:rsidRPr="008C7C9E">
        <w:rPr>
          <w:i/>
        </w:rPr>
        <w:t xml:space="preserve">, </w:t>
      </w:r>
      <w:r w:rsidRPr="008C7C9E">
        <w:t>Attachment D-1 at 3.</w:t>
      </w:r>
    </w:p>
  </w:footnote>
  <w:footnote w:id="64">
    <w:p w14:paraId="488BB2F0" w14:textId="77777777" w:rsidR="00EF0532" w:rsidRPr="008C7C9E" w:rsidRDefault="00EF0532" w:rsidP="008C7C9E">
      <w:pPr>
        <w:pStyle w:val="FootnoteText"/>
      </w:pPr>
      <w:r w:rsidRPr="008C7C9E">
        <w:rPr>
          <w:rStyle w:val="FootnoteReference"/>
        </w:rPr>
        <w:footnoteRef/>
      </w:r>
      <w:r w:rsidRPr="008C7C9E">
        <w:t xml:space="preserve"> Comprehensive Exhibit</w:t>
      </w:r>
      <w:r w:rsidRPr="008C7C9E">
        <w:rPr>
          <w:i/>
        </w:rPr>
        <w:t xml:space="preserve">, </w:t>
      </w:r>
      <w:r w:rsidRPr="008C7C9E">
        <w:t>Attachment D-2 at 2.</w:t>
      </w:r>
    </w:p>
  </w:footnote>
  <w:footnote w:id="65">
    <w:p w14:paraId="325C7FD3" w14:textId="77777777" w:rsidR="00EF0532" w:rsidRPr="008C7C9E" w:rsidRDefault="00EF0532" w:rsidP="008C7C9E">
      <w:pPr>
        <w:pStyle w:val="FootnoteText"/>
      </w:pPr>
      <w:r w:rsidRPr="008C7C9E">
        <w:rPr>
          <w:rStyle w:val="FootnoteReference"/>
        </w:rPr>
        <w:footnoteRef/>
      </w:r>
      <w:r w:rsidRPr="008C7C9E">
        <w:t xml:space="preserve"> Comprehensive Exhibit, Attachment D-3 at 2.</w:t>
      </w:r>
    </w:p>
  </w:footnote>
  <w:footnote w:id="66">
    <w:p w14:paraId="21A084F1" w14:textId="7EC4AED1" w:rsidR="00EF0532" w:rsidRPr="008C7C9E" w:rsidRDefault="00EF0532" w:rsidP="008C7C9E">
      <w:pPr>
        <w:pStyle w:val="FootnoteText"/>
      </w:pPr>
      <w:r w:rsidRPr="008C7C9E">
        <w:rPr>
          <w:rStyle w:val="FootnoteReference"/>
        </w:rPr>
        <w:footnoteRef/>
      </w:r>
      <w:r w:rsidRPr="008C7C9E">
        <w:t xml:space="preserve"> </w:t>
      </w:r>
      <w:r w:rsidRPr="008C7C9E">
        <w:rPr>
          <w:i/>
        </w:rPr>
        <w:t>See e.g., AT&amp;T Corp.</w:t>
      </w:r>
      <w:r w:rsidRPr="008C7C9E">
        <w:t xml:space="preserve">, 13 FCC Rcd at 4645-47, ¶¶ 32-37 (granting a satellite exemption to KBVO(TV) to operate as a satellite of KXAN-TV); </w:t>
      </w:r>
      <w:r w:rsidRPr="008C7C9E">
        <w:rPr>
          <w:i/>
        </w:rPr>
        <w:t>BBC License Subsidiary</w:t>
      </w:r>
      <w:r w:rsidRPr="008C7C9E">
        <w:t xml:space="preserve">, Memorandum Opinion and Order, 10 FCC Rcd at 10976, ¶¶ 41-44 (1996) (granting a satellite exemption to KHAW-TV, and KAII-TV to operate as satellites of KHON-TV); </w:t>
      </w:r>
      <w:r w:rsidRPr="008C7C9E">
        <w:rPr>
          <w:i/>
        </w:rPr>
        <w:t xml:space="preserve">HBKV NV LLC, </w:t>
      </w:r>
      <w:r w:rsidRPr="008C7C9E">
        <w:t>25 FCC Rcd at 2355-56, ¶¶ 6-12 (MB 2010) (granting a satellite exemption to KSNC(TV) to operate as a satellite of KSNW(TV)).</w:t>
      </w:r>
    </w:p>
  </w:footnote>
  <w:footnote w:id="67">
    <w:p w14:paraId="1FF227B7" w14:textId="77777777" w:rsidR="00EF0532" w:rsidRPr="008C7C9E" w:rsidRDefault="00EF0532" w:rsidP="008C7C9E">
      <w:pPr>
        <w:pStyle w:val="FootnoteText"/>
      </w:pPr>
      <w:r w:rsidRPr="008C7C9E">
        <w:rPr>
          <w:rStyle w:val="FootnoteReference"/>
        </w:rPr>
        <w:footnoteRef/>
      </w:r>
      <w:r w:rsidRPr="008C7C9E">
        <w:t xml:space="preserve"> File Nos. BTCCDT-20140509ADI (Post-Merger Media General) and BALCDT-20140827ANL (Sinclair).</w:t>
      </w:r>
    </w:p>
  </w:footnote>
  <w:footnote w:id="68">
    <w:p w14:paraId="27EA6808" w14:textId="76A86776" w:rsidR="00EF0532" w:rsidRPr="008C7C9E" w:rsidRDefault="00EF0532" w:rsidP="008C7C9E">
      <w:pPr>
        <w:autoSpaceDE w:val="0"/>
        <w:autoSpaceDN w:val="0"/>
        <w:adjustRightInd w:val="0"/>
        <w:spacing w:after="120"/>
        <w:rPr>
          <w:color w:val="010101"/>
          <w:sz w:val="20"/>
        </w:rPr>
      </w:pPr>
      <w:r w:rsidRPr="008C7C9E">
        <w:rPr>
          <w:rStyle w:val="FootnoteReference"/>
        </w:rPr>
        <w:footnoteRef/>
      </w:r>
      <w:r w:rsidRPr="008C7C9E">
        <w:rPr>
          <w:sz w:val="20"/>
        </w:rPr>
        <w:t xml:space="preserve"> 47 C.F.R. § 73.3555(b); </w:t>
      </w:r>
      <w:r w:rsidRPr="008C7C9E">
        <w:rPr>
          <w:i/>
          <w:iCs/>
          <w:color w:val="010101"/>
          <w:sz w:val="20"/>
        </w:rPr>
        <w:t xml:space="preserve">See K. Rupert Murdoch, </w:t>
      </w:r>
      <w:r w:rsidRPr="008C7C9E">
        <w:rPr>
          <w:color w:val="010101"/>
          <w:sz w:val="20"/>
        </w:rPr>
        <w:t xml:space="preserve">Memorandum Opinion and Order, 21 FCC Rcd 11499, 11500, ¶ 5 (2006) (“failing” station waivers must be reevaluated, </w:t>
      </w:r>
      <w:r w:rsidRPr="008C7C9E">
        <w:rPr>
          <w:i/>
          <w:color w:val="010101"/>
          <w:sz w:val="20"/>
        </w:rPr>
        <w:t>de novo,</w:t>
      </w:r>
      <w:r w:rsidRPr="008C7C9E">
        <w:rPr>
          <w:color w:val="010101"/>
          <w:sz w:val="20"/>
        </w:rPr>
        <w:t xml:space="preserve"> in the context of a long-form change of control application).</w:t>
      </w:r>
    </w:p>
  </w:footnote>
  <w:footnote w:id="69">
    <w:p w14:paraId="66A5B87F" w14:textId="7F6DF9A7" w:rsidR="00EF0532" w:rsidRPr="008C7C9E" w:rsidRDefault="00EF0532" w:rsidP="008C7C9E">
      <w:pPr>
        <w:pStyle w:val="ParaNum"/>
        <w:numPr>
          <w:ilvl w:val="0"/>
          <w:numId w:val="0"/>
        </w:numPr>
        <w:autoSpaceDE w:val="0"/>
        <w:autoSpaceDN w:val="0"/>
        <w:adjustRightInd w:val="0"/>
        <w:rPr>
          <w:color w:val="010101"/>
          <w:sz w:val="20"/>
        </w:rPr>
      </w:pPr>
      <w:r w:rsidRPr="008C7C9E">
        <w:rPr>
          <w:rStyle w:val="FootnoteReference"/>
        </w:rPr>
        <w:footnoteRef/>
      </w:r>
      <w:r w:rsidRPr="008C7C9E">
        <w:rPr>
          <w:sz w:val="20"/>
        </w:rPr>
        <w:t xml:space="preserve"> </w:t>
      </w:r>
      <w:r w:rsidRPr="008C7C9E">
        <w:rPr>
          <w:color w:val="010101"/>
          <w:sz w:val="20"/>
        </w:rPr>
        <w:t xml:space="preserve">Currently, LIN Media operates both WCWF(TV) and WLUK-TV as the result of a “failing” station waiver.   Meanwhile, Media General operates WBAY-TV.  All three stations are located within the Green Bay-Appleton, Wisconsin DMA.  </w:t>
      </w:r>
      <w:r w:rsidRPr="008C7C9E">
        <w:rPr>
          <w:sz w:val="20"/>
        </w:rPr>
        <w:t xml:space="preserve">Post-Merger Media General states that both WLUK-TV and WBAY-TV rank in the top four in the market based on audience share.  While WCWF(TV) is not ranked in the top four, fewer than eight independently owned and operated television stations would remain in the market post-merger.  While Post-Merger Media General can request a continuation of the existing “failing” station waiver held by LIN in order to continue operating WCWF(TV), divestiture of either WLUK-TV or WBAY-TV is required to comply with the Commission’s local TV ownership rule.  Accordingly, Post-Merger Media General has proposed assigning both WLUK-TV and WCWF(TV) to Sinclair.   In order to facilitate the divestiture of the stations to Sinclair, both stations will first be assigned from LIN Media to Post-Merger Media General.  Because these are two distinct transactions we must evaluate each “failing” station waiver request </w:t>
      </w:r>
      <w:r w:rsidRPr="008C7C9E">
        <w:rPr>
          <w:i/>
          <w:sz w:val="20"/>
        </w:rPr>
        <w:t>de novo</w:t>
      </w:r>
      <w:r w:rsidRPr="008C7C9E">
        <w:rPr>
          <w:sz w:val="20"/>
        </w:rPr>
        <w:t xml:space="preserve">.  While our analysis is conducted in the context of Sinclair’s “failing” station waiver request our evaluation and conclusion also applies to Post-Merger Media General’s request. </w:t>
      </w:r>
    </w:p>
  </w:footnote>
  <w:footnote w:id="70">
    <w:p w14:paraId="7EA3C5D0" w14:textId="36BE9F39" w:rsidR="00EF0532" w:rsidRPr="008C7C9E" w:rsidRDefault="00EF0532" w:rsidP="008C7C9E">
      <w:pPr>
        <w:pStyle w:val="FootnoteText"/>
      </w:pPr>
      <w:r w:rsidRPr="008C7C9E">
        <w:rPr>
          <w:rStyle w:val="FootnoteReference"/>
        </w:rPr>
        <w:footnoteRef/>
      </w:r>
      <w:r>
        <w:t xml:space="preserve"> File No. BTCCDT-</w:t>
      </w:r>
      <w:r w:rsidRPr="008C7C9E">
        <w:t>20140509ADH.</w:t>
      </w:r>
    </w:p>
  </w:footnote>
  <w:footnote w:id="71">
    <w:p w14:paraId="6BE8A90E"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See</w:t>
      </w:r>
      <w:r w:rsidRPr="008C7C9E">
        <w:t xml:space="preserve"> 47 C.F.R. §73.3555, Note 7(3).  </w:t>
      </w:r>
      <w:r w:rsidRPr="008C7C9E">
        <w:rPr>
          <w:i/>
        </w:rPr>
        <w:t>See Application of K-W TV, Inc. and WTNH Broadcasting, Inc. for Consent to the Assignment of WCTX(TV), New Haven, Connecticut</w:t>
      </w:r>
      <w:r w:rsidRPr="008C7C9E">
        <w:t>, Letter, 17 FCC Rcd 775 (MMB 2000) (granting unbuilt station waiver request).</w:t>
      </w:r>
    </w:p>
  </w:footnote>
  <w:footnote w:id="72">
    <w:p w14:paraId="57AA7EE3"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Review of the Commission’s Regulations Governing Television Broadcasting</w:t>
      </w:r>
      <w:r w:rsidRPr="008C7C9E">
        <w:t>, Report and Order,</w:t>
      </w:r>
      <w:r w:rsidRPr="008C7C9E">
        <w:rPr>
          <w:i/>
        </w:rPr>
        <w:t xml:space="preserve"> </w:t>
      </w:r>
      <w:r w:rsidRPr="008C7C9E">
        <w:t>14 FCC Rcd 12903 (1999) (“</w:t>
      </w:r>
      <w:r w:rsidRPr="008C7C9E">
        <w:rPr>
          <w:i/>
        </w:rPr>
        <w:t>Local Ownership Order”</w:t>
      </w:r>
      <w:r w:rsidRPr="008C7C9E">
        <w:t xml:space="preserve">), </w:t>
      </w:r>
      <w:r w:rsidRPr="008C7C9E">
        <w:rPr>
          <w:i/>
        </w:rPr>
        <w:t>recon. granted in part</w:t>
      </w:r>
      <w:r w:rsidRPr="008C7C9E">
        <w:t>, 16 FCC Rcd 1067 (2001)(“</w:t>
      </w:r>
      <w:r w:rsidRPr="008C7C9E">
        <w:rPr>
          <w:i/>
        </w:rPr>
        <w:t>Local Ownership Order Reconsideration</w:t>
      </w:r>
      <w:r w:rsidRPr="008C7C9E">
        <w:t xml:space="preserve">”).  </w:t>
      </w:r>
    </w:p>
  </w:footnote>
  <w:footnote w:id="73">
    <w:p w14:paraId="42D2AD98"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Local Ownership Order</w:t>
      </w:r>
      <w:r w:rsidRPr="008C7C9E">
        <w:t>, 14 FCC Rcd at 12938, ¶ 79.</w:t>
      </w:r>
    </w:p>
  </w:footnote>
  <w:footnote w:id="74">
    <w:p w14:paraId="275A85F9" w14:textId="72657AE8"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at 12939-40, ¶ 81; 47 C.F.R. § 73.3555, note 7.</w:t>
      </w:r>
    </w:p>
  </w:footnote>
  <w:footnote w:id="75">
    <w:p w14:paraId="56D26E8F"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Local Ownership Order on Reconsideration</w:t>
      </w:r>
      <w:r w:rsidRPr="008C7C9E">
        <w:t xml:space="preserve">, 16 FCC Rcd at 1079, ¶ 36.  </w:t>
      </w:r>
    </w:p>
  </w:footnote>
  <w:footnote w:id="76">
    <w:p w14:paraId="61E83A44"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w:t>
      </w:r>
    </w:p>
  </w:footnote>
  <w:footnote w:id="77">
    <w:p w14:paraId="25102623" w14:textId="77777777" w:rsidR="00EF0532" w:rsidRPr="008C7C9E" w:rsidRDefault="00EF0532" w:rsidP="008C7C9E">
      <w:pPr>
        <w:pStyle w:val="FootnoteText"/>
      </w:pPr>
      <w:r w:rsidRPr="008C7C9E">
        <w:rPr>
          <w:rStyle w:val="FootnoteReference"/>
        </w:rPr>
        <w:footnoteRef/>
      </w:r>
      <w:r w:rsidRPr="008C7C9E">
        <w:t xml:space="preserve"> File No. BALCDT-20140827ANL, Attachment 18 at 1 (“Sinclair Waiver Application”).</w:t>
      </w:r>
    </w:p>
  </w:footnote>
  <w:footnote w:id="78">
    <w:p w14:paraId="7793C19C" w14:textId="77777777" w:rsidR="00EF0532" w:rsidRPr="008C7C9E" w:rsidRDefault="00EF0532" w:rsidP="008C7C9E">
      <w:pPr>
        <w:pStyle w:val="FootnoteText"/>
      </w:pPr>
      <w:r w:rsidRPr="008C7C9E">
        <w:rPr>
          <w:rStyle w:val="FootnoteReference"/>
        </w:rPr>
        <w:footnoteRef/>
      </w:r>
      <w:r w:rsidRPr="008C7C9E">
        <w:t xml:space="preserve"> Comprehensive Exhibit at 31.</w:t>
      </w:r>
    </w:p>
  </w:footnote>
  <w:footnote w:id="79">
    <w:p w14:paraId="7A778703" w14:textId="77777777" w:rsidR="00EF0532" w:rsidRPr="008C7C9E" w:rsidRDefault="00EF0532" w:rsidP="008C7C9E">
      <w:pPr>
        <w:pStyle w:val="FootnoteText"/>
      </w:pPr>
      <w:r w:rsidRPr="008C7C9E">
        <w:rPr>
          <w:rStyle w:val="FootnoteReference"/>
        </w:rPr>
        <w:footnoteRef/>
      </w:r>
      <w:r w:rsidRPr="008C7C9E">
        <w:t xml:space="preserve"> Sinclair Waiver Application at 2.  Specific financial information relating to the station’s current operations have been submitted to the Commission with a request for confidential treatment.</w:t>
      </w:r>
    </w:p>
  </w:footnote>
  <w:footnote w:id="80">
    <w:p w14:paraId="56837C58" w14:textId="77777777" w:rsidR="00EF0532" w:rsidRPr="008C7C9E" w:rsidRDefault="00EF0532" w:rsidP="008C7C9E">
      <w:pPr>
        <w:pStyle w:val="FootnoteText"/>
      </w:pPr>
      <w:r w:rsidRPr="008C7C9E">
        <w:rPr>
          <w:rStyle w:val="FootnoteReference"/>
        </w:rPr>
        <w:footnoteRef/>
      </w:r>
      <w:r w:rsidRPr="008C7C9E">
        <w:t xml:space="preserve"> Comprehensive Exhibit at 31 and Attachment E-2.  Specific financial information relating to the station’s current operations has been submitted to the Commission with a request for confidential treatment. </w:t>
      </w:r>
    </w:p>
  </w:footnote>
  <w:footnote w:id="81">
    <w:p w14:paraId="0D46185C" w14:textId="77777777" w:rsidR="00EF0532" w:rsidRPr="008C7C9E" w:rsidRDefault="00EF0532" w:rsidP="008C7C9E">
      <w:pPr>
        <w:pStyle w:val="FootnoteText"/>
      </w:pPr>
      <w:r w:rsidRPr="008C7C9E">
        <w:rPr>
          <w:rStyle w:val="FootnoteReference"/>
        </w:rPr>
        <w:footnoteRef/>
      </w:r>
      <w:r w:rsidRPr="008C7C9E">
        <w:t xml:space="preserve"> Sinclair Waiver Application at 3.</w:t>
      </w:r>
    </w:p>
  </w:footnote>
  <w:footnote w:id="82">
    <w:p w14:paraId="55213379"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at 2-3</w:t>
      </w:r>
    </w:p>
  </w:footnote>
  <w:footnote w:id="83">
    <w:p w14:paraId="75C08FAE"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at 3.</w:t>
      </w:r>
    </w:p>
  </w:footnote>
  <w:footnote w:id="84">
    <w:p w14:paraId="77550789" w14:textId="77777777" w:rsidR="00EF0532" w:rsidRPr="008C7C9E" w:rsidRDefault="00EF0532" w:rsidP="008C7C9E">
      <w:pPr>
        <w:pStyle w:val="FootnoteText"/>
      </w:pPr>
      <w:r w:rsidRPr="008C7C9E">
        <w:rPr>
          <w:rStyle w:val="FootnoteReference"/>
        </w:rPr>
        <w:footnoteRef/>
      </w:r>
      <w:r w:rsidRPr="008C7C9E">
        <w:t xml:space="preserve"> Comprehensive Exhibit at 31.</w:t>
      </w:r>
    </w:p>
  </w:footnote>
  <w:footnote w:id="85">
    <w:p w14:paraId="140F0065"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at 31-32. </w:t>
      </w:r>
    </w:p>
  </w:footnote>
  <w:footnote w:id="86">
    <w:p w14:paraId="1E8ECC47"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at 32.</w:t>
      </w:r>
    </w:p>
  </w:footnote>
  <w:footnote w:id="87">
    <w:p w14:paraId="673F925D"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p>
  </w:footnote>
  <w:footnote w:id="88">
    <w:p w14:paraId="0CDEDA12" w14:textId="77777777" w:rsidR="00EF0532" w:rsidRPr="008C7C9E" w:rsidRDefault="00EF0532" w:rsidP="008C7C9E">
      <w:pPr>
        <w:pStyle w:val="FootnoteText"/>
      </w:pPr>
      <w:r w:rsidRPr="008C7C9E">
        <w:rPr>
          <w:rStyle w:val="FootnoteReference"/>
        </w:rPr>
        <w:footnoteRef/>
      </w:r>
      <w:r w:rsidRPr="008C7C9E">
        <w:t xml:space="preserve"> Sinclair Waiver Application, Attachment 1; Comprehensive Exhibit, Attachments E-1 and E-2.  All three letters are dated May 8, 2014.</w:t>
      </w:r>
    </w:p>
  </w:footnote>
  <w:footnote w:id="89">
    <w:p w14:paraId="5C60A7AC"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See e.g.,</w:t>
      </w:r>
      <w:r w:rsidRPr="008C7C9E">
        <w:t xml:space="preserve"> Sinclair Waiver Application, Attachment 1 at 3; Comprehensive Exhibit, Attachment E-2 at 3. </w:t>
      </w:r>
    </w:p>
  </w:footnote>
  <w:footnote w:id="90">
    <w:p w14:paraId="030D681A" w14:textId="77777777" w:rsidR="00EF0532" w:rsidRPr="008C7C9E" w:rsidRDefault="00EF0532" w:rsidP="008C7C9E">
      <w:pPr>
        <w:pStyle w:val="FootnoteText"/>
      </w:pPr>
      <w:r w:rsidRPr="008C7C9E">
        <w:rPr>
          <w:rStyle w:val="FootnoteReference"/>
        </w:rPr>
        <w:footnoteRef/>
      </w:r>
      <w:r w:rsidRPr="008C7C9E">
        <w:t xml:space="preserve"> Sinclair Waiver Application, Attachment 1 at 2.</w:t>
      </w:r>
    </w:p>
  </w:footnote>
  <w:footnote w:id="91">
    <w:p w14:paraId="345F4F2A"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at 3.</w:t>
      </w:r>
    </w:p>
  </w:footnote>
  <w:footnote w:id="92">
    <w:p w14:paraId="476CCE0F"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w:t>
      </w:r>
    </w:p>
  </w:footnote>
  <w:footnote w:id="93">
    <w:p w14:paraId="3429F116" w14:textId="77777777" w:rsidR="00EF0532" w:rsidRPr="008C7C9E" w:rsidRDefault="00EF0532" w:rsidP="008C7C9E">
      <w:pPr>
        <w:pStyle w:val="FootnoteText"/>
      </w:pPr>
      <w:r w:rsidRPr="008C7C9E">
        <w:rPr>
          <w:rStyle w:val="FootnoteReference"/>
        </w:rPr>
        <w:footnoteRef/>
      </w:r>
      <w:r w:rsidRPr="008C7C9E">
        <w:t xml:space="preserve"> Comprehensive Exhibit, Attachment E-2 at 2</w:t>
      </w:r>
    </w:p>
  </w:footnote>
  <w:footnote w:id="94">
    <w:p w14:paraId="4812B873"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Id.</w:t>
      </w:r>
      <w:r w:rsidRPr="008C7C9E">
        <w:t xml:space="preserve"> at 3.</w:t>
      </w:r>
    </w:p>
  </w:footnote>
  <w:footnote w:id="95">
    <w:p w14:paraId="113AFD5B" w14:textId="11600305" w:rsidR="00EF0532" w:rsidRPr="008C7C9E" w:rsidRDefault="00EF0532" w:rsidP="008C7C9E">
      <w:pPr>
        <w:pStyle w:val="FootnoteText"/>
      </w:pPr>
      <w:r w:rsidRPr="008C7C9E">
        <w:rPr>
          <w:rStyle w:val="FootnoteReference"/>
        </w:rPr>
        <w:footnoteRef/>
      </w:r>
      <w:r w:rsidRPr="008C7C9E">
        <w:t xml:space="preserve"> </w:t>
      </w:r>
      <w:r w:rsidRPr="008C7C9E">
        <w:rPr>
          <w:i/>
        </w:rPr>
        <w:t>Id.</w:t>
      </w:r>
    </w:p>
  </w:footnote>
  <w:footnote w:id="96">
    <w:p w14:paraId="1F163CEA" w14:textId="77777777" w:rsidR="00EF0532" w:rsidRPr="008C7C9E" w:rsidRDefault="00EF0532" w:rsidP="008C7C9E">
      <w:pPr>
        <w:pStyle w:val="FootnoteText"/>
      </w:pPr>
      <w:r w:rsidRPr="008C7C9E">
        <w:rPr>
          <w:rStyle w:val="FootnoteReference"/>
        </w:rPr>
        <w:footnoteRef/>
      </w:r>
      <w:r w:rsidRPr="008C7C9E">
        <w:t xml:space="preserve"> 47 C.F.R. § 73.3555, Note 7.</w:t>
      </w:r>
    </w:p>
  </w:footnote>
  <w:footnote w:id="97">
    <w:p w14:paraId="332BA0F8" w14:textId="3A9654D0" w:rsidR="00EF0532" w:rsidRPr="008C7C9E" w:rsidRDefault="00EF0532" w:rsidP="008C7C9E">
      <w:pPr>
        <w:pStyle w:val="FootnoteText"/>
      </w:pPr>
      <w:r w:rsidRPr="008C7C9E">
        <w:rPr>
          <w:rStyle w:val="FootnoteReference"/>
        </w:rPr>
        <w:footnoteRef/>
      </w:r>
      <w:r w:rsidRPr="008C7C9E">
        <w:t xml:space="preserve"> </w:t>
      </w:r>
      <w:r w:rsidRPr="008C7C9E">
        <w:rPr>
          <w:i/>
        </w:rPr>
        <w:t>Tribune Bankruptcy Order</w:t>
      </w:r>
      <w:r w:rsidRPr="008C7C9E">
        <w:t xml:space="preserve">, Memorandum Opinion and Order, 27 FCC Rcd at 14261, ¶ 52 (MB 2012) (finding that under the totality of the circumstances, </w:t>
      </w:r>
      <w:r w:rsidRPr="008C7C9E">
        <w:rPr>
          <w:bCs/>
        </w:rPr>
        <w:t xml:space="preserve">predictive judgments by brokers or analysts may be sufficient in some </w:t>
      </w:r>
      <w:r w:rsidRPr="008C7C9E">
        <w:t>unique circumstances for demonstrating compliance with the fourth criterion.).</w:t>
      </w:r>
    </w:p>
  </w:footnote>
  <w:footnote w:id="98">
    <w:p w14:paraId="2BCB1A45" w14:textId="77777777" w:rsidR="00EF0532" w:rsidRPr="008C7C9E" w:rsidRDefault="00EF0532" w:rsidP="008C7C9E">
      <w:pPr>
        <w:pStyle w:val="FootnoteText"/>
      </w:pPr>
      <w:r w:rsidRPr="008C7C9E">
        <w:rPr>
          <w:rStyle w:val="FootnoteReference"/>
        </w:rPr>
        <w:footnoteRef/>
      </w:r>
      <w:r w:rsidRPr="008C7C9E">
        <w:t xml:space="preserve"> 47 C.F.R. § 73.35555, Note 7.</w:t>
      </w:r>
    </w:p>
  </w:footnote>
  <w:footnote w:id="99">
    <w:p w14:paraId="29BB8A2E" w14:textId="77777777" w:rsidR="00EF0532" w:rsidRPr="008C7C9E" w:rsidRDefault="00EF0532" w:rsidP="008C7C9E">
      <w:pPr>
        <w:autoSpaceDE w:val="0"/>
        <w:autoSpaceDN w:val="0"/>
        <w:adjustRightInd w:val="0"/>
        <w:spacing w:after="120"/>
        <w:rPr>
          <w:color w:val="010101"/>
          <w:sz w:val="20"/>
        </w:rPr>
      </w:pPr>
      <w:r w:rsidRPr="008C7C9E">
        <w:rPr>
          <w:rStyle w:val="FootnoteReference"/>
        </w:rPr>
        <w:footnoteRef/>
      </w:r>
      <w:r w:rsidRPr="008C7C9E">
        <w:rPr>
          <w:sz w:val="20"/>
        </w:rPr>
        <w:t xml:space="preserve"> </w:t>
      </w:r>
      <w:r w:rsidRPr="008C7C9E">
        <w:rPr>
          <w:rStyle w:val="emphi1"/>
          <w:sz w:val="20"/>
        </w:rPr>
        <w:t>J. Stewart Bryan III &amp; Media Gen. Commc'ns Holdings, LLC (Transferor), Shareholders of New Young Broadcasting Holding Company, Inc., and Its Subsidiaries (Transferor) and Post-Merger Shareholders of Media General, Inc. (Transferee) For Consent to Transfer Control of Licenses</w:t>
      </w:r>
      <w:r w:rsidRPr="008C7C9E">
        <w:rPr>
          <w:sz w:val="20"/>
        </w:rPr>
        <w:t xml:space="preserve">, Memorandum Opinion and Order, 28 FCC Rcd 15509, 15523-24, ¶¶ 37-39 (MB 2013) </w:t>
      </w:r>
    </w:p>
  </w:footnote>
  <w:footnote w:id="100">
    <w:p w14:paraId="1AB0DAA2"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Local Ownership Order</w:t>
      </w:r>
      <w:r w:rsidRPr="008C7C9E">
        <w:t>, 14 FCC Rcd at 12938-40, ¶¶ 78-82.</w:t>
      </w:r>
    </w:p>
  </w:footnote>
  <w:footnote w:id="101">
    <w:p w14:paraId="0DC03D1D"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Shareholders of CBS Corporation</w:t>
      </w:r>
      <w:r w:rsidRPr="008C7C9E">
        <w:t>, Memorandum Opinion and Order, 16 FCC Rcd 16072, 16072-16073, ¶ 3 (2001).</w:t>
      </w:r>
      <w:r w:rsidRPr="008C7C9E">
        <w:rPr>
          <w:i/>
        </w:rPr>
        <w:t xml:space="preserve">  </w:t>
      </w:r>
    </w:p>
  </w:footnote>
  <w:footnote w:id="102">
    <w:p w14:paraId="22F54738" w14:textId="46BF5F6E" w:rsidR="00EF0532" w:rsidRPr="008C7C9E" w:rsidRDefault="00EF0532" w:rsidP="008C7C9E">
      <w:pPr>
        <w:pStyle w:val="FootnoteText"/>
      </w:pPr>
      <w:r w:rsidRPr="008C7C9E">
        <w:rPr>
          <w:rStyle w:val="FootnoteReference"/>
        </w:rPr>
        <w:footnoteRef/>
      </w:r>
      <w:r w:rsidRPr="008C7C9E">
        <w:t xml:space="preserve"> License renewal applications for the following full power stations are currently pending before the Commission:  KOIN(TV), Portland, OR; KHON-TV, Honolulu, HI; KHAW-TV, Hilo, HI; KAII-TV Wailuku, HI; WKBN-TV, Youngstown, OH; KREZ-TV, Durango, CO; WLUK-TV, Green Bay, WI; WOOD-TV, Grand Rapids, MI.</w:t>
      </w:r>
    </w:p>
  </w:footnote>
  <w:footnote w:id="103">
    <w:p w14:paraId="36BA0656"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See</w:t>
      </w:r>
      <w:r w:rsidRPr="008C7C9E">
        <w:t xml:space="preserve"> </w:t>
      </w:r>
      <w:r w:rsidRPr="008C7C9E">
        <w:rPr>
          <w:i/>
        </w:rPr>
        <w:t>Comprehensive Exhibit</w:t>
      </w:r>
      <w:r w:rsidRPr="008C7C9E">
        <w:t xml:space="preserve"> at 19.</w:t>
      </w:r>
    </w:p>
  </w:footnote>
  <w:footnote w:id="104">
    <w:p w14:paraId="1991E6AA" w14:textId="77777777" w:rsidR="00EF0532" w:rsidRPr="008C7C9E" w:rsidRDefault="00EF0532" w:rsidP="008C7C9E">
      <w:pPr>
        <w:pStyle w:val="FootnoteText"/>
      </w:pPr>
      <w:r w:rsidRPr="008C7C9E">
        <w:rPr>
          <w:rStyle w:val="FootnoteReference"/>
        </w:rPr>
        <w:footnoteRef/>
      </w:r>
      <w:r w:rsidRPr="008C7C9E">
        <w:t xml:space="preserve"> </w:t>
      </w:r>
      <w:r w:rsidRPr="008C7C9E">
        <w:rPr>
          <w:i/>
        </w:rPr>
        <w:t>See Cumulus Media, Inc. and Citadel Broadcasting Corp.</w:t>
      </w:r>
      <w:r w:rsidRPr="008C7C9E">
        <w:t>, Memorandum Opinion and Order</w:t>
      </w:r>
      <w:r w:rsidRPr="008C7C9E">
        <w:rPr>
          <w:bCs/>
        </w:rPr>
        <w:t>, 26 FCC Rcd 12956, 12959, ¶ 5 (2011).</w:t>
      </w:r>
    </w:p>
  </w:footnote>
  <w:footnote w:id="105">
    <w:p w14:paraId="3E070D9D" w14:textId="77777777" w:rsidR="00EF0532" w:rsidRPr="008C7C9E" w:rsidRDefault="00EF0532" w:rsidP="008C7C9E">
      <w:pPr>
        <w:tabs>
          <w:tab w:val="left" w:pos="360"/>
        </w:tabs>
        <w:spacing w:after="120"/>
        <w:rPr>
          <w:sz w:val="20"/>
        </w:rPr>
      </w:pPr>
      <w:r w:rsidRPr="008C7C9E">
        <w:rPr>
          <w:sz w:val="20"/>
          <w:vertAlign w:val="superscript"/>
        </w:rPr>
        <w:footnoteRef/>
      </w:r>
      <w:r w:rsidRPr="008C7C9E">
        <w:rPr>
          <w:sz w:val="20"/>
        </w:rPr>
        <w:t xml:space="preserve"> Satellite of KSNW(TV), Wichita, Kansas (Facility ID No. 72358).</w:t>
      </w:r>
    </w:p>
  </w:footnote>
  <w:footnote w:id="106">
    <w:p w14:paraId="2FA20C50" w14:textId="77777777" w:rsidR="00EF0532" w:rsidRPr="008C7C9E" w:rsidRDefault="00EF0532" w:rsidP="008C7C9E">
      <w:pPr>
        <w:tabs>
          <w:tab w:val="left" w:pos="360"/>
        </w:tabs>
        <w:spacing w:after="120"/>
        <w:rPr>
          <w:sz w:val="20"/>
        </w:rPr>
      </w:pPr>
      <w:r w:rsidRPr="008C7C9E">
        <w:rPr>
          <w:sz w:val="20"/>
          <w:vertAlign w:val="superscript"/>
        </w:rPr>
        <w:footnoteRef/>
      </w:r>
      <w:r w:rsidRPr="008C7C9E">
        <w:rPr>
          <w:sz w:val="20"/>
        </w:rPr>
        <w:t xml:space="preserve"> Satellite of KHON-TV, Honolulu, Hawaii (Facility ID No. 4144).</w:t>
      </w:r>
    </w:p>
  </w:footnote>
  <w:footnote w:id="107">
    <w:p w14:paraId="76BF2F74" w14:textId="77777777" w:rsidR="00EF0532" w:rsidRPr="008C7C9E" w:rsidRDefault="00EF0532" w:rsidP="008C7C9E">
      <w:pPr>
        <w:tabs>
          <w:tab w:val="left" w:pos="360"/>
        </w:tabs>
        <w:spacing w:after="120"/>
        <w:rPr>
          <w:sz w:val="20"/>
        </w:rPr>
      </w:pPr>
      <w:r w:rsidRPr="008C7C9E">
        <w:rPr>
          <w:sz w:val="20"/>
          <w:vertAlign w:val="superscript"/>
        </w:rPr>
        <w:footnoteRef/>
      </w:r>
      <w:r w:rsidRPr="008C7C9E">
        <w:rPr>
          <w:sz w:val="20"/>
        </w:rPr>
        <w:t xml:space="preserve"> Satellite of KHON-TV, Honolulu, Hawaii (Facility ID No. 4144).</w:t>
      </w:r>
    </w:p>
  </w:footnote>
  <w:footnote w:id="108">
    <w:p w14:paraId="1F8C5F8B" w14:textId="77777777" w:rsidR="00EF0532" w:rsidRPr="008C7C9E" w:rsidRDefault="00EF0532" w:rsidP="008C7C9E">
      <w:pPr>
        <w:pStyle w:val="FootnoteText"/>
      </w:pPr>
      <w:r w:rsidRPr="008C7C9E">
        <w:rPr>
          <w:rStyle w:val="FootnoteReference"/>
        </w:rPr>
        <w:footnoteRef/>
      </w:r>
      <w:r w:rsidRPr="008C7C9E">
        <w:t xml:space="preserve"> Application filed to assign to Hearst Corporation, File No. BALCDT-20140827ACM.</w:t>
      </w:r>
    </w:p>
  </w:footnote>
  <w:footnote w:id="109">
    <w:p w14:paraId="673A0846" w14:textId="77777777" w:rsidR="00EF0532" w:rsidRPr="008C7C9E" w:rsidRDefault="00EF0532" w:rsidP="008C7C9E">
      <w:pPr>
        <w:pStyle w:val="FootnoteText"/>
      </w:pPr>
      <w:r w:rsidRPr="008C7C9E">
        <w:rPr>
          <w:rStyle w:val="FootnoteReference"/>
        </w:rPr>
        <w:footnoteRef/>
      </w:r>
      <w:r w:rsidRPr="008C7C9E">
        <w:t xml:space="preserve"> Application filed to assign to Meredith Corporation, File No. BALCDT-20140827ANO.</w:t>
      </w:r>
    </w:p>
  </w:footnote>
  <w:footnote w:id="110">
    <w:p w14:paraId="385C48C9" w14:textId="77777777" w:rsidR="00EF0532" w:rsidRPr="008C7C9E" w:rsidRDefault="00EF0532" w:rsidP="008C7C9E">
      <w:pPr>
        <w:pStyle w:val="FootnoteText"/>
        <w:keepNext/>
        <w:keepLines/>
      </w:pPr>
      <w:r w:rsidRPr="008C7C9E">
        <w:rPr>
          <w:rStyle w:val="FootnoteReference"/>
        </w:rPr>
        <w:footnoteRef/>
      </w:r>
      <w:r w:rsidRPr="008C7C9E">
        <w:t xml:space="preserve"> Assignment application filed to assign to Sinclair Broadcast Group, File No. BALCDT-20140827ANM.</w:t>
      </w:r>
    </w:p>
  </w:footnote>
  <w:footnote w:id="111">
    <w:p w14:paraId="47611B50" w14:textId="6FD0A53D" w:rsidR="00EF0532" w:rsidRPr="008C7C9E" w:rsidRDefault="00EF0532" w:rsidP="008C7C9E">
      <w:pPr>
        <w:pStyle w:val="FootnoteText"/>
        <w:keepNext/>
        <w:keepLines/>
      </w:pPr>
      <w:r w:rsidRPr="008C7C9E">
        <w:rPr>
          <w:rStyle w:val="FootnoteReference"/>
        </w:rPr>
        <w:footnoteRef/>
      </w:r>
      <w:r w:rsidRPr="008C7C9E">
        <w:t xml:space="preserve"> Currently operated by LIN Media with WLUK-TV pursuant to a “failing” station waiver. Request for continued “failing” station waiver filed, as well as a request and assignment application filed to assign to Sinclair Broadcast Group, File No. BALCDT-20140827ANL.</w:t>
      </w:r>
    </w:p>
  </w:footnote>
  <w:footnote w:id="112">
    <w:p w14:paraId="7361B329" w14:textId="77777777" w:rsidR="00EF0532" w:rsidRPr="008C7C9E" w:rsidRDefault="00EF0532" w:rsidP="008C7C9E">
      <w:pPr>
        <w:keepNext/>
        <w:keepLines/>
        <w:tabs>
          <w:tab w:val="left" w:pos="360"/>
        </w:tabs>
        <w:spacing w:after="120"/>
        <w:rPr>
          <w:sz w:val="20"/>
        </w:rPr>
      </w:pPr>
      <w:r w:rsidRPr="008C7C9E">
        <w:rPr>
          <w:sz w:val="20"/>
          <w:vertAlign w:val="superscript"/>
        </w:rPr>
        <w:footnoteRef/>
      </w:r>
      <w:r w:rsidRPr="008C7C9E">
        <w:rPr>
          <w:sz w:val="20"/>
        </w:rPr>
        <w:t xml:space="preserve"> Satellite of KXAN-TV, Austin, TX (Facility ID No. 35920).</w:t>
      </w:r>
    </w:p>
  </w:footnote>
  <w:footnote w:id="113">
    <w:p w14:paraId="57D92BF4" w14:textId="2706EE31" w:rsidR="00EF0532" w:rsidRPr="008C7C9E" w:rsidRDefault="00EF0532" w:rsidP="008C7C9E">
      <w:pPr>
        <w:pStyle w:val="FootnoteText"/>
        <w:keepNext/>
        <w:keepLines/>
      </w:pPr>
      <w:r w:rsidRPr="008C7C9E">
        <w:rPr>
          <w:rStyle w:val="FootnoteReference"/>
        </w:rPr>
        <w:footnoteRef/>
      </w:r>
      <w:r w:rsidRPr="008C7C9E">
        <w:t xml:space="preserve"> Currently operated by LIN Media with WTNH-TV pursuant to an “unbuilt” station waiver.  Request for a “failing” station waiver filed by Post-Merger Media General.</w:t>
      </w:r>
    </w:p>
  </w:footnote>
  <w:footnote w:id="114">
    <w:p w14:paraId="062329B4" w14:textId="77777777" w:rsidR="00EF0532" w:rsidRPr="008C7C9E" w:rsidRDefault="00EF0532" w:rsidP="008C7C9E">
      <w:pPr>
        <w:tabs>
          <w:tab w:val="left" w:pos="360"/>
        </w:tabs>
        <w:spacing w:after="120"/>
        <w:rPr>
          <w:sz w:val="20"/>
        </w:rPr>
      </w:pPr>
      <w:r w:rsidRPr="008C7C9E">
        <w:rPr>
          <w:sz w:val="20"/>
          <w:vertAlign w:val="superscript"/>
        </w:rPr>
        <w:footnoteRef/>
      </w:r>
      <w:r w:rsidRPr="008C7C9E">
        <w:rPr>
          <w:sz w:val="20"/>
          <w:vertAlign w:val="superscript"/>
        </w:rPr>
        <w:t xml:space="preserve"> </w:t>
      </w:r>
      <w:r w:rsidRPr="008C7C9E">
        <w:rPr>
          <w:sz w:val="20"/>
        </w:rPr>
        <w:t xml:space="preserve">Satellite of </w:t>
      </w:r>
      <w:r w:rsidRPr="008C7C9E">
        <w:rPr>
          <w:bCs/>
          <w:sz w:val="20"/>
        </w:rPr>
        <w:t>WTEN(TV), Albany, New York (Facility ID No. 74422).</w:t>
      </w:r>
    </w:p>
  </w:footnote>
  <w:footnote w:id="115">
    <w:p w14:paraId="0E0390F8" w14:textId="77777777" w:rsidR="00EF0532" w:rsidRPr="008C7C9E" w:rsidRDefault="00EF0532" w:rsidP="008C7C9E">
      <w:pPr>
        <w:tabs>
          <w:tab w:val="left" w:pos="360"/>
        </w:tabs>
        <w:spacing w:after="120"/>
        <w:rPr>
          <w:sz w:val="20"/>
        </w:rPr>
      </w:pPr>
      <w:r w:rsidRPr="008C7C9E">
        <w:rPr>
          <w:sz w:val="20"/>
          <w:vertAlign w:val="superscript"/>
        </w:rPr>
        <w:footnoteRef/>
      </w:r>
      <w:r w:rsidRPr="008C7C9E">
        <w:rPr>
          <w:sz w:val="20"/>
        </w:rPr>
        <w:t xml:space="preserve"> Satellite of KELO-TV, Sioux Falls, South Dakota (Facility ID No. 41983).</w:t>
      </w:r>
    </w:p>
  </w:footnote>
  <w:footnote w:id="116">
    <w:p w14:paraId="39DD44DF" w14:textId="77777777" w:rsidR="00EF0532" w:rsidRPr="008C7C9E" w:rsidRDefault="00EF0532" w:rsidP="008C7C9E">
      <w:pPr>
        <w:tabs>
          <w:tab w:val="left" w:pos="360"/>
        </w:tabs>
        <w:spacing w:after="120"/>
        <w:rPr>
          <w:sz w:val="20"/>
        </w:rPr>
      </w:pPr>
      <w:r w:rsidRPr="008C7C9E">
        <w:rPr>
          <w:sz w:val="20"/>
          <w:vertAlign w:val="superscript"/>
        </w:rPr>
        <w:footnoteRef/>
      </w:r>
      <w:r w:rsidRPr="008C7C9E">
        <w:rPr>
          <w:sz w:val="20"/>
        </w:rPr>
        <w:t xml:space="preserve"> Satellite of KELO-TV, Sioux Falls, South Dakota (Facility ID No. 41983).</w:t>
      </w:r>
    </w:p>
  </w:footnote>
  <w:footnote w:id="117">
    <w:p w14:paraId="78A8037D" w14:textId="77777777" w:rsidR="00EF0532" w:rsidRPr="008C7C9E" w:rsidRDefault="00EF0532" w:rsidP="008C7C9E">
      <w:pPr>
        <w:pStyle w:val="FootnoteText"/>
      </w:pPr>
      <w:r w:rsidRPr="008C7C9E">
        <w:rPr>
          <w:rStyle w:val="FootnoteReference"/>
        </w:rPr>
        <w:footnoteRef/>
      </w:r>
      <w:r w:rsidRPr="008C7C9E">
        <w:t xml:space="preserve"> Application filed to assign to Sinclair Broadcasting Group, File No. BALCDT-20140827ANP.</w:t>
      </w:r>
    </w:p>
  </w:footnote>
  <w:footnote w:id="118">
    <w:p w14:paraId="609AC280" w14:textId="77777777" w:rsidR="00EF0532" w:rsidRDefault="00EF0532" w:rsidP="008C7C9E">
      <w:pPr>
        <w:pStyle w:val="FootnoteText"/>
      </w:pPr>
      <w:r w:rsidRPr="008C7C9E">
        <w:rPr>
          <w:rStyle w:val="FootnoteReference"/>
        </w:rPr>
        <w:footnoteRef/>
      </w:r>
      <w:r w:rsidRPr="008C7C9E">
        <w:t xml:space="preserve"> Application filed to assign to Hearst Corporation, File No. BALCDT-20140827ACP.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6856" w14:textId="77777777" w:rsidR="009E62D5" w:rsidRDefault="009E6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BDEF" w14:textId="6D2D4DBB" w:rsidR="00EF0532" w:rsidRDefault="00EF0532" w:rsidP="00EE2012">
    <w:pPr>
      <w:pStyle w:val="Header"/>
    </w:pPr>
    <w:r>
      <w:tab/>
      <w:t>Federal Communications Commission</w:t>
    </w:r>
    <w:r>
      <w:tab/>
      <w:t xml:space="preserve">DA 14-1810 </w:t>
    </w:r>
  </w:p>
  <w:p w14:paraId="076539D1" w14:textId="77777777" w:rsidR="00EF0532" w:rsidRDefault="00EF0532" w:rsidP="00EE2012">
    <w:pPr>
      <w:pStyle w:val="Header"/>
    </w:pPr>
    <w:r>
      <w:rPr>
        <w:noProof/>
      </w:rPr>
      <mc:AlternateContent>
        <mc:Choice Requires="wps">
          <w:drawing>
            <wp:anchor distT="0" distB="0" distL="114300" distR="114300" simplePos="0" relativeHeight="251658240" behindDoc="0" locked="0" layoutInCell="0" allowOverlap="1" wp14:anchorId="281B5ABB" wp14:editId="3C748F9A">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5167BF0C" w14:textId="77777777" w:rsidR="00EF0532" w:rsidRDefault="00EF0532" w:rsidP="00EE2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C8EAB" w14:textId="109E11CD" w:rsidR="00EF0532" w:rsidRPr="00EE2012" w:rsidRDefault="00EF0532" w:rsidP="00EE2012">
    <w:pPr>
      <w:pStyle w:val="Header"/>
    </w:pPr>
    <w:r w:rsidRPr="00EE2012">
      <w:tab/>
      <w:t>Federal Communications Commission</w:t>
    </w:r>
    <w:r w:rsidRPr="00EE2012">
      <w:tab/>
      <w:t xml:space="preserve">DA 14-1810 </w:t>
    </w:r>
  </w:p>
  <w:p w14:paraId="725A0671" w14:textId="77777777" w:rsidR="00EF0532" w:rsidRDefault="00EF0532" w:rsidP="00EE2012">
    <w:pPr>
      <w:pStyle w:val="Header"/>
    </w:pPr>
    <w:r>
      <w:rPr>
        <w:noProof/>
      </w:rPr>
      <mc:AlternateContent>
        <mc:Choice Requires="wps">
          <w:drawing>
            <wp:anchor distT="0" distB="0" distL="114300" distR="114300" simplePos="0" relativeHeight="251657216" behindDoc="0" locked="0" layoutInCell="0" allowOverlap="1" wp14:anchorId="5EB5CE5A" wp14:editId="7FBA308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B38EC570"/>
    <w:lvl w:ilvl="0">
      <w:start w:val="1"/>
      <w:numFmt w:val="decimal"/>
      <w:pStyle w:val="StyleParaNum11pt1CharCharCharCharCharChar"/>
      <w:lvlText w:val="%1."/>
      <w:lvlJc w:val="left"/>
      <w:pPr>
        <w:tabs>
          <w:tab w:val="num" w:pos="720"/>
        </w:tabs>
        <w:ind w:left="0" w:firstLine="360"/>
      </w:pPr>
      <w:rPr>
        <w:rFonts w:ascii="Times New Roman" w:hAnsi="Times New Roman" w:hint="default"/>
        <w:b w:val="0"/>
        <w:i w:val="0"/>
        <w:sz w:val="22"/>
        <w:szCs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B6374A"/>
    <w:multiLevelType w:val="hybridMultilevel"/>
    <w:tmpl w:val="8C3AF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9928BC"/>
    <w:multiLevelType w:val="hybridMultilevel"/>
    <w:tmpl w:val="D24C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4946D5"/>
    <w:multiLevelType w:val="hybridMultilevel"/>
    <w:tmpl w:val="2334E1AE"/>
    <w:lvl w:ilvl="0" w:tplc="419A41D6">
      <w:start w:val="8"/>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F1B3D"/>
    <w:multiLevelType w:val="multilevel"/>
    <w:tmpl w:val="7C26389A"/>
    <w:lvl w:ilvl="0">
      <w:start w:val="1"/>
      <w:numFmt w:val="decimal"/>
      <w:lvlText w:val="%1."/>
      <w:lvlJc w:val="left"/>
      <w:pPr>
        <w:tabs>
          <w:tab w:val="num" w:pos="5220"/>
        </w:tabs>
        <w:ind w:left="414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D76101C"/>
    <w:multiLevelType w:val="hybridMultilevel"/>
    <w:tmpl w:val="741CF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510243"/>
    <w:multiLevelType w:val="hybridMultilevel"/>
    <w:tmpl w:val="E53269AE"/>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20"/>
        </w:tabs>
        <w:ind w:left="16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8BA0EE7"/>
    <w:multiLevelType w:val="hybridMultilevel"/>
    <w:tmpl w:val="BF6ADD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94F4C6F"/>
    <w:multiLevelType w:val="hybridMultilevel"/>
    <w:tmpl w:val="17A22220"/>
    <w:lvl w:ilvl="0" w:tplc="28140604">
      <w:start w:val="1"/>
      <w:numFmt w:val="decimal"/>
      <w:lvlText w:val="%1."/>
      <w:lvlJc w:val="left"/>
      <w:pPr>
        <w:tabs>
          <w:tab w:val="num" w:pos="0"/>
        </w:tabs>
        <w:ind w:left="0" w:firstLine="720"/>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8"/>
  </w:num>
  <w:num w:numId="4">
    <w:abstractNumId w:val="12"/>
  </w:num>
  <w:num w:numId="5">
    <w:abstractNumId w:val="5"/>
  </w:num>
  <w:num w:numId="6">
    <w:abstractNumId w:val="8"/>
    <w:lvlOverride w:ilvl="0">
      <w:startOverride w:val="1"/>
    </w:lvlOverride>
  </w:num>
  <w:num w:numId="7">
    <w:abstractNumId w:val="8"/>
    <w:lvlOverride w:ilvl="0">
      <w:startOverride w:val="1"/>
    </w:lvlOverride>
  </w:num>
  <w:num w:numId="8">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7"/>
  </w:num>
  <w:num w:numId="14">
    <w:abstractNumId w:val="2"/>
  </w:num>
  <w:num w:numId="15">
    <w:abstractNumId w:val="16"/>
  </w:num>
  <w:num w:numId="16">
    <w:abstractNumId w:val="7"/>
  </w:num>
  <w:num w:numId="17">
    <w:abstractNumId w:val="14"/>
  </w:num>
  <w:num w:numId="18">
    <w:abstractNumId w:val="9"/>
  </w:num>
  <w:num w:numId="19">
    <w:abstractNumId w:val="0"/>
  </w:num>
  <w:num w:numId="20">
    <w:abstractNumId w:val="10"/>
  </w:num>
  <w:num w:numId="21">
    <w:abstractNumId w:val="3"/>
  </w:num>
  <w:num w:numId="22">
    <w:abstractNumId w:val="6"/>
  </w:num>
  <w:num w:numId="23">
    <w:abstractNumId w:val="11"/>
  </w:num>
  <w:num w:numId="24">
    <w:abstractNumId w:val="4"/>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F7"/>
    <w:rsid w:val="000011D5"/>
    <w:rsid w:val="00003390"/>
    <w:rsid w:val="000035E7"/>
    <w:rsid w:val="00003841"/>
    <w:rsid w:val="000041DA"/>
    <w:rsid w:val="00005539"/>
    <w:rsid w:val="00006B1E"/>
    <w:rsid w:val="00006DE6"/>
    <w:rsid w:val="00007BD0"/>
    <w:rsid w:val="0001067D"/>
    <w:rsid w:val="00010BA1"/>
    <w:rsid w:val="00011615"/>
    <w:rsid w:val="00012342"/>
    <w:rsid w:val="0001478D"/>
    <w:rsid w:val="0002154F"/>
    <w:rsid w:val="00021D34"/>
    <w:rsid w:val="00022907"/>
    <w:rsid w:val="000229BA"/>
    <w:rsid w:val="00022E58"/>
    <w:rsid w:val="00026BE9"/>
    <w:rsid w:val="0002745D"/>
    <w:rsid w:val="00030573"/>
    <w:rsid w:val="0003097C"/>
    <w:rsid w:val="00031487"/>
    <w:rsid w:val="00031DEA"/>
    <w:rsid w:val="000339C2"/>
    <w:rsid w:val="000354B4"/>
    <w:rsid w:val="00036A99"/>
    <w:rsid w:val="00036B67"/>
    <w:rsid w:val="00036CC1"/>
    <w:rsid w:val="00036D27"/>
    <w:rsid w:val="00037BD1"/>
    <w:rsid w:val="00041A03"/>
    <w:rsid w:val="00041B0E"/>
    <w:rsid w:val="00042C10"/>
    <w:rsid w:val="00050DFC"/>
    <w:rsid w:val="0005117D"/>
    <w:rsid w:val="00053A08"/>
    <w:rsid w:val="000549E3"/>
    <w:rsid w:val="000568DC"/>
    <w:rsid w:val="00061410"/>
    <w:rsid w:val="000614D7"/>
    <w:rsid w:val="00061B4C"/>
    <w:rsid w:val="00061E7D"/>
    <w:rsid w:val="00063234"/>
    <w:rsid w:val="00064826"/>
    <w:rsid w:val="00065675"/>
    <w:rsid w:val="00067A47"/>
    <w:rsid w:val="00067C7F"/>
    <w:rsid w:val="000706DB"/>
    <w:rsid w:val="00071CF7"/>
    <w:rsid w:val="0007233D"/>
    <w:rsid w:val="00072394"/>
    <w:rsid w:val="00073874"/>
    <w:rsid w:val="00073B1E"/>
    <w:rsid w:val="00074C2F"/>
    <w:rsid w:val="00074D7A"/>
    <w:rsid w:val="000755D9"/>
    <w:rsid w:val="00077D5A"/>
    <w:rsid w:val="00080AA2"/>
    <w:rsid w:val="00080FB6"/>
    <w:rsid w:val="00081F8A"/>
    <w:rsid w:val="0008261C"/>
    <w:rsid w:val="000837A0"/>
    <w:rsid w:val="000872FE"/>
    <w:rsid w:val="0009323B"/>
    <w:rsid w:val="000936CD"/>
    <w:rsid w:val="00093F4B"/>
    <w:rsid w:val="0009404D"/>
    <w:rsid w:val="0009450E"/>
    <w:rsid w:val="0009541F"/>
    <w:rsid w:val="000961E2"/>
    <w:rsid w:val="00096D97"/>
    <w:rsid w:val="00097B01"/>
    <w:rsid w:val="000A2711"/>
    <w:rsid w:val="000A3186"/>
    <w:rsid w:val="000B07B0"/>
    <w:rsid w:val="000B1D54"/>
    <w:rsid w:val="000B1EC5"/>
    <w:rsid w:val="000B3F90"/>
    <w:rsid w:val="000B40F6"/>
    <w:rsid w:val="000B7E50"/>
    <w:rsid w:val="000C427E"/>
    <w:rsid w:val="000C4E1E"/>
    <w:rsid w:val="000C5200"/>
    <w:rsid w:val="000C534B"/>
    <w:rsid w:val="000C5878"/>
    <w:rsid w:val="000C6B16"/>
    <w:rsid w:val="000C73AB"/>
    <w:rsid w:val="000D1051"/>
    <w:rsid w:val="000D1E67"/>
    <w:rsid w:val="000D24D4"/>
    <w:rsid w:val="000D37D3"/>
    <w:rsid w:val="000D3BD1"/>
    <w:rsid w:val="000D4D44"/>
    <w:rsid w:val="000D5428"/>
    <w:rsid w:val="000D56F2"/>
    <w:rsid w:val="000D71F0"/>
    <w:rsid w:val="000D7524"/>
    <w:rsid w:val="000E04E5"/>
    <w:rsid w:val="000E0C72"/>
    <w:rsid w:val="000E1223"/>
    <w:rsid w:val="000E2014"/>
    <w:rsid w:val="000E20C2"/>
    <w:rsid w:val="000E240B"/>
    <w:rsid w:val="000E32DF"/>
    <w:rsid w:val="000E34AC"/>
    <w:rsid w:val="000E39BD"/>
    <w:rsid w:val="000E3E35"/>
    <w:rsid w:val="000E416F"/>
    <w:rsid w:val="000E4D73"/>
    <w:rsid w:val="000E5310"/>
    <w:rsid w:val="000E6FDC"/>
    <w:rsid w:val="000E7BC9"/>
    <w:rsid w:val="000F0783"/>
    <w:rsid w:val="000F1B00"/>
    <w:rsid w:val="000F1C27"/>
    <w:rsid w:val="000F3AFC"/>
    <w:rsid w:val="000F5E22"/>
    <w:rsid w:val="000F5F32"/>
    <w:rsid w:val="000F7BD2"/>
    <w:rsid w:val="0010035C"/>
    <w:rsid w:val="0010191D"/>
    <w:rsid w:val="00104913"/>
    <w:rsid w:val="00104EEC"/>
    <w:rsid w:val="00105DA3"/>
    <w:rsid w:val="0010779D"/>
    <w:rsid w:val="00113C24"/>
    <w:rsid w:val="00115FAB"/>
    <w:rsid w:val="00116304"/>
    <w:rsid w:val="0011684C"/>
    <w:rsid w:val="00117F29"/>
    <w:rsid w:val="00121D3F"/>
    <w:rsid w:val="00123C9E"/>
    <w:rsid w:val="0012468C"/>
    <w:rsid w:val="001267DD"/>
    <w:rsid w:val="00130539"/>
    <w:rsid w:val="0013053F"/>
    <w:rsid w:val="0013272D"/>
    <w:rsid w:val="00132AFB"/>
    <w:rsid w:val="00132C13"/>
    <w:rsid w:val="001345A7"/>
    <w:rsid w:val="00134E35"/>
    <w:rsid w:val="00135DCA"/>
    <w:rsid w:val="0013680D"/>
    <w:rsid w:val="00136F7F"/>
    <w:rsid w:val="00140307"/>
    <w:rsid w:val="00147293"/>
    <w:rsid w:val="00147886"/>
    <w:rsid w:val="00150933"/>
    <w:rsid w:val="0015097C"/>
    <w:rsid w:val="001514E7"/>
    <w:rsid w:val="00151F17"/>
    <w:rsid w:val="00153ED4"/>
    <w:rsid w:val="001543EE"/>
    <w:rsid w:val="00154B95"/>
    <w:rsid w:val="00154C47"/>
    <w:rsid w:val="001570B1"/>
    <w:rsid w:val="001579D5"/>
    <w:rsid w:val="001615C5"/>
    <w:rsid w:val="00163107"/>
    <w:rsid w:val="0016351C"/>
    <w:rsid w:val="00163CEA"/>
    <w:rsid w:val="00164E18"/>
    <w:rsid w:val="00166369"/>
    <w:rsid w:val="00166CEB"/>
    <w:rsid w:val="0017104C"/>
    <w:rsid w:val="001713B7"/>
    <w:rsid w:val="00172063"/>
    <w:rsid w:val="00172452"/>
    <w:rsid w:val="00172F4A"/>
    <w:rsid w:val="00173370"/>
    <w:rsid w:val="00177AF6"/>
    <w:rsid w:val="00177B30"/>
    <w:rsid w:val="001800B5"/>
    <w:rsid w:val="00180A79"/>
    <w:rsid w:val="00181527"/>
    <w:rsid w:val="0018296B"/>
    <w:rsid w:val="00182EB9"/>
    <w:rsid w:val="001834D0"/>
    <w:rsid w:val="001856E7"/>
    <w:rsid w:val="00185DBB"/>
    <w:rsid w:val="00185F26"/>
    <w:rsid w:val="00186DE4"/>
    <w:rsid w:val="00186EC2"/>
    <w:rsid w:val="00195266"/>
    <w:rsid w:val="00196B62"/>
    <w:rsid w:val="00197D9B"/>
    <w:rsid w:val="001A0542"/>
    <w:rsid w:val="001A1730"/>
    <w:rsid w:val="001A1A8F"/>
    <w:rsid w:val="001A26A9"/>
    <w:rsid w:val="001A30A0"/>
    <w:rsid w:val="001A448E"/>
    <w:rsid w:val="001A4B3D"/>
    <w:rsid w:val="001A4D2A"/>
    <w:rsid w:val="001A6A0B"/>
    <w:rsid w:val="001A6E90"/>
    <w:rsid w:val="001A6EE8"/>
    <w:rsid w:val="001B04F9"/>
    <w:rsid w:val="001B125F"/>
    <w:rsid w:val="001B2AD2"/>
    <w:rsid w:val="001B341B"/>
    <w:rsid w:val="001B4CC5"/>
    <w:rsid w:val="001B5434"/>
    <w:rsid w:val="001B5597"/>
    <w:rsid w:val="001B6FDC"/>
    <w:rsid w:val="001B70F9"/>
    <w:rsid w:val="001B7500"/>
    <w:rsid w:val="001C00AC"/>
    <w:rsid w:val="001C0943"/>
    <w:rsid w:val="001C2EFF"/>
    <w:rsid w:val="001C3191"/>
    <w:rsid w:val="001C399D"/>
    <w:rsid w:val="001C45AD"/>
    <w:rsid w:val="001C5C1D"/>
    <w:rsid w:val="001C621B"/>
    <w:rsid w:val="001C7876"/>
    <w:rsid w:val="001C7B3D"/>
    <w:rsid w:val="001C7BED"/>
    <w:rsid w:val="001D168A"/>
    <w:rsid w:val="001D24E2"/>
    <w:rsid w:val="001D2A36"/>
    <w:rsid w:val="001D2A47"/>
    <w:rsid w:val="001D3535"/>
    <w:rsid w:val="001D3D7E"/>
    <w:rsid w:val="001D6188"/>
    <w:rsid w:val="001E0968"/>
    <w:rsid w:val="001E2F15"/>
    <w:rsid w:val="001E3824"/>
    <w:rsid w:val="001E5724"/>
    <w:rsid w:val="001E77FE"/>
    <w:rsid w:val="001F196D"/>
    <w:rsid w:val="001F21DA"/>
    <w:rsid w:val="001F476B"/>
    <w:rsid w:val="001F591A"/>
    <w:rsid w:val="001F77DA"/>
    <w:rsid w:val="001F7F9B"/>
    <w:rsid w:val="0020124B"/>
    <w:rsid w:val="00207CFD"/>
    <w:rsid w:val="002118E6"/>
    <w:rsid w:val="00213BE7"/>
    <w:rsid w:val="00214429"/>
    <w:rsid w:val="00214BB0"/>
    <w:rsid w:val="00214BC5"/>
    <w:rsid w:val="00215649"/>
    <w:rsid w:val="00215F04"/>
    <w:rsid w:val="00216C3C"/>
    <w:rsid w:val="00217F50"/>
    <w:rsid w:val="00220285"/>
    <w:rsid w:val="0022060C"/>
    <w:rsid w:val="00221DD9"/>
    <w:rsid w:val="002255DB"/>
    <w:rsid w:val="00227384"/>
    <w:rsid w:val="00231362"/>
    <w:rsid w:val="002316E6"/>
    <w:rsid w:val="00231DB7"/>
    <w:rsid w:val="002321B3"/>
    <w:rsid w:val="00235B27"/>
    <w:rsid w:val="00236703"/>
    <w:rsid w:val="002415B2"/>
    <w:rsid w:val="0024215A"/>
    <w:rsid w:val="00242856"/>
    <w:rsid w:val="002437AF"/>
    <w:rsid w:val="00247D31"/>
    <w:rsid w:val="002502FE"/>
    <w:rsid w:val="002522E9"/>
    <w:rsid w:val="00255A10"/>
    <w:rsid w:val="00255DAA"/>
    <w:rsid w:val="00257D52"/>
    <w:rsid w:val="00257E28"/>
    <w:rsid w:val="00260359"/>
    <w:rsid w:val="00260CF2"/>
    <w:rsid w:val="00261C48"/>
    <w:rsid w:val="00264B6C"/>
    <w:rsid w:val="00264CBB"/>
    <w:rsid w:val="00265B77"/>
    <w:rsid w:val="00266A4E"/>
    <w:rsid w:val="00266B85"/>
    <w:rsid w:val="00270174"/>
    <w:rsid w:val="002706E1"/>
    <w:rsid w:val="0027173E"/>
    <w:rsid w:val="00276A49"/>
    <w:rsid w:val="00277657"/>
    <w:rsid w:val="00281F04"/>
    <w:rsid w:val="002832EF"/>
    <w:rsid w:val="00283A0B"/>
    <w:rsid w:val="00283A9F"/>
    <w:rsid w:val="0029082B"/>
    <w:rsid w:val="00290A46"/>
    <w:rsid w:val="00290F01"/>
    <w:rsid w:val="0029183A"/>
    <w:rsid w:val="00291D94"/>
    <w:rsid w:val="00291E00"/>
    <w:rsid w:val="00292208"/>
    <w:rsid w:val="0029422B"/>
    <w:rsid w:val="0029744D"/>
    <w:rsid w:val="002A22F9"/>
    <w:rsid w:val="002A41C4"/>
    <w:rsid w:val="002A5261"/>
    <w:rsid w:val="002A6213"/>
    <w:rsid w:val="002A71D2"/>
    <w:rsid w:val="002A7341"/>
    <w:rsid w:val="002A75C5"/>
    <w:rsid w:val="002A78C5"/>
    <w:rsid w:val="002B274E"/>
    <w:rsid w:val="002B2F5A"/>
    <w:rsid w:val="002B3537"/>
    <w:rsid w:val="002B5A19"/>
    <w:rsid w:val="002B6CF6"/>
    <w:rsid w:val="002C0738"/>
    <w:rsid w:val="002C07B0"/>
    <w:rsid w:val="002C08DB"/>
    <w:rsid w:val="002C0E20"/>
    <w:rsid w:val="002C1791"/>
    <w:rsid w:val="002C5F30"/>
    <w:rsid w:val="002C7A12"/>
    <w:rsid w:val="002D17EA"/>
    <w:rsid w:val="002D3F52"/>
    <w:rsid w:val="002D58AD"/>
    <w:rsid w:val="002D7E25"/>
    <w:rsid w:val="002E17EC"/>
    <w:rsid w:val="002E1979"/>
    <w:rsid w:val="002E307F"/>
    <w:rsid w:val="002E4220"/>
    <w:rsid w:val="002E6488"/>
    <w:rsid w:val="002F033C"/>
    <w:rsid w:val="002F1706"/>
    <w:rsid w:val="002F1FB2"/>
    <w:rsid w:val="002F43D7"/>
    <w:rsid w:val="002F558F"/>
    <w:rsid w:val="002F727F"/>
    <w:rsid w:val="00300B36"/>
    <w:rsid w:val="00302F57"/>
    <w:rsid w:val="00303359"/>
    <w:rsid w:val="00303636"/>
    <w:rsid w:val="00304295"/>
    <w:rsid w:val="0030487F"/>
    <w:rsid w:val="003051EC"/>
    <w:rsid w:val="00305C2D"/>
    <w:rsid w:val="00305C5E"/>
    <w:rsid w:val="00307030"/>
    <w:rsid w:val="00311110"/>
    <w:rsid w:val="0031357F"/>
    <w:rsid w:val="003138FE"/>
    <w:rsid w:val="003142BD"/>
    <w:rsid w:val="00314593"/>
    <w:rsid w:val="00314D83"/>
    <w:rsid w:val="003151AC"/>
    <w:rsid w:val="003154CB"/>
    <w:rsid w:val="00317E05"/>
    <w:rsid w:val="00321713"/>
    <w:rsid w:val="00321B2A"/>
    <w:rsid w:val="003232BC"/>
    <w:rsid w:val="00323740"/>
    <w:rsid w:val="003246A7"/>
    <w:rsid w:val="0032487E"/>
    <w:rsid w:val="00324C7F"/>
    <w:rsid w:val="00326694"/>
    <w:rsid w:val="0033006C"/>
    <w:rsid w:val="00330541"/>
    <w:rsid w:val="00332C27"/>
    <w:rsid w:val="00335267"/>
    <w:rsid w:val="00340B91"/>
    <w:rsid w:val="00341052"/>
    <w:rsid w:val="00351ACB"/>
    <w:rsid w:val="00352A69"/>
    <w:rsid w:val="00352E0D"/>
    <w:rsid w:val="00354388"/>
    <w:rsid w:val="003612C6"/>
    <w:rsid w:val="00361921"/>
    <w:rsid w:val="00362474"/>
    <w:rsid w:val="003628D2"/>
    <w:rsid w:val="003644A2"/>
    <w:rsid w:val="00364E52"/>
    <w:rsid w:val="00365385"/>
    <w:rsid w:val="00367500"/>
    <w:rsid w:val="0037083C"/>
    <w:rsid w:val="003768CF"/>
    <w:rsid w:val="00381CF6"/>
    <w:rsid w:val="00381F94"/>
    <w:rsid w:val="00383071"/>
    <w:rsid w:val="003834DC"/>
    <w:rsid w:val="0038370E"/>
    <w:rsid w:val="003849BD"/>
    <w:rsid w:val="0038758E"/>
    <w:rsid w:val="00391DA0"/>
    <w:rsid w:val="00391FDA"/>
    <w:rsid w:val="00392AEE"/>
    <w:rsid w:val="00393661"/>
    <w:rsid w:val="00393F1D"/>
    <w:rsid w:val="003A13F5"/>
    <w:rsid w:val="003A1A0B"/>
    <w:rsid w:val="003A4B58"/>
    <w:rsid w:val="003A56F9"/>
    <w:rsid w:val="003A64C0"/>
    <w:rsid w:val="003A6668"/>
    <w:rsid w:val="003A71CC"/>
    <w:rsid w:val="003A7379"/>
    <w:rsid w:val="003A788E"/>
    <w:rsid w:val="003B2520"/>
    <w:rsid w:val="003B5918"/>
    <w:rsid w:val="003B6469"/>
    <w:rsid w:val="003B6608"/>
    <w:rsid w:val="003B66D7"/>
    <w:rsid w:val="003B6F1E"/>
    <w:rsid w:val="003C2152"/>
    <w:rsid w:val="003C37DF"/>
    <w:rsid w:val="003C5C21"/>
    <w:rsid w:val="003C6106"/>
    <w:rsid w:val="003C62E4"/>
    <w:rsid w:val="003C6E79"/>
    <w:rsid w:val="003D357D"/>
    <w:rsid w:val="003D474E"/>
    <w:rsid w:val="003D4DFD"/>
    <w:rsid w:val="003D5915"/>
    <w:rsid w:val="003D7E5B"/>
    <w:rsid w:val="003E12FE"/>
    <w:rsid w:val="003E297C"/>
    <w:rsid w:val="003E5334"/>
    <w:rsid w:val="003E663E"/>
    <w:rsid w:val="003F1215"/>
    <w:rsid w:val="003F1D2D"/>
    <w:rsid w:val="003F2B0B"/>
    <w:rsid w:val="003F4463"/>
    <w:rsid w:val="003F44CB"/>
    <w:rsid w:val="003F58C3"/>
    <w:rsid w:val="003F731E"/>
    <w:rsid w:val="004002EE"/>
    <w:rsid w:val="00400A90"/>
    <w:rsid w:val="00402901"/>
    <w:rsid w:val="00404B03"/>
    <w:rsid w:val="00406CF0"/>
    <w:rsid w:val="004123E7"/>
    <w:rsid w:val="00413C91"/>
    <w:rsid w:val="00414A25"/>
    <w:rsid w:val="00415FCB"/>
    <w:rsid w:val="00421420"/>
    <w:rsid w:val="004215E4"/>
    <w:rsid w:val="00422F53"/>
    <w:rsid w:val="00424657"/>
    <w:rsid w:val="004261C8"/>
    <w:rsid w:val="00426200"/>
    <w:rsid w:val="00432B59"/>
    <w:rsid w:val="00433B66"/>
    <w:rsid w:val="004340D0"/>
    <w:rsid w:val="004353D0"/>
    <w:rsid w:val="00436D1E"/>
    <w:rsid w:val="0044061D"/>
    <w:rsid w:val="00440EF3"/>
    <w:rsid w:val="004419B9"/>
    <w:rsid w:val="0044220D"/>
    <w:rsid w:val="00444CA6"/>
    <w:rsid w:val="0044501D"/>
    <w:rsid w:val="00445B4C"/>
    <w:rsid w:val="004473D7"/>
    <w:rsid w:val="00447485"/>
    <w:rsid w:val="00447640"/>
    <w:rsid w:val="0044772D"/>
    <w:rsid w:val="0045186C"/>
    <w:rsid w:val="004529C1"/>
    <w:rsid w:val="00453867"/>
    <w:rsid w:val="00453F83"/>
    <w:rsid w:val="0045468D"/>
    <w:rsid w:val="00454AA1"/>
    <w:rsid w:val="004556A1"/>
    <w:rsid w:val="0045587A"/>
    <w:rsid w:val="00457597"/>
    <w:rsid w:val="00457B0C"/>
    <w:rsid w:val="00457E0B"/>
    <w:rsid w:val="00461B70"/>
    <w:rsid w:val="00462994"/>
    <w:rsid w:val="00463886"/>
    <w:rsid w:val="004647B3"/>
    <w:rsid w:val="00466098"/>
    <w:rsid w:val="004714E1"/>
    <w:rsid w:val="004721C8"/>
    <w:rsid w:val="00473CF0"/>
    <w:rsid w:val="004748D2"/>
    <w:rsid w:val="0047531F"/>
    <w:rsid w:val="00475FD6"/>
    <w:rsid w:val="004768F1"/>
    <w:rsid w:val="00480173"/>
    <w:rsid w:val="00480BB5"/>
    <w:rsid w:val="0048389A"/>
    <w:rsid w:val="0048474F"/>
    <w:rsid w:val="00484A16"/>
    <w:rsid w:val="00486EC6"/>
    <w:rsid w:val="004872A1"/>
    <w:rsid w:val="00490FD1"/>
    <w:rsid w:val="00493ED3"/>
    <w:rsid w:val="004949CD"/>
    <w:rsid w:val="00495362"/>
    <w:rsid w:val="0049591F"/>
    <w:rsid w:val="00496887"/>
    <w:rsid w:val="0049718C"/>
    <w:rsid w:val="004A049E"/>
    <w:rsid w:val="004A12FB"/>
    <w:rsid w:val="004A1CE3"/>
    <w:rsid w:val="004A3A81"/>
    <w:rsid w:val="004A42B8"/>
    <w:rsid w:val="004A5FCB"/>
    <w:rsid w:val="004A7041"/>
    <w:rsid w:val="004B0447"/>
    <w:rsid w:val="004B1CC8"/>
    <w:rsid w:val="004B227F"/>
    <w:rsid w:val="004B293F"/>
    <w:rsid w:val="004B3E9D"/>
    <w:rsid w:val="004B596E"/>
    <w:rsid w:val="004B6303"/>
    <w:rsid w:val="004C25F4"/>
    <w:rsid w:val="004C3A63"/>
    <w:rsid w:val="004C5E11"/>
    <w:rsid w:val="004D0E63"/>
    <w:rsid w:val="004D2DCF"/>
    <w:rsid w:val="004D33A0"/>
    <w:rsid w:val="004D3900"/>
    <w:rsid w:val="004D69B0"/>
    <w:rsid w:val="004E1A05"/>
    <w:rsid w:val="004E2C87"/>
    <w:rsid w:val="004E302B"/>
    <w:rsid w:val="004E3B93"/>
    <w:rsid w:val="004E4CE0"/>
    <w:rsid w:val="004E5060"/>
    <w:rsid w:val="004E5CF7"/>
    <w:rsid w:val="004F2F7C"/>
    <w:rsid w:val="004F35A3"/>
    <w:rsid w:val="004F49D0"/>
    <w:rsid w:val="004F5893"/>
    <w:rsid w:val="004F63AE"/>
    <w:rsid w:val="004F74D4"/>
    <w:rsid w:val="004F79F8"/>
    <w:rsid w:val="005011B1"/>
    <w:rsid w:val="005011DC"/>
    <w:rsid w:val="0050199A"/>
    <w:rsid w:val="00501D9A"/>
    <w:rsid w:val="0050498F"/>
    <w:rsid w:val="005115EC"/>
    <w:rsid w:val="00514E50"/>
    <w:rsid w:val="00515EB2"/>
    <w:rsid w:val="005171DD"/>
    <w:rsid w:val="005172F9"/>
    <w:rsid w:val="00517F2B"/>
    <w:rsid w:val="00520019"/>
    <w:rsid w:val="005238D8"/>
    <w:rsid w:val="00524DF7"/>
    <w:rsid w:val="00531649"/>
    <w:rsid w:val="00532DC7"/>
    <w:rsid w:val="00533954"/>
    <w:rsid w:val="00535702"/>
    <w:rsid w:val="005358CF"/>
    <w:rsid w:val="0054241C"/>
    <w:rsid w:val="00542708"/>
    <w:rsid w:val="00544D1E"/>
    <w:rsid w:val="005453F4"/>
    <w:rsid w:val="00546919"/>
    <w:rsid w:val="005470E6"/>
    <w:rsid w:val="00551004"/>
    <w:rsid w:val="005523A1"/>
    <w:rsid w:val="00554D9E"/>
    <w:rsid w:val="0055768B"/>
    <w:rsid w:val="005601A3"/>
    <w:rsid w:val="00561606"/>
    <w:rsid w:val="005618AC"/>
    <w:rsid w:val="005640A0"/>
    <w:rsid w:val="00565FC2"/>
    <w:rsid w:val="00566AB5"/>
    <w:rsid w:val="00566FA0"/>
    <w:rsid w:val="00571040"/>
    <w:rsid w:val="005728A8"/>
    <w:rsid w:val="00575AA0"/>
    <w:rsid w:val="005764B1"/>
    <w:rsid w:val="005802B6"/>
    <w:rsid w:val="005803B1"/>
    <w:rsid w:val="005819B2"/>
    <w:rsid w:val="005864C7"/>
    <w:rsid w:val="00591EA0"/>
    <w:rsid w:val="00592603"/>
    <w:rsid w:val="005943EB"/>
    <w:rsid w:val="00594481"/>
    <w:rsid w:val="005A4D35"/>
    <w:rsid w:val="005A6864"/>
    <w:rsid w:val="005A69F9"/>
    <w:rsid w:val="005A7220"/>
    <w:rsid w:val="005A7975"/>
    <w:rsid w:val="005A7A9B"/>
    <w:rsid w:val="005B03C9"/>
    <w:rsid w:val="005B03F9"/>
    <w:rsid w:val="005B06C5"/>
    <w:rsid w:val="005B2E02"/>
    <w:rsid w:val="005B364F"/>
    <w:rsid w:val="005B4FBD"/>
    <w:rsid w:val="005B5467"/>
    <w:rsid w:val="005B604B"/>
    <w:rsid w:val="005B69F6"/>
    <w:rsid w:val="005B70C9"/>
    <w:rsid w:val="005C098D"/>
    <w:rsid w:val="005C16FA"/>
    <w:rsid w:val="005C1C78"/>
    <w:rsid w:val="005C2203"/>
    <w:rsid w:val="005C2479"/>
    <w:rsid w:val="005C6B21"/>
    <w:rsid w:val="005C6C2B"/>
    <w:rsid w:val="005C7E4C"/>
    <w:rsid w:val="005D4298"/>
    <w:rsid w:val="005D6507"/>
    <w:rsid w:val="005E01C4"/>
    <w:rsid w:val="005E0C45"/>
    <w:rsid w:val="005E13C2"/>
    <w:rsid w:val="005E1FFA"/>
    <w:rsid w:val="005E427B"/>
    <w:rsid w:val="005E5B47"/>
    <w:rsid w:val="005E6DE3"/>
    <w:rsid w:val="005F0B1C"/>
    <w:rsid w:val="005F1B08"/>
    <w:rsid w:val="005F73BA"/>
    <w:rsid w:val="0060096A"/>
    <w:rsid w:val="00600D98"/>
    <w:rsid w:val="00601228"/>
    <w:rsid w:val="00601A90"/>
    <w:rsid w:val="00604792"/>
    <w:rsid w:val="00606799"/>
    <w:rsid w:val="006076A8"/>
    <w:rsid w:val="00607DC5"/>
    <w:rsid w:val="0061006C"/>
    <w:rsid w:val="006101BD"/>
    <w:rsid w:val="006105CC"/>
    <w:rsid w:val="006107DD"/>
    <w:rsid w:val="00610F3D"/>
    <w:rsid w:val="006146E7"/>
    <w:rsid w:val="00616A26"/>
    <w:rsid w:val="00616EB7"/>
    <w:rsid w:val="00617C74"/>
    <w:rsid w:val="006205FE"/>
    <w:rsid w:val="00620F31"/>
    <w:rsid w:val="006218F0"/>
    <w:rsid w:val="00623630"/>
    <w:rsid w:val="006274E7"/>
    <w:rsid w:val="00627F6A"/>
    <w:rsid w:val="006309E6"/>
    <w:rsid w:val="00630FA6"/>
    <w:rsid w:val="00633E3F"/>
    <w:rsid w:val="00634BD2"/>
    <w:rsid w:val="0063716C"/>
    <w:rsid w:val="0064074E"/>
    <w:rsid w:val="00641487"/>
    <w:rsid w:val="0064250E"/>
    <w:rsid w:val="00643437"/>
    <w:rsid w:val="00643EA2"/>
    <w:rsid w:val="00644D16"/>
    <w:rsid w:val="00646B04"/>
    <w:rsid w:val="00647E43"/>
    <w:rsid w:val="00651FDB"/>
    <w:rsid w:val="0065318C"/>
    <w:rsid w:val="0065447E"/>
    <w:rsid w:val="00654E9D"/>
    <w:rsid w:val="00661B0B"/>
    <w:rsid w:val="006674D8"/>
    <w:rsid w:val="006734B1"/>
    <w:rsid w:val="0067621D"/>
    <w:rsid w:val="006770E7"/>
    <w:rsid w:val="00677A2D"/>
    <w:rsid w:val="00680040"/>
    <w:rsid w:val="0068033E"/>
    <w:rsid w:val="00680D04"/>
    <w:rsid w:val="00681118"/>
    <w:rsid w:val="00684A8B"/>
    <w:rsid w:val="00685E1A"/>
    <w:rsid w:val="006914A7"/>
    <w:rsid w:val="00692BF0"/>
    <w:rsid w:val="0069335C"/>
    <w:rsid w:val="00693536"/>
    <w:rsid w:val="00693FAA"/>
    <w:rsid w:val="006967D7"/>
    <w:rsid w:val="00697A41"/>
    <w:rsid w:val="006A0950"/>
    <w:rsid w:val="006A22BD"/>
    <w:rsid w:val="006A3110"/>
    <w:rsid w:val="006A6A00"/>
    <w:rsid w:val="006A6C31"/>
    <w:rsid w:val="006A7A5B"/>
    <w:rsid w:val="006B0429"/>
    <w:rsid w:val="006B265B"/>
    <w:rsid w:val="006B39CD"/>
    <w:rsid w:val="006B3B42"/>
    <w:rsid w:val="006B3F57"/>
    <w:rsid w:val="006B7711"/>
    <w:rsid w:val="006C0477"/>
    <w:rsid w:val="006C3DF8"/>
    <w:rsid w:val="006C4620"/>
    <w:rsid w:val="006C4B73"/>
    <w:rsid w:val="006C5BD5"/>
    <w:rsid w:val="006C603F"/>
    <w:rsid w:val="006C6129"/>
    <w:rsid w:val="006C6137"/>
    <w:rsid w:val="006C6378"/>
    <w:rsid w:val="006C6C5C"/>
    <w:rsid w:val="006C703B"/>
    <w:rsid w:val="006C7D24"/>
    <w:rsid w:val="006D10EF"/>
    <w:rsid w:val="006D136F"/>
    <w:rsid w:val="006D2C34"/>
    <w:rsid w:val="006D3579"/>
    <w:rsid w:val="006D43CD"/>
    <w:rsid w:val="006D73CD"/>
    <w:rsid w:val="006E1E82"/>
    <w:rsid w:val="006E3F3D"/>
    <w:rsid w:val="006E5478"/>
    <w:rsid w:val="006E5B71"/>
    <w:rsid w:val="006E7DC2"/>
    <w:rsid w:val="006F02A2"/>
    <w:rsid w:val="006F0EBB"/>
    <w:rsid w:val="006F1BC7"/>
    <w:rsid w:val="006F35EE"/>
    <w:rsid w:val="006F5127"/>
    <w:rsid w:val="006F6368"/>
    <w:rsid w:val="006F6874"/>
    <w:rsid w:val="006F7647"/>
    <w:rsid w:val="00700B55"/>
    <w:rsid w:val="007023A9"/>
    <w:rsid w:val="00702A42"/>
    <w:rsid w:val="007042AE"/>
    <w:rsid w:val="00704342"/>
    <w:rsid w:val="00704A8F"/>
    <w:rsid w:val="00705700"/>
    <w:rsid w:val="00705909"/>
    <w:rsid w:val="00706300"/>
    <w:rsid w:val="00706E0C"/>
    <w:rsid w:val="00706FBE"/>
    <w:rsid w:val="007102D3"/>
    <w:rsid w:val="00711866"/>
    <w:rsid w:val="00714280"/>
    <w:rsid w:val="0072415C"/>
    <w:rsid w:val="007243EB"/>
    <w:rsid w:val="00724E3F"/>
    <w:rsid w:val="00725C76"/>
    <w:rsid w:val="00726E7A"/>
    <w:rsid w:val="00730505"/>
    <w:rsid w:val="00731E09"/>
    <w:rsid w:val="00740FA9"/>
    <w:rsid w:val="007410F6"/>
    <w:rsid w:val="00742650"/>
    <w:rsid w:val="00742CDE"/>
    <w:rsid w:val="00745008"/>
    <w:rsid w:val="00747E6A"/>
    <w:rsid w:val="00754867"/>
    <w:rsid w:val="00755506"/>
    <w:rsid w:val="0075718E"/>
    <w:rsid w:val="007615BF"/>
    <w:rsid w:val="007617FC"/>
    <w:rsid w:val="00761C2D"/>
    <w:rsid w:val="00762A57"/>
    <w:rsid w:val="007632FE"/>
    <w:rsid w:val="007640BD"/>
    <w:rsid w:val="00764563"/>
    <w:rsid w:val="00764E13"/>
    <w:rsid w:val="00767B50"/>
    <w:rsid w:val="007710B6"/>
    <w:rsid w:val="0077147C"/>
    <w:rsid w:val="00772C48"/>
    <w:rsid w:val="00774FF1"/>
    <w:rsid w:val="00776687"/>
    <w:rsid w:val="007767D8"/>
    <w:rsid w:val="007772E4"/>
    <w:rsid w:val="007775AC"/>
    <w:rsid w:val="00780F4A"/>
    <w:rsid w:val="007817C4"/>
    <w:rsid w:val="007819D3"/>
    <w:rsid w:val="00785602"/>
    <w:rsid w:val="00785A54"/>
    <w:rsid w:val="00786F27"/>
    <w:rsid w:val="007874A0"/>
    <w:rsid w:val="007909E7"/>
    <w:rsid w:val="007932E7"/>
    <w:rsid w:val="007934E9"/>
    <w:rsid w:val="00793E1D"/>
    <w:rsid w:val="0079589A"/>
    <w:rsid w:val="007961F4"/>
    <w:rsid w:val="007973B9"/>
    <w:rsid w:val="00797D29"/>
    <w:rsid w:val="00797D72"/>
    <w:rsid w:val="00797F03"/>
    <w:rsid w:val="007A242F"/>
    <w:rsid w:val="007A2546"/>
    <w:rsid w:val="007A2D0F"/>
    <w:rsid w:val="007A3667"/>
    <w:rsid w:val="007A39E4"/>
    <w:rsid w:val="007A7C35"/>
    <w:rsid w:val="007B2102"/>
    <w:rsid w:val="007B2740"/>
    <w:rsid w:val="007B3B7A"/>
    <w:rsid w:val="007C01B1"/>
    <w:rsid w:val="007C0834"/>
    <w:rsid w:val="007C3F9E"/>
    <w:rsid w:val="007C469D"/>
    <w:rsid w:val="007C4C7B"/>
    <w:rsid w:val="007C64A0"/>
    <w:rsid w:val="007C7348"/>
    <w:rsid w:val="007C7961"/>
    <w:rsid w:val="007D021A"/>
    <w:rsid w:val="007D1155"/>
    <w:rsid w:val="007D2830"/>
    <w:rsid w:val="007D2B65"/>
    <w:rsid w:val="007D33BA"/>
    <w:rsid w:val="007D3A49"/>
    <w:rsid w:val="007D5EEE"/>
    <w:rsid w:val="007D72C6"/>
    <w:rsid w:val="007D799D"/>
    <w:rsid w:val="007F00C7"/>
    <w:rsid w:val="007F080A"/>
    <w:rsid w:val="007F0D0E"/>
    <w:rsid w:val="007F16B9"/>
    <w:rsid w:val="007F40E7"/>
    <w:rsid w:val="007F4608"/>
    <w:rsid w:val="007F58C5"/>
    <w:rsid w:val="00803724"/>
    <w:rsid w:val="00805117"/>
    <w:rsid w:val="00810A6D"/>
    <w:rsid w:val="00813925"/>
    <w:rsid w:val="00814BB3"/>
    <w:rsid w:val="008151C3"/>
    <w:rsid w:val="00817198"/>
    <w:rsid w:val="00817C3D"/>
    <w:rsid w:val="0082467B"/>
    <w:rsid w:val="00825304"/>
    <w:rsid w:val="00826AC8"/>
    <w:rsid w:val="0083060A"/>
    <w:rsid w:val="00830A42"/>
    <w:rsid w:val="00830D80"/>
    <w:rsid w:val="008334B2"/>
    <w:rsid w:val="00835E31"/>
    <w:rsid w:val="00842987"/>
    <w:rsid w:val="00843ED0"/>
    <w:rsid w:val="00845214"/>
    <w:rsid w:val="0084553B"/>
    <w:rsid w:val="00846063"/>
    <w:rsid w:val="00847615"/>
    <w:rsid w:val="00847821"/>
    <w:rsid w:val="008479C3"/>
    <w:rsid w:val="008523ED"/>
    <w:rsid w:val="008532DF"/>
    <w:rsid w:val="00853579"/>
    <w:rsid w:val="00853BC3"/>
    <w:rsid w:val="00853F64"/>
    <w:rsid w:val="00856587"/>
    <w:rsid w:val="00856C3D"/>
    <w:rsid w:val="008575D3"/>
    <w:rsid w:val="00862EBF"/>
    <w:rsid w:val="00862F95"/>
    <w:rsid w:val="0087001F"/>
    <w:rsid w:val="008700CD"/>
    <w:rsid w:val="00870216"/>
    <w:rsid w:val="008723CC"/>
    <w:rsid w:val="00872794"/>
    <w:rsid w:val="00874EA9"/>
    <w:rsid w:val="0087506A"/>
    <w:rsid w:val="00875A17"/>
    <w:rsid w:val="00876335"/>
    <w:rsid w:val="00876839"/>
    <w:rsid w:val="00880C95"/>
    <w:rsid w:val="00882671"/>
    <w:rsid w:val="00883D45"/>
    <w:rsid w:val="00884A23"/>
    <w:rsid w:val="0088589D"/>
    <w:rsid w:val="00885B8E"/>
    <w:rsid w:val="008875F9"/>
    <w:rsid w:val="00890421"/>
    <w:rsid w:val="00890B31"/>
    <w:rsid w:val="0089136D"/>
    <w:rsid w:val="00891476"/>
    <w:rsid w:val="00891AC7"/>
    <w:rsid w:val="008930E3"/>
    <w:rsid w:val="0089538C"/>
    <w:rsid w:val="008959C9"/>
    <w:rsid w:val="008A0824"/>
    <w:rsid w:val="008A4CD5"/>
    <w:rsid w:val="008A5A4C"/>
    <w:rsid w:val="008A5FDC"/>
    <w:rsid w:val="008A671A"/>
    <w:rsid w:val="008B0687"/>
    <w:rsid w:val="008B1E17"/>
    <w:rsid w:val="008B21A9"/>
    <w:rsid w:val="008B295D"/>
    <w:rsid w:val="008B5290"/>
    <w:rsid w:val="008B65BC"/>
    <w:rsid w:val="008B66B0"/>
    <w:rsid w:val="008B66F6"/>
    <w:rsid w:val="008B69C2"/>
    <w:rsid w:val="008B78CD"/>
    <w:rsid w:val="008C5065"/>
    <w:rsid w:val="008C5B15"/>
    <w:rsid w:val="008C7C9E"/>
    <w:rsid w:val="008D36FE"/>
    <w:rsid w:val="008D3A98"/>
    <w:rsid w:val="008D3F4B"/>
    <w:rsid w:val="008D5039"/>
    <w:rsid w:val="008D727D"/>
    <w:rsid w:val="008E059A"/>
    <w:rsid w:val="008E1069"/>
    <w:rsid w:val="008E35FC"/>
    <w:rsid w:val="008E49E1"/>
    <w:rsid w:val="008E7656"/>
    <w:rsid w:val="008E776F"/>
    <w:rsid w:val="008E7C57"/>
    <w:rsid w:val="008F05BD"/>
    <w:rsid w:val="008F0A0D"/>
    <w:rsid w:val="008F1F5E"/>
    <w:rsid w:val="008F31BE"/>
    <w:rsid w:val="008F4D5B"/>
    <w:rsid w:val="008F50AD"/>
    <w:rsid w:val="008F6197"/>
    <w:rsid w:val="008F68B4"/>
    <w:rsid w:val="009013CE"/>
    <w:rsid w:val="00901B5C"/>
    <w:rsid w:val="00901D9D"/>
    <w:rsid w:val="00903487"/>
    <w:rsid w:val="00903C3A"/>
    <w:rsid w:val="0090462D"/>
    <w:rsid w:val="00905096"/>
    <w:rsid w:val="00905295"/>
    <w:rsid w:val="009065B9"/>
    <w:rsid w:val="00906757"/>
    <w:rsid w:val="00910B6A"/>
    <w:rsid w:val="00911D57"/>
    <w:rsid w:val="00912EBD"/>
    <w:rsid w:val="00914B20"/>
    <w:rsid w:val="00915D9F"/>
    <w:rsid w:val="00915ECD"/>
    <w:rsid w:val="009170EB"/>
    <w:rsid w:val="00924E14"/>
    <w:rsid w:val="00926B89"/>
    <w:rsid w:val="009271D4"/>
    <w:rsid w:val="00931161"/>
    <w:rsid w:val="00934FEB"/>
    <w:rsid w:val="00936276"/>
    <w:rsid w:val="0093667B"/>
    <w:rsid w:val="0093746B"/>
    <w:rsid w:val="00943405"/>
    <w:rsid w:val="00950A0C"/>
    <w:rsid w:val="00951132"/>
    <w:rsid w:val="0095174D"/>
    <w:rsid w:val="0095179E"/>
    <w:rsid w:val="00951FF2"/>
    <w:rsid w:val="00952B4F"/>
    <w:rsid w:val="00957F29"/>
    <w:rsid w:val="00960FC2"/>
    <w:rsid w:val="00963360"/>
    <w:rsid w:val="00964F02"/>
    <w:rsid w:val="00965269"/>
    <w:rsid w:val="00967515"/>
    <w:rsid w:val="00967CCB"/>
    <w:rsid w:val="00967F7F"/>
    <w:rsid w:val="009712BE"/>
    <w:rsid w:val="009740FA"/>
    <w:rsid w:val="00975949"/>
    <w:rsid w:val="0097709A"/>
    <w:rsid w:val="009845E8"/>
    <w:rsid w:val="00984ABA"/>
    <w:rsid w:val="0099044F"/>
    <w:rsid w:val="009909AF"/>
    <w:rsid w:val="009921A2"/>
    <w:rsid w:val="00992420"/>
    <w:rsid w:val="00993C44"/>
    <w:rsid w:val="00994E14"/>
    <w:rsid w:val="00995B61"/>
    <w:rsid w:val="009977B5"/>
    <w:rsid w:val="009A036B"/>
    <w:rsid w:val="009A1864"/>
    <w:rsid w:val="009A255E"/>
    <w:rsid w:val="009A2688"/>
    <w:rsid w:val="009A2DA3"/>
    <w:rsid w:val="009A32BC"/>
    <w:rsid w:val="009A40ED"/>
    <w:rsid w:val="009A5566"/>
    <w:rsid w:val="009A6559"/>
    <w:rsid w:val="009A7094"/>
    <w:rsid w:val="009A72CE"/>
    <w:rsid w:val="009B2E0E"/>
    <w:rsid w:val="009B3786"/>
    <w:rsid w:val="009B3C8C"/>
    <w:rsid w:val="009B3ED0"/>
    <w:rsid w:val="009B7886"/>
    <w:rsid w:val="009C31FC"/>
    <w:rsid w:val="009C33F1"/>
    <w:rsid w:val="009C6C0E"/>
    <w:rsid w:val="009C6DB8"/>
    <w:rsid w:val="009C709A"/>
    <w:rsid w:val="009C7384"/>
    <w:rsid w:val="009C74E5"/>
    <w:rsid w:val="009D08A3"/>
    <w:rsid w:val="009D1331"/>
    <w:rsid w:val="009D23DB"/>
    <w:rsid w:val="009D4500"/>
    <w:rsid w:val="009D4E7B"/>
    <w:rsid w:val="009D5884"/>
    <w:rsid w:val="009D6074"/>
    <w:rsid w:val="009E02BF"/>
    <w:rsid w:val="009E4C5F"/>
    <w:rsid w:val="009E50AA"/>
    <w:rsid w:val="009E60C7"/>
    <w:rsid w:val="009E62D5"/>
    <w:rsid w:val="009F16F6"/>
    <w:rsid w:val="009F2128"/>
    <w:rsid w:val="009F2D3E"/>
    <w:rsid w:val="009F39BE"/>
    <w:rsid w:val="009F4614"/>
    <w:rsid w:val="009F4B60"/>
    <w:rsid w:val="009F50E6"/>
    <w:rsid w:val="009F54BE"/>
    <w:rsid w:val="009F5BEB"/>
    <w:rsid w:val="00A0150C"/>
    <w:rsid w:val="00A05EE9"/>
    <w:rsid w:val="00A061CA"/>
    <w:rsid w:val="00A06B66"/>
    <w:rsid w:val="00A10208"/>
    <w:rsid w:val="00A11A6E"/>
    <w:rsid w:val="00A12F56"/>
    <w:rsid w:val="00A1310F"/>
    <w:rsid w:val="00A15405"/>
    <w:rsid w:val="00A1669D"/>
    <w:rsid w:val="00A17082"/>
    <w:rsid w:val="00A170BF"/>
    <w:rsid w:val="00A17A83"/>
    <w:rsid w:val="00A215B1"/>
    <w:rsid w:val="00A219DE"/>
    <w:rsid w:val="00A25355"/>
    <w:rsid w:val="00A25B06"/>
    <w:rsid w:val="00A26F32"/>
    <w:rsid w:val="00A27B6E"/>
    <w:rsid w:val="00A27C43"/>
    <w:rsid w:val="00A30211"/>
    <w:rsid w:val="00A30439"/>
    <w:rsid w:val="00A31423"/>
    <w:rsid w:val="00A31878"/>
    <w:rsid w:val="00A427C8"/>
    <w:rsid w:val="00A447DB"/>
    <w:rsid w:val="00A45853"/>
    <w:rsid w:val="00A45A1F"/>
    <w:rsid w:val="00A4624E"/>
    <w:rsid w:val="00A468EE"/>
    <w:rsid w:val="00A47244"/>
    <w:rsid w:val="00A47572"/>
    <w:rsid w:val="00A47A81"/>
    <w:rsid w:val="00A50B35"/>
    <w:rsid w:val="00A50F01"/>
    <w:rsid w:val="00A524ED"/>
    <w:rsid w:val="00A611B4"/>
    <w:rsid w:val="00A62D85"/>
    <w:rsid w:val="00A634A6"/>
    <w:rsid w:val="00A644E5"/>
    <w:rsid w:val="00A66D2A"/>
    <w:rsid w:val="00A673BC"/>
    <w:rsid w:val="00A67B54"/>
    <w:rsid w:val="00A70D62"/>
    <w:rsid w:val="00A714EA"/>
    <w:rsid w:val="00A73300"/>
    <w:rsid w:val="00A7569E"/>
    <w:rsid w:val="00A75826"/>
    <w:rsid w:val="00A7621A"/>
    <w:rsid w:val="00A76AB1"/>
    <w:rsid w:val="00A80D92"/>
    <w:rsid w:val="00A82FCF"/>
    <w:rsid w:val="00A83CF6"/>
    <w:rsid w:val="00A83ECB"/>
    <w:rsid w:val="00A8454B"/>
    <w:rsid w:val="00A84EAA"/>
    <w:rsid w:val="00A85CD8"/>
    <w:rsid w:val="00A85CE3"/>
    <w:rsid w:val="00A86444"/>
    <w:rsid w:val="00A90A04"/>
    <w:rsid w:val="00A93B44"/>
    <w:rsid w:val="00A93BAC"/>
    <w:rsid w:val="00A94150"/>
    <w:rsid w:val="00A95C34"/>
    <w:rsid w:val="00A96197"/>
    <w:rsid w:val="00A969DA"/>
    <w:rsid w:val="00A9705D"/>
    <w:rsid w:val="00A97A62"/>
    <w:rsid w:val="00AA06A2"/>
    <w:rsid w:val="00AA0CDF"/>
    <w:rsid w:val="00AA2117"/>
    <w:rsid w:val="00AA251E"/>
    <w:rsid w:val="00AA2E3C"/>
    <w:rsid w:val="00AA62D3"/>
    <w:rsid w:val="00AA69C6"/>
    <w:rsid w:val="00AB0D94"/>
    <w:rsid w:val="00AB7E9A"/>
    <w:rsid w:val="00AC0066"/>
    <w:rsid w:val="00AC092F"/>
    <w:rsid w:val="00AC1977"/>
    <w:rsid w:val="00AC4B9A"/>
    <w:rsid w:val="00AC5658"/>
    <w:rsid w:val="00AD0CF5"/>
    <w:rsid w:val="00AD2855"/>
    <w:rsid w:val="00AD3329"/>
    <w:rsid w:val="00AD5C8F"/>
    <w:rsid w:val="00AE0030"/>
    <w:rsid w:val="00AE0631"/>
    <w:rsid w:val="00AE0A3B"/>
    <w:rsid w:val="00AE1B2A"/>
    <w:rsid w:val="00AE1FA2"/>
    <w:rsid w:val="00AE3BDB"/>
    <w:rsid w:val="00AF03D6"/>
    <w:rsid w:val="00AF1610"/>
    <w:rsid w:val="00AF1DEF"/>
    <w:rsid w:val="00AF3453"/>
    <w:rsid w:val="00AF4772"/>
    <w:rsid w:val="00AF563D"/>
    <w:rsid w:val="00B0316B"/>
    <w:rsid w:val="00B04A58"/>
    <w:rsid w:val="00B052D9"/>
    <w:rsid w:val="00B05819"/>
    <w:rsid w:val="00B0650E"/>
    <w:rsid w:val="00B0653D"/>
    <w:rsid w:val="00B07280"/>
    <w:rsid w:val="00B1008A"/>
    <w:rsid w:val="00B1147B"/>
    <w:rsid w:val="00B12930"/>
    <w:rsid w:val="00B1410A"/>
    <w:rsid w:val="00B14112"/>
    <w:rsid w:val="00B14726"/>
    <w:rsid w:val="00B14A6C"/>
    <w:rsid w:val="00B155A8"/>
    <w:rsid w:val="00B17A97"/>
    <w:rsid w:val="00B21376"/>
    <w:rsid w:val="00B21C73"/>
    <w:rsid w:val="00B22543"/>
    <w:rsid w:val="00B23473"/>
    <w:rsid w:val="00B2442B"/>
    <w:rsid w:val="00B2451C"/>
    <w:rsid w:val="00B256C5"/>
    <w:rsid w:val="00B31169"/>
    <w:rsid w:val="00B32DFA"/>
    <w:rsid w:val="00B359CC"/>
    <w:rsid w:val="00B36359"/>
    <w:rsid w:val="00B376E3"/>
    <w:rsid w:val="00B4162B"/>
    <w:rsid w:val="00B439D9"/>
    <w:rsid w:val="00B4450E"/>
    <w:rsid w:val="00B45E8D"/>
    <w:rsid w:val="00B465A0"/>
    <w:rsid w:val="00B47071"/>
    <w:rsid w:val="00B50BAB"/>
    <w:rsid w:val="00B5235C"/>
    <w:rsid w:val="00B52DAB"/>
    <w:rsid w:val="00B5393D"/>
    <w:rsid w:val="00B55791"/>
    <w:rsid w:val="00B55FA5"/>
    <w:rsid w:val="00B57403"/>
    <w:rsid w:val="00B6061F"/>
    <w:rsid w:val="00B6062D"/>
    <w:rsid w:val="00B607C4"/>
    <w:rsid w:val="00B62BE4"/>
    <w:rsid w:val="00B63069"/>
    <w:rsid w:val="00B64A5A"/>
    <w:rsid w:val="00B64B5C"/>
    <w:rsid w:val="00B67547"/>
    <w:rsid w:val="00B74161"/>
    <w:rsid w:val="00B753C2"/>
    <w:rsid w:val="00B7658A"/>
    <w:rsid w:val="00B76BFF"/>
    <w:rsid w:val="00B832AF"/>
    <w:rsid w:val="00B83A26"/>
    <w:rsid w:val="00B86754"/>
    <w:rsid w:val="00B9192F"/>
    <w:rsid w:val="00B921A6"/>
    <w:rsid w:val="00B94382"/>
    <w:rsid w:val="00B95F0D"/>
    <w:rsid w:val="00BA1D78"/>
    <w:rsid w:val="00BA4CA3"/>
    <w:rsid w:val="00BA62EE"/>
    <w:rsid w:val="00BB0012"/>
    <w:rsid w:val="00BB0A1D"/>
    <w:rsid w:val="00BB3C1D"/>
    <w:rsid w:val="00BB3FD0"/>
    <w:rsid w:val="00BB4349"/>
    <w:rsid w:val="00BB440D"/>
    <w:rsid w:val="00BB4EB1"/>
    <w:rsid w:val="00BB531C"/>
    <w:rsid w:val="00BB7038"/>
    <w:rsid w:val="00BC0752"/>
    <w:rsid w:val="00BC2EE1"/>
    <w:rsid w:val="00BC3133"/>
    <w:rsid w:val="00BC34B4"/>
    <w:rsid w:val="00BC58E3"/>
    <w:rsid w:val="00BD0591"/>
    <w:rsid w:val="00BD312E"/>
    <w:rsid w:val="00BD4C89"/>
    <w:rsid w:val="00BD5C48"/>
    <w:rsid w:val="00BD68DF"/>
    <w:rsid w:val="00BD6E74"/>
    <w:rsid w:val="00BE09BC"/>
    <w:rsid w:val="00BE2E22"/>
    <w:rsid w:val="00BE3206"/>
    <w:rsid w:val="00BE3CF8"/>
    <w:rsid w:val="00BE5E04"/>
    <w:rsid w:val="00BE654A"/>
    <w:rsid w:val="00BF00A9"/>
    <w:rsid w:val="00BF0830"/>
    <w:rsid w:val="00BF08EC"/>
    <w:rsid w:val="00BF165E"/>
    <w:rsid w:val="00BF350D"/>
    <w:rsid w:val="00BF71F9"/>
    <w:rsid w:val="00BF765C"/>
    <w:rsid w:val="00C04D08"/>
    <w:rsid w:val="00C068D9"/>
    <w:rsid w:val="00C073BA"/>
    <w:rsid w:val="00C10209"/>
    <w:rsid w:val="00C10806"/>
    <w:rsid w:val="00C10B2E"/>
    <w:rsid w:val="00C138EE"/>
    <w:rsid w:val="00C16623"/>
    <w:rsid w:val="00C169CD"/>
    <w:rsid w:val="00C17A30"/>
    <w:rsid w:val="00C209CF"/>
    <w:rsid w:val="00C239CA"/>
    <w:rsid w:val="00C25E9D"/>
    <w:rsid w:val="00C27E52"/>
    <w:rsid w:val="00C34342"/>
    <w:rsid w:val="00C34B17"/>
    <w:rsid w:val="00C3575E"/>
    <w:rsid w:val="00C35C50"/>
    <w:rsid w:val="00C424AC"/>
    <w:rsid w:val="00C43980"/>
    <w:rsid w:val="00C441EB"/>
    <w:rsid w:val="00C453AC"/>
    <w:rsid w:val="00C45C88"/>
    <w:rsid w:val="00C45DED"/>
    <w:rsid w:val="00C4627D"/>
    <w:rsid w:val="00C475A2"/>
    <w:rsid w:val="00C507F3"/>
    <w:rsid w:val="00C512C9"/>
    <w:rsid w:val="00C51437"/>
    <w:rsid w:val="00C51AF3"/>
    <w:rsid w:val="00C53D38"/>
    <w:rsid w:val="00C55882"/>
    <w:rsid w:val="00C55BA6"/>
    <w:rsid w:val="00C56C30"/>
    <w:rsid w:val="00C601BB"/>
    <w:rsid w:val="00C601EE"/>
    <w:rsid w:val="00C60AFE"/>
    <w:rsid w:val="00C60B0B"/>
    <w:rsid w:val="00C627B8"/>
    <w:rsid w:val="00C63807"/>
    <w:rsid w:val="00C63B08"/>
    <w:rsid w:val="00C64CF6"/>
    <w:rsid w:val="00C654EE"/>
    <w:rsid w:val="00C67897"/>
    <w:rsid w:val="00C717A3"/>
    <w:rsid w:val="00C74216"/>
    <w:rsid w:val="00C75138"/>
    <w:rsid w:val="00C76E47"/>
    <w:rsid w:val="00C76FAF"/>
    <w:rsid w:val="00C81FBB"/>
    <w:rsid w:val="00C84297"/>
    <w:rsid w:val="00C87EA8"/>
    <w:rsid w:val="00C92157"/>
    <w:rsid w:val="00C9329B"/>
    <w:rsid w:val="00C95A15"/>
    <w:rsid w:val="00C95AF6"/>
    <w:rsid w:val="00C9668B"/>
    <w:rsid w:val="00C967AB"/>
    <w:rsid w:val="00C9720F"/>
    <w:rsid w:val="00C97319"/>
    <w:rsid w:val="00C97BC7"/>
    <w:rsid w:val="00C97EEA"/>
    <w:rsid w:val="00CA2E68"/>
    <w:rsid w:val="00CA3501"/>
    <w:rsid w:val="00CA3F64"/>
    <w:rsid w:val="00CA4B99"/>
    <w:rsid w:val="00CA6C53"/>
    <w:rsid w:val="00CB1570"/>
    <w:rsid w:val="00CB2996"/>
    <w:rsid w:val="00CB33AB"/>
    <w:rsid w:val="00CB34F2"/>
    <w:rsid w:val="00CB3728"/>
    <w:rsid w:val="00CB38F6"/>
    <w:rsid w:val="00CB4AEE"/>
    <w:rsid w:val="00CB50EF"/>
    <w:rsid w:val="00CC0BF8"/>
    <w:rsid w:val="00CC1C15"/>
    <w:rsid w:val="00CC2CEC"/>
    <w:rsid w:val="00CC2D0B"/>
    <w:rsid w:val="00CC342F"/>
    <w:rsid w:val="00CC3F2A"/>
    <w:rsid w:val="00CC637E"/>
    <w:rsid w:val="00CD059F"/>
    <w:rsid w:val="00CD0898"/>
    <w:rsid w:val="00CD11DB"/>
    <w:rsid w:val="00CD22FF"/>
    <w:rsid w:val="00CD47ED"/>
    <w:rsid w:val="00CD54DF"/>
    <w:rsid w:val="00CD6204"/>
    <w:rsid w:val="00CD7C7C"/>
    <w:rsid w:val="00CE18FC"/>
    <w:rsid w:val="00CE2B61"/>
    <w:rsid w:val="00CE3180"/>
    <w:rsid w:val="00CE3F2C"/>
    <w:rsid w:val="00CE559E"/>
    <w:rsid w:val="00CE6B08"/>
    <w:rsid w:val="00CE7753"/>
    <w:rsid w:val="00CF0FF6"/>
    <w:rsid w:val="00CF1158"/>
    <w:rsid w:val="00CF188C"/>
    <w:rsid w:val="00CF3DAA"/>
    <w:rsid w:val="00CF4A5A"/>
    <w:rsid w:val="00CF4CB5"/>
    <w:rsid w:val="00CF543C"/>
    <w:rsid w:val="00CF5D6D"/>
    <w:rsid w:val="00CF68B0"/>
    <w:rsid w:val="00CF780A"/>
    <w:rsid w:val="00CF7F54"/>
    <w:rsid w:val="00D00B72"/>
    <w:rsid w:val="00D0116F"/>
    <w:rsid w:val="00D012EE"/>
    <w:rsid w:val="00D0142B"/>
    <w:rsid w:val="00D01C82"/>
    <w:rsid w:val="00D01FA0"/>
    <w:rsid w:val="00D028B9"/>
    <w:rsid w:val="00D030E8"/>
    <w:rsid w:val="00D06663"/>
    <w:rsid w:val="00D06AA2"/>
    <w:rsid w:val="00D06C0F"/>
    <w:rsid w:val="00D07164"/>
    <w:rsid w:val="00D075DE"/>
    <w:rsid w:val="00D07F68"/>
    <w:rsid w:val="00D10213"/>
    <w:rsid w:val="00D10649"/>
    <w:rsid w:val="00D12BCB"/>
    <w:rsid w:val="00D12C00"/>
    <w:rsid w:val="00D1452C"/>
    <w:rsid w:val="00D160E4"/>
    <w:rsid w:val="00D167B5"/>
    <w:rsid w:val="00D1694B"/>
    <w:rsid w:val="00D2030A"/>
    <w:rsid w:val="00D2127D"/>
    <w:rsid w:val="00D212BC"/>
    <w:rsid w:val="00D21892"/>
    <w:rsid w:val="00D220A2"/>
    <w:rsid w:val="00D22ACC"/>
    <w:rsid w:val="00D22F67"/>
    <w:rsid w:val="00D233C5"/>
    <w:rsid w:val="00D239FF"/>
    <w:rsid w:val="00D25220"/>
    <w:rsid w:val="00D25809"/>
    <w:rsid w:val="00D25815"/>
    <w:rsid w:val="00D26859"/>
    <w:rsid w:val="00D26F78"/>
    <w:rsid w:val="00D30B91"/>
    <w:rsid w:val="00D3614D"/>
    <w:rsid w:val="00D36C68"/>
    <w:rsid w:val="00D370BE"/>
    <w:rsid w:val="00D41D28"/>
    <w:rsid w:val="00D4203A"/>
    <w:rsid w:val="00D439C6"/>
    <w:rsid w:val="00D453EC"/>
    <w:rsid w:val="00D45D8B"/>
    <w:rsid w:val="00D502EA"/>
    <w:rsid w:val="00D5307A"/>
    <w:rsid w:val="00D53F98"/>
    <w:rsid w:val="00D55AB4"/>
    <w:rsid w:val="00D6152D"/>
    <w:rsid w:val="00D65893"/>
    <w:rsid w:val="00D65B9A"/>
    <w:rsid w:val="00D6707D"/>
    <w:rsid w:val="00D6720A"/>
    <w:rsid w:val="00D67AB6"/>
    <w:rsid w:val="00D67D9C"/>
    <w:rsid w:val="00D71D4F"/>
    <w:rsid w:val="00D7338B"/>
    <w:rsid w:val="00D738B4"/>
    <w:rsid w:val="00D742D4"/>
    <w:rsid w:val="00D767EF"/>
    <w:rsid w:val="00D80D15"/>
    <w:rsid w:val="00D82205"/>
    <w:rsid w:val="00D82E63"/>
    <w:rsid w:val="00D8460F"/>
    <w:rsid w:val="00D8618F"/>
    <w:rsid w:val="00D8626B"/>
    <w:rsid w:val="00D86BB7"/>
    <w:rsid w:val="00D8745A"/>
    <w:rsid w:val="00D94291"/>
    <w:rsid w:val="00D9566E"/>
    <w:rsid w:val="00D97FC8"/>
    <w:rsid w:val="00DA0A39"/>
    <w:rsid w:val="00DA0BAB"/>
    <w:rsid w:val="00DA3279"/>
    <w:rsid w:val="00DA4282"/>
    <w:rsid w:val="00DA7A2D"/>
    <w:rsid w:val="00DB3A7F"/>
    <w:rsid w:val="00DB3C41"/>
    <w:rsid w:val="00DB4953"/>
    <w:rsid w:val="00DB496F"/>
    <w:rsid w:val="00DB4A32"/>
    <w:rsid w:val="00DB7351"/>
    <w:rsid w:val="00DC0AC1"/>
    <w:rsid w:val="00DC0AFF"/>
    <w:rsid w:val="00DC23C3"/>
    <w:rsid w:val="00DC2E5F"/>
    <w:rsid w:val="00DC34F7"/>
    <w:rsid w:val="00DC4E27"/>
    <w:rsid w:val="00DC6812"/>
    <w:rsid w:val="00DC6D21"/>
    <w:rsid w:val="00DC704C"/>
    <w:rsid w:val="00DD0380"/>
    <w:rsid w:val="00DD1839"/>
    <w:rsid w:val="00DD4486"/>
    <w:rsid w:val="00DD6A2B"/>
    <w:rsid w:val="00DD6ECC"/>
    <w:rsid w:val="00DE0041"/>
    <w:rsid w:val="00DE03E1"/>
    <w:rsid w:val="00DE057B"/>
    <w:rsid w:val="00DE14EC"/>
    <w:rsid w:val="00DE2A0A"/>
    <w:rsid w:val="00DE6EDA"/>
    <w:rsid w:val="00DE7440"/>
    <w:rsid w:val="00DF153D"/>
    <w:rsid w:val="00DF1DA7"/>
    <w:rsid w:val="00DF4029"/>
    <w:rsid w:val="00DF426F"/>
    <w:rsid w:val="00DF635D"/>
    <w:rsid w:val="00DF69F4"/>
    <w:rsid w:val="00DF6AC7"/>
    <w:rsid w:val="00E01927"/>
    <w:rsid w:val="00E0192A"/>
    <w:rsid w:val="00E0369F"/>
    <w:rsid w:val="00E04877"/>
    <w:rsid w:val="00E0573D"/>
    <w:rsid w:val="00E0640D"/>
    <w:rsid w:val="00E06440"/>
    <w:rsid w:val="00E07B36"/>
    <w:rsid w:val="00E07BA2"/>
    <w:rsid w:val="00E10E61"/>
    <w:rsid w:val="00E12F49"/>
    <w:rsid w:val="00E14857"/>
    <w:rsid w:val="00E15A0B"/>
    <w:rsid w:val="00E171D0"/>
    <w:rsid w:val="00E2116D"/>
    <w:rsid w:val="00E220C0"/>
    <w:rsid w:val="00E22573"/>
    <w:rsid w:val="00E24855"/>
    <w:rsid w:val="00E24FF6"/>
    <w:rsid w:val="00E25845"/>
    <w:rsid w:val="00E26E30"/>
    <w:rsid w:val="00E3201E"/>
    <w:rsid w:val="00E32167"/>
    <w:rsid w:val="00E35614"/>
    <w:rsid w:val="00E357E6"/>
    <w:rsid w:val="00E35984"/>
    <w:rsid w:val="00E37905"/>
    <w:rsid w:val="00E37EB9"/>
    <w:rsid w:val="00E41D58"/>
    <w:rsid w:val="00E42363"/>
    <w:rsid w:val="00E42C52"/>
    <w:rsid w:val="00E42FDA"/>
    <w:rsid w:val="00E44C8D"/>
    <w:rsid w:val="00E44C9C"/>
    <w:rsid w:val="00E510A2"/>
    <w:rsid w:val="00E513A3"/>
    <w:rsid w:val="00E51736"/>
    <w:rsid w:val="00E56804"/>
    <w:rsid w:val="00E60611"/>
    <w:rsid w:val="00E64E9B"/>
    <w:rsid w:val="00E64FC7"/>
    <w:rsid w:val="00E65116"/>
    <w:rsid w:val="00E70339"/>
    <w:rsid w:val="00E70DFB"/>
    <w:rsid w:val="00E71D08"/>
    <w:rsid w:val="00E761B1"/>
    <w:rsid w:val="00E76473"/>
    <w:rsid w:val="00E764B5"/>
    <w:rsid w:val="00E77A4E"/>
    <w:rsid w:val="00E77D2E"/>
    <w:rsid w:val="00E80CB8"/>
    <w:rsid w:val="00E80FF7"/>
    <w:rsid w:val="00E81D00"/>
    <w:rsid w:val="00E84FBE"/>
    <w:rsid w:val="00E854B2"/>
    <w:rsid w:val="00E86790"/>
    <w:rsid w:val="00E8697F"/>
    <w:rsid w:val="00E869CA"/>
    <w:rsid w:val="00E875E1"/>
    <w:rsid w:val="00E87CE7"/>
    <w:rsid w:val="00E90274"/>
    <w:rsid w:val="00E90458"/>
    <w:rsid w:val="00E906BC"/>
    <w:rsid w:val="00E924C0"/>
    <w:rsid w:val="00E930D6"/>
    <w:rsid w:val="00E93C4F"/>
    <w:rsid w:val="00E94C37"/>
    <w:rsid w:val="00E96830"/>
    <w:rsid w:val="00E96857"/>
    <w:rsid w:val="00E9723B"/>
    <w:rsid w:val="00E97C14"/>
    <w:rsid w:val="00EA1D10"/>
    <w:rsid w:val="00EA3989"/>
    <w:rsid w:val="00EA3C82"/>
    <w:rsid w:val="00EA56A2"/>
    <w:rsid w:val="00EA65DF"/>
    <w:rsid w:val="00EB0A10"/>
    <w:rsid w:val="00EB1748"/>
    <w:rsid w:val="00EB212F"/>
    <w:rsid w:val="00EB2ED3"/>
    <w:rsid w:val="00EB375D"/>
    <w:rsid w:val="00EB3763"/>
    <w:rsid w:val="00EB3C2C"/>
    <w:rsid w:val="00EB55E2"/>
    <w:rsid w:val="00EB56F1"/>
    <w:rsid w:val="00EB7670"/>
    <w:rsid w:val="00EC018B"/>
    <w:rsid w:val="00EC03D9"/>
    <w:rsid w:val="00EC31F5"/>
    <w:rsid w:val="00EC6A8B"/>
    <w:rsid w:val="00ED1F26"/>
    <w:rsid w:val="00ED5350"/>
    <w:rsid w:val="00EE2012"/>
    <w:rsid w:val="00EE3334"/>
    <w:rsid w:val="00EE478E"/>
    <w:rsid w:val="00EE4A22"/>
    <w:rsid w:val="00EE4C2E"/>
    <w:rsid w:val="00EE4C55"/>
    <w:rsid w:val="00EF0532"/>
    <w:rsid w:val="00EF1039"/>
    <w:rsid w:val="00EF1FCD"/>
    <w:rsid w:val="00EF5DE0"/>
    <w:rsid w:val="00F001A8"/>
    <w:rsid w:val="00F00EF1"/>
    <w:rsid w:val="00F0461A"/>
    <w:rsid w:val="00F06C54"/>
    <w:rsid w:val="00F110F7"/>
    <w:rsid w:val="00F1171A"/>
    <w:rsid w:val="00F1266F"/>
    <w:rsid w:val="00F13827"/>
    <w:rsid w:val="00F13AA0"/>
    <w:rsid w:val="00F13C6F"/>
    <w:rsid w:val="00F15D02"/>
    <w:rsid w:val="00F1639F"/>
    <w:rsid w:val="00F20293"/>
    <w:rsid w:val="00F20D3B"/>
    <w:rsid w:val="00F21D9B"/>
    <w:rsid w:val="00F2226E"/>
    <w:rsid w:val="00F24D85"/>
    <w:rsid w:val="00F25797"/>
    <w:rsid w:val="00F27998"/>
    <w:rsid w:val="00F27F6A"/>
    <w:rsid w:val="00F30EF7"/>
    <w:rsid w:val="00F31C24"/>
    <w:rsid w:val="00F32169"/>
    <w:rsid w:val="00F34A07"/>
    <w:rsid w:val="00F35BCF"/>
    <w:rsid w:val="00F36D3C"/>
    <w:rsid w:val="00F40362"/>
    <w:rsid w:val="00F41B88"/>
    <w:rsid w:val="00F41F4A"/>
    <w:rsid w:val="00F4379E"/>
    <w:rsid w:val="00F43BA8"/>
    <w:rsid w:val="00F4415F"/>
    <w:rsid w:val="00F5150F"/>
    <w:rsid w:val="00F52141"/>
    <w:rsid w:val="00F537EA"/>
    <w:rsid w:val="00F57AF0"/>
    <w:rsid w:val="00F57DC7"/>
    <w:rsid w:val="00F64B28"/>
    <w:rsid w:val="00F66B96"/>
    <w:rsid w:val="00F70CEB"/>
    <w:rsid w:val="00F72277"/>
    <w:rsid w:val="00F723ED"/>
    <w:rsid w:val="00F7319E"/>
    <w:rsid w:val="00F731F7"/>
    <w:rsid w:val="00F81069"/>
    <w:rsid w:val="00F81A81"/>
    <w:rsid w:val="00F82A8D"/>
    <w:rsid w:val="00F82D5D"/>
    <w:rsid w:val="00F83C27"/>
    <w:rsid w:val="00F84BEE"/>
    <w:rsid w:val="00F84DE0"/>
    <w:rsid w:val="00F85519"/>
    <w:rsid w:val="00F86C45"/>
    <w:rsid w:val="00F87AB6"/>
    <w:rsid w:val="00F87F5F"/>
    <w:rsid w:val="00F94592"/>
    <w:rsid w:val="00F94A5D"/>
    <w:rsid w:val="00F94E0C"/>
    <w:rsid w:val="00F971F6"/>
    <w:rsid w:val="00FA01A1"/>
    <w:rsid w:val="00FA1FB1"/>
    <w:rsid w:val="00FA3380"/>
    <w:rsid w:val="00FA43FF"/>
    <w:rsid w:val="00FA4524"/>
    <w:rsid w:val="00FA4DD8"/>
    <w:rsid w:val="00FB075E"/>
    <w:rsid w:val="00FB0F15"/>
    <w:rsid w:val="00FB171E"/>
    <w:rsid w:val="00FB1A14"/>
    <w:rsid w:val="00FB1F72"/>
    <w:rsid w:val="00FB323B"/>
    <w:rsid w:val="00FB4924"/>
    <w:rsid w:val="00FB549F"/>
    <w:rsid w:val="00FB6A4D"/>
    <w:rsid w:val="00FC2A7D"/>
    <w:rsid w:val="00FC3EAC"/>
    <w:rsid w:val="00FC481B"/>
    <w:rsid w:val="00FC5F56"/>
    <w:rsid w:val="00FC6A90"/>
    <w:rsid w:val="00FC79B5"/>
    <w:rsid w:val="00FD0138"/>
    <w:rsid w:val="00FD1405"/>
    <w:rsid w:val="00FD1C0C"/>
    <w:rsid w:val="00FD24D2"/>
    <w:rsid w:val="00FD29F0"/>
    <w:rsid w:val="00FD2D90"/>
    <w:rsid w:val="00FD46C7"/>
    <w:rsid w:val="00FD47FF"/>
    <w:rsid w:val="00FD5C9D"/>
    <w:rsid w:val="00FE2197"/>
    <w:rsid w:val="00FE44FA"/>
    <w:rsid w:val="00FE77EC"/>
    <w:rsid w:val="00FF053A"/>
    <w:rsid w:val="00FF1C92"/>
    <w:rsid w:val="00FF1C9A"/>
    <w:rsid w:val="00FF205C"/>
    <w:rsid w:val="00FF685C"/>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0D6"/>
    <w:pPr>
      <w:widowControl w:val="0"/>
    </w:pPr>
    <w:rPr>
      <w:snapToGrid w:val="0"/>
      <w:kern w:val="28"/>
      <w:sz w:val="22"/>
    </w:rPr>
  </w:style>
  <w:style w:type="paragraph" w:styleId="Heading1">
    <w:name w:val="heading 1"/>
    <w:basedOn w:val="Normal"/>
    <w:next w:val="ParaNum"/>
    <w:link w:val="Heading1Char"/>
    <w:qFormat/>
    <w:rsid w:val="00E930D6"/>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930D6"/>
    <w:pPr>
      <w:keepNext/>
      <w:numPr>
        <w:ilvl w:val="1"/>
        <w:numId w:val="22"/>
      </w:numPr>
      <w:spacing w:after="120"/>
      <w:outlineLvl w:val="1"/>
    </w:pPr>
    <w:rPr>
      <w:b/>
    </w:rPr>
  </w:style>
  <w:style w:type="paragraph" w:styleId="Heading3">
    <w:name w:val="heading 3"/>
    <w:basedOn w:val="Normal"/>
    <w:next w:val="ParaNum"/>
    <w:qFormat/>
    <w:rsid w:val="00E930D6"/>
    <w:pPr>
      <w:keepNext/>
      <w:numPr>
        <w:ilvl w:val="2"/>
        <w:numId w:val="22"/>
      </w:numPr>
      <w:tabs>
        <w:tab w:val="left" w:pos="2160"/>
      </w:tabs>
      <w:spacing w:after="120"/>
      <w:outlineLvl w:val="2"/>
    </w:pPr>
    <w:rPr>
      <w:b/>
    </w:rPr>
  </w:style>
  <w:style w:type="paragraph" w:styleId="Heading4">
    <w:name w:val="heading 4"/>
    <w:basedOn w:val="Normal"/>
    <w:next w:val="ParaNum"/>
    <w:qFormat/>
    <w:rsid w:val="00E930D6"/>
    <w:pPr>
      <w:keepNext/>
      <w:numPr>
        <w:ilvl w:val="3"/>
        <w:numId w:val="22"/>
      </w:numPr>
      <w:tabs>
        <w:tab w:val="left" w:pos="2880"/>
      </w:tabs>
      <w:spacing w:after="120"/>
      <w:outlineLvl w:val="3"/>
    </w:pPr>
    <w:rPr>
      <w:b/>
    </w:rPr>
  </w:style>
  <w:style w:type="paragraph" w:styleId="Heading5">
    <w:name w:val="heading 5"/>
    <w:basedOn w:val="Normal"/>
    <w:next w:val="ParaNum"/>
    <w:qFormat/>
    <w:rsid w:val="00E930D6"/>
    <w:pPr>
      <w:keepNext/>
      <w:numPr>
        <w:ilvl w:val="4"/>
        <w:numId w:val="22"/>
      </w:numPr>
      <w:tabs>
        <w:tab w:val="left" w:pos="3600"/>
      </w:tabs>
      <w:suppressAutoHyphens/>
      <w:spacing w:after="120"/>
      <w:outlineLvl w:val="4"/>
    </w:pPr>
    <w:rPr>
      <w:b/>
    </w:rPr>
  </w:style>
  <w:style w:type="paragraph" w:styleId="Heading6">
    <w:name w:val="heading 6"/>
    <w:basedOn w:val="Normal"/>
    <w:next w:val="ParaNum"/>
    <w:qFormat/>
    <w:rsid w:val="00E930D6"/>
    <w:pPr>
      <w:numPr>
        <w:ilvl w:val="5"/>
        <w:numId w:val="22"/>
      </w:numPr>
      <w:tabs>
        <w:tab w:val="left" w:pos="4320"/>
      </w:tabs>
      <w:spacing w:after="120"/>
      <w:outlineLvl w:val="5"/>
    </w:pPr>
    <w:rPr>
      <w:b/>
    </w:rPr>
  </w:style>
  <w:style w:type="paragraph" w:styleId="Heading7">
    <w:name w:val="heading 7"/>
    <w:basedOn w:val="Normal"/>
    <w:next w:val="ParaNum"/>
    <w:qFormat/>
    <w:rsid w:val="00E930D6"/>
    <w:pPr>
      <w:numPr>
        <w:ilvl w:val="6"/>
        <w:numId w:val="22"/>
      </w:numPr>
      <w:tabs>
        <w:tab w:val="left" w:pos="5040"/>
      </w:tabs>
      <w:spacing w:after="120"/>
      <w:ind w:left="5040" w:hanging="720"/>
      <w:outlineLvl w:val="6"/>
    </w:pPr>
    <w:rPr>
      <w:b/>
    </w:rPr>
  </w:style>
  <w:style w:type="paragraph" w:styleId="Heading8">
    <w:name w:val="heading 8"/>
    <w:basedOn w:val="Normal"/>
    <w:next w:val="ParaNum"/>
    <w:qFormat/>
    <w:rsid w:val="00E930D6"/>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
    <w:qFormat/>
    <w:rsid w:val="00E930D6"/>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930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30D6"/>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E930D6"/>
    <w:pPr>
      <w:numPr>
        <w:numId w:val="15"/>
      </w:numPr>
      <w:tabs>
        <w:tab w:val="clear" w:pos="1080"/>
        <w:tab w:val="num" w:pos="1440"/>
      </w:tabs>
      <w:spacing w:after="120"/>
    </w:p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link w:val="FootnoteTextChar1"/>
    <w:rsid w:val="00E930D6"/>
    <w:pPr>
      <w:spacing w:after="120"/>
    </w:pPr>
  </w:style>
  <w:style w:type="paragraph" w:customStyle="1" w:styleId="Bullet">
    <w:name w:val="Bullet"/>
    <w:basedOn w:val="Normal"/>
    <w:rsid w:val="00E930D6"/>
    <w:pPr>
      <w:tabs>
        <w:tab w:val="left" w:pos="2160"/>
      </w:tabs>
      <w:spacing w:after="220"/>
      <w:ind w:left="2160" w:hanging="720"/>
    </w:pPr>
  </w:style>
  <w:style w:type="paragraph" w:styleId="BlockText">
    <w:name w:val="Block Text"/>
    <w:basedOn w:val="Normal"/>
    <w:rsid w:val="00E930D6"/>
    <w:pPr>
      <w:spacing w:after="240"/>
      <w:ind w:left="1440" w:right="1440"/>
    </w:pPr>
  </w:style>
  <w:style w:type="paragraph" w:customStyle="1" w:styleId="TableFormat">
    <w:name w:val="TableFormat"/>
    <w:basedOn w:val="Bullet"/>
    <w:rsid w:val="00E930D6"/>
    <w:pPr>
      <w:tabs>
        <w:tab w:val="clear" w:pos="2160"/>
        <w:tab w:val="left" w:pos="5040"/>
      </w:tabs>
      <w:ind w:left="5040" w:hanging="3600"/>
    </w:pPr>
  </w:style>
  <w:style w:type="character" w:styleId="FootnoteReference">
    <w:name w:val="footnote reference"/>
    <w:rsid w:val="00E930D6"/>
    <w:rPr>
      <w:rFonts w:ascii="Times New Roman" w:hAnsi="Times New Roman"/>
      <w:dstrike w:val="0"/>
      <w:color w:val="auto"/>
      <w:sz w:val="20"/>
      <w:vertAlign w:val="superscript"/>
    </w:rPr>
  </w:style>
  <w:style w:type="paragraph" w:styleId="Header">
    <w:name w:val="header"/>
    <w:basedOn w:val="Normal"/>
    <w:autoRedefine/>
    <w:rsid w:val="00E930D6"/>
    <w:pPr>
      <w:tabs>
        <w:tab w:val="center" w:pos="4680"/>
        <w:tab w:val="right" w:pos="9360"/>
      </w:tabs>
    </w:pPr>
    <w:rPr>
      <w:b/>
    </w:rPr>
  </w:style>
  <w:style w:type="paragraph" w:styleId="Footer">
    <w:name w:val="footer"/>
    <w:basedOn w:val="Normal"/>
    <w:link w:val="FooterChar"/>
    <w:rsid w:val="00E930D6"/>
    <w:pPr>
      <w:tabs>
        <w:tab w:val="center" w:pos="4320"/>
        <w:tab w:val="right" w:pos="8640"/>
      </w:tabs>
    </w:pPr>
  </w:style>
  <w:style w:type="paragraph" w:styleId="TOC2">
    <w:name w:val="toc 2"/>
    <w:basedOn w:val="Normal"/>
    <w:next w:val="Normal"/>
    <w:semiHidden/>
    <w:rsid w:val="00E930D6"/>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E930D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930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930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30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30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30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30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30D6"/>
    <w:pPr>
      <w:tabs>
        <w:tab w:val="left" w:pos="3240"/>
        <w:tab w:val="right" w:leader="dot" w:pos="9360"/>
      </w:tabs>
      <w:suppressAutoHyphens/>
      <w:ind w:left="3240" w:hanging="360"/>
    </w:pPr>
    <w:rPr>
      <w:noProof/>
    </w:rPr>
  </w:style>
  <w:style w:type="character" w:styleId="PageNumber">
    <w:name w:val="page number"/>
    <w:basedOn w:val="DefaultParagraphFont"/>
    <w:rsid w:val="00E930D6"/>
  </w:style>
  <w:style w:type="paragraph" w:styleId="Title">
    <w:name w:val="Title"/>
    <w:basedOn w:val="Normal"/>
    <w:qFormat/>
    <w:pPr>
      <w:jc w:val="center"/>
    </w:pPr>
    <w:rPr>
      <w:b/>
    </w:rPr>
  </w:style>
  <w:style w:type="table" w:styleId="TableGrid">
    <w:name w:val="Table Grid"/>
    <w:basedOn w:val="TableNormal"/>
    <w:rsid w:val="00D73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07C4"/>
    <w:rPr>
      <w:rFonts w:ascii="Tahoma" w:hAnsi="Tahoma" w:cs="Tahoma"/>
      <w:sz w:val="16"/>
      <w:szCs w:val="16"/>
    </w:rPr>
  </w:style>
  <w:style w:type="character" w:customStyle="1" w:styleId="documentbody1">
    <w:name w:val="documentbody1"/>
    <w:rsid w:val="00E761B1"/>
    <w:rPr>
      <w:rFonts w:ascii="Verdana" w:hAnsi="Verdana" w:hint="default"/>
      <w:sz w:val="19"/>
      <w:szCs w:val="19"/>
    </w:rPr>
  </w:style>
  <w:style w:type="character" w:styleId="Hyperlink">
    <w:name w:val="Hyperlink"/>
    <w:rsid w:val="00E930D6"/>
    <w:rPr>
      <w:color w:val="0000FF"/>
      <w:u w:val="single"/>
    </w:rPr>
  </w:style>
  <w:style w:type="character" w:customStyle="1" w:styleId="bestsection1">
    <w:name w:val="bestsection1"/>
    <w:rsid w:val="007973B9"/>
    <w:rPr>
      <w:color w:val="FF0000"/>
    </w:rPr>
  </w:style>
  <w:style w:type="character" w:customStyle="1" w:styleId="searchterm1">
    <w:name w:val="searchterm1"/>
    <w:rsid w:val="007973B9"/>
    <w:rPr>
      <w:b/>
      <w:bCs/>
      <w:shd w:val="clear" w:color="auto" w:fill="FFFF00"/>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sid w:val="00461B70"/>
  </w:style>
  <w:style w:type="character" w:customStyle="1" w:styleId="Heading1Char">
    <w:name w:val="Heading 1 Char"/>
    <w:link w:val="Heading1"/>
    <w:rsid w:val="008B65BC"/>
    <w:rPr>
      <w:rFonts w:ascii="Times New Roman Bold" w:hAnsi="Times New Roman Bold"/>
      <w:b/>
      <w:caps/>
      <w:snapToGrid w:val="0"/>
      <w:kern w:val="28"/>
      <w:sz w:val="22"/>
    </w:rPr>
  </w:style>
  <w:style w:type="paragraph" w:styleId="DocumentMap">
    <w:name w:val="Document Map"/>
    <w:basedOn w:val="Normal"/>
    <w:semiHidden/>
    <w:rsid w:val="003A56F9"/>
    <w:pPr>
      <w:shd w:val="clear" w:color="auto" w:fill="000080"/>
    </w:pPr>
    <w:rPr>
      <w:rFonts w:ascii="Tahoma" w:hAnsi="Tahoma" w:cs="Tahoma"/>
      <w:sz w:val="20"/>
    </w:rPr>
  </w:style>
  <w:style w:type="character" w:customStyle="1" w:styleId="FootnoteTextChar3CharChar">
    <w:name w:val="Footnote Text Char3 Char Char"/>
    <w:aliases w:val="Footnote Text Char2 Char Char Char,Footnote Text Char Char1 Char Char Char,Footnote Text Char Char Char Char Char Char Char1,Footnote Text Char7 Char1"/>
    <w:rsid w:val="00B4450E"/>
    <w:rPr>
      <w:lang w:val="en-US" w:eastAsia="en-US" w:bidi="ar-SA"/>
    </w:rPr>
  </w:style>
  <w:style w:type="character" w:customStyle="1" w:styleId="ParaNumChar">
    <w:name w:val="ParaNum Char"/>
    <w:link w:val="ParaNum"/>
    <w:rsid w:val="00B07280"/>
    <w:rPr>
      <w:snapToGrid w:val="0"/>
      <w:kern w:val="28"/>
      <w:sz w:val="22"/>
    </w:rPr>
  </w:style>
  <w:style w:type="character" w:customStyle="1" w:styleId="FooterChar">
    <w:name w:val="Footer Char"/>
    <w:link w:val="Footer"/>
    <w:rsid w:val="006B7711"/>
    <w:rPr>
      <w:snapToGrid w:val="0"/>
      <w:kern w:val="28"/>
      <w:sz w:val="22"/>
    </w:rPr>
  </w:style>
  <w:style w:type="character" w:customStyle="1" w:styleId="emphi1">
    <w:name w:val="emphi1"/>
    <w:rsid w:val="0020124B"/>
    <w:rPr>
      <w:i/>
      <w:iCs/>
    </w:rPr>
  </w:style>
  <w:style w:type="character" w:customStyle="1" w:styleId="cosearchterm7">
    <w:name w:val="co_searchterm7"/>
    <w:rsid w:val="004A12FB"/>
    <w:rPr>
      <w:b/>
      <w:bCs/>
      <w:color w:val="252525"/>
    </w:rPr>
  </w:style>
  <w:style w:type="character" w:customStyle="1" w:styleId="cosearchterm8">
    <w:name w:val="co_searchterm8"/>
    <w:rsid w:val="004A12FB"/>
    <w:rPr>
      <w:b/>
      <w:bCs/>
      <w:color w:val="252525"/>
    </w:rPr>
  </w:style>
  <w:style w:type="character" w:customStyle="1" w:styleId="cosearchterm9">
    <w:name w:val="co_searchterm9"/>
    <w:rsid w:val="004A12FB"/>
    <w:rPr>
      <w:b/>
      <w:bCs/>
      <w:color w:val="252525"/>
    </w:rPr>
  </w:style>
  <w:style w:type="character" w:customStyle="1" w:styleId="cosearchterm10">
    <w:name w:val="co_searchterm10"/>
    <w:rsid w:val="004A12FB"/>
    <w:rPr>
      <w:b/>
      <w:bCs/>
      <w:color w:val="252525"/>
    </w:rPr>
  </w:style>
  <w:style w:type="character" w:styleId="Emphasis">
    <w:name w:val="Emphasis"/>
    <w:uiPriority w:val="20"/>
    <w:qFormat/>
    <w:rsid w:val="003B5918"/>
    <w:rPr>
      <w:i/>
      <w:iCs/>
    </w:rPr>
  </w:style>
  <w:style w:type="character" w:customStyle="1" w:styleId="costarpage2">
    <w:name w:val="co_starpage2"/>
    <w:rsid w:val="003B5918"/>
  </w:style>
  <w:style w:type="character" w:customStyle="1" w:styleId="cosearchterm6">
    <w:name w:val="co_searchterm6"/>
    <w:rsid w:val="003B5918"/>
    <w:rPr>
      <w:b/>
      <w:bCs/>
      <w:color w:val="252525"/>
    </w:rPr>
  </w:style>
  <w:style w:type="character" w:styleId="CommentReference">
    <w:name w:val="annotation reference"/>
    <w:rsid w:val="009E02BF"/>
    <w:rPr>
      <w:sz w:val="16"/>
      <w:szCs w:val="16"/>
    </w:rPr>
  </w:style>
  <w:style w:type="paragraph" w:styleId="CommentText">
    <w:name w:val="annotation text"/>
    <w:basedOn w:val="Normal"/>
    <w:link w:val="CommentTextChar"/>
    <w:rsid w:val="009E02BF"/>
    <w:rPr>
      <w:sz w:val="20"/>
    </w:rPr>
  </w:style>
  <w:style w:type="character" w:customStyle="1" w:styleId="CommentTextChar">
    <w:name w:val="Comment Text Char"/>
    <w:basedOn w:val="DefaultParagraphFont"/>
    <w:link w:val="CommentText"/>
    <w:rsid w:val="009E02BF"/>
  </w:style>
  <w:style w:type="paragraph" w:styleId="CommentSubject">
    <w:name w:val="annotation subject"/>
    <w:basedOn w:val="CommentText"/>
    <w:next w:val="CommentText"/>
    <w:link w:val="CommentSubjectChar"/>
    <w:rsid w:val="009E02BF"/>
    <w:rPr>
      <w:b/>
      <w:bCs/>
      <w:lang w:val="x-none" w:eastAsia="x-none"/>
    </w:rPr>
  </w:style>
  <w:style w:type="character" w:customStyle="1" w:styleId="CommentSubjectChar">
    <w:name w:val="Comment Subject Char"/>
    <w:link w:val="CommentSubject"/>
    <w:rsid w:val="009E02BF"/>
    <w:rPr>
      <w:b/>
      <w:bCs/>
    </w:rPr>
  </w:style>
  <w:style w:type="character" w:customStyle="1" w:styleId="displayhltextactive1">
    <w:name w:val="display_hl_text_active1"/>
    <w:rsid w:val="00876335"/>
    <w:rPr>
      <w:bdr w:val="single" w:sz="6" w:space="0" w:color="993333" w:frame="1"/>
      <w:shd w:val="clear" w:color="auto" w:fill="FFFF99"/>
    </w:rPr>
  </w:style>
  <w:style w:type="character" w:customStyle="1" w:styleId="displayhltext1">
    <w:name w:val="display_hl_text1"/>
    <w:rsid w:val="002C5F30"/>
    <w:rPr>
      <w:shd w:val="clear" w:color="auto" w:fill="FFFF99"/>
    </w:rPr>
  </w:style>
  <w:style w:type="paragraph" w:styleId="Revision">
    <w:name w:val="Revision"/>
    <w:hidden/>
    <w:uiPriority w:val="99"/>
    <w:semiHidden/>
    <w:rsid w:val="00132AFB"/>
    <w:rPr>
      <w:sz w:val="22"/>
    </w:rPr>
  </w:style>
  <w:style w:type="paragraph" w:customStyle="1" w:styleId="Default">
    <w:name w:val="Default"/>
    <w:rsid w:val="003849BD"/>
    <w:pPr>
      <w:autoSpaceDE w:val="0"/>
      <w:autoSpaceDN w:val="0"/>
      <w:adjustRightInd w:val="0"/>
    </w:pPr>
    <w:rPr>
      <w:rFonts w:ascii="Arial" w:hAnsi="Arial" w:cs="Arial"/>
      <w:color w:val="000000"/>
      <w:sz w:val="24"/>
      <w:szCs w:val="24"/>
    </w:rPr>
  </w:style>
  <w:style w:type="character" w:customStyle="1" w:styleId="collectionname1">
    <w:name w:val="collectionname1"/>
    <w:rsid w:val="00730505"/>
    <w:rPr>
      <w:rFonts w:ascii="Verdana" w:hAnsi="Verdana" w:hint="default"/>
      <w:b/>
      <w:bCs/>
      <w:color w:val="000066"/>
      <w:sz w:val="18"/>
      <w:szCs w:val="18"/>
    </w:rPr>
  </w:style>
  <w:style w:type="character" w:customStyle="1" w:styleId="Heading2Char">
    <w:name w:val="Heading 2 Char"/>
    <w:link w:val="Heading2"/>
    <w:rsid w:val="00074C2F"/>
    <w:rPr>
      <w:b/>
      <w:snapToGrid w:val="0"/>
      <w:kern w:val="28"/>
      <w:sz w:val="22"/>
    </w:rPr>
  </w:style>
  <w:style w:type="paragraph" w:customStyle="1" w:styleId="StyleParaNum11pt1CharCharCharCharCharChar">
    <w:name w:val="Style ParaNum + 11 pt1 Char Char Char Char Char Char"/>
    <w:basedOn w:val="Normal"/>
    <w:link w:val="StyleParaNum11pt1CharCharCharCharCharCharChar"/>
    <w:rsid w:val="00D075DE"/>
    <w:pPr>
      <w:numPr>
        <w:numId w:val="19"/>
      </w:numPr>
      <w:tabs>
        <w:tab w:val="left" w:pos="1080"/>
      </w:tabs>
      <w:spacing w:after="240"/>
    </w:pPr>
    <w:rPr>
      <w:szCs w:val="22"/>
    </w:rPr>
  </w:style>
  <w:style w:type="character" w:customStyle="1" w:styleId="StyleParaNum11pt1CharCharCharCharCharCharChar">
    <w:name w:val="Style ParaNum + 11 pt1 Char Char Char Char Char Char Char"/>
    <w:link w:val="StyleParaNum11pt1CharCharCharCharCharChar"/>
    <w:rsid w:val="00D075DE"/>
    <w:rPr>
      <w:sz w:val="22"/>
      <w:szCs w:val="22"/>
    </w:rPr>
  </w:style>
  <w:style w:type="character" w:styleId="PlaceholderText">
    <w:name w:val="Placeholder Text"/>
    <w:basedOn w:val="DefaultParagraphFont"/>
    <w:uiPriority w:val="99"/>
    <w:semiHidden/>
    <w:rsid w:val="00453F83"/>
    <w:rPr>
      <w:color w:val="808080"/>
    </w:rPr>
  </w:style>
  <w:style w:type="table" w:customStyle="1" w:styleId="TableGrid1">
    <w:name w:val="Table Grid1"/>
    <w:basedOn w:val="TableNormal"/>
    <w:next w:val="TableGrid"/>
    <w:rsid w:val="006D73CD"/>
    <w:rPr>
      <w:rFonts w:asciiTheme="minorHAnsi" w:eastAsiaTheme="minorEastAsia" w:hAnsiTheme="minorHAnsi" w:cstheme="minorBidi"/>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Centered">
    <w:name w:val="Style Bold Centered"/>
    <w:basedOn w:val="Normal"/>
    <w:rsid w:val="00E930D6"/>
    <w:pPr>
      <w:jc w:val="center"/>
    </w:pPr>
    <w:rPr>
      <w:rFonts w:ascii="Times New Roman Bold" w:hAnsi="Times New Roman Bold"/>
      <w:b/>
      <w:bCs/>
      <w:caps/>
      <w:szCs w:val="22"/>
    </w:rPr>
  </w:style>
  <w:style w:type="paragraph" w:styleId="EndnoteText">
    <w:name w:val="endnote text"/>
    <w:basedOn w:val="Normal"/>
    <w:link w:val="EndnoteTextChar"/>
    <w:rsid w:val="00E930D6"/>
    <w:rPr>
      <w:sz w:val="20"/>
    </w:rPr>
  </w:style>
  <w:style w:type="character" w:customStyle="1" w:styleId="EndnoteTextChar">
    <w:name w:val="Endnote Text Char"/>
    <w:basedOn w:val="DefaultParagraphFont"/>
    <w:link w:val="EndnoteText"/>
    <w:rsid w:val="00A82FCF"/>
    <w:rPr>
      <w:snapToGrid w:val="0"/>
      <w:kern w:val="28"/>
    </w:rPr>
  </w:style>
  <w:style w:type="character" w:styleId="EndnoteReference">
    <w:name w:val="endnote reference"/>
    <w:rsid w:val="00E930D6"/>
    <w:rPr>
      <w:vertAlign w:val="superscript"/>
    </w:rPr>
  </w:style>
  <w:style w:type="paragraph" w:styleId="TOAHeading">
    <w:name w:val="toa heading"/>
    <w:basedOn w:val="Normal"/>
    <w:next w:val="Normal"/>
    <w:rsid w:val="00E930D6"/>
    <w:pPr>
      <w:tabs>
        <w:tab w:val="right" w:pos="9360"/>
      </w:tabs>
      <w:suppressAutoHyphens/>
    </w:pPr>
  </w:style>
  <w:style w:type="character" w:customStyle="1" w:styleId="EquationCaption">
    <w:name w:val="_Equation Caption"/>
    <w:rsid w:val="00E930D6"/>
  </w:style>
  <w:style w:type="paragraph" w:customStyle="1" w:styleId="Paratitle">
    <w:name w:val="Para title"/>
    <w:basedOn w:val="Normal"/>
    <w:rsid w:val="00E930D6"/>
    <w:pPr>
      <w:tabs>
        <w:tab w:val="center" w:pos="9270"/>
      </w:tabs>
      <w:spacing w:after="240"/>
    </w:pPr>
    <w:rPr>
      <w:spacing w:val="-2"/>
    </w:rPr>
  </w:style>
  <w:style w:type="paragraph" w:customStyle="1" w:styleId="TOCTitle">
    <w:name w:val="TOC Title"/>
    <w:basedOn w:val="Normal"/>
    <w:rsid w:val="00E930D6"/>
    <w:pPr>
      <w:spacing w:before="240" w:after="240"/>
      <w:jc w:val="center"/>
    </w:pPr>
    <w:rPr>
      <w:rFonts w:ascii="Times New Roman Bold" w:hAnsi="Times New Roman Bold"/>
      <w:b/>
      <w:cap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0D6"/>
    <w:pPr>
      <w:widowControl w:val="0"/>
    </w:pPr>
    <w:rPr>
      <w:snapToGrid w:val="0"/>
      <w:kern w:val="28"/>
      <w:sz w:val="22"/>
    </w:rPr>
  </w:style>
  <w:style w:type="paragraph" w:styleId="Heading1">
    <w:name w:val="heading 1"/>
    <w:basedOn w:val="Normal"/>
    <w:next w:val="ParaNum"/>
    <w:link w:val="Heading1Char"/>
    <w:qFormat/>
    <w:rsid w:val="00E930D6"/>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930D6"/>
    <w:pPr>
      <w:keepNext/>
      <w:numPr>
        <w:ilvl w:val="1"/>
        <w:numId w:val="22"/>
      </w:numPr>
      <w:spacing w:after="120"/>
      <w:outlineLvl w:val="1"/>
    </w:pPr>
    <w:rPr>
      <w:b/>
    </w:rPr>
  </w:style>
  <w:style w:type="paragraph" w:styleId="Heading3">
    <w:name w:val="heading 3"/>
    <w:basedOn w:val="Normal"/>
    <w:next w:val="ParaNum"/>
    <w:qFormat/>
    <w:rsid w:val="00E930D6"/>
    <w:pPr>
      <w:keepNext/>
      <w:numPr>
        <w:ilvl w:val="2"/>
        <w:numId w:val="22"/>
      </w:numPr>
      <w:tabs>
        <w:tab w:val="left" w:pos="2160"/>
      </w:tabs>
      <w:spacing w:after="120"/>
      <w:outlineLvl w:val="2"/>
    </w:pPr>
    <w:rPr>
      <w:b/>
    </w:rPr>
  </w:style>
  <w:style w:type="paragraph" w:styleId="Heading4">
    <w:name w:val="heading 4"/>
    <w:basedOn w:val="Normal"/>
    <w:next w:val="ParaNum"/>
    <w:qFormat/>
    <w:rsid w:val="00E930D6"/>
    <w:pPr>
      <w:keepNext/>
      <w:numPr>
        <w:ilvl w:val="3"/>
        <w:numId w:val="22"/>
      </w:numPr>
      <w:tabs>
        <w:tab w:val="left" w:pos="2880"/>
      </w:tabs>
      <w:spacing w:after="120"/>
      <w:outlineLvl w:val="3"/>
    </w:pPr>
    <w:rPr>
      <w:b/>
    </w:rPr>
  </w:style>
  <w:style w:type="paragraph" w:styleId="Heading5">
    <w:name w:val="heading 5"/>
    <w:basedOn w:val="Normal"/>
    <w:next w:val="ParaNum"/>
    <w:qFormat/>
    <w:rsid w:val="00E930D6"/>
    <w:pPr>
      <w:keepNext/>
      <w:numPr>
        <w:ilvl w:val="4"/>
        <w:numId w:val="22"/>
      </w:numPr>
      <w:tabs>
        <w:tab w:val="left" w:pos="3600"/>
      </w:tabs>
      <w:suppressAutoHyphens/>
      <w:spacing w:after="120"/>
      <w:outlineLvl w:val="4"/>
    </w:pPr>
    <w:rPr>
      <w:b/>
    </w:rPr>
  </w:style>
  <w:style w:type="paragraph" w:styleId="Heading6">
    <w:name w:val="heading 6"/>
    <w:basedOn w:val="Normal"/>
    <w:next w:val="ParaNum"/>
    <w:qFormat/>
    <w:rsid w:val="00E930D6"/>
    <w:pPr>
      <w:numPr>
        <w:ilvl w:val="5"/>
        <w:numId w:val="22"/>
      </w:numPr>
      <w:tabs>
        <w:tab w:val="left" w:pos="4320"/>
      </w:tabs>
      <w:spacing w:after="120"/>
      <w:outlineLvl w:val="5"/>
    </w:pPr>
    <w:rPr>
      <w:b/>
    </w:rPr>
  </w:style>
  <w:style w:type="paragraph" w:styleId="Heading7">
    <w:name w:val="heading 7"/>
    <w:basedOn w:val="Normal"/>
    <w:next w:val="ParaNum"/>
    <w:qFormat/>
    <w:rsid w:val="00E930D6"/>
    <w:pPr>
      <w:numPr>
        <w:ilvl w:val="6"/>
        <w:numId w:val="22"/>
      </w:numPr>
      <w:tabs>
        <w:tab w:val="left" w:pos="5040"/>
      </w:tabs>
      <w:spacing w:after="120"/>
      <w:ind w:left="5040" w:hanging="720"/>
      <w:outlineLvl w:val="6"/>
    </w:pPr>
    <w:rPr>
      <w:b/>
    </w:rPr>
  </w:style>
  <w:style w:type="paragraph" w:styleId="Heading8">
    <w:name w:val="heading 8"/>
    <w:basedOn w:val="Normal"/>
    <w:next w:val="ParaNum"/>
    <w:qFormat/>
    <w:rsid w:val="00E930D6"/>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
    <w:qFormat/>
    <w:rsid w:val="00E930D6"/>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930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30D6"/>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E930D6"/>
    <w:pPr>
      <w:numPr>
        <w:numId w:val="15"/>
      </w:numPr>
      <w:tabs>
        <w:tab w:val="clear" w:pos="1080"/>
        <w:tab w:val="num" w:pos="1440"/>
      </w:tabs>
      <w:spacing w:after="120"/>
    </w:p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link w:val="FootnoteTextChar1"/>
    <w:rsid w:val="00E930D6"/>
    <w:pPr>
      <w:spacing w:after="120"/>
    </w:pPr>
  </w:style>
  <w:style w:type="paragraph" w:customStyle="1" w:styleId="Bullet">
    <w:name w:val="Bullet"/>
    <w:basedOn w:val="Normal"/>
    <w:rsid w:val="00E930D6"/>
    <w:pPr>
      <w:tabs>
        <w:tab w:val="left" w:pos="2160"/>
      </w:tabs>
      <w:spacing w:after="220"/>
      <w:ind w:left="2160" w:hanging="720"/>
    </w:pPr>
  </w:style>
  <w:style w:type="paragraph" w:styleId="BlockText">
    <w:name w:val="Block Text"/>
    <w:basedOn w:val="Normal"/>
    <w:rsid w:val="00E930D6"/>
    <w:pPr>
      <w:spacing w:after="240"/>
      <w:ind w:left="1440" w:right="1440"/>
    </w:pPr>
  </w:style>
  <w:style w:type="paragraph" w:customStyle="1" w:styleId="TableFormat">
    <w:name w:val="TableFormat"/>
    <w:basedOn w:val="Bullet"/>
    <w:rsid w:val="00E930D6"/>
    <w:pPr>
      <w:tabs>
        <w:tab w:val="clear" w:pos="2160"/>
        <w:tab w:val="left" w:pos="5040"/>
      </w:tabs>
      <w:ind w:left="5040" w:hanging="3600"/>
    </w:pPr>
  </w:style>
  <w:style w:type="character" w:styleId="FootnoteReference">
    <w:name w:val="footnote reference"/>
    <w:rsid w:val="00E930D6"/>
    <w:rPr>
      <w:rFonts w:ascii="Times New Roman" w:hAnsi="Times New Roman"/>
      <w:dstrike w:val="0"/>
      <w:color w:val="auto"/>
      <w:sz w:val="20"/>
      <w:vertAlign w:val="superscript"/>
    </w:rPr>
  </w:style>
  <w:style w:type="paragraph" w:styleId="Header">
    <w:name w:val="header"/>
    <w:basedOn w:val="Normal"/>
    <w:autoRedefine/>
    <w:rsid w:val="00E930D6"/>
    <w:pPr>
      <w:tabs>
        <w:tab w:val="center" w:pos="4680"/>
        <w:tab w:val="right" w:pos="9360"/>
      </w:tabs>
    </w:pPr>
    <w:rPr>
      <w:b/>
    </w:rPr>
  </w:style>
  <w:style w:type="paragraph" w:styleId="Footer">
    <w:name w:val="footer"/>
    <w:basedOn w:val="Normal"/>
    <w:link w:val="FooterChar"/>
    <w:rsid w:val="00E930D6"/>
    <w:pPr>
      <w:tabs>
        <w:tab w:val="center" w:pos="4320"/>
        <w:tab w:val="right" w:pos="8640"/>
      </w:tabs>
    </w:pPr>
  </w:style>
  <w:style w:type="paragraph" w:styleId="TOC2">
    <w:name w:val="toc 2"/>
    <w:basedOn w:val="Normal"/>
    <w:next w:val="Normal"/>
    <w:semiHidden/>
    <w:rsid w:val="00E930D6"/>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E930D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930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930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30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30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30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30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30D6"/>
    <w:pPr>
      <w:tabs>
        <w:tab w:val="left" w:pos="3240"/>
        <w:tab w:val="right" w:leader="dot" w:pos="9360"/>
      </w:tabs>
      <w:suppressAutoHyphens/>
      <w:ind w:left="3240" w:hanging="360"/>
    </w:pPr>
    <w:rPr>
      <w:noProof/>
    </w:rPr>
  </w:style>
  <w:style w:type="character" w:styleId="PageNumber">
    <w:name w:val="page number"/>
    <w:basedOn w:val="DefaultParagraphFont"/>
    <w:rsid w:val="00E930D6"/>
  </w:style>
  <w:style w:type="paragraph" w:styleId="Title">
    <w:name w:val="Title"/>
    <w:basedOn w:val="Normal"/>
    <w:qFormat/>
    <w:pPr>
      <w:jc w:val="center"/>
    </w:pPr>
    <w:rPr>
      <w:b/>
    </w:rPr>
  </w:style>
  <w:style w:type="table" w:styleId="TableGrid">
    <w:name w:val="Table Grid"/>
    <w:basedOn w:val="TableNormal"/>
    <w:rsid w:val="00D73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07C4"/>
    <w:rPr>
      <w:rFonts w:ascii="Tahoma" w:hAnsi="Tahoma" w:cs="Tahoma"/>
      <w:sz w:val="16"/>
      <w:szCs w:val="16"/>
    </w:rPr>
  </w:style>
  <w:style w:type="character" w:customStyle="1" w:styleId="documentbody1">
    <w:name w:val="documentbody1"/>
    <w:rsid w:val="00E761B1"/>
    <w:rPr>
      <w:rFonts w:ascii="Verdana" w:hAnsi="Verdana" w:hint="default"/>
      <w:sz w:val="19"/>
      <w:szCs w:val="19"/>
    </w:rPr>
  </w:style>
  <w:style w:type="character" w:styleId="Hyperlink">
    <w:name w:val="Hyperlink"/>
    <w:rsid w:val="00E930D6"/>
    <w:rPr>
      <w:color w:val="0000FF"/>
      <w:u w:val="single"/>
    </w:rPr>
  </w:style>
  <w:style w:type="character" w:customStyle="1" w:styleId="bestsection1">
    <w:name w:val="bestsection1"/>
    <w:rsid w:val="007973B9"/>
    <w:rPr>
      <w:color w:val="FF0000"/>
    </w:rPr>
  </w:style>
  <w:style w:type="character" w:customStyle="1" w:styleId="searchterm1">
    <w:name w:val="searchterm1"/>
    <w:rsid w:val="007973B9"/>
    <w:rPr>
      <w:b/>
      <w:bCs/>
      <w:shd w:val="clear" w:color="auto" w:fill="FFFF00"/>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sid w:val="00461B70"/>
  </w:style>
  <w:style w:type="character" w:customStyle="1" w:styleId="Heading1Char">
    <w:name w:val="Heading 1 Char"/>
    <w:link w:val="Heading1"/>
    <w:rsid w:val="008B65BC"/>
    <w:rPr>
      <w:rFonts w:ascii="Times New Roman Bold" w:hAnsi="Times New Roman Bold"/>
      <w:b/>
      <w:caps/>
      <w:snapToGrid w:val="0"/>
      <w:kern w:val="28"/>
      <w:sz w:val="22"/>
    </w:rPr>
  </w:style>
  <w:style w:type="paragraph" w:styleId="DocumentMap">
    <w:name w:val="Document Map"/>
    <w:basedOn w:val="Normal"/>
    <w:semiHidden/>
    <w:rsid w:val="003A56F9"/>
    <w:pPr>
      <w:shd w:val="clear" w:color="auto" w:fill="000080"/>
    </w:pPr>
    <w:rPr>
      <w:rFonts w:ascii="Tahoma" w:hAnsi="Tahoma" w:cs="Tahoma"/>
      <w:sz w:val="20"/>
    </w:rPr>
  </w:style>
  <w:style w:type="character" w:customStyle="1" w:styleId="FootnoteTextChar3CharChar">
    <w:name w:val="Footnote Text Char3 Char Char"/>
    <w:aliases w:val="Footnote Text Char2 Char Char Char,Footnote Text Char Char1 Char Char Char,Footnote Text Char Char Char Char Char Char Char1,Footnote Text Char7 Char1"/>
    <w:rsid w:val="00B4450E"/>
    <w:rPr>
      <w:lang w:val="en-US" w:eastAsia="en-US" w:bidi="ar-SA"/>
    </w:rPr>
  </w:style>
  <w:style w:type="character" w:customStyle="1" w:styleId="ParaNumChar">
    <w:name w:val="ParaNum Char"/>
    <w:link w:val="ParaNum"/>
    <w:rsid w:val="00B07280"/>
    <w:rPr>
      <w:snapToGrid w:val="0"/>
      <w:kern w:val="28"/>
      <w:sz w:val="22"/>
    </w:rPr>
  </w:style>
  <w:style w:type="character" w:customStyle="1" w:styleId="FooterChar">
    <w:name w:val="Footer Char"/>
    <w:link w:val="Footer"/>
    <w:rsid w:val="006B7711"/>
    <w:rPr>
      <w:snapToGrid w:val="0"/>
      <w:kern w:val="28"/>
      <w:sz w:val="22"/>
    </w:rPr>
  </w:style>
  <w:style w:type="character" w:customStyle="1" w:styleId="emphi1">
    <w:name w:val="emphi1"/>
    <w:rsid w:val="0020124B"/>
    <w:rPr>
      <w:i/>
      <w:iCs/>
    </w:rPr>
  </w:style>
  <w:style w:type="character" w:customStyle="1" w:styleId="cosearchterm7">
    <w:name w:val="co_searchterm7"/>
    <w:rsid w:val="004A12FB"/>
    <w:rPr>
      <w:b/>
      <w:bCs/>
      <w:color w:val="252525"/>
    </w:rPr>
  </w:style>
  <w:style w:type="character" w:customStyle="1" w:styleId="cosearchterm8">
    <w:name w:val="co_searchterm8"/>
    <w:rsid w:val="004A12FB"/>
    <w:rPr>
      <w:b/>
      <w:bCs/>
      <w:color w:val="252525"/>
    </w:rPr>
  </w:style>
  <w:style w:type="character" w:customStyle="1" w:styleId="cosearchterm9">
    <w:name w:val="co_searchterm9"/>
    <w:rsid w:val="004A12FB"/>
    <w:rPr>
      <w:b/>
      <w:bCs/>
      <w:color w:val="252525"/>
    </w:rPr>
  </w:style>
  <w:style w:type="character" w:customStyle="1" w:styleId="cosearchterm10">
    <w:name w:val="co_searchterm10"/>
    <w:rsid w:val="004A12FB"/>
    <w:rPr>
      <w:b/>
      <w:bCs/>
      <w:color w:val="252525"/>
    </w:rPr>
  </w:style>
  <w:style w:type="character" w:styleId="Emphasis">
    <w:name w:val="Emphasis"/>
    <w:uiPriority w:val="20"/>
    <w:qFormat/>
    <w:rsid w:val="003B5918"/>
    <w:rPr>
      <w:i/>
      <w:iCs/>
    </w:rPr>
  </w:style>
  <w:style w:type="character" w:customStyle="1" w:styleId="costarpage2">
    <w:name w:val="co_starpage2"/>
    <w:rsid w:val="003B5918"/>
  </w:style>
  <w:style w:type="character" w:customStyle="1" w:styleId="cosearchterm6">
    <w:name w:val="co_searchterm6"/>
    <w:rsid w:val="003B5918"/>
    <w:rPr>
      <w:b/>
      <w:bCs/>
      <w:color w:val="252525"/>
    </w:rPr>
  </w:style>
  <w:style w:type="character" w:styleId="CommentReference">
    <w:name w:val="annotation reference"/>
    <w:rsid w:val="009E02BF"/>
    <w:rPr>
      <w:sz w:val="16"/>
      <w:szCs w:val="16"/>
    </w:rPr>
  </w:style>
  <w:style w:type="paragraph" w:styleId="CommentText">
    <w:name w:val="annotation text"/>
    <w:basedOn w:val="Normal"/>
    <w:link w:val="CommentTextChar"/>
    <w:rsid w:val="009E02BF"/>
    <w:rPr>
      <w:sz w:val="20"/>
    </w:rPr>
  </w:style>
  <w:style w:type="character" w:customStyle="1" w:styleId="CommentTextChar">
    <w:name w:val="Comment Text Char"/>
    <w:basedOn w:val="DefaultParagraphFont"/>
    <w:link w:val="CommentText"/>
    <w:rsid w:val="009E02BF"/>
  </w:style>
  <w:style w:type="paragraph" w:styleId="CommentSubject">
    <w:name w:val="annotation subject"/>
    <w:basedOn w:val="CommentText"/>
    <w:next w:val="CommentText"/>
    <w:link w:val="CommentSubjectChar"/>
    <w:rsid w:val="009E02BF"/>
    <w:rPr>
      <w:b/>
      <w:bCs/>
      <w:lang w:val="x-none" w:eastAsia="x-none"/>
    </w:rPr>
  </w:style>
  <w:style w:type="character" w:customStyle="1" w:styleId="CommentSubjectChar">
    <w:name w:val="Comment Subject Char"/>
    <w:link w:val="CommentSubject"/>
    <w:rsid w:val="009E02BF"/>
    <w:rPr>
      <w:b/>
      <w:bCs/>
    </w:rPr>
  </w:style>
  <w:style w:type="character" w:customStyle="1" w:styleId="displayhltextactive1">
    <w:name w:val="display_hl_text_active1"/>
    <w:rsid w:val="00876335"/>
    <w:rPr>
      <w:bdr w:val="single" w:sz="6" w:space="0" w:color="993333" w:frame="1"/>
      <w:shd w:val="clear" w:color="auto" w:fill="FFFF99"/>
    </w:rPr>
  </w:style>
  <w:style w:type="character" w:customStyle="1" w:styleId="displayhltext1">
    <w:name w:val="display_hl_text1"/>
    <w:rsid w:val="002C5F30"/>
    <w:rPr>
      <w:shd w:val="clear" w:color="auto" w:fill="FFFF99"/>
    </w:rPr>
  </w:style>
  <w:style w:type="paragraph" w:styleId="Revision">
    <w:name w:val="Revision"/>
    <w:hidden/>
    <w:uiPriority w:val="99"/>
    <w:semiHidden/>
    <w:rsid w:val="00132AFB"/>
    <w:rPr>
      <w:sz w:val="22"/>
    </w:rPr>
  </w:style>
  <w:style w:type="paragraph" w:customStyle="1" w:styleId="Default">
    <w:name w:val="Default"/>
    <w:rsid w:val="003849BD"/>
    <w:pPr>
      <w:autoSpaceDE w:val="0"/>
      <w:autoSpaceDN w:val="0"/>
      <w:adjustRightInd w:val="0"/>
    </w:pPr>
    <w:rPr>
      <w:rFonts w:ascii="Arial" w:hAnsi="Arial" w:cs="Arial"/>
      <w:color w:val="000000"/>
      <w:sz w:val="24"/>
      <w:szCs w:val="24"/>
    </w:rPr>
  </w:style>
  <w:style w:type="character" w:customStyle="1" w:styleId="collectionname1">
    <w:name w:val="collectionname1"/>
    <w:rsid w:val="00730505"/>
    <w:rPr>
      <w:rFonts w:ascii="Verdana" w:hAnsi="Verdana" w:hint="default"/>
      <w:b/>
      <w:bCs/>
      <w:color w:val="000066"/>
      <w:sz w:val="18"/>
      <w:szCs w:val="18"/>
    </w:rPr>
  </w:style>
  <w:style w:type="character" w:customStyle="1" w:styleId="Heading2Char">
    <w:name w:val="Heading 2 Char"/>
    <w:link w:val="Heading2"/>
    <w:rsid w:val="00074C2F"/>
    <w:rPr>
      <w:b/>
      <w:snapToGrid w:val="0"/>
      <w:kern w:val="28"/>
      <w:sz w:val="22"/>
    </w:rPr>
  </w:style>
  <w:style w:type="paragraph" w:customStyle="1" w:styleId="StyleParaNum11pt1CharCharCharCharCharChar">
    <w:name w:val="Style ParaNum + 11 pt1 Char Char Char Char Char Char"/>
    <w:basedOn w:val="Normal"/>
    <w:link w:val="StyleParaNum11pt1CharCharCharCharCharCharChar"/>
    <w:rsid w:val="00D075DE"/>
    <w:pPr>
      <w:numPr>
        <w:numId w:val="19"/>
      </w:numPr>
      <w:tabs>
        <w:tab w:val="left" w:pos="1080"/>
      </w:tabs>
      <w:spacing w:after="240"/>
    </w:pPr>
    <w:rPr>
      <w:szCs w:val="22"/>
    </w:rPr>
  </w:style>
  <w:style w:type="character" w:customStyle="1" w:styleId="StyleParaNum11pt1CharCharCharCharCharCharChar">
    <w:name w:val="Style ParaNum + 11 pt1 Char Char Char Char Char Char Char"/>
    <w:link w:val="StyleParaNum11pt1CharCharCharCharCharChar"/>
    <w:rsid w:val="00D075DE"/>
    <w:rPr>
      <w:sz w:val="22"/>
      <w:szCs w:val="22"/>
    </w:rPr>
  </w:style>
  <w:style w:type="character" w:styleId="PlaceholderText">
    <w:name w:val="Placeholder Text"/>
    <w:basedOn w:val="DefaultParagraphFont"/>
    <w:uiPriority w:val="99"/>
    <w:semiHidden/>
    <w:rsid w:val="00453F83"/>
    <w:rPr>
      <w:color w:val="808080"/>
    </w:rPr>
  </w:style>
  <w:style w:type="table" w:customStyle="1" w:styleId="TableGrid1">
    <w:name w:val="Table Grid1"/>
    <w:basedOn w:val="TableNormal"/>
    <w:next w:val="TableGrid"/>
    <w:rsid w:val="006D73CD"/>
    <w:rPr>
      <w:rFonts w:asciiTheme="minorHAnsi" w:eastAsiaTheme="minorEastAsia" w:hAnsiTheme="minorHAnsi" w:cstheme="minorBidi"/>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Centered">
    <w:name w:val="Style Bold Centered"/>
    <w:basedOn w:val="Normal"/>
    <w:rsid w:val="00E930D6"/>
    <w:pPr>
      <w:jc w:val="center"/>
    </w:pPr>
    <w:rPr>
      <w:rFonts w:ascii="Times New Roman Bold" w:hAnsi="Times New Roman Bold"/>
      <w:b/>
      <w:bCs/>
      <w:caps/>
      <w:szCs w:val="22"/>
    </w:rPr>
  </w:style>
  <w:style w:type="paragraph" w:styleId="EndnoteText">
    <w:name w:val="endnote text"/>
    <w:basedOn w:val="Normal"/>
    <w:link w:val="EndnoteTextChar"/>
    <w:rsid w:val="00E930D6"/>
    <w:rPr>
      <w:sz w:val="20"/>
    </w:rPr>
  </w:style>
  <w:style w:type="character" w:customStyle="1" w:styleId="EndnoteTextChar">
    <w:name w:val="Endnote Text Char"/>
    <w:basedOn w:val="DefaultParagraphFont"/>
    <w:link w:val="EndnoteText"/>
    <w:rsid w:val="00A82FCF"/>
    <w:rPr>
      <w:snapToGrid w:val="0"/>
      <w:kern w:val="28"/>
    </w:rPr>
  </w:style>
  <w:style w:type="character" w:styleId="EndnoteReference">
    <w:name w:val="endnote reference"/>
    <w:rsid w:val="00E930D6"/>
    <w:rPr>
      <w:vertAlign w:val="superscript"/>
    </w:rPr>
  </w:style>
  <w:style w:type="paragraph" w:styleId="TOAHeading">
    <w:name w:val="toa heading"/>
    <w:basedOn w:val="Normal"/>
    <w:next w:val="Normal"/>
    <w:rsid w:val="00E930D6"/>
    <w:pPr>
      <w:tabs>
        <w:tab w:val="right" w:pos="9360"/>
      </w:tabs>
      <w:suppressAutoHyphens/>
    </w:pPr>
  </w:style>
  <w:style w:type="character" w:customStyle="1" w:styleId="EquationCaption">
    <w:name w:val="_Equation Caption"/>
    <w:rsid w:val="00E930D6"/>
  </w:style>
  <w:style w:type="paragraph" w:customStyle="1" w:styleId="Paratitle">
    <w:name w:val="Para title"/>
    <w:basedOn w:val="Normal"/>
    <w:rsid w:val="00E930D6"/>
    <w:pPr>
      <w:tabs>
        <w:tab w:val="center" w:pos="9270"/>
      </w:tabs>
      <w:spacing w:after="240"/>
    </w:pPr>
    <w:rPr>
      <w:spacing w:val="-2"/>
    </w:rPr>
  </w:style>
  <w:style w:type="paragraph" w:customStyle="1" w:styleId="TOCTitle">
    <w:name w:val="TOC Title"/>
    <w:basedOn w:val="Normal"/>
    <w:rsid w:val="00E930D6"/>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7766">
      <w:bodyDiv w:val="1"/>
      <w:marLeft w:val="0"/>
      <w:marRight w:val="0"/>
      <w:marTop w:val="0"/>
      <w:marBottom w:val="0"/>
      <w:divBdr>
        <w:top w:val="none" w:sz="0" w:space="0" w:color="auto"/>
        <w:left w:val="none" w:sz="0" w:space="0" w:color="auto"/>
        <w:bottom w:val="none" w:sz="0" w:space="0" w:color="auto"/>
        <w:right w:val="none" w:sz="0" w:space="0" w:color="auto"/>
      </w:divBdr>
    </w:div>
    <w:div w:id="322046219">
      <w:bodyDiv w:val="1"/>
      <w:marLeft w:val="0"/>
      <w:marRight w:val="0"/>
      <w:marTop w:val="0"/>
      <w:marBottom w:val="0"/>
      <w:divBdr>
        <w:top w:val="none" w:sz="0" w:space="0" w:color="auto"/>
        <w:left w:val="none" w:sz="0" w:space="0" w:color="auto"/>
        <w:bottom w:val="none" w:sz="0" w:space="0" w:color="auto"/>
        <w:right w:val="none" w:sz="0" w:space="0" w:color="auto"/>
      </w:divBdr>
    </w:div>
    <w:div w:id="697006811">
      <w:bodyDiv w:val="1"/>
      <w:marLeft w:val="0"/>
      <w:marRight w:val="0"/>
      <w:marTop w:val="0"/>
      <w:marBottom w:val="0"/>
      <w:divBdr>
        <w:top w:val="none" w:sz="0" w:space="0" w:color="auto"/>
        <w:left w:val="none" w:sz="0" w:space="0" w:color="auto"/>
        <w:bottom w:val="none" w:sz="0" w:space="0" w:color="auto"/>
        <w:right w:val="none" w:sz="0" w:space="0" w:color="auto"/>
      </w:divBdr>
      <w:divsChild>
        <w:div w:id="1423137459">
          <w:marLeft w:val="0"/>
          <w:marRight w:val="0"/>
          <w:marTop w:val="0"/>
          <w:marBottom w:val="0"/>
          <w:divBdr>
            <w:top w:val="none" w:sz="0" w:space="0" w:color="auto"/>
            <w:left w:val="none" w:sz="0" w:space="0" w:color="auto"/>
            <w:bottom w:val="none" w:sz="0" w:space="0" w:color="auto"/>
            <w:right w:val="none" w:sz="0" w:space="0" w:color="auto"/>
          </w:divBdr>
          <w:divsChild>
            <w:div w:id="6346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4907">
      <w:bodyDiv w:val="1"/>
      <w:marLeft w:val="0"/>
      <w:marRight w:val="0"/>
      <w:marTop w:val="0"/>
      <w:marBottom w:val="0"/>
      <w:divBdr>
        <w:top w:val="none" w:sz="0" w:space="0" w:color="auto"/>
        <w:left w:val="none" w:sz="0" w:space="0" w:color="auto"/>
        <w:bottom w:val="none" w:sz="0" w:space="0" w:color="auto"/>
        <w:right w:val="none" w:sz="0" w:space="0" w:color="auto"/>
      </w:divBdr>
      <w:divsChild>
        <w:div w:id="616790626">
          <w:marLeft w:val="0"/>
          <w:marRight w:val="0"/>
          <w:marTop w:val="0"/>
          <w:marBottom w:val="0"/>
          <w:divBdr>
            <w:top w:val="none" w:sz="0" w:space="0" w:color="auto"/>
            <w:left w:val="single" w:sz="6" w:space="0" w:color="BBBBBB"/>
            <w:bottom w:val="single" w:sz="6" w:space="0" w:color="BBBBBB"/>
            <w:right w:val="single" w:sz="6" w:space="0" w:color="BBBBBB"/>
          </w:divBdr>
          <w:divsChild>
            <w:div w:id="1763649389">
              <w:marLeft w:val="0"/>
              <w:marRight w:val="0"/>
              <w:marTop w:val="0"/>
              <w:marBottom w:val="0"/>
              <w:divBdr>
                <w:top w:val="none" w:sz="0" w:space="0" w:color="auto"/>
                <w:left w:val="none" w:sz="0" w:space="0" w:color="auto"/>
                <w:bottom w:val="none" w:sz="0" w:space="0" w:color="auto"/>
                <w:right w:val="none" w:sz="0" w:space="0" w:color="auto"/>
              </w:divBdr>
              <w:divsChild>
                <w:div w:id="1784492128">
                  <w:marLeft w:val="0"/>
                  <w:marRight w:val="0"/>
                  <w:marTop w:val="0"/>
                  <w:marBottom w:val="0"/>
                  <w:divBdr>
                    <w:top w:val="none" w:sz="0" w:space="0" w:color="auto"/>
                    <w:left w:val="none" w:sz="0" w:space="0" w:color="auto"/>
                    <w:bottom w:val="none" w:sz="0" w:space="0" w:color="auto"/>
                    <w:right w:val="none" w:sz="0" w:space="0" w:color="auto"/>
                  </w:divBdr>
                  <w:divsChild>
                    <w:div w:id="1125006927">
                      <w:marLeft w:val="0"/>
                      <w:marRight w:val="0"/>
                      <w:marTop w:val="0"/>
                      <w:marBottom w:val="0"/>
                      <w:divBdr>
                        <w:top w:val="none" w:sz="0" w:space="0" w:color="auto"/>
                        <w:left w:val="none" w:sz="0" w:space="0" w:color="auto"/>
                        <w:bottom w:val="none" w:sz="0" w:space="0" w:color="auto"/>
                        <w:right w:val="none" w:sz="0" w:space="0" w:color="auto"/>
                      </w:divBdr>
                      <w:divsChild>
                        <w:div w:id="465660687">
                          <w:marLeft w:val="0"/>
                          <w:marRight w:val="0"/>
                          <w:marTop w:val="0"/>
                          <w:marBottom w:val="0"/>
                          <w:divBdr>
                            <w:top w:val="none" w:sz="0" w:space="0" w:color="auto"/>
                            <w:left w:val="none" w:sz="0" w:space="0" w:color="auto"/>
                            <w:bottom w:val="none" w:sz="0" w:space="0" w:color="auto"/>
                            <w:right w:val="none" w:sz="0" w:space="0" w:color="auto"/>
                          </w:divBdr>
                          <w:divsChild>
                            <w:div w:id="330453956">
                              <w:marLeft w:val="0"/>
                              <w:marRight w:val="0"/>
                              <w:marTop w:val="0"/>
                              <w:marBottom w:val="0"/>
                              <w:divBdr>
                                <w:top w:val="none" w:sz="0" w:space="0" w:color="auto"/>
                                <w:left w:val="none" w:sz="0" w:space="0" w:color="auto"/>
                                <w:bottom w:val="none" w:sz="0" w:space="0" w:color="auto"/>
                                <w:right w:val="none" w:sz="0" w:space="0" w:color="auto"/>
                              </w:divBdr>
                              <w:divsChild>
                                <w:div w:id="1191258342">
                                  <w:marLeft w:val="0"/>
                                  <w:marRight w:val="0"/>
                                  <w:marTop w:val="0"/>
                                  <w:marBottom w:val="0"/>
                                  <w:divBdr>
                                    <w:top w:val="none" w:sz="0" w:space="0" w:color="auto"/>
                                    <w:left w:val="none" w:sz="0" w:space="0" w:color="auto"/>
                                    <w:bottom w:val="none" w:sz="0" w:space="0" w:color="auto"/>
                                    <w:right w:val="none" w:sz="0" w:space="0" w:color="auto"/>
                                  </w:divBdr>
                                  <w:divsChild>
                                    <w:div w:id="315959050">
                                      <w:marLeft w:val="0"/>
                                      <w:marRight w:val="0"/>
                                      <w:marTop w:val="0"/>
                                      <w:marBottom w:val="0"/>
                                      <w:divBdr>
                                        <w:top w:val="none" w:sz="0" w:space="0" w:color="auto"/>
                                        <w:left w:val="none" w:sz="0" w:space="0" w:color="auto"/>
                                        <w:bottom w:val="none" w:sz="0" w:space="0" w:color="auto"/>
                                        <w:right w:val="none" w:sz="0" w:space="0" w:color="auto"/>
                                      </w:divBdr>
                                      <w:divsChild>
                                        <w:div w:id="1192717877">
                                          <w:marLeft w:val="1200"/>
                                          <w:marRight w:val="1200"/>
                                          <w:marTop w:val="0"/>
                                          <w:marBottom w:val="0"/>
                                          <w:divBdr>
                                            <w:top w:val="none" w:sz="0" w:space="0" w:color="auto"/>
                                            <w:left w:val="none" w:sz="0" w:space="0" w:color="auto"/>
                                            <w:bottom w:val="none" w:sz="0" w:space="0" w:color="auto"/>
                                            <w:right w:val="none" w:sz="0" w:space="0" w:color="auto"/>
                                          </w:divBdr>
                                          <w:divsChild>
                                            <w:div w:id="483352291">
                                              <w:marLeft w:val="0"/>
                                              <w:marRight w:val="0"/>
                                              <w:marTop w:val="0"/>
                                              <w:marBottom w:val="0"/>
                                              <w:divBdr>
                                                <w:top w:val="none" w:sz="0" w:space="0" w:color="auto"/>
                                                <w:left w:val="none" w:sz="0" w:space="0" w:color="auto"/>
                                                <w:bottom w:val="none" w:sz="0" w:space="0" w:color="auto"/>
                                                <w:right w:val="none" w:sz="0" w:space="0" w:color="auto"/>
                                              </w:divBdr>
                                              <w:divsChild>
                                                <w:div w:id="1709601247">
                                                  <w:marLeft w:val="0"/>
                                                  <w:marRight w:val="0"/>
                                                  <w:marTop w:val="240"/>
                                                  <w:marBottom w:val="0"/>
                                                  <w:divBdr>
                                                    <w:top w:val="none" w:sz="0" w:space="0" w:color="auto"/>
                                                    <w:left w:val="none" w:sz="0" w:space="0" w:color="auto"/>
                                                    <w:bottom w:val="none" w:sz="0" w:space="0" w:color="auto"/>
                                                    <w:right w:val="none" w:sz="0" w:space="0" w:color="auto"/>
                                                  </w:divBdr>
                                                  <w:divsChild>
                                                    <w:div w:id="591860893">
                                                      <w:marLeft w:val="0"/>
                                                      <w:marRight w:val="0"/>
                                                      <w:marTop w:val="0"/>
                                                      <w:marBottom w:val="0"/>
                                                      <w:divBdr>
                                                        <w:top w:val="none" w:sz="0" w:space="0" w:color="auto"/>
                                                        <w:left w:val="none" w:sz="0" w:space="0" w:color="auto"/>
                                                        <w:bottom w:val="none" w:sz="0" w:space="0" w:color="auto"/>
                                                        <w:right w:val="none" w:sz="0" w:space="0" w:color="auto"/>
                                                      </w:divBdr>
                                                      <w:divsChild>
                                                        <w:div w:id="2110155527">
                                                          <w:marLeft w:val="1275"/>
                                                          <w:marRight w:val="0"/>
                                                          <w:marTop w:val="0"/>
                                                          <w:marBottom w:val="0"/>
                                                          <w:divBdr>
                                                            <w:top w:val="none" w:sz="0" w:space="0" w:color="auto"/>
                                                            <w:left w:val="none" w:sz="0" w:space="0" w:color="auto"/>
                                                            <w:bottom w:val="none" w:sz="0" w:space="0" w:color="auto"/>
                                                            <w:right w:val="none" w:sz="0" w:space="0" w:color="auto"/>
                                                          </w:divBdr>
                                                          <w:divsChild>
                                                            <w:div w:id="1820072718">
                                                              <w:marLeft w:val="0"/>
                                                              <w:marRight w:val="0"/>
                                                              <w:marTop w:val="0"/>
                                                              <w:marBottom w:val="0"/>
                                                              <w:divBdr>
                                                                <w:top w:val="none" w:sz="0" w:space="0" w:color="auto"/>
                                                                <w:left w:val="none" w:sz="0" w:space="0" w:color="auto"/>
                                                                <w:bottom w:val="none" w:sz="0" w:space="0" w:color="auto"/>
                                                                <w:right w:val="none" w:sz="0" w:space="0" w:color="auto"/>
                                                              </w:divBdr>
                                                              <w:divsChild>
                                                                <w:div w:id="9061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417969">
      <w:bodyDiv w:val="1"/>
      <w:marLeft w:val="0"/>
      <w:marRight w:val="0"/>
      <w:marTop w:val="0"/>
      <w:marBottom w:val="0"/>
      <w:divBdr>
        <w:top w:val="none" w:sz="0" w:space="0" w:color="auto"/>
        <w:left w:val="none" w:sz="0" w:space="0" w:color="auto"/>
        <w:bottom w:val="none" w:sz="0" w:space="0" w:color="auto"/>
        <w:right w:val="none" w:sz="0" w:space="0" w:color="auto"/>
      </w:divBdr>
    </w:div>
    <w:div w:id="1204246388">
      <w:bodyDiv w:val="1"/>
      <w:marLeft w:val="0"/>
      <w:marRight w:val="0"/>
      <w:marTop w:val="0"/>
      <w:marBottom w:val="0"/>
      <w:divBdr>
        <w:top w:val="none" w:sz="0" w:space="0" w:color="auto"/>
        <w:left w:val="none" w:sz="0" w:space="0" w:color="auto"/>
        <w:bottom w:val="none" w:sz="0" w:space="0" w:color="auto"/>
        <w:right w:val="none" w:sz="0" w:space="0" w:color="auto"/>
      </w:divBdr>
      <w:divsChild>
        <w:div w:id="2110158354">
          <w:marLeft w:val="0"/>
          <w:marRight w:val="0"/>
          <w:marTop w:val="0"/>
          <w:marBottom w:val="0"/>
          <w:divBdr>
            <w:top w:val="none" w:sz="0" w:space="0" w:color="auto"/>
            <w:left w:val="none" w:sz="0" w:space="0" w:color="auto"/>
            <w:bottom w:val="none" w:sz="0" w:space="0" w:color="auto"/>
            <w:right w:val="none" w:sz="0" w:space="0" w:color="auto"/>
          </w:divBdr>
          <w:divsChild>
            <w:div w:id="8003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6039">
      <w:bodyDiv w:val="1"/>
      <w:marLeft w:val="0"/>
      <w:marRight w:val="0"/>
      <w:marTop w:val="0"/>
      <w:marBottom w:val="0"/>
      <w:divBdr>
        <w:top w:val="none" w:sz="0" w:space="0" w:color="auto"/>
        <w:left w:val="none" w:sz="0" w:space="0" w:color="auto"/>
        <w:bottom w:val="none" w:sz="0" w:space="0" w:color="auto"/>
        <w:right w:val="none" w:sz="0" w:space="0" w:color="auto"/>
      </w:divBdr>
      <w:divsChild>
        <w:div w:id="1593850950">
          <w:marLeft w:val="0"/>
          <w:marRight w:val="0"/>
          <w:marTop w:val="0"/>
          <w:marBottom w:val="0"/>
          <w:divBdr>
            <w:top w:val="none" w:sz="0" w:space="0" w:color="auto"/>
            <w:left w:val="none" w:sz="0" w:space="0" w:color="auto"/>
            <w:bottom w:val="none" w:sz="0" w:space="0" w:color="auto"/>
            <w:right w:val="none" w:sz="0" w:space="0" w:color="auto"/>
          </w:divBdr>
          <w:divsChild>
            <w:div w:id="13963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6665">
      <w:bodyDiv w:val="1"/>
      <w:marLeft w:val="0"/>
      <w:marRight w:val="0"/>
      <w:marTop w:val="0"/>
      <w:marBottom w:val="0"/>
      <w:divBdr>
        <w:top w:val="none" w:sz="0" w:space="0" w:color="auto"/>
        <w:left w:val="none" w:sz="0" w:space="0" w:color="auto"/>
        <w:bottom w:val="none" w:sz="0" w:space="0" w:color="auto"/>
        <w:right w:val="none" w:sz="0" w:space="0" w:color="auto"/>
      </w:divBdr>
    </w:div>
    <w:div w:id="1830168759">
      <w:bodyDiv w:val="1"/>
      <w:marLeft w:val="0"/>
      <w:marRight w:val="0"/>
      <w:marTop w:val="0"/>
      <w:marBottom w:val="0"/>
      <w:divBdr>
        <w:top w:val="none" w:sz="0" w:space="0" w:color="auto"/>
        <w:left w:val="none" w:sz="0" w:space="0" w:color="auto"/>
        <w:bottom w:val="none" w:sz="0" w:space="0" w:color="auto"/>
        <w:right w:val="none" w:sz="0" w:space="0" w:color="auto"/>
      </w:divBdr>
    </w:div>
    <w:div w:id="1897934937">
      <w:bodyDiv w:val="1"/>
      <w:marLeft w:val="0"/>
      <w:marRight w:val="0"/>
      <w:marTop w:val="0"/>
      <w:marBottom w:val="0"/>
      <w:divBdr>
        <w:top w:val="none" w:sz="0" w:space="0" w:color="auto"/>
        <w:left w:val="none" w:sz="0" w:space="0" w:color="auto"/>
        <w:bottom w:val="none" w:sz="0" w:space="0" w:color="auto"/>
        <w:right w:val="none" w:sz="0" w:space="0" w:color="auto"/>
      </w:divBdr>
      <w:divsChild>
        <w:div w:id="1838493138">
          <w:marLeft w:val="0"/>
          <w:marRight w:val="0"/>
          <w:marTop w:val="0"/>
          <w:marBottom w:val="0"/>
          <w:divBdr>
            <w:top w:val="none" w:sz="0" w:space="0" w:color="auto"/>
            <w:left w:val="none" w:sz="0" w:space="0" w:color="auto"/>
            <w:bottom w:val="none" w:sz="0" w:space="0" w:color="auto"/>
            <w:right w:val="none" w:sz="0" w:space="0" w:color="auto"/>
          </w:divBdr>
          <w:divsChild>
            <w:div w:id="944263175">
              <w:marLeft w:val="0"/>
              <w:marRight w:val="0"/>
              <w:marTop w:val="0"/>
              <w:marBottom w:val="0"/>
              <w:divBdr>
                <w:top w:val="none" w:sz="0" w:space="0" w:color="auto"/>
                <w:left w:val="none" w:sz="0" w:space="0" w:color="auto"/>
                <w:bottom w:val="none" w:sz="0" w:space="0" w:color="auto"/>
                <w:right w:val="none" w:sz="0" w:space="0" w:color="auto"/>
              </w:divBdr>
            </w:div>
            <w:div w:id="11412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4966">
      <w:bodyDiv w:val="1"/>
      <w:marLeft w:val="0"/>
      <w:marRight w:val="0"/>
      <w:marTop w:val="0"/>
      <w:marBottom w:val="0"/>
      <w:divBdr>
        <w:top w:val="none" w:sz="0" w:space="0" w:color="auto"/>
        <w:left w:val="none" w:sz="0" w:space="0" w:color="auto"/>
        <w:bottom w:val="none" w:sz="0" w:space="0" w:color="auto"/>
        <w:right w:val="none" w:sz="0" w:space="0" w:color="auto"/>
      </w:divBdr>
      <w:divsChild>
        <w:div w:id="1110003794">
          <w:marLeft w:val="75"/>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rp=%2ffind%2fdefault.wl&amp;vc=0&amp;DB=1000547&amp;DocName=47CFRS73%2E3555&amp;FindType=L&amp;AP=&amp;fn=_top&amp;rs=WLW6.09&amp;mt=Communications&amp;vr=2.0&amp;sv=Split" TargetMode="External"/><Relationship Id="rId13" Type="http://schemas.openxmlformats.org/officeDocument/2006/relationships/footer" Target="foot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eb2.westlaw.com/find/default.wl?rp=%2ffind%2fdefault.wl&amp;vc=0&amp;DB=1000547&amp;DocName=47CFRS73%2E3555&amp;FindType=L&amp;AP=&amp;fn=_top&amp;rs=WLW6.09&amp;mt=Communications&amp;vr=2.0&amp;sv=Spli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tations.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7283</Words>
  <Characters>42167</Characters>
  <Application>Microsoft Office Word</Application>
  <DocSecurity>0</DocSecurity>
  <Lines>837</Lines>
  <Paragraphs>369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49361</CharactersWithSpaces>
  <SharedDoc>false</SharedDoc>
  <HyperlinkBase> </HyperlinkBase>
  <HLinks>
    <vt:vector size="12" baseType="variant">
      <vt:variant>
        <vt:i4>2097219</vt:i4>
      </vt:variant>
      <vt:variant>
        <vt:i4>3</vt:i4>
      </vt:variant>
      <vt:variant>
        <vt:i4>0</vt:i4>
      </vt:variant>
      <vt:variant>
        <vt:i4>5</vt:i4>
      </vt:variant>
      <vt:variant>
        <vt:lpwstr>http://web2.westlaw.com/find/default.wl?rp=%2ffind%2fdefault.wl&amp;vc=0&amp;DB=1000547&amp;DocName=47CFRS73%2E3555&amp;FindType=L&amp;AP=&amp;fn=_top&amp;rs=WLW6.09&amp;mt=Communications&amp;vr=2.0&amp;sv=Split</vt:lpwstr>
      </vt:variant>
      <vt:variant>
        <vt:lpwstr/>
      </vt:variant>
      <vt:variant>
        <vt:i4>2097219</vt:i4>
      </vt:variant>
      <vt:variant>
        <vt:i4>0</vt:i4>
      </vt:variant>
      <vt:variant>
        <vt:i4>0</vt:i4>
      </vt:variant>
      <vt:variant>
        <vt:i4>5</vt:i4>
      </vt:variant>
      <vt:variant>
        <vt:lpwstr>http://web2.westlaw.com/find/default.wl?rp=%2ffind%2fdefault.wl&amp;vc=0&amp;DB=1000547&amp;DocName=47CFRS73%2E3555&amp;FindType=L&amp;AP=&amp;fn=_top&amp;rs=WLW6.09&amp;mt=Communications&amp;vr=2.0&amp;sv=Split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2007-03-27T19:24:00Z</cp:lastPrinted>
  <dcterms:created xsi:type="dcterms:W3CDTF">2014-12-12T16:06:00Z</dcterms:created>
  <dcterms:modified xsi:type="dcterms:W3CDTF">2014-12-12T16:06:00Z</dcterms:modified>
  <cp:category> </cp:category>
  <cp:contentStatus> </cp:contentStatus>
</cp:coreProperties>
</file>