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85" w:rsidRDefault="006F0A85">
      <w:pPr>
        <w:jc w:val="right"/>
        <w:rPr>
          <w:b/>
          <w:szCs w:val="24"/>
        </w:rPr>
      </w:pPr>
      <w:bookmarkStart w:id="0" w:name="_GoBack"/>
      <w:bookmarkEnd w:id="0"/>
    </w:p>
    <w:p w:rsidR="004D5682" w:rsidRDefault="00D13C80">
      <w:pPr>
        <w:jc w:val="right"/>
        <w:rPr>
          <w:b/>
          <w:szCs w:val="24"/>
        </w:rPr>
      </w:pPr>
      <w:r>
        <w:rPr>
          <w:b/>
          <w:szCs w:val="24"/>
        </w:rPr>
        <w:t>DA</w:t>
      </w:r>
      <w:r w:rsidR="004D5682">
        <w:rPr>
          <w:b/>
          <w:szCs w:val="24"/>
        </w:rPr>
        <w:t xml:space="preserve"> </w:t>
      </w:r>
      <w:r w:rsidR="00E30B3D" w:rsidRPr="00E30B3D">
        <w:rPr>
          <w:b/>
          <w:szCs w:val="24"/>
        </w:rPr>
        <w:t>14-1817</w:t>
      </w:r>
    </w:p>
    <w:p w:rsidR="004D5682" w:rsidRDefault="004D5682">
      <w:pPr>
        <w:jc w:val="right"/>
        <w:rPr>
          <w:b/>
          <w:szCs w:val="24"/>
        </w:rPr>
      </w:pPr>
    </w:p>
    <w:p w:rsidR="004D5682" w:rsidRDefault="004D5682">
      <w:pPr>
        <w:jc w:val="right"/>
        <w:rPr>
          <w:b/>
          <w:szCs w:val="24"/>
        </w:rPr>
      </w:pPr>
    </w:p>
    <w:p w:rsidR="004D5682" w:rsidRDefault="004D5682">
      <w:pPr>
        <w:jc w:val="center"/>
        <w:rPr>
          <w:b/>
          <w:sz w:val="36"/>
          <w:szCs w:val="36"/>
        </w:rPr>
      </w:pPr>
      <w:r>
        <w:rPr>
          <w:b/>
          <w:sz w:val="36"/>
          <w:szCs w:val="36"/>
        </w:rPr>
        <w:t>Small Entity Compliance Guide</w:t>
      </w:r>
    </w:p>
    <w:p w:rsidR="004D5682" w:rsidRDefault="004D5682">
      <w:pPr>
        <w:jc w:val="center"/>
        <w:rPr>
          <w:b/>
          <w:szCs w:val="24"/>
        </w:rPr>
      </w:pPr>
    </w:p>
    <w:p w:rsidR="00DB6F3B" w:rsidRPr="00350AA4" w:rsidRDefault="00D13C80" w:rsidP="00DB6F3B">
      <w:pPr>
        <w:jc w:val="center"/>
        <w:rPr>
          <w:b/>
          <w:color w:val="000000"/>
          <w:sz w:val="28"/>
          <w:szCs w:val="28"/>
        </w:rPr>
      </w:pPr>
      <w:bookmarkStart w:id="1" w:name="OLE_LINK1"/>
      <w:r>
        <w:rPr>
          <w:b/>
          <w:color w:val="000000"/>
          <w:sz w:val="28"/>
          <w:szCs w:val="28"/>
        </w:rPr>
        <w:t xml:space="preserve">2014 Quadrennial Regulatory Review – Review of the </w:t>
      </w:r>
      <w:r w:rsidR="00DB3FBC">
        <w:rPr>
          <w:b/>
          <w:color w:val="000000"/>
          <w:sz w:val="28"/>
          <w:szCs w:val="28"/>
        </w:rPr>
        <w:br/>
      </w:r>
      <w:r>
        <w:rPr>
          <w:b/>
          <w:color w:val="000000"/>
          <w:sz w:val="28"/>
          <w:szCs w:val="28"/>
        </w:rPr>
        <w:t xml:space="preserve">Commission’s Broadcast Ownership Rule and Other Rules Adopted </w:t>
      </w:r>
      <w:r w:rsidR="00DB3FBC">
        <w:rPr>
          <w:b/>
          <w:color w:val="000000"/>
          <w:sz w:val="28"/>
          <w:szCs w:val="28"/>
        </w:rPr>
        <w:br/>
      </w:r>
      <w:r>
        <w:rPr>
          <w:b/>
          <w:color w:val="000000"/>
          <w:sz w:val="28"/>
          <w:szCs w:val="28"/>
        </w:rPr>
        <w:t>Pursuant to Section 202 of the Telecommunications Act of 1996</w:t>
      </w:r>
    </w:p>
    <w:p w:rsidR="00DB6F3B" w:rsidRPr="00350AA4" w:rsidRDefault="00DB6F3B" w:rsidP="00F81A06">
      <w:pPr>
        <w:tabs>
          <w:tab w:val="left" w:pos="4349"/>
          <w:tab w:val="left" w:pos="5526"/>
        </w:tabs>
        <w:rPr>
          <w:color w:val="000000"/>
          <w:szCs w:val="24"/>
        </w:rPr>
      </w:pPr>
      <w:r w:rsidRPr="00350AA4">
        <w:rPr>
          <w:color w:val="000000"/>
          <w:szCs w:val="24"/>
        </w:rPr>
        <w:tab/>
      </w:r>
      <w:r w:rsidR="00F81A06">
        <w:rPr>
          <w:color w:val="000000"/>
          <w:szCs w:val="24"/>
        </w:rPr>
        <w:tab/>
      </w:r>
    </w:p>
    <w:p w:rsidR="002D18E0" w:rsidRDefault="00D13C80" w:rsidP="00882C52">
      <w:pPr>
        <w:jc w:val="center"/>
        <w:rPr>
          <w:b/>
          <w:color w:val="000000"/>
          <w:spacing w:val="-2"/>
          <w:szCs w:val="24"/>
        </w:rPr>
      </w:pPr>
      <w:r>
        <w:rPr>
          <w:b/>
          <w:color w:val="000000"/>
          <w:spacing w:val="-2"/>
          <w:szCs w:val="24"/>
        </w:rPr>
        <w:t>FCC 14</w:t>
      </w:r>
      <w:r w:rsidR="00DB6F3B" w:rsidRPr="00350AA4">
        <w:rPr>
          <w:b/>
          <w:color w:val="000000"/>
          <w:spacing w:val="-2"/>
          <w:szCs w:val="24"/>
        </w:rPr>
        <w:t>-</w:t>
      </w:r>
      <w:r w:rsidR="00F65036">
        <w:rPr>
          <w:b/>
          <w:color w:val="000000"/>
          <w:spacing w:val="-2"/>
          <w:szCs w:val="24"/>
        </w:rPr>
        <w:t>28</w:t>
      </w:r>
    </w:p>
    <w:p w:rsidR="002D18E0" w:rsidRPr="00350AA4" w:rsidRDefault="002D18E0" w:rsidP="002D18E0">
      <w:pPr>
        <w:jc w:val="center"/>
        <w:rPr>
          <w:b/>
          <w:color w:val="000000"/>
          <w:spacing w:val="-2"/>
          <w:szCs w:val="24"/>
        </w:rPr>
      </w:pPr>
      <w:r>
        <w:rPr>
          <w:b/>
          <w:color w:val="000000"/>
          <w:spacing w:val="-2"/>
          <w:szCs w:val="24"/>
        </w:rPr>
        <w:t>MB Docket No</w:t>
      </w:r>
      <w:r w:rsidR="006117B9">
        <w:rPr>
          <w:b/>
          <w:color w:val="000000"/>
          <w:spacing w:val="-2"/>
          <w:szCs w:val="24"/>
        </w:rPr>
        <w:t>s</w:t>
      </w:r>
      <w:r>
        <w:rPr>
          <w:b/>
          <w:color w:val="000000"/>
          <w:spacing w:val="-2"/>
          <w:szCs w:val="24"/>
        </w:rPr>
        <w:t>. 14-50, 09-182, 07-294, and 04-256</w:t>
      </w:r>
    </w:p>
    <w:p w:rsidR="002D18E0" w:rsidRPr="00350AA4" w:rsidRDefault="002D18E0" w:rsidP="00DB6F3B">
      <w:pPr>
        <w:jc w:val="center"/>
        <w:rPr>
          <w:color w:val="000000"/>
          <w:szCs w:val="24"/>
        </w:rPr>
      </w:pPr>
    </w:p>
    <w:p w:rsidR="00E66742" w:rsidRDefault="00E66742" w:rsidP="006F0A85">
      <w:pPr>
        <w:tabs>
          <w:tab w:val="left" w:pos="360"/>
        </w:tabs>
        <w:ind w:left="1080" w:right="648"/>
        <w:jc w:val="both"/>
        <w:rPr>
          <w:b/>
          <w:sz w:val="28"/>
          <w:szCs w:val="28"/>
        </w:rPr>
      </w:pPr>
    </w:p>
    <w:bookmarkEnd w:id="1"/>
    <w:p w:rsidR="006F0A85" w:rsidRDefault="006F0A85" w:rsidP="006F0A85">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6F0A85" w:rsidRDefault="006F0A85" w:rsidP="006F0A85">
      <w:pPr>
        <w:tabs>
          <w:tab w:val="left" w:pos="360"/>
        </w:tabs>
        <w:ind w:left="1080" w:right="720"/>
        <w:jc w:val="both"/>
        <w:rPr>
          <w:b/>
          <w:sz w:val="22"/>
          <w:szCs w:val="22"/>
        </w:rPr>
      </w:pPr>
    </w:p>
    <w:p w:rsidR="006F0A85" w:rsidRDefault="006F0A85" w:rsidP="006F0A85">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6F0A85" w:rsidRDefault="006F0A85" w:rsidP="006F0A85">
      <w:pPr>
        <w:rPr>
          <w:b/>
          <w:sz w:val="22"/>
          <w:szCs w:val="22"/>
        </w:rPr>
      </w:pPr>
    </w:p>
    <w:p w:rsidR="006F0A85" w:rsidRDefault="006F0A85" w:rsidP="006F0A85">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6F0A85" w:rsidRDefault="006F0A85" w:rsidP="006F0A85">
      <w:pPr>
        <w:tabs>
          <w:tab w:val="left" w:pos="360"/>
        </w:tabs>
        <w:ind w:left="1080" w:right="720"/>
        <w:jc w:val="both"/>
        <w:rPr>
          <w:b/>
          <w:color w:val="000000"/>
          <w:sz w:val="22"/>
          <w:szCs w:val="22"/>
        </w:rPr>
      </w:pPr>
    </w:p>
    <w:p w:rsidR="004D5682" w:rsidRDefault="004D5682" w:rsidP="00E66742">
      <w:pPr>
        <w:jc w:val="center"/>
        <w:rPr>
          <w:szCs w:val="24"/>
        </w:rPr>
      </w:pPr>
      <w:r>
        <w:rPr>
          <w:b/>
          <w:color w:val="000000"/>
          <w:sz w:val="22"/>
          <w:szCs w:val="22"/>
        </w:rPr>
        <w:br w:type="page"/>
      </w:r>
    </w:p>
    <w:p w:rsidR="00DB6F3B" w:rsidRPr="00B747A3" w:rsidRDefault="00DB6F3B" w:rsidP="00882C52">
      <w:pPr>
        <w:pStyle w:val="ListParagraph"/>
        <w:numPr>
          <w:ilvl w:val="0"/>
          <w:numId w:val="15"/>
        </w:numPr>
        <w:jc w:val="center"/>
        <w:rPr>
          <w:b/>
          <w:color w:val="000000"/>
          <w:sz w:val="22"/>
          <w:szCs w:val="22"/>
          <w:u w:val="single"/>
        </w:rPr>
      </w:pPr>
      <w:r w:rsidRPr="00B747A3">
        <w:rPr>
          <w:b/>
          <w:color w:val="000000"/>
          <w:sz w:val="22"/>
          <w:szCs w:val="22"/>
          <w:u w:val="single"/>
        </w:rPr>
        <w:lastRenderedPageBreak/>
        <w:t>OBJECTIVES OF THE PROCEEDING</w:t>
      </w:r>
    </w:p>
    <w:p w:rsidR="00DB6F3B" w:rsidRPr="00B747A3" w:rsidRDefault="00DB6F3B" w:rsidP="00DB6F3B">
      <w:pPr>
        <w:rPr>
          <w:b/>
          <w:color w:val="000000"/>
          <w:sz w:val="22"/>
          <w:szCs w:val="22"/>
          <w:u w:val="single"/>
        </w:rPr>
      </w:pPr>
    </w:p>
    <w:p w:rsidR="00E2494E" w:rsidRPr="00B747A3" w:rsidRDefault="00E2494E" w:rsidP="00B747A3">
      <w:pPr>
        <w:rPr>
          <w:sz w:val="22"/>
          <w:szCs w:val="22"/>
        </w:rPr>
      </w:pPr>
      <w:r w:rsidRPr="00B747A3">
        <w:rPr>
          <w:color w:val="000000"/>
          <w:sz w:val="22"/>
          <w:szCs w:val="22"/>
        </w:rPr>
        <w:t xml:space="preserve">In the </w:t>
      </w:r>
      <w:r w:rsidRPr="00B747A3">
        <w:rPr>
          <w:i/>
          <w:color w:val="000000"/>
          <w:sz w:val="22"/>
          <w:szCs w:val="22"/>
        </w:rPr>
        <w:t>Report and Order</w:t>
      </w:r>
      <w:r w:rsidR="00ED797B">
        <w:rPr>
          <w:color w:val="000000"/>
          <w:sz w:val="22"/>
          <w:szCs w:val="22"/>
        </w:rPr>
        <w:t xml:space="preserve"> in MB Docket Nos. 14-50</w:t>
      </w:r>
      <w:r w:rsidRPr="00B747A3">
        <w:rPr>
          <w:color w:val="000000"/>
          <w:sz w:val="22"/>
          <w:szCs w:val="22"/>
        </w:rPr>
        <w:t xml:space="preserve">, 09-182, 07-294, and 04-256, released </w:t>
      </w:r>
      <w:r w:rsidR="00ED797B">
        <w:rPr>
          <w:color w:val="000000"/>
          <w:sz w:val="22"/>
          <w:szCs w:val="22"/>
        </w:rPr>
        <w:t>April 15</w:t>
      </w:r>
      <w:r w:rsidRPr="00B747A3">
        <w:rPr>
          <w:color w:val="000000"/>
          <w:sz w:val="22"/>
          <w:szCs w:val="22"/>
        </w:rPr>
        <w:t>, 2014,</w:t>
      </w:r>
      <w:r w:rsidRPr="00B747A3">
        <w:rPr>
          <w:rStyle w:val="FootnoteReference"/>
          <w:color w:val="000000"/>
          <w:sz w:val="22"/>
          <w:szCs w:val="22"/>
        </w:rPr>
        <w:footnoteReference w:id="1"/>
      </w:r>
      <w:r w:rsidRPr="00B747A3">
        <w:rPr>
          <w:color w:val="000000"/>
          <w:sz w:val="22"/>
          <w:szCs w:val="22"/>
        </w:rPr>
        <w:t xml:space="preserve"> the Commission adopted rules regarding the attribution of television joint sales agreements</w:t>
      </w:r>
      <w:r w:rsidR="00E01A35" w:rsidRPr="00B747A3">
        <w:rPr>
          <w:color w:val="000000"/>
          <w:sz w:val="22"/>
          <w:szCs w:val="22"/>
        </w:rPr>
        <w:t xml:space="preserve"> (JSAs)</w:t>
      </w:r>
      <w:r w:rsidRPr="00B747A3">
        <w:rPr>
          <w:color w:val="000000"/>
          <w:sz w:val="22"/>
          <w:szCs w:val="22"/>
        </w:rPr>
        <w:t xml:space="preserve">.  </w:t>
      </w:r>
    </w:p>
    <w:p w:rsidR="00DB6F3B" w:rsidRPr="00B747A3" w:rsidRDefault="00E2494E" w:rsidP="00DC6C5B">
      <w:pPr>
        <w:rPr>
          <w:color w:val="000000"/>
          <w:sz w:val="22"/>
          <w:szCs w:val="22"/>
        </w:rPr>
      </w:pPr>
      <w:r w:rsidRPr="00B747A3">
        <w:rPr>
          <w:color w:val="000000"/>
          <w:sz w:val="22"/>
          <w:szCs w:val="22"/>
        </w:rPr>
        <w:t xml:space="preserve"> </w:t>
      </w:r>
    </w:p>
    <w:p w:rsidR="00DB6F3B" w:rsidRPr="00B747A3" w:rsidRDefault="00DB6F3B" w:rsidP="00882C52">
      <w:pPr>
        <w:pStyle w:val="ListParagraph"/>
        <w:numPr>
          <w:ilvl w:val="0"/>
          <w:numId w:val="15"/>
        </w:numPr>
        <w:jc w:val="center"/>
        <w:rPr>
          <w:b/>
          <w:color w:val="000000"/>
          <w:sz w:val="22"/>
          <w:szCs w:val="22"/>
          <w:u w:val="single"/>
        </w:rPr>
      </w:pPr>
      <w:r w:rsidRPr="00B747A3">
        <w:rPr>
          <w:b/>
          <w:color w:val="000000"/>
          <w:sz w:val="22"/>
          <w:szCs w:val="22"/>
          <w:u w:val="single"/>
        </w:rPr>
        <w:t>BENEFITS</w:t>
      </w:r>
    </w:p>
    <w:p w:rsidR="00DB6F3B" w:rsidRPr="00B747A3" w:rsidRDefault="00DB6F3B" w:rsidP="00DB6F3B">
      <w:pPr>
        <w:rPr>
          <w:color w:val="000000"/>
          <w:sz w:val="22"/>
          <w:szCs w:val="22"/>
        </w:rPr>
      </w:pPr>
    </w:p>
    <w:p w:rsidR="00E2494E" w:rsidRPr="00B747A3" w:rsidRDefault="00E2494E" w:rsidP="00B747A3">
      <w:pPr>
        <w:rPr>
          <w:color w:val="000000"/>
          <w:sz w:val="22"/>
          <w:szCs w:val="22"/>
        </w:rPr>
      </w:pPr>
      <w:r w:rsidRPr="00B747A3">
        <w:rPr>
          <w:color w:val="000000"/>
          <w:sz w:val="22"/>
          <w:szCs w:val="22"/>
        </w:rPr>
        <w:t>The Commission’s decision to attribute telev</w:t>
      </w:r>
      <w:r w:rsidR="00925990">
        <w:rPr>
          <w:color w:val="000000"/>
          <w:sz w:val="22"/>
          <w:szCs w:val="22"/>
        </w:rPr>
        <w:t xml:space="preserve">ision JSAs </w:t>
      </w:r>
      <w:r w:rsidR="00E01A35" w:rsidRPr="00B747A3">
        <w:rPr>
          <w:color w:val="000000"/>
          <w:sz w:val="22"/>
          <w:szCs w:val="22"/>
        </w:rPr>
        <w:t xml:space="preserve">will preserve competition by ensuring that broadcast television station owners are not able to evade the Commission’s media ownership limits through the use of certain </w:t>
      </w:r>
      <w:r w:rsidR="00925990">
        <w:rPr>
          <w:color w:val="000000"/>
          <w:sz w:val="22"/>
          <w:szCs w:val="22"/>
        </w:rPr>
        <w:t>television JSAs</w:t>
      </w:r>
      <w:r w:rsidR="00E01A35" w:rsidRPr="00B747A3">
        <w:rPr>
          <w:color w:val="000000"/>
          <w:sz w:val="22"/>
          <w:szCs w:val="22"/>
        </w:rPr>
        <w:t xml:space="preserve">.  </w:t>
      </w:r>
      <w:r w:rsidR="00CE7061">
        <w:rPr>
          <w:color w:val="000000"/>
          <w:sz w:val="22"/>
          <w:szCs w:val="22"/>
        </w:rPr>
        <w:t xml:space="preserve">The </w:t>
      </w:r>
      <w:r w:rsidR="00CE7061" w:rsidRPr="005009E9">
        <w:rPr>
          <w:color w:val="000000"/>
          <w:sz w:val="22"/>
          <w:szCs w:val="22"/>
        </w:rPr>
        <w:t>Commission found that</w:t>
      </w:r>
      <w:r w:rsidR="00DA1B4D" w:rsidRPr="005009E9">
        <w:rPr>
          <w:color w:val="000000"/>
          <w:sz w:val="22"/>
          <w:szCs w:val="22"/>
        </w:rPr>
        <w:t>, under such an agreement,</w:t>
      </w:r>
      <w:r w:rsidR="00CE7061" w:rsidRPr="005009E9">
        <w:rPr>
          <w:color w:val="000000"/>
          <w:sz w:val="22"/>
          <w:szCs w:val="22"/>
        </w:rPr>
        <w:t xml:space="preserve"> the ability of the brokering station to control the brokered station’s advertising revenue, its principal source of income, would afford the broker the opportunity, ability, and incentive to exert significant influence over the brokered station.  In addition, </w:t>
      </w:r>
      <w:r w:rsidR="001A3268" w:rsidRPr="005009E9">
        <w:rPr>
          <w:color w:val="000000"/>
          <w:sz w:val="22"/>
          <w:szCs w:val="22"/>
        </w:rPr>
        <w:t xml:space="preserve">the Commission found that </w:t>
      </w:r>
      <w:r w:rsidR="00CE7061" w:rsidRPr="005009E9">
        <w:rPr>
          <w:color w:val="000000"/>
          <w:sz w:val="22"/>
          <w:szCs w:val="22"/>
        </w:rPr>
        <w:t xml:space="preserve">television JSAs provide incentives for joint operation that are similar to those created by common ownership and can be used to coordinate the operations of two ostensibly separately owned entities.  </w:t>
      </w:r>
      <w:r w:rsidR="00251F2B" w:rsidRPr="005009E9">
        <w:rPr>
          <w:color w:val="000000"/>
          <w:sz w:val="22"/>
          <w:szCs w:val="22"/>
        </w:rPr>
        <w:t xml:space="preserve">As a result, the Commission </w:t>
      </w:r>
      <w:r w:rsidR="00A66A61" w:rsidRPr="005009E9">
        <w:rPr>
          <w:color w:val="000000"/>
          <w:sz w:val="22"/>
          <w:szCs w:val="22"/>
        </w:rPr>
        <w:t>ordered</w:t>
      </w:r>
      <w:r w:rsidR="006D356E" w:rsidRPr="005009E9">
        <w:rPr>
          <w:color w:val="000000"/>
          <w:sz w:val="22"/>
          <w:szCs w:val="22"/>
        </w:rPr>
        <w:t xml:space="preserve"> that</w:t>
      </w:r>
      <w:r w:rsidR="00DA1B4D" w:rsidRPr="005009E9">
        <w:rPr>
          <w:color w:val="000000"/>
          <w:sz w:val="22"/>
          <w:szCs w:val="22"/>
        </w:rPr>
        <w:t>,</w:t>
      </w:r>
      <w:r w:rsidR="005009E9" w:rsidRPr="005009E9">
        <w:rPr>
          <w:color w:val="000000"/>
          <w:sz w:val="22"/>
          <w:szCs w:val="22"/>
        </w:rPr>
        <w:t xml:space="preserve"> </w:t>
      </w:r>
      <w:r w:rsidR="00DA1B4D" w:rsidRPr="005009E9">
        <w:rPr>
          <w:color w:val="000000"/>
          <w:sz w:val="22"/>
          <w:szCs w:val="22"/>
        </w:rPr>
        <w:t>with regard</w:t>
      </w:r>
      <w:r w:rsidR="006D356E" w:rsidRPr="005009E9">
        <w:rPr>
          <w:color w:val="000000"/>
          <w:sz w:val="22"/>
          <w:szCs w:val="22"/>
        </w:rPr>
        <w:t xml:space="preserve"> to</w:t>
      </w:r>
      <w:r w:rsidR="00251F2B" w:rsidRPr="005009E9">
        <w:rPr>
          <w:color w:val="000000"/>
          <w:sz w:val="22"/>
          <w:szCs w:val="22"/>
        </w:rPr>
        <w:t xml:space="preserve"> </w:t>
      </w:r>
      <w:r w:rsidR="002844A7" w:rsidRPr="005009E9">
        <w:rPr>
          <w:color w:val="000000"/>
          <w:sz w:val="22"/>
          <w:szCs w:val="22"/>
        </w:rPr>
        <w:t xml:space="preserve">same-market </w:t>
      </w:r>
      <w:r w:rsidR="00A717A0" w:rsidRPr="005009E9">
        <w:rPr>
          <w:color w:val="000000"/>
          <w:sz w:val="22"/>
          <w:szCs w:val="22"/>
        </w:rPr>
        <w:t xml:space="preserve">television </w:t>
      </w:r>
      <w:r w:rsidR="00251F2B" w:rsidRPr="005009E9">
        <w:rPr>
          <w:color w:val="000000"/>
          <w:sz w:val="22"/>
          <w:szCs w:val="22"/>
        </w:rPr>
        <w:t xml:space="preserve">JSAs that permit the </w:t>
      </w:r>
      <w:r w:rsidR="00DA1B4D" w:rsidRPr="005009E9">
        <w:rPr>
          <w:color w:val="000000"/>
          <w:sz w:val="22"/>
          <w:szCs w:val="22"/>
        </w:rPr>
        <w:t>brokering station to sell</w:t>
      </w:r>
      <w:r w:rsidR="00251F2B" w:rsidRPr="005009E9">
        <w:rPr>
          <w:color w:val="000000"/>
          <w:sz w:val="22"/>
          <w:szCs w:val="22"/>
        </w:rPr>
        <w:t xml:space="preserve"> more than 15 percent of the </w:t>
      </w:r>
      <w:r w:rsidR="00DA1B4D" w:rsidRPr="005009E9">
        <w:rPr>
          <w:color w:val="000000"/>
          <w:sz w:val="22"/>
          <w:szCs w:val="22"/>
        </w:rPr>
        <w:t xml:space="preserve">weekly </w:t>
      </w:r>
      <w:r w:rsidR="00251F2B" w:rsidRPr="005009E9">
        <w:rPr>
          <w:color w:val="000000"/>
          <w:sz w:val="22"/>
          <w:szCs w:val="22"/>
        </w:rPr>
        <w:t xml:space="preserve">advertising time of </w:t>
      </w:r>
      <w:r w:rsidR="00DA1B4D" w:rsidRPr="005009E9">
        <w:rPr>
          <w:color w:val="000000"/>
          <w:sz w:val="22"/>
          <w:szCs w:val="22"/>
        </w:rPr>
        <w:t xml:space="preserve">the </w:t>
      </w:r>
      <w:r w:rsidR="00251F2B" w:rsidRPr="005009E9">
        <w:rPr>
          <w:color w:val="000000"/>
          <w:sz w:val="22"/>
          <w:szCs w:val="22"/>
        </w:rPr>
        <w:t>brokered station</w:t>
      </w:r>
      <w:r w:rsidR="00DA1B4D" w:rsidRPr="005009E9">
        <w:rPr>
          <w:color w:val="000000"/>
          <w:sz w:val="22"/>
          <w:szCs w:val="22"/>
        </w:rPr>
        <w:t>, ownership of the brokered station will be attributed to the licensee of the brokering station</w:t>
      </w:r>
      <w:r w:rsidR="00251F2B" w:rsidRPr="005009E9">
        <w:rPr>
          <w:color w:val="000000"/>
          <w:sz w:val="22"/>
          <w:szCs w:val="22"/>
        </w:rPr>
        <w:t xml:space="preserve">. </w:t>
      </w:r>
      <w:r w:rsidR="00E01A35" w:rsidRPr="005009E9">
        <w:rPr>
          <w:color w:val="000000"/>
          <w:sz w:val="22"/>
          <w:szCs w:val="22"/>
        </w:rPr>
        <w:t xml:space="preserve"> </w:t>
      </w:r>
      <w:r w:rsidR="00251F2B" w:rsidRPr="005009E9">
        <w:rPr>
          <w:color w:val="000000"/>
          <w:sz w:val="22"/>
          <w:szCs w:val="22"/>
        </w:rPr>
        <w:t>T</w:t>
      </w:r>
      <w:r w:rsidR="00E01A35" w:rsidRPr="005009E9">
        <w:rPr>
          <w:color w:val="000000"/>
          <w:sz w:val="22"/>
          <w:szCs w:val="22"/>
        </w:rPr>
        <w:t xml:space="preserve">he </w:t>
      </w:r>
      <w:r w:rsidR="00251F2B" w:rsidRPr="005009E9">
        <w:rPr>
          <w:color w:val="000000"/>
          <w:sz w:val="22"/>
          <w:szCs w:val="22"/>
        </w:rPr>
        <w:t xml:space="preserve">Commission </w:t>
      </w:r>
      <w:r w:rsidR="006D356E" w:rsidRPr="005009E9">
        <w:rPr>
          <w:color w:val="000000"/>
          <w:sz w:val="22"/>
          <w:szCs w:val="22"/>
        </w:rPr>
        <w:t>reasoned that</w:t>
      </w:r>
      <w:r w:rsidR="00251F2B" w:rsidRPr="005009E9">
        <w:rPr>
          <w:color w:val="000000"/>
          <w:sz w:val="22"/>
          <w:szCs w:val="22"/>
        </w:rPr>
        <w:t xml:space="preserve"> the</w:t>
      </w:r>
      <w:r w:rsidR="006D356E" w:rsidRPr="005009E9">
        <w:rPr>
          <w:color w:val="000000"/>
          <w:sz w:val="22"/>
          <w:szCs w:val="22"/>
        </w:rPr>
        <w:t xml:space="preserve"> </w:t>
      </w:r>
      <w:r w:rsidR="00E01A35" w:rsidRPr="005009E9">
        <w:rPr>
          <w:color w:val="000000"/>
          <w:sz w:val="22"/>
          <w:szCs w:val="22"/>
        </w:rPr>
        <w:t>15 percent attribution threshold provides the opportunity for stations to realize cost savings through the joint sale of a sm</w:t>
      </w:r>
      <w:r w:rsidR="00925990" w:rsidRPr="005009E9">
        <w:rPr>
          <w:color w:val="000000"/>
          <w:sz w:val="22"/>
          <w:szCs w:val="22"/>
        </w:rPr>
        <w:t xml:space="preserve">all portion of </w:t>
      </w:r>
      <w:r w:rsidR="00E01A35" w:rsidRPr="005009E9">
        <w:rPr>
          <w:color w:val="000000"/>
          <w:sz w:val="22"/>
          <w:szCs w:val="22"/>
        </w:rPr>
        <w:t>advertising time</w:t>
      </w:r>
      <w:r w:rsidR="00CE7061" w:rsidRPr="005009E9">
        <w:rPr>
          <w:color w:val="000000"/>
          <w:sz w:val="22"/>
          <w:szCs w:val="22"/>
        </w:rPr>
        <w:t xml:space="preserve"> while preserving the independence of the brokered station</w:t>
      </w:r>
      <w:r w:rsidR="00E01A35" w:rsidRPr="005009E9">
        <w:rPr>
          <w:color w:val="000000"/>
          <w:sz w:val="22"/>
          <w:szCs w:val="22"/>
        </w:rPr>
        <w:t>.</w:t>
      </w:r>
    </w:p>
    <w:p w:rsidR="00DB6F3B" w:rsidRPr="00B747A3" w:rsidRDefault="00DB6F3B" w:rsidP="00DB6F3B">
      <w:pPr>
        <w:rPr>
          <w:color w:val="000000"/>
          <w:sz w:val="22"/>
          <w:szCs w:val="22"/>
        </w:rPr>
      </w:pPr>
    </w:p>
    <w:p w:rsidR="00DB6F3B" w:rsidRPr="00B747A3" w:rsidRDefault="00DB6F3B" w:rsidP="00882C52">
      <w:pPr>
        <w:pStyle w:val="ListParagraph"/>
        <w:numPr>
          <w:ilvl w:val="0"/>
          <w:numId w:val="15"/>
        </w:numPr>
        <w:jc w:val="center"/>
        <w:rPr>
          <w:b/>
          <w:color w:val="000000"/>
          <w:sz w:val="22"/>
          <w:szCs w:val="22"/>
          <w:u w:val="single"/>
        </w:rPr>
      </w:pPr>
      <w:r w:rsidRPr="00B747A3">
        <w:rPr>
          <w:b/>
          <w:color w:val="000000"/>
          <w:sz w:val="22"/>
          <w:szCs w:val="22"/>
          <w:u w:val="single"/>
        </w:rPr>
        <w:t>COMPLIANCE REQUIREMENTS</w:t>
      </w:r>
    </w:p>
    <w:p w:rsidR="00DB6F3B" w:rsidRPr="00B747A3" w:rsidRDefault="00DB6F3B" w:rsidP="00DB6F3B">
      <w:pPr>
        <w:rPr>
          <w:color w:val="000000"/>
          <w:sz w:val="22"/>
          <w:szCs w:val="22"/>
        </w:rPr>
      </w:pPr>
    </w:p>
    <w:p w:rsidR="00DB6F3B" w:rsidRPr="00B747A3" w:rsidRDefault="00DB6F3B" w:rsidP="006117B9">
      <w:pPr>
        <w:numPr>
          <w:ilvl w:val="1"/>
          <w:numId w:val="6"/>
        </w:numPr>
        <w:tabs>
          <w:tab w:val="left" w:pos="360"/>
        </w:tabs>
        <w:spacing w:after="120"/>
        <w:rPr>
          <w:color w:val="000000"/>
          <w:sz w:val="22"/>
          <w:szCs w:val="22"/>
        </w:rPr>
      </w:pPr>
      <w:r w:rsidRPr="00B747A3">
        <w:rPr>
          <w:b/>
          <w:color w:val="000000"/>
          <w:sz w:val="22"/>
          <w:szCs w:val="22"/>
        </w:rPr>
        <w:t>Background Information:  Definitions</w:t>
      </w:r>
    </w:p>
    <w:p w:rsidR="00AD6392" w:rsidRPr="00AD6392" w:rsidRDefault="009F4AAB" w:rsidP="00DB6F3B">
      <w:pPr>
        <w:numPr>
          <w:ilvl w:val="0"/>
          <w:numId w:val="8"/>
        </w:numPr>
        <w:spacing w:after="120"/>
        <w:rPr>
          <w:b/>
          <w:color w:val="000000"/>
          <w:sz w:val="22"/>
          <w:szCs w:val="22"/>
        </w:rPr>
      </w:pPr>
      <w:r w:rsidRPr="009F4AAB">
        <w:rPr>
          <w:b/>
          <w:color w:val="000000"/>
          <w:sz w:val="22"/>
          <w:szCs w:val="22"/>
        </w:rPr>
        <w:t>Attribut</w:t>
      </w:r>
      <w:r w:rsidR="005572B0">
        <w:rPr>
          <w:b/>
          <w:color w:val="000000"/>
          <w:sz w:val="22"/>
          <w:szCs w:val="22"/>
        </w:rPr>
        <w:t>able Interest</w:t>
      </w:r>
      <w:r w:rsidRPr="009F4AAB">
        <w:rPr>
          <w:color w:val="000000"/>
          <w:sz w:val="22"/>
          <w:szCs w:val="22"/>
        </w:rPr>
        <w:t>:</w:t>
      </w:r>
      <w:r>
        <w:rPr>
          <w:color w:val="000000"/>
          <w:sz w:val="22"/>
          <w:szCs w:val="22"/>
        </w:rPr>
        <w:t xml:space="preserve">  </w:t>
      </w:r>
      <w:r w:rsidR="005572B0">
        <w:rPr>
          <w:color w:val="000000"/>
          <w:sz w:val="22"/>
          <w:szCs w:val="22"/>
        </w:rPr>
        <w:t xml:space="preserve">An attributable interest is an interest in a broadcast station that counts as an ownership interest for the purpose of applying the Commission’s media ownership rules.  </w:t>
      </w:r>
      <w:r w:rsidR="00117541">
        <w:rPr>
          <w:color w:val="000000"/>
          <w:sz w:val="22"/>
          <w:szCs w:val="22"/>
        </w:rPr>
        <w:t xml:space="preserve">Examples of other attributable interests include officers or directors of a broadcast licensee and individuals or entities that own </w:t>
      </w:r>
      <w:r w:rsidR="00D96B1A">
        <w:rPr>
          <w:color w:val="000000"/>
          <w:sz w:val="22"/>
          <w:szCs w:val="22"/>
        </w:rPr>
        <w:t>five</w:t>
      </w:r>
      <w:r w:rsidR="00117541">
        <w:rPr>
          <w:color w:val="000000"/>
          <w:sz w:val="22"/>
          <w:szCs w:val="22"/>
        </w:rPr>
        <w:t xml:space="preserve"> percent or more of the outstanding voting stock of a broadcast licensee. </w:t>
      </w:r>
    </w:p>
    <w:p w:rsidR="00AD6392" w:rsidRPr="00AD6392" w:rsidRDefault="00AD6392" w:rsidP="00DB6F3B">
      <w:pPr>
        <w:numPr>
          <w:ilvl w:val="0"/>
          <w:numId w:val="8"/>
        </w:numPr>
        <w:spacing w:after="120"/>
        <w:rPr>
          <w:b/>
          <w:color w:val="000000"/>
          <w:sz w:val="22"/>
          <w:szCs w:val="22"/>
        </w:rPr>
      </w:pPr>
      <w:r>
        <w:rPr>
          <w:b/>
          <w:color w:val="000000"/>
          <w:sz w:val="22"/>
          <w:szCs w:val="22"/>
        </w:rPr>
        <w:t>Brokered Station</w:t>
      </w:r>
      <w:r>
        <w:rPr>
          <w:color w:val="000000"/>
          <w:sz w:val="22"/>
          <w:szCs w:val="22"/>
        </w:rPr>
        <w:t>:</w:t>
      </w:r>
      <w:r w:rsidR="00AB3790">
        <w:rPr>
          <w:color w:val="000000"/>
          <w:sz w:val="22"/>
          <w:szCs w:val="22"/>
        </w:rPr>
        <w:t xml:space="preserve">  A brokered station is a station that authorizes another station to sell its advertising time.</w:t>
      </w:r>
    </w:p>
    <w:p w:rsidR="009F4AAB" w:rsidRPr="009F4AAB" w:rsidRDefault="00AD6392" w:rsidP="00DB6F3B">
      <w:pPr>
        <w:numPr>
          <w:ilvl w:val="0"/>
          <w:numId w:val="8"/>
        </w:numPr>
        <w:spacing w:after="120"/>
        <w:rPr>
          <w:b/>
          <w:color w:val="000000"/>
          <w:sz w:val="22"/>
          <w:szCs w:val="22"/>
        </w:rPr>
      </w:pPr>
      <w:r>
        <w:rPr>
          <w:b/>
          <w:color w:val="000000"/>
          <w:sz w:val="22"/>
          <w:szCs w:val="22"/>
        </w:rPr>
        <w:t>Brokering Station</w:t>
      </w:r>
      <w:r w:rsidRPr="00AD6392">
        <w:rPr>
          <w:color w:val="000000"/>
          <w:sz w:val="22"/>
          <w:szCs w:val="22"/>
        </w:rPr>
        <w:t>:</w:t>
      </w:r>
      <w:r w:rsidR="00AB3790">
        <w:rPr>
          <w:color w:val="000000"/>
          <w:sz w:val="22"/>
          <w:szCs w:val="22"/>
        </w:rPr>
        <w:t xml:space="preserve">  A brokering station is a station that is authorized to sell the advertising time for another station.</w:t>
      </w:r>
      <w:r w:rsidR="009F4AAB">
        <w:rPr>
          <w:color w:val="000000"/>
          <w:sz w:val="22"/>
          <w:szCs w:val="22"/>
        </w:rPr>
        <w:t xml:space="preserve">  </w:t>
      </w:r>
    </w:p>
    <w:p w:rsidR="00E01A35" w:rsidRDefault="00DB6F3B" w:rsidP="00DB6F3B">
      <w:pPr>
        <w:numPr>
          <w:ilvl w:val="0"/>
          <w:numId w:val="8"/>
        </w:numPr>
        <w:spacing w:after="120"/>
        <w:rPr>
          <w:color w:val="000000"/>
          <w:sz w:val="22"/>
          <w:szCs w:val="22"/>
        </w:rPr>
      </w:pPr>
      <w:r w:rsidRPr="00B747A3">
        <w:rPr>
          <w:b/>
          <w:color w:val="000000"/>
          <w:sz w:val="22"/>
          <w:szCs w:val="22"/>
        </w:rPr>
        <w:t>Designated Market Area (DMA)</w:t>
      </w:r>
      <w:r w:rsidRPr="00B747A3">
        <w:rPr>
          <w:color w:val="000000"/>
          <w:sz w:val="22"/>
          <w:szCs w:val="22"/>
        </w:rPr>
        <w:t xml:space="preserve">:  A DMA is a geographic area defined by The Nielsen Company </w:t>
      </w:r>
      <w:r w:rsidRPr="00727B75">
        <w:rPr>
          <w:color w:val="000000"/>
          <w:sz w:val="22"/>
          <w:szCs w:val="22"/>
        </w:rPr>
        <w:t>as a group of counties that make up a particular television market.</w:t>
      </w:r>
    </w:p>
    <w:p w:rsidR="00DB6F3B" w:rsidRPr="00727B75" w:rsidRDefault="00E01A35" w:rsidP="00727B75">
      <w:pPr>
        <w:numPr>
          <w:ilvl w:val="0"/>
          <w:numId w:val="8"/>
        </w:numPr>
        <w:rPr>
          <w:color w:val="000000"/>
          <w:sz w:val="22"/>
          <w:szCs w:val="22"/>
        </w:rPr>
      </w:pPr>
      <w:r w:rsidRPr="00727B75">
        <w:rPr>
          <w:b/>
          <w:color w:val="000000"/>
          <w:sz w:val="22"/>
          <w:szCs w:val="22"/>
        </w:rPr>
        <w:t>Joint Sales Agreement (JSA)</w:t>
      </w:r>
      <w:r w:rsidRPr="00727B75">
        <w:rPr>
          <w:color w:val="000000"/>
          <w:sz w:val="22"/>
          <w:szCs w:val="22"/>
        </w:rPr>
        <w:t>:</w:t>
      </w:r>
      <w:r w:rsidR="00727B75" w:rsidRPr="00727B75">
        <w:rPr>
          <w:color w:val="000000"/>
          <w:sz w:val="22"/>
          <w:szCs w:val="22"/>
        </w:rPr>
        <w:t xml:space="preserve"> </w:t>
      </w:r>
      <w:r w:rsidR="009F4AAB">
        <w:rPr>
          <w:color w:val="000000"/>
          <w:sz w:val="22"/>
          <w:szCs w:val="22"/>
        </w:rPr>
        <w:t xml:space="preserve"> </w:t>
      </w:r>
      <w:r w:rsidR="009309BC">
        <w:rPr>
          <w:color w:val="000000"/>
          <w:sz w:val="22"/>
          <w:szCs w:val="22"/>
        </w:rPr>
        <w:t>A JSA is an</w:t>
      </w:r>
      <w:r w:rsidR="00727B75">
        <w:rPr>
          <w:color w:val="000000"/>
          <w:sz w:val="22"/>
          <w:szCs w:val="22"/>
        </w:rPr>
        <w:t xml:space="preserve"> agreement </w:t>
      </w:r>
      <w:r w:rsidR="0035458A">
        <w:rPr>
          <w:color w:val="000000"/>
          <w:sz w:val="22"/>
          <w:szCs w:val="22"/>
        </w:rPr>
        <w:t xml:space="preserve">with a licensee of </w:t>
      </w:r>
      <w:r w:rsidR="00727B75" w:rsidRPr="00727B75">
        <w:rPr>
          <w:color w:val="000000"/>
          <w:sz w:val="22"/>
          <w:szCs w:val="22"/>
        </w:rPr>
        <w:t xml:space="preserve">a </w:t>
      </w:r>
      <w:r w:rsidR="00AD6392">
        <w:rPr>
          <w:color w:val="000000"/>
          <w:sz w:val="22"/>
          <w:szCs w:val="22"/>
        </w:rPr>
        <w:t>brokered station</w:t>
      </w:r>
      <w:r w:rsidR="00727B75" w:rsidRPr="00727B75">
        <w:rPr>
          <w:color w:val="000000"/>
          <w:sz w:val="22"/>
          <w:szCs w:val="22"/>
        </w:rPr>
        <w:t xml:space="preserve"> </w:t>
      </w:r>
      <w:r w:rsidR="0035458A">
        <w:rPr>
          <w:color w:val="000000"/>
          <w:sz w:val="22"/>
          <w:szCs w:val="22"/>
        </w:rPr>
        <w:t xml:space="preserve">that </w:t>
      </w:r>
      <w:r w:rsidR="00AD6392">
        <w:rPr>
          <w:color w:val="000000"/>
          <w:sz w:val="22"/>
          <w:szCs w:val="22"/>
        </w:rPr>
        <w:t>authorizes a brokering station</w:t>
      </w:r>
      <w:r w:rsidR="00727B75" w:rsidRPr="00727B75">
        <w:rPr>
          <w:color w:val="000000"/>
          <w:sz w:val="22"/>
          <w:szCs w:val="22"/>
        </w:rPr>
        <w:t xml:space="preserve"> to</w:t>
      </w:r>
      <w:r w:rsidR="00727B75">
        <w:rPr>
          <w:color w:val="000000"/>
          <w:sz w:val="22"/>
          <w:szCs w:val="22"/>
        </w:rPr>
        <w:t xml:space="preserve"> sell advertising time for the </w:t>
      </w:r>
      <w:r w:rsidR="00727B75" w:rsidRPr="00727B75">
        <w:rPr>
          <w:color w:val="000000"/>
          <w:sz w:val="22"/>
          <w:szCs w:val="22"/>
        </w:rPr>
        <w:t>brokered station.</w:t>
      </w:r>
    </w:p>
    <w:p w:rsidR="00B747A3" w:rsidRPr="00727B75" w:rsidRDefault="00B747A3" w:rsidP="009309BC">
      <w:pPr>
        <w:ind w:left="360"/>
        <w:rPr>
          <w:color w:val="000000"/>
          <w:sz w:val="22"/>
          <w:szCs w:val="22"/>
        </w:rPr>
      </w:pPr>
    </w:p>
    <w:p w:rsidR="00DB6F3B" w:rsidRPr="00727B75" w:rsidRDefault="00DB6F3B" w:rsidP="006117B9">
      <w:pPr>
        <w:numPr>
          <w:ilvl w:val="1"/>
          <w:numId w:val="6"/>
        </w:numPr>
        <w:spacing w:after="120"/>
        <w:rPr>
          <w:b/>
          <w:color w:val="000000"/>
          <w:sz w:val="22"/>
          <w:szCs w:val="22"/>
        </w:rPr>
      </w:pPr>
      <w:r w:rsidRPr="00727B75">
        <w:rPr>
          <w:b/>
          <w:color w:val="000000"/>
          <w:sz w:val="22"/>
          <w:szCs w:val="22"/>
        </w:rPr>
        <w:t>Entities required to take action under this proceeding</w:t>
      </w:r>
    </w:p>
    <w:p w:rsidR="00DB6F3B" w:rsidRPr="00727B75" w:rsidRDefault="00EB3695" w:rsidP="00734391">
      <w:pPr>
        <w:tabs>
          <w:tab w:val="left" w:pos="270"/>
        </w:tabs>
        <w:rPr>
          <w:color w:val="000000"/>
          <w:sz w:val="22"/>
          <w:szCs w:val="22"/>
        </w:rPr>
      </w:pPr>
      <w:r w:rsidRPr="00727B75">
        <w:rPr>
          <w:color w:val="000000"/>
          <w:sz w:val="22"/>
          <w:szCs w:val="22"/>
        </w:rPr>
        <w:t>The television JSA attribution rule and related filing</w:t>
      </w:r>
      <w:r w:rsidR="00F95F8A">
        <w:rPr>
          <w:color w:val="000000"/>
          <w:sz w:val="22"/>
          <w:szCs w:val="22"/>
        </w:rPr>
        <w:t xml:space="preserve"> and reporting requirements apply </w:t>
      </w:r>
      <w:r w:rsidRPr="00727B75">
        <w:rPr>
          <w:color w:val="000000"/>
          <w:sz w:val="22"/>
          <w:szCs w:val="22"/>
        </w:rPr>
        <w:t>to</w:t>
      </w:r>
      <w:r w:rsidR="0021782A">
        <w:rPr>
          <w:color w:val="000000"/>
          <w:sz w:val="22"/>
          <w:szCs w:val="22"/>
        </w:rPr>
        <w:t xml:space="preserve"> broadcast </w:t>
      </w:r>
      <w:r w:rsidR="00DB3FBC" w:rsidRPr="00727B75">
        <w:rPr>
          <w:color w:val="000000"/>
          <w:sz w:val="22"/>
          <w:szCs w:val="22"/>
        </w:rPr>
        <w:t xml:space="preserve">television stations.  </w:t>
      </w:r>
      <w:r w:rsidR="00DB6F3B" w:rsidRPr="00727B75">
        <w:rPr>
          <w:color w:val="000000"/>
          <w:sz w:val="22"/>
          <w:szCs w:val="22"/>
        </w:rPr>
        <w:t xml:space="preserve">Radio licensees and multichannel video </w:t>
      </w:r>
      <w:r w:rsidR="00DB6F3B" w:rsidRPr="00471AB3">
        <w:rPr>
          <w:color w:val="000000"/>
          <w:sz w:val="22"/>
          <w:szCs w:val="22"/>
        </w:rPr>
        <w:t>programming distributors are not inc</w:t>
      </w:r>
      <w:r w:rsidR="00DB3FBC" w:rsidRPr="00471AB3">
        <w:rPr>
          <w:color w:val="000000"/>
          <w:sz w:val="22"/>
          <w:szCs w:val="22"/>
        </w:rPr>
        <w:t>luded in</w:t>
      </w:r>
      <w:r w:rsidR="00DA1B4D" w:rsidRPr="00471AB3">
        <w:rPr>
          <w:color w:val="000000"/>
          <w:sz w:val="22"/>
          <w:szCs w:val="22"/>
        </w:rPr>
        <w:t xml:space="preserve"> the Commission’s actions regarding JSAs in</w:t>
      </w:r>
      <w:r w:rsidR="00DB3FBC" w:rsidRPr="00471AB3">
        <w:rPr>
          <w:color w:val="000000"/>
          <w:sz w:val="22"/>
          <w:szCs w:val="22"/>
        </w:rPr>
        <w:t xml:space="preserve"> this proceeding</w:t>
      </w:r>
      <w:r w:rsidR="00DB6F3B" w:rsidRPr="00471AB3">
        <w:rPr>
          <w:color w:val="000000"/>
          <w:sz w:val="22"/>
          <w:szCs w:val="22"/>
        </w:rPr>
        <w:t>.</w:t>
      </w:r>
    </w:p>
    <w:p w:rsidR="00B747A3" w:rsidRPr="00727B75" w:rsidRDefault="00B747A3" w:rsidP="009309BC">
      <w:pPr>
        <w:rPr>
          <w:color w:val="000000"/>
          <w:sz w:val="22"/>
          <w:szCs w:val="22"/>
        </w:rPr>
      </w:pPr>
    </w:p>
    <w:p w:rsidR="009309BC" w:rsidRPr="009309BC" w:rsidRDefault="00B747A3" w:rsidP="00DC6C5B">
      <w:pPr>
        <w:pStyle w:val="ListParagraph"/>
        <w:keepNext/>
        <w:numPr>
          <w:ilvl w:val="1"/>
          <w:numId w:val="6"/>
        </w:numPr>
        <w:spacing w:after="120"/>
        <w:rPr>
          <w:b/>
          <w:color w:val="000000"/>
          <w:sz w:val="22"/>
          <w:szCs w:val="22"/>
        </w:rPr>
      </w:pPr>
      <w:r w:rsidRPr="00727B75">
        <w:rPr>
          <w:b/>
          <w:color w:val="000000"/>
          <w:sz w:val="22"/>
          <w:szCs w:val="22"/>
        </w:rPr>
        <w:lastRenderedPageBreak/>
        <w:t>Compliance with attribution threshold</w:t>
      </w:r>
    </w:p>
    <w:p w:rsidR="00643A1B" w:rsidRDefault="00AD6392" w:rsidP="00734391">
      <w:pPr>
        <w:pStyle w:val="ListParagraph"/>
        <w:ind w:left="0"/>
        <w:rPr>
          <w:color w:val="000000"/>
          <w:sz w:val="22"/>
          <w:szCs w:val="22"/>
        </w:rPr>
      </w:pPr>
      <w:r>
        <w:rPr>
          <w:color w:val="000000"/>
          <w:sz w:val="22"/>
          <w:szCs w:val="22"/>
        </w:rPr>
        <w:t>T</w:t>
      </w:r>
      <w:r w:rsidR="009F4AAB">
        <w:rPr>
          <w:color w:val="000000"/>
          <w:sz w:val="22"/>
          <w:szCs w:val="22"/>
        </w:rPr>
        <w:t>he new attribution rule for television JSAs</w:t>
      </w:r>
      <w:r w:rsidR="00E90A28">
        <w:rPr>
          <w:color w:val="000000"/>
          <w:sz w:val="22"/>
          <w:szCs w:val="22"/>
        </w:rPr>
        <w:t xml:space="preserve"> applies </w:t>
      </w:r>
      <w:r>
        <w:rPr>
          <w:color w:val="000000"/>
          <w:sz w:val="22"/>
          <w:szCs w:val="22"/>
        </w:rPr>
        <w:t>when</w:t>
      </w:r>
      <w:r w:rsidR="007A6001">
        <w:rPr>
          <w:color w:val="000000"/>
          <w:sz w:val="22"/>
          <w:szCs w:val="22"/>
        </w:rPr>
        <w:t>:</w:t>
      </w:r>
      <w:r>
        <w:rPr>
          <w:color w:val="000000"/>
          <w:sz w:val="22"/>
          <w:szCs w:val="22"/>
        </w:rPr>
        <w:t xml:space="preserve"> (1) both broadcast television stations are licensed to the same DMA</w:t>
      </w:r>
      <w:r w:rsidR="007A6001">
        <w:rPr>
          <w:color w:val="000000"/>
          <w:sz w:val="22"/>
          <w:szCs w:val="22"/>
        </w:rPr>
        <w:t>;</w:t>
      </w:r>
      <w:r>
        <w:rPr>
          <w:color w:val="000000"/>
          <w:sz w:val="22"/>
          <w:szCs w:val="22"/>
        </w:rPr>
        <w:t xml:space="preserve"> and (2) the brokering station is authorized to sell more than 15 percent of the weekly advertising time of the brokered station.  In these circumstances, the brokering station will have an attributable interest in the brokered station.</w:t>
      </w:r>
      <w:r w:rsidR="002727B7">
        <w:rPr>
          <w:color w:val="000000"/>
          <w:sz w:val="22"/>
          <w:szCs w:val="22"/>
        </w:rPr>
        <w:t xml:space="preserve">  The rule became effective on June 19, 2014.</w:t>
      </w:r>
      <w:r>
        <w:rPr>
          <w:color w:val="000000"/>
          <w:sz w:val="22"/>
          <w:szCs w:val="22"/>
        </w:rPr>
        <w:t xml:space="preserve">   </w:t>
      </w:r>
    </w:p>
    <w:p w:rsidR="00643A1B" w:rsidRDefault="00643A1B" w:rsidP="00734391">
      <w:pPr>
        <w:pStyle w:val="ListParagraph"/>
        <w:ind w:left="0"/>
        <w:rPr>
          <w:color w:val="000000"/>
          <w:sz w:val="22"/>
          <w:szCs w:val="22"/>
        </w:rPr>
      </w:pPr>
    </w:p>
    <w:p w:rsidR="00A628A6" w:rsidRPr="00471AB3" w:rsidRDefault="00F95F8A" w:rsidP="00734391">
      <w:pPr>
        <w:pStyle w:val="ListParagraph"/>
        <w:ind w:left="0"/>
        <w:rPr>
          <w:color w:val="000000"/>
          <w:sz w:val="22"/>
          <w:szCs w:val="22"/>
        </w:rPr>
      </w:pPr>
      <w:r>
        <w:rPr>
          <w:color w:val="000000"/>
          <w:sz w:val="22"/>
          <w:szCs w:val="22"/>
        </w:rPr>
        <w:t>Stations that have</w:t>
      </w:r>
      <w:r w:rsidR="005572B0">
        <w:rPr>
          <w:color w:val="000000"/>
          <w:sz w:val="22"/>
          <w:szCs w:val="22"/>
        </w:rPr>
        <w:t xml:space="preserve"> </w:t>
      </w:r>
      <w:r w:rsidR="0021782A">
        <w:rPr>
          <w:color w:val="000000"/>
          <w:sz w:val="22"/>
          <w:szCs w:val="22"/>
        </w:rPr>
        <w:t xml:space="preserve">a </w:t>
      </w:r>
      <w:r w:rsidR="005572B0">
        <w:rPr>
          <w:color w:val="000000"/>
          <w:sz w:val="22"/>
          <w:szCs w:val="22"/>
        </w:rPr>
        <w:t xml:space="preserve">television </w:t>
      </w:r>
      <w:r w:rsidR="0021782A">
        <w:rPr>
          <w:color w:val="000000"/>
          <w:sz w:val="22"/>
          <w:szCs w:val="22"/>
        </w:rPr>
        <w:t>JSA</w:t>
      </w:r>
      <w:r>
        <w:rPr>
          <w:color w:val="000000"/>
          <w:sz w:val="22"/>
          <w:szCs w:val="22"/>
        </w:rPr>
        <w:t xml:space="preserve"> signed</w:t>
      </w:r>
      <w:r w:rsidR="005572B0">
        <w:rPr>
          <w:color w:val="000000"/>
          <w:sz w:val="22"/>
          <w:szCs w:val="22"/>
        </w:rPr>
        <w:t xml:space="preserve"> before the release of the </w:t>
      </w:r>
      <w:r w:rsidR="005572B0">
        <w:rPr>
          <w:i/>
          <w:color w:val="000000"/>
          <w:sz w:val="22"/>
          <w:szCs w:val="22"/>
        </w:rPr>
        <w:t>Report and Order</w:t>
      </w:r>
      <w:r w:rsidR="005572B0">
        <w:rPr>
          <w:color w:val="000000"/>
          <w:sz w:val="22"/>
          <w:szCs w:val="22"/>
        </w:rPr>
        <w:t xml:space="preserve"> will have </w:t>
      </w:r>
      <w:r w:rsidR="002727B7">
        <w:rPr>
          <w:color w:val="000000"/>
          <w:sz w:val="22"/>
          <w:szCs w:val="22"/>
        </w:rPr>
        <w:t xml:space="preserve">until </w:t>
      </w:r>
      <w:r w:rsidR="00786385">
        <w:rPr>
          <w:color w:val="000000"/>
          <w:sz w:val="22"/>
          <w:szCs w:val="22"/>
        </w:rPr>
        <w:t>June 19</w:t>
      </w:r>
      <w:r w:rsidR="002727B7">
        <w:rPr>
          <w:color w:val="000000"/>
          <w:sz w:val="22"/>
          <w:szCs w:val="22"/>
        </w:rPr>
        <w:t>, 2016</w:t>
      </w:r>
      <w:r w:rsidR="001157F7">
        <w:rPr>
          <w:color w:val="000000"/>
          <w:sz w:val="22"/>
          <w:szCs w:val="22"/>
        </w:rPr>
        <w:t xml:space="preserve"> </w:t>
      </w:r>
      <w:r w:rsidR="005572B0">
        <w:rPr>
          <w:color w:val="000000"/>
          <w:sz w:val="22"/>
          <w:szCs w:val="22"/>
        </w:rPr>
        <w:t>(</w:t>
      </w:r>
      <w:r w:rsidR="005572B0" w:rsidRPr="00DC6C5B">
        <w:rPr>
          <w:color w:val="000000"/>
          <w:sz w:val="22"/>
          <w:szCs w:val="22"/>
        </w:rPr>
        <w:t>i</w:t>
      </w:r>
      <w:r w:rsidR="001157F7" w:rsidRPr="00DC6C5B">
        <w:rPr>
          <w:color w:val="000000"/>
          <w:sz w:val="22"/>
          <w:szCs w:val="22"/>
        </w:rPr>
        <w:t>.e.</w:t>
      </w:r>
      <w:r w:rsidR="001157F7" w:rsidRPr="001157F7">
        <w:rPr>
          <w:color w:val="000000"/>
          <w:sz w:val="22"/>
          <w:szCs w:val="22"/>
        </w:rPr>
        <w:t>,</w:t>
      </w:r>
      <w:r w:rsidR="001157F7">
        <w:rPr>
          <w:color w:val="000000"/>
          <w:sz w:val="22"/>
          <w:szCs w:val="22"/>
        </w:rPr>
        <w:t xml:space="preserve"> two years from the </w:t>
      </w:r>
      <w:r w:rsidR="001157F7" w:rsidRPr="00471AB3">
        <w:rPr>
          <w:color w:val="000000"/>
          <w:sz w:val="22"/>
          <w:szCs w:val="22"/>
        </w:rPr>
        <w:t>effective date of television JSA attribution rule</w:t>
      </w:r>
      <w:r w:rsidR="005572B0" w:rsidRPr="00471AB3">
        <w:rPr>
          <w:color w:val="000000"/>
          <w:sz w:val="22"/>
          <w:szCs w:val="22"/>
        </w:rPr>
        <w:t>)</w:t>
      </w:r>
      <w:r w:rsidR="009A01C7" w:rsidRPr="00471AB3">
        <w:rPr>
          <w:color w:val="000000"/>
          <w:sz w:val="22"/>
          <w:szCs w:val="22"/>
        </w:rPr>
        <w:t>,</w:t>
      </w:r>
      <w:r w:rsidR="005572B0" w:rsidRPr="00471AB3">
        <w:rPr>
          <w:color w:val="000000"/>
          <w:sz w:val="22"/>
          <w:szCs w:val="22"/>
        </w:rPr>
        <w:t xml:space="preserve"> to ensure that the agreement complies with the Commission’s media ownership rules</w:t>
      </w:r>
      <w:r w:rsidR="00E33982" w:rsidRPr="00471AB3">
        <w:rPr>
          <w:color w:val="000000"/>
          <w:sz w:val="22"/>
          <w:szCs w:val="22"/>
        </w:rPr>
        <w:t xml:space="preserve"> or to come into compliance with the media ownership rules by another means</w:t>
      </w:r>
      <w:r w:rsidR="005572B0" w:rsidRPr="00471AB3">
        <w:rPr>
          <w:color w:val="000000"/>
          <w:sz w:val="22"/>
          <w:szCs w:val="22"/>
        </w:rPr>
        <w:t xml:space="preserve">.  For example, if the local television ownership rule (47 </w:t>
      </w:r>
      <w:r w:rsidR="00643A1B" w:rsidRPr="00471AB3">
        <w:rPr>
          <w:color w:val="000000"/>
          <w:sz w:val="22"/>
          <w:szCs w:val="22"/>
        </w:rPr>
        <w:t>C.F.R. § 73.3555(b)) prohibits</w:t>
      </w:r>
      <w:r w:rsidR="005572B0" w:rsidRPr="00471AB3">
        <w:rPr>
          <w:color w:val="000000"/>
          <w:sz w:val="22"/>
          <w:szCs w:val="22"/>
        </w:rPr>
        <w:t xml:space="preserve"> the brokering station from having an attributable interest in more than one broadcast television station in the </w:t>
      </w:r>
      <w:r w:rsidR="009A01C7" w:rsidRPr="00471AB3">
        <w:rPr>
          <w:color w:val="000000"/>
          <w:sz w:val="22"/>
          <w:szCs w:val="22"/>
        </w:rPr>
        <w:t xml:space="preserve">same </w:t>
      </w:r>
      <w:r w:rsidR="005572B0" w:rsidRPr="00471AB3">
        <w:rPr>
          <w:color w:val="000000"/>
          <w:sz w:val="22"/>
          <w:szCs w:val="22"/>
        </w:rPr>
        <w:t xml:space="preserve">DMA, the </w:t>
      </w:r>
      <w:r w:rsidR="00E33982" w:rsidRPr="00471AB3">
        <w:rPr>
          <w:color w:val="000000"/>
          <w:sz w:val="22"/>
          <w:szCs w:val="22"/>
        </w:rPr>
        <w:t>licensee</w:t>
      </w:r>
      <w:r w:rsidR="00A21E78" w:rsidRPr="00471AB3">
        <w:rPr>
          <w:color w:val="000000"/>
          <w:sz w:val="22"/>
          <w:szCs w:val="22"/>
        </w:rPr>
        <w:t>s</w:t>
      </w:r>
      <w:r w:rsidR="00E33982" w:rsidRPr="00471AB3">
        <w:rPr>
          <w:color w:val="000000"/>
          <w:sz w:val="22"/>
          <w:szCs w:val="22"/>
        </w:rPr>
        <w:t xml:space="preserve"> of the affected </w:t>
      </w:r>
      <w:r w:rsidR="0021782A" w:rsidRPr="00471AB3">
        <w:rPr>
          <w:color w:val="000000"/>
          <w:sz w:val="22"/>
          <w:szCs w:val="22"/>
        </w:rPr>
        <w:t>stations would</w:t>
      </w:r>
      <w:r w:rsidR="005572B0" w:rsidRPr="00471AB3">
        <w:rPr>
          <w:color w:val="000000"/>
          <w:sz w:val="22"/>
          <w:szCs w:val="22"/>
        </w:rPr>
        <w:t xml:space="preserve"> </w:t>
      </w:r>
      <w:r w:rsidR="00A628A6" w:rsidRPr="00471AB3">
        <w:rPr>
          <w:color w:val="000000"/>
          <w:sz w:val="22"/>
          <w:szCs w:val="22"/>
        </w:rPr>
        <w:t xml:space="preserve">either </w:t>
      </w:r>
      <w:r w:rsidR="005572B0" w:rsidRPr="00471AB3">
        <w:rPr>
          <w:color w:val="000000"/>
          <w:sz w:val="22"/>
          <w:szCs w:val="22"/>
        </w:rPr>
        <w:t xml:space="preserve">have to </w:t>
      </w:r>
      <w:r w:rsidR="009A01C7" w:rsidRPr="00471AB3">
        <w:rPr>
          <w:color w:val="000000"/>
          <w:sz w:val="22"/>
          <w:szCs w:val="22"/>
        </w:rPr>
        <w:t xml:space="preserve">terminate the agreement or </w:t>
      </w:r>
      <w:r w:rsidR="005572B0" w:rsidRPr="00471AB3">
        <w:rPr>
          <w:color w:val="000000"/>
          <w:sz w:val="22"/>
          <w:szCs w:val="22"/>
        </w:rPr>
        <w:t xml:space="preserve">modify the agreement to ensure that the brokering station </w:t>
      </w:r>
      <w:r w:rsidR="009A01C7" w:rsidRPr="00471AB3">
        <w:rPr>
          <w:color w:val="000000"/>
          <w:sz w:val="22"/>
          <w:szCs w:val="22"/>
        </w:rPr>
        <w:t xml:space="preserve">is </w:t>
      </w:r>
      <w:r w:rsidR="005572B0" w:rsidRPr="00471AB3">
        <w:rPr>
          <w:color w:val="000000"/>
          <w:sz w:val="22"/>
          <w:szCs w:val="22"/>
        </w:rPr>
        <w:t xml:space="preserve">authorized to sell no more than 15 percent </w:t>
      </w:r>
      <w:r w:rsidR="00A628A6" w:rsidRPr="00471AB3">
        <w:rPr>
          <w:color w:val="000000"/>
          <w:sz w:val="22"/>
          <w:szCs w:val="22"/>
        </w:rPr>
        <w:t xml:space="preserve">of the brokered station’s </w:t>
      </w:r>
      <w:r w:rsidR="00643A1B" w:rsidRPr="00471AB3">
        <w:rPr>
          <w:color w:val="000000"/>
          <w:sz w:val="22"/>
          <w:szCs w:val="22"/>
        </w:rPr>
        <w:t xml:space="preserve">weekly </w:t>
      </w:r>
      <w:r w:rsidR="00A628A6" w:rsidRPr="00471AB3">
        <w:rPr>
          <w:color w:val="000000"/>
          <w:sz w:val="22"/>
          <w:szCs w:val="22"/>
        </w:rPr>
        <w:t>advertising time</w:t>
      </w:r>
      <w:r w:rsidR="00E33982" w:rsidRPr="00471AB3">
        <w:rPr>
          <w:color w:val="000000"/>
          <w:sz w:val="22"/>
          <w:szCs w:val="22"/>
        </w:rPr>
        <w:t xml:space="preserve">, or the </w:t>
      </w:r>
      <w:r w:rsidR="000E1EC8" w:rsidRPr="00471AB3">
        <w:rPr>
          <w:color w:val="000000"/>
          <w:sz w:val="22"/>
          <w:szCs w:val="22"/>
        </w:rPr>
        <w:t xml:space="preserve">licensee of the </w:t>
      </w:r>
      <w:r w:rsidR="00E33982" w:rsidRPr="00471AB3">
        <w:rPr>
          <w:color w:val="000000"/>
          <w:sz w:val="22"/>
          <w:szCs w:val="22"/>
        </w:rPr>
        <w:t xml:space="preserve">brokering station would have to </w:t>
      </w:r>
      <w:r w:rsidR="00FE33C7" w:rsidRPr="00471AB3">
        <w:rPr>
          <w:color w:val="000000"/>
          <w:sz w:val="22"/>
          <w:szCs w:val="22"/>
        </w:rPr>
        <w:t>take other steps to avoid having an attributable interest in more than one broadcast television station in the market</w:t>
      </w:r>
      <w:r w:rsidR="00A628A6" w:rsidRPr="00471AB3">
        <w:rPr>
          <w:color w:val="000000"/>
          <w:sz w:val="22"/>
          <w:szCs w:val="22"/>
        </w:rPr>
        <w:t xml:space="preserve">. </w:t>
      </w:r>
      <w:r w:rsidR="00E33982" w:rsidRPr="00471AB3">
        <w:rPr>
          <w:color w:val="000000"/>
          <w:sz w:val="22"/>
          <w:szCs w:val="22"/>
        </w:rPr>
        <w:t xml:space="preserve"> </w:t>
      </w:r>
      <w:r w:rsidR="00854DEC" w:rsidRPr="00471AB3">
        <w:rPr>
          <w:color w:val="000000"/>
          <w:sz w:val="22"/>
          <w:szCs w:val="22"/>
        </w:rPr>
        <w:t>L</w:t>
      </w:r>
      <w:r w:rsidR="00E33982" w:rsidRPr="00471AB3">
        <w:rPr>
          <w:color w:val="000000"/>
          <w:sz w:val="22"/>
          <w:szCs w:val="22"/>
        </w:rPr>
        <w:t>icensees</w:t>
      </w:r>
      <w:r w:rsidR="00854DEC" w:rsidRPr="00471AB3">
        <w:rPr>
          <w:color w:val="000000"/>
          <w:sz w:val="22"/>
          <w:szCs w:val="22"/>
        </w:rPr>
        <w:t xml:space="preserve"> that believe application of the attribution rule to their particular circumstances would not serve the public interest </w:t>
      </w:r>
      <w:r w:rsidR="00E33982" w:rsidRPr="00471AB3">
        <w:rPr>
          <w:color w:val="000000"/>
          <w:sz w:val="22"/>
          <w:szCs w:val="22"/>
        </w:rPr>
        <w:t>may seek a waiver of this rule</w:t>
      </w:r>
      <w:r w:rsidR="00854DEC" w:rsidRPr="00471AB3">
        <w:rPr>
          <w:color w:val="000000"/>
          <w:sz w:val="22"/>
          <w:szCs w:val="22"/>
        </w:rPr>
        <w:t>.  Likewise, licensees that believe application of the local television ownership rule would adversely affect competition, diversity, or localism may seek a waiver of that rule.</w:t>
      </w:r>
    </w:p>
    <w:p w:rsidR="00A628A6" w:rsidRPr="00471AB3" w:rsidRDefault="00A628A6" w:rsidP="00734391">
      <w:pPr>
        <w:pStyle w:val="ListParagraph"/>
        <w:ind w:left="0"/>
        <w:rPr>
          <w:color w:val="000000"/>
          <w:sz w:val="22"/>
          <w:szCs w:val="22"/>
        </w:rPr>
      </w:pPr>
    </w:p>
    <w:p w:rsidR="00B747A3" w:rsidRDefault="00400C2E" w:rsidP="00734391">
      <w:pPr>
        <w:pStyle w:val="ListParagraph"/>
        <w:ind w:left="0"/>
        <w:rPr>
          <w:color w:val="000000"/>
          <w:sz w:val="22"/>
          <w:szCs w:val="22"/>
        </w:rPr>
      </w:pPr>
      <w:r w:rsidRPr="00471AB3">
        <w:rPr>
          <w:color w:val="000000"/>
          <w:sz w:val="22"/>
          <w:szCs w:val="22"/>
        </w:rPr>
        <w:t xml:space="preserve">Television JSAs entered into after the release of the </w:t>
      </w:r>
      <w:r w:rsidRPr="00471AB3">
        <w:rPr>
          <w:i/>
          <w:color w:val="000000"/>
          <w:sz w:val="22"/>
          <w:szCs w:val="22"/>
        </w:rPr>
        <w:t>Report and Order</w:t>
      </w:r>
      <w:r w:rsidRPr="00471AB3">
        <w:rPr>
          <w:color w:val="000000"/>
          <w:sz w:val="22"/>
          <w:szCs w:val="22"/>
        </w:rPr>
        <w:t xml:space="preserve"> must </w:t>
      </w:r>
      <w:r w:rsidR="00643A1B" w:rsidRPr="00471AB3">
        <w:rPr>
          <w:color w:val="000000"/>
          <w:sz w:val="22"/>
          <w:szCs w:val="22"/>
        </w:rPr>
        <w:t xml:space="preserve">comply </w:t>
      </w:r>
      <w:r w:rsidRPr="00471AB3">
        <w:rPr>
          <w:color w:val="000000"/>
          <w:sz w:val="22"/>
          <w:szCs w:val="22"/>
        </w:rPr>
        <w:t>with the Commission’s media ownership rules</w:t>
      </w:r>
      <w:r w:rsidR="00643A1B" w:rsidRPr="00471AB3">
        <w:rPr>
          <w:color w:val="000000"/>
          <w:sz w:val="22"/>
          <w:szCs w:val="22"/>
        </w:rPr>
        <w:t xml:space="preserve"> at the time they are executed</w:t>
      </w:r>
      <w:r w:rsidRPr="00471AB3">
        <w:rPr>
          <w:color w:val="000000"/>
          <w:sz w:val="22"/>
          <w:szCs w:val="22"/>
        </w:rPr>
        <w:t xml:space="preserve">; the two-year compliance period does not apply to any television JSA entered into after the release of the </w:t>
      </w:r>
      <w:r w:rsidRPr="00471AB3">
        <w:rPr>
          <w:i/>
          <w:color w:val="000000"/>
          <w:sz w:val="22"/>
          <w:szCs w:val="22"/>
        </w:rPr>
        <w:t>Report and Order</w:t>
      </w:r>
      <w:r w:rsidRPr="00471AB3">
        <w:rPr>
          <w:color w:val="000000"/>
          <w:sz w:val="22"/>
          <w:szCs w:val="22"/>
        </w:rPr>
        <w:t xml:space="preserve">.  </w:t>
      </w:r>
      <w:r w:rsidR="009A01C7" w:rsidRPr="00471AB3">
        <w:rPr>
          <w:color w:val="000000"/>
          <w:sz w:val="22"/>
          <w:szCs w:val="22"/>
        </w:rPr>
        <w:t>T</w:t>
      </w:r>
      <w:r w:rsidRPr="00471AB3">
        <w:rPr>
          <w:color w:val="000000"/>
          <w:sz w:val="22"/>
          <w:szCs w:val="22"/>
        </w:rPr>
        <w:t xml:space="preserve">elevision JSAs that were entered into before the release of the </w:t>
      </w:r>
      <w:r w:rsidRPr="00471AB3">
        <w:rPr>
          <w:i/>
          <w:color w:val="000000"/>
          <w:sz w:val="22"/>
          <w:szCs w:val="22"/>
        </w:rPr>
        <w:t>Report and Order</w:t>
      </w:r>
      <w:r w:rsidRPr="00471AB3">
        <w:rPr>
          <w:color w:val="000000"/>
          <w:sz w:val="22"/>
          <w:szCs w:val="22"/>
        </w:rPr>
        <w:t xml:space="preserve"> bu</w:t>
      </w:r>
      <w:r w:rsidR="002727B7" w:rsidRPr="00471AB3">
        <w:rPr>
          <w:color w:val="000000"/>
          <w:sz w:val="22"/>
          <w:szCs w:val="22"/>
        </w:rPr>
        <w:t xml:space="preserve">t that expire before </w:t>
      </w:r>
      <w:r w:rsidR="00786385" w:rsidRPr="00471AB3">
        <w:rPr>
          <w:color w:val="000000"/>
          <w:sz w:val="22"/>
          <w:szCs w:val="22"/>
        </w:rPr>
        <w:t>June 19</w:t>
      </w:r>
      <w:r w:rsidR="002727B7" w:rsidRPr="00471AB3">
        <w:rPr>
          <w:color w:val="000000"/>
          <w:sz w:val="22"/>
          <w:szCs w:val="22"/>
        </w:rPr>
        <w:t>, 2016</w:t>
      </w:r>
      <w:r w:rsidR="00643A1B" w:rsidRPr="00471AB3">
        <w:rPr>
          <w:color w:val="000000"/>
          <w:sz w:val="22"/>
          <w:szCs w:val="22"/>
        </w:rPr>
        <w:t xml:space="preserve">, </w:t>
      </w:r>
      <w:r w:rsidR="009A01C7" w:rsidRPr="00471AB3">
        <w:rPr>
          <w:color w:val="000000"/>
          <w:sz w:val="22"/>
          <w:szCs w:val="22"/>
        </w:rPr>
        <w:t xml:space="preserve">however, </w:t>
      </w:r>
      <w:r w:rsidR="00643A1B" w:rsidRPr="00471AB3">
        <w:rPr>
          <w:color w:val="000000"/>
          <w:sz w:val="22"/>
          <w:szCs w:val="22"/>
        </w:rPr>
        <w:t>may be renewed even if the agreement would violate the media ownership limit</w:t>
      </w:r>
      <w:r w:rsidR="00DA1B4D" w:rsidRPr="00471AB3">
        <w:rPr>
          <w:color w:val="000000"/>
          <w:sz w:val="22"/>
          <w:szCs w:val="22"/>
        </w:rPr>
        <w:t>s</w:t>
      </w:r>
      <w:r w:rsidR="00643A1B" w:rsidRPr="00471AB3">
        <w:rPr>
          <w:color w:val="000000"/>
          <w:sz w:val="22"/>
          <w:szCs w:val="22"/>
        </w:rPr>
        <w:t>, provided that</w:t>
      </w:r>
      <w:r w:rsidR="00643A1B" w:rsidRPr="00471AB3">
        <w:rPr>
          <w:i/>
          <w:color w:val="000000"/>
          <w:sz w:val="22"/>
          <w:szCs w:val="22"/>
        </w:rPr>
        <w:t xml:space="preserve"> </w:t>
      </w:r>
      <w:r w:rsidR="00643A1B" w:rsidRPr="00471AB3">
        <w:rPr>
          <w:color w:val="000000"/>
          <w:sz w:val="22"/>
          <w:szCs w:val="22"/>
        </w:rPr>
        <w:t>the renewal term do</w:t>
      </w:r>
      <w:r w:rsidR="002727B7" w:rsidRPr="00471AB3">
        <w:rPr>
          <w:color w:val="000000"/>
          <w:sz w:val="22"/>
          <w:szCs w:val="22"/>
        </w:rPr>
        <w:t xml:space="preserve">es not extend beyond </w:t>
      </w:r>
      <w:r w:rsidR="00786385" w:rsidRPr="00471AB3">
        <w:rPr>
          <w:color w:val="000000"/>
          <w:sz w:val="22"/>
          <w:szCs w:val="22"/>
        </w:rPr>
        <w:t>June 19</w:t>
      </w:r>
      <w:r w:rsidR="002727B7" w:rsidRPr="00471AB3">
        <w:rPr>
          <w:color w:val="000000"/>
          <w:sz w:val="22"/>
          <w:szCs w:val="22"/>
        </w:rPr>
        <w:t>, 2016</w:t>
      </w:r>
      <w:r w:rsidR="00643A1B" w:rsidRPr="00471AB3">
        <w:rPr>
          <w:color w:val="000000"/>
          <w:sz w:val="22"/>
          <w:szCs w:val="22"/>
        </w:rPr>
        <w:t>.</w:t>
      </w:r>
      <w:r w:rsidR="00643A1B">
        <w:rPr>
          <w:color w:val="000000"/>
          <w:sz w:val="22"/>
          <w:szCs w:val="22"/>
        </w:rPr>
        <w:t xml:space="preserve"> </w:t>
      </w:r>
      <w:r w:rsidR="005572B0">
        <w:rPr>
          <w:color w:val="000000"/>
          <w:sz w:val="22"/>
          <w:szCs w:val="22"/>
        </w:rPr>
        <w:t xml:space="preserve">  </w:t>
      </w:r>
    </w:p>
    <w:p w:rsidR="00CF3813" w:rsidRDefault="00CF3813" w:rsidP="00734391">
      <w:pPr>
        <w:pStyle w:val="ListParagraph"/>
        <w:ind w:left="0"/>
        <w:rPr>
          <w:color w:val="000000"/>
          <w:sz w:val="22"/>
          <w:szCs w:val="22"/>
        </w:rPr>
      </w:pPr>
    </w:p>
    <w:p w:rsidR="00CF3813" w:rsidRPr="00CF3813" w:rsidRDefault="00CF3813" w:rsidP="00CF3813">
      <w:pPr>
        <w:rPr>
          <w:sz w:val="22"/>
          <w:szCs w:val="22"/>
        </w:rPr>
      </w:pPr>
      <w:r w:rsidRPr="00CF3813">
        <w:rPr>
          <w:b/>
          <w:sz w:val="22"/>
          <w:u w:val="single"/>
        </w:rPr>
        <w:t>Update</w:t>
      </w:r>
      <w:r w:rsidRPr="00CF3813">
        <w:rPr>
          <w:b/>
          <w:sz w:val="22"/>
        </w:rPr>
        <w:t>:</w:t>
      </w:r>
      <w:r w:rsidRPr="00CF3813">
        <w:rPr>
          <w:sz w:val="22"/>
        </w:rPr>
        <w:t xml:space="preserve">  </w:t>
      </w:r>
      <w:r w:rsidRPr="00CF3813">
        <w:rPr>
          <w:sz w:val="22"/>
          <w:szCs w:val="22"/>
        </w:rPr>
        <w:t>The STELA Reauthorization Act of 2014 (“STELAR”) was enacted on December 4, 2014.  In STELAR, Congress provided that licensees with attributable television JSAs “shall not be considered to be in violation of the ownership limitations [in section 73.3555 of the Commission’s rules, 47 C.F.R. § 73.3555,] by reason of the application of the [attribution] rule” until six months after the end of the two-year compliance period adopted by the Commission.</w:t>
      </w:r>
      <w:r w:rsidRPr="00CF3813">
        <w:rPr>
          <w:sz w:val="22"/>
          <w:szCs w:val="22"/>
          <w:vertAlign w:val="superscript"/>
        </w:rPr>
        <w:footnoteReference w:id="2"/>
      </w:r>
      <w:r w:rsidRPr="00CF3813">
        <w:rPr>
          <w:sz w:val="22"/>
          <w:szCs w:val="22"/>
        </w:rPr>
        <w:t xml:space="preserve">  The six-month period ends on December 19, 2016.</w:t>
      </w:r>
    </w:p>
    <w:p w:rsidR="009F4AAB" w:rsidRPr="009F4AAB" w:rsidRDefault="009F4AAB" w:rsidP="009309BC">
      <w:pPr>
        <w:pStyle w:val="ListParagraph"/>
        <w:ind w:left="360"/>
        <w:rPr>
          <w:color w:val="000000"/>
          <w:sz w:val="22"/>
          <w:szCs w:val="22"/>
        </w:rPr>
      </w:pPr>
    </w:p>
    <w:p w:rsidR="00B747A3" w:rsidRDefault="003E6C1F" w:rsidP="009309BC">
      <w:pPr>
        <w:pStyle w:val="ListParagraph"/>
        <w:numPr>
          <w:ilvl w:val="1"/>
          <w:numId w:val="6"/>
        </w:numPr>
        <w:spacing w:after="120"/>
        <w:rPr>
          <w:b/>
          <w:color w:val="000000"/>
          <w:sz w:val="22"/>
          <w:szCs w:val="22"/>
        </w:rPr>
      </w:pPr>
      <w:r>
        <w:rPr>
          <w:b/>
          <w:color w:val="000000"/>
          <w:sz w:val="22"/>
          <w:szCs w:val="22"/>
        </w:rPr>
        <w:t>Filing of a</w:t>
      </w:r>
      <w:r w:rsidR="00B747A3">
        <w:rPr>
          <w:b/>
          <w:color w:val="000000"/>
          <w:sz w:val="22"/>
          <w:szCs w:val="22"/>
        </w:rPr>
        <w:t>ttributable television JSAs</w:t>
      </w:r>
    </w:p>
    <w:p w:rsidR="00F56E2D" w:rsidRDefault="00F56E2D" w:rsidP="00734391">
      <w:pPr>
        <w:rPr>
          <w:color w:val="000000"/>
          <w:sz w:val="22"/>
          <w:szCs w:val="22"/>
        </w:rPr>
      </w:pPr>
      <w:r>
        <w:rPr>
          <w:color w:val="000000"/>
          <w:sz w:val="22"/>
          <w:szCs w:val="22"/>
        </w:rPr>
        <w:t>As discussed in greater detail below, t</w:t>
      </w:r>
      <w:r w:rsidR="001157F7">
        <w:rPr>
          <w:color w:val="000000"/>
          <w:sz w:val="22"/>
          <w:szCs w:val="22"/>
        </w:rPr>
        <w:t xml:space="preserve">he </w:t>
      </w:r>
      <w:r w:rsidR="001157F7">
        <w:rPr>
          <w:i/>
          <w:color w:val="000000"/>
          <w:sz w:val="22"/>
          <w:szCs w:val="22"/>
        </w:rPr>
        <w:t xml:space="preserve">Report and Order </w:t>
      </w:r>
      <w:r w:rsidR="001157F7">
        <w:rPr>
          <w:color w:val="000000"/>
          <w:sz w:val="22"/>
          <w:szCs w:val="22"/>
        </w:rPr>
        <w:t>requires that all attributable television JSAs be filed with the Commission.  This filing requirement bec</w:t>
      </w:r>
      <w:r w:rsidR="004A4449">
        <w:rPr>
          <w:color w:val="000000"/>
          <w:sz w:val="22"/>
          <w:szCs w:val="22"/>
        </w:rPr>
        <w:t>a</w:t>
      </w:r>
      <w:r w:rsidR="001157F7">
        <w:rPr>
          <w:color w:val="000000"/>
          <w:sz w:val="22"/>
          <w:szCs w:val="22"/>
        </w:rPr>
        <w:t>me</w:t>
      </w:r>
      <w:r w:rsidR="002141DD">
        <w:rPr>
          <w:color w:val="000000"/>
          <w:sz w:val="22"/>
          <w:szCs w:val="22"/>
        </w:rPr>
        <w:t xml:space="preserve"> effective on October 28, 2014</w:t>
      </w:r>
      <w:r w:rsidR="001157F7">
        <w:rPr>
          <w:color w:val="000000"/>
          <w:sz w:val="22"/>
          <w:szCs w:val="22"/>
        </w:rPr>
        <w:t>.</w:t>
      </w:r>
      <w:r>
        <w:rPr>
          <w:color w:val="000000"/>
          <w:sz w:val="22"/>
          <w:szCs w:val="22"/>
        </w:rPr>
        <w:t xml:space="preserve">  The filing deadline for</w:t>
      </w:r>
      <w:r w:rsidR="006F4A3B">
        <w:rPr>
          <w:color w:val="000000"/>
          <w:sz w:val="22"/>
          <w:szCs w:val="22"/>
        </w:rPr>
        <w:t xml:space="preserve"> </w:t>
      </w:r>
      <w:r>
        <w:rPr>
          <w:color w:val="000000"/>
          <w:sz w:val="22"/>
          <w:szCs w:val="22"/>
        </w:rPr>
        <w:t>attributable television JSAs is as follows:</w:t>
      </w:r>
      <w:r w:rsidR="001157F7">
        <w:rPr>
          <w:color w:val="000000"/>
          <w:sz w:val="22"/>
          <w:szCs w:val="22"/>
        </w:rPr>
        <w:t xml:space="preserve">  </w:t>
      </w:r>
    </w:p>
    <w:p w:rsidR="00F56E2D" w:rsidRDefault="00F56E2D" w:rsidP="009445AF">
      <w:pPr>
        <w:rPr>
          <w:color w:val="000000"/>
          <w:sz w:val="22"/>
          <w:szCs w:val="22"/>
        </w:rPr>
      </w:pPr>
    </w:p>
    <w:p w:rsidR="00F56E2D" w:rsidRDefault="00F56E2D" w:rsidP="00F56E2D">
      <w:pPr>
        <w:pStyle w:val="ListParagraph"/>
        <w:numPr>
          <w:ilvl w:val="0"/>
          <w:numId w:val="16"/>
        </w:numPr>
        <w:rPr>
          <w:color w:val="000000"/>
          <w:sz w:val="22"/>
          <w:szCs w:val="22"/>
        </w:rPr>
      </w:pPr>
      <w:r w:rsidRPr="00F56E2D">
        <w:rPr>
          <w:b/>
          <w:color w:val="000000"/>
          <w:sz w:val="22"/>
          <w:szCs w:val="22"/>
        </w:rPr>
        <w:t>Attributable television JSAs</w:t>
      </w:r>
      <w:r w:rsidR="002141DD">
        <w:rPr>
          <w:b/>
          <w:color w:val="000000"/>
          <w:sz w:val="22"/>
          <w:szCs w:val="22"/>
        </w:rPr>
        <w:t xml:space="preserve"> entered into </w:t>
      </w:r>
      <w:r w:rsidR="00D708E7">
        <w:rPr>
          <w:b/>
          <w:color w:val="000000"/>
          <w:sz w:val="22"/>
          <w:szCs w:val="22"/>
        </w:rPr>
        <w:t xml:space="preserve">on or </w:t>
      </w:r>
      <w:r w:rsidR="002141DD">
        <w:rPr>
          <w:b/>
          <w:color w:val="000000"/>
          <w:sz w:val="22"/>
          <w:szCs w:val="22"/>
        </w:rPr>
        <w:t>before October 28</w:t>
      </w:r>
      <w:r w:rsidRPr="00F56E2D">
        <w:rPr>
          <w:b/>
          <w:color w:val="000000"/>
          <w:sz w:val="22"/>
          <w:szCs w:val="22"/>
        </w:rPr>
        <w:t>, 2014</w:t>
      </w:r>
      <w:r>
        <w:rPr>
          <w:color w:val="000000"/>
          <w:sz w:val="22"/>
          <w:szCs w:val="22"/>
        </w:rPr>
        <w:t xml:space="preserve">:  </w:t>
      </w:r>
      <w:r w:rsidR="0087133B">
        <w:rPr>
          <w:color w:val="000000"/>
          <w:sz w:val="22"/>
          <w:szCs w:val="22"/>
        </w:rPr>
        <w:t xml:space="preserve">The licensee of the brokering station must file the agreement </w:t>
      </w:r>
      <w:r>
        <w:rPr>
          <w:color w:val="000000"/>
          <w:sz w:val="22"/>
          <w:szCs w:val="22"/>
        </w:rPr>
        <w:t xml:space="preserve">with the Commission no later than </w:t>
      </w:r>
      <w:r w:rsidR="002141DD">
        <w:rPr>
          <w:b/>
          <w:color w:val="000000"/>
          <w:sz w:val="22"/>
          <w:szCs w:val="22"/>
        </w:rPr>
        <w:t>November 28, 2014</w:t>
      </w:r>
      <w:r>
        <w:rPr>
          <w:color w:val="000000"/>
          <w:sz w:val="22"/>
          <w:szCs w:val="22"/>
        </w:rPr>
        <w:t xml:space="preserve">.  </w:t>
      </w:r>
    </w:p>
    <w:p w:rsidR="00F56E2D" w:rsidRDefault="00F56E2D" w:rsidP="00F56E2D">
      <w:pPr>
        <w:pStyle w:val="ListParagraph"/>
        <w:rPr>
          <w:color w:val="000000"/>
          <w:sz w:val="22"/>
          <w:szCs w:val="22"/>
        </w:rPr>
      </w:pPr>
    </w:p>
    <w:p w:rsidR="00F56E2D" w:rsidRDefault="00F56E2D" w:rsidP="00F56E2D">
      <w:pPr>
        <w:pStyle w:val="ListParagraph"/>
        <w:numPr>
          <w:ilvl w:val="0"/>
          <w:numId w:val="16"/>
        </w:numPr>
        <w:rPr>
          <w:color w:val="000000"/>
          <w:sz w:val="22"/>
          <w:szCs w:val="22"/>
        </w:rPr>
      </w:pPr>
      <w:r w:rsidRPr="00F56E2D">
        <w:rPr>
          <w:b/>
          <w:color w:val="000000"/>
          <w:sz w:val="22"/>
          <w:szCs w:val="22"/>
        </w:rPr>
        <w:t xml:space="preserve">Attributable television JSAs entered into </w:t>
      </w:r>
      <w:r>
        <w:rPr>
          <w:b/>
          <w:color w:val="000000"/>
          <w:sz w:val="22"/>
          <w:szCs w:val="22"/>
        </w:rPr>
        <w:t>after</w:t>
      </w:r>
      <w:r w:rsidR="002141DD">
        <w:rPr>
          <w:b/>
          <w:color w:val="000000"/>
          <w:sz w:val="22"/>
          <w:szCs w:val="22"/>
        </w:rPr>
        <w:t xml:space="preserve"> October 28,</w:t>
      </w:r>
      <w:r w:rsidRPr="00F56E2D">
        <w:rPr>
          <w:b/>
          <w:color w:val="000000"/>
          <w:sz w:val="22"/>
          <w:szCs w:val="22"/>
        </w:rPr>
        <w:t xml:space="preserve"> 2014</w:t>
      </w:r>
      <w:r>
        <w:rPr>
          <w:color w:val="000000"/>
          <w:sz w:val="22"/>
          <w:szCs w:val="22"/>
        </w:rPr>
        <w:t xml:space="preserve">:  </w:t>
      </w:r>
      <w:r w:rsidR="0087133B">
        <w:rPr>
          <w:color w:val="000000"/>
          <w:sz w:val="22"/>
          <w:szCs w:val="22"/>
        </w:rPr>
        <w:t xml:space="preserve">The licensee of the brokering station must file the agreement </w:t>
      </w:r>
      <w:r>
        <w:rPr>
          <w:color w:val="000000"/>
          <w:sz w:val="22"/>
          <w:szCs w:val="22"/>
        </w:rPr>
        <w:t xml:space="preserve">with the Commission no later than </w:t>
      </w:r>
      <w:r w:rsidRPr="002141DD">
        <w:rPr>
          <w:b/>
          <w:color w:val="000000"/>
          <w:sz w:val="22"/>
          <w:szCs w:val="22"/>
        </w:rPr>
        <w:t>30 days</w:t>
      </w:r>
      <w:r>
        <w:rPr>
          <w:color w:val="000000"/>
          <w:sz w:val="22"/>
          <w:szCs w:val="22"/>
        </w:rPr>
        <w:t xml:space="preserve"> after the agreement is executed.  </w:t>
      </w:r>
    </w:p>
    <w:p w:rsidR="00F56E2D" w:rsidRPr="00F56E2D" w:rsidRDefault="00F56E2D" w:rsidP="00F56E2D">
      <w:pPr>
        <w:ind w:left="360"/>
        <w:rPr>
          <w:color w:val="000000"/>
          <w:sz w:val="22"/>
          <w:szCs w:val="22"/>
        </w:rPr>
      </w:pPr>
    </w:p>
    <w:p w:rsidR="009445AF" w:rsidRDefault="006B1DC0" w:rsidP="009C00B3">
      <w:pPr>
        <w:keepNext/>
        <w:keepLines/>
        <w:pageBreakBefore/>
        <w:ind w:left="360"/>
        <w:rPr>
          <w:color w:val="000000"/>
          <w:sz w:val="22"/>
          <w:szCs w:val="22"/>
        </w:rPr>
      </w:pPr>
      <w:r>
        <w:rPr>
          <w:color w:val="000000"/>
          <w:sz w:val="22"/>
          <w:szCs w:val="22"/>
        </w:rPr>
        <w:lastRenderedPageBreak/>
        <w:t xml:space="preserve">Each </w:t>
      </w:r>
      <w:r w:rsidR="008869A1">
        <w:rPr>
          <w:color w:val="000000"/>
          <w:sz w:val="22"/>
          <w:szCs w:val="22"/>
        </w:rPr>
        <w:t xml:space="preserve">party </w:t>
      </w:r>
      <w:r>
        <w:rPr>
          <w:color w:val="000000"/>
          <w:sz w:val="22"/>
          <w:szCs w:val="22"/>
        </w:rPr>
        <w:t>that must file an attributable television JSA must provide an original and one copy, which can be delivered to the Commission in the following ways:</w:t>
      </w:r>
    </w:p>
    <w:p w:rsidR="006B1DC0" w:rsidRDefault="006B1DC0" w:rsidP="009445AF">
      <w:pPr>
        <w:rPr>
          <w:color w:val="000000"/>
          <w:sz w:val="22"/>
          <w:szCs w:val="22"/>
        </w:rPr>
      </w:pPr>
    </w:p>
    <w:p w:rsidR="006B1DC0" w:rsidRPr="006B1DC0" w:rsidRDefault="006B1DC0" w:rsidP="009C00B3">
      <w:pPr>
        <w:pStyle w:val="ListParagraph"/>
        <w:keepNext/>
        <w:keepLines/>
        <w:numPr>
          <w:ilvl w:val="0"/>
          <w:numId w:val="17"/>
        </w:numPr>
        <w:rPr>
          <w:b/>
          <w:sz w:val="22"/>
          <w:szCs w:val="22"/>
        </w:rPr>
      </w:pPr>
      <w:r w:rsidRPr="006B1DC0">
        <w:rPr>
          <w:b/>
          <w:sz w:val="22"/>
          <w:szCs w:val="22"/>
        </w:rPr>
        <w:t xml:space="preserve">Hand or </w:t>
      </w:r>
      <w:r w:rsidR="008869A1">
        <w:rPr>
          <w:b/>
          <w:sz w:val="22"/>
          <w:szCs w:val="22"/>
        </w:rPr>
        <w:t>m</w:t>
      </w:r>
      <w:r w:rsidRPr="006B1DC0">
        <w:rPr>
          <w:b/>
          <w:sz w:val="22"/>
          <w:szCs w:val="22"/>
        </w:rPr>
        <w:t>essenger</w:t>
      </w:r>
      <w:r w:rsidR="008869A1">
        <w:rPr>
          <w:b/>
          <w:sz w:val="22"/>
          <w:szCs w:val="22"/>
        </w:rPr>
        <w:t>-d</w:t>
      </w:r>
      <w:r w:rsidRPr="006B1DC0">
        <w:rPr>
          <w:b/>
          <w:sz w:val="22"/>
          <w:szCs w:val="22"/>
        </w:rPr>
        <w:t xml:space="preserve">elivered </w:t>
      </w:r>
      <w:r w:rsidR="008869A1">
        <w:rPr>
          <w:b/>
          <w:sz w:val="22"/>
          <w:szCs w:val="22"/>
        </w:rPr>
        <w:t xml:space="preserve">mail </w:t>
      </w:r>
      <w:r w:rsidRPr="006B1DC0">
        <w:rPr>
          <w:b/>
          <w:sz w:val="22"/>
          <w:szCs w:val="22"/>
        </w:rPr>
        <w:t>accepted between 8:00 a.m. to 7:00 p.m. only</w:t>
      </w:r>
      <w:r w:rsidRPr="006B1DC0">
        <w:rPr>
          <w:sz w:val="22"/>
          <w:szCs w:val="22"/>
        </w:rPr>
        <w:t>:</w:t>
      </w:r>
    </w:p>
    <w:p w:rsidR="006B1DC0" w:rsidRPr="006B1DC0" w:rsidRDefault="006B1DC0" w:rsidP="006B1DC0">
      <w:pPr>
        <w:ind w:left="720"/>
        <w:rPr>
          <w:sz w:val="22"/>
          <w:szCs w:val="22"/>
        </w:rPr>
      </w:pPr>
      <w:r w:rsidRPr="006B1DC0">
        <w:rPr>
          <w:sz w:val="22"/>
          <w:szCs w:val="22"/>
        </w:rPr>
        <w:t>Marlene H. Dortch, Secretary</w:t>
      </w:r>
    </w:p>
    <w:p w:rsidR="006B1DC0" w:rsidRPr="006B1DC0" w:rsidRDefault="006B1DC0" w:rsidP="006B1DC0">
      <w:pPr>
        <w:ind w:left="720"/>
        <w:rPr>
          <w:sz w:val="22"/>
          <w:szCs w:val="22"/>
        </w:rPr>
      </w:pPr>
      <w:r w:rsidRPr="006B1DC0">
        <w:rPr>
          <w:sz w:val="22"/>
          <w:szCs w:val="22"/>
        </w:rPr>
        <w:t>Federal Communications Commission</w:t>
      </w:r>
    </w:p>
    <w:p w:rsidR="006B1DC0" w:rsidRPr="006B1DC0" w:rsidRDefault="006B1DC0" w:rsidP="006B1DC0">
      <w:pPr>
        <w:ind w:left="720"/>
        <w:rPr>
          <w:sz w:val="22"/>
          <w:szCs w:val="22"/>
        </w:rPr>
      </w:pPr>
      <w:r w:rsidRPr="006B1DC0">
        <w:rPr>
          <w:sz w:val="22"/>
          <w:szCs w:val="22"/>
        </w:rPr>
        <w:t>Office of the Secretary</w:t>
      </w:r>
    </w:p>
    <w:p w:rsidR="006B1DC0" w:rsidRPr="006B1DC0" w:rsidRDefault="006B1DC0" w:rsidP="006B1DC0">
      <w:pPr>
        <w:ind w:left="720"/>
        <w:rPr>
          <w:sz w:val="22"/>
          <w:szCs w:val="22"/>
        </w:rPr>
      </w:pPr>
      <w:r>
        <w:rPr>
          <w:sz w:val="22"/>
          <w:szCs w:val="22"/>
        </w:rPr>
        <w:t>445 12th Street, SW</w:t>
      </w:r>
    </w:p>
    <w:p w:rsidR="006B1DC0" w:rsidRPr="006B1DC0" w:rsidRDefault="006B1DC0" w:rsidP="006B1DC0">
      <w:pPr>
        <w:ind w:left="720"/>
        <w:rPr>
          <w:sz w:val="22"/>
          <w:szCs w:val="22"/>
        </w:rPr>
      </w:pPr>
      <w:r w:rsidRPr="006B1DC0">
        <w:rPr>
          <w:sz w:val="22"/>
          <w:szCs w:val="22"/>
        </w:rPr>
        <w:t>Room TW-A325</w:t>
      </w:r>
    </w:p>
    <w:p w:rsidR="006B1DC0" w:rsidRPr="006B1DC0" w:rsidRDefault="006B1DC0" w:rsidP="006B1DC0">
      <w:pPr>
        <w:ind w:left="720"/>
        <w:rPr>
          <w:sz w:val="22"/>
          <w:szCs w:val="22"/>
        </w:rPr>
      </w:pPr>
      <w:r w:rsidRPr="006B1DC0">
        <w:rPr>
          <w:sz w:val="22"/>
          <w:szCs w:val="22"/>
        </w:rPr>
        <w:t>Washington, DC 20554</w:t>
      </w:r>
    </w:p>
    <w:p w:rsidR="006B1DC0" w:rsidRPr="006B1DC0" w:rsidRDefault="006B1DC0" w:rsidP="006B1DC0">
      <w:pPr>
        <w:rPr>
          <w:sz w:val="22"/>
          <w:szCs w:val="22"/>
        </w:rPr>
      </w:pPr>
      <w:r w:rsidRPr="006B1DC0">
        <w:rPr>
          <w:sz w:val="22"/>
          <w:szCs w:val="22"/>
        </w:rPr>
        <w:t> </w:t>
      </w:r>
    </w:p>
    <w:p w:rsidR="006B1DC0" w:rsidRPr="006B1DC0" w:rsidRDefault="006B1DC0" w:rsidP="001403F4">
      <w:pPr>
        <w:pStyle w:val="ListParagraph"/>
        <w:keepNext/>
        <w:numPr>
          <w:ilvl w:val="0"/>
          <w:numId w:val="17"/>
        </w:numPr>
        <w:rPr>
          <w:b/>
          <w:sz w:val="22"/>
          <w:szCs w:val="22"/>
        </w:rPr>
      </w:pPr>
      <w:r w:rsidRPr="006B1DC0">
        <w:rPr>
          <w:b/>
          <w:sz w:val="22"/>
          <w:szCs w:val="22"/>
        </w:rPr>
        <w:t>Commercial overnight mail, EXCEPT United States Postal Service</w:t>
      </w:r>
      <w:r w:rsidRPr="006B1DC0">
        <w:rPr>
          <w:sz w:val="22"/>
          <w:szCs w:val="22"/>
        </w:rPr>
        <w:t>:</w:t>
      </w:r>
    </w:p>
    <w:p w:rsidR="006B1DC0" w:rsidRPr="006B1DC0" w:rsidRDefault="006B1DC0" w:rsidP="006B1DC0">
      <w:pPr>
        <w:ind w:left="720"/>
        <w:rPr>
          <w:sz w:val="22"/>
          <w:szCs w:val="22"/>
        </w:rPr>
      </w:pPr>
      <w:r w:rsidRPr="006B1DC0">
        <w:rPr>
          <w:sz w:val="22"/>
          <w:szCs w:val="22"/>
        </w:rPr>
        <w:t>Marlene H. Dortch, Secretary</w:t>
      </w:r>
    </w:p>
    <w:p w:rsidR="006B1DC0" w:rsidRPr="006B1DC0" w:rsidRDefault="006B1DC0" w:rsidP="006B1DC0">
      <w:pPr>
        <w:ind w:left="720"/>
        <w:rPr>
          <w:sz w:val="22"/>
          <w:szCs w:val="22"/>
        </w:rPr>
      </w:pPr>
      <w:r w:rsidRPr="006B1DC0">
        <w:rPr>
          <w:sz w:val="22"/>
          <w:szCs w:val="22"/>
        </w:rPr>
        <w:t>Federal Communications Commission</w:t>
      </w:r>
    </w:p>
    <w:p w:rsidR="006B1DC0" w:rsidRPr="006B1DC0" w:rsidRDefault="006B1DC0" w:rsidP="006B1DC0">
      <w:pPr>
        <w:ind w:left="720"/>
        <w:rPr>
          <w:sz w:val="22"/>
          <w:szCs w:val="22"/>
        </w:rPr>
      </w:pPr>
      <w:r w:rsidRPr="006B1DC0">
        <w:rPr>
          <w:sz w:val="22"/>
          <w:szCs w:val="22"/>
        </w:rPr>
        <w:t>Office of the Secretary</w:t>
      </w:r>
    </w:p>
    <w:p w:rsidR="006B1DC0" w:rsidRPr="006B1DC0" w:rsidRDefault="006B1DC0" w:rsidP="006B1DC0">
      <w:pPr>
        <w:ind w:left="720"/>
        <w:rPr>
          <w:sz w:val="22"/>
          <w:szCs w:val="22"/>
        </w:rPr>
      </w:pPr>
      <w:r w:rsidRPr="006B1DC0">
        <w:rPr>
          <w:sz w:val="22"/>
          <w:szCs w:val="22"/>
        </w:rPr>
        <w:t>9300 East Hampton Drive</w:t>
      </w:r>
    </w:p>
    <w:p w:rsidR="006B1DC0" w:rsidRPr="006B1DC0" w:rsidRDefault="006B1DC0" w:rsidP="006B1DC0">
      <w:pPr>
        <w:ind w:left="720"/>
        <w:rPr>
          <w:sz w:val="22"/>
          <w:szCs w:val="22"/>
        </w:rPr>
      </w:pPr>
      <w:r w:rsidRPr="006B1DC0">
        <w:rPr>
          <w:sz w:val="22"/>
          <w:szCs w:val="22"/>
        </w:rPr>
        <w:t>Capitol Heights, MD 20743</w:t>
      </w:r>
    </w:p>
    <w:p w:rsidR="006B1DC0" w:rsidRPr="006B1DC0" w:rsidRDefault="006B1DC0" w:rsidP="006B1DC0">
      <w:pPr>
        <w:rPr>
          <w:sz w:val="22"/>
          <w:szCs w:val="22"/>
        </w:rPr>
      </w:pPr>
      <w:r w:rsidRPr="006B1DC0">
        <w:rPr>
          <w:sz w:val="22"/>
          <w:szCs w:val="22"/>
        </w:rPr>
        <w:t> </w:t>
      </w:r>
    </w:p>
    <w:p w:rsidR="006B1DC0" w:rsidRPr="006B1DC0" w:rsidRDefault="006B1DC0" w:rsidP="007D3E1C">
      <w:pPr>
        <w:pStyle w:val="ListParagraph"/>
        <w:keepNext/>
        <w:keepLines/>
        <w:numPr>
          <w:ilvl w:val="0"/>
          <w:numId w:val="17"/>
        </w:numPr>
        <w:rPr>
          <w:b/>
          <w:sz w:val="22"/>
          <w:szCs w:val="22"/>
        </w:rPr>
      </w:pPr>
      <w:r w:rsidRPr="006B1DC0">
        <w:rPr>
          <w:b/>
          <w:sz w:val="22"/>
          <w:szCs w:val="22"/>
        </w:rPr>
        <w:t>All other mail, INCLUDING United States Postal Service Express Mail, Priority Mail, and First Class Mail</w:t>
      </w:r>
      <w:r>
        <w:rPr>
          <w:sz w:val="22"/>
          <w:szCs w:val="22"/>
        </w:rPr>
        <w:t>:</w:t>
      </w:r>
    </w:p>
    <w:p w:rsidR="006B1DC0" w:rsidRPr="006B1DC0" w:rsidRDefault="006B1DC0" w:rsidP="007D3E1C">
      <w:pPr>
        <w:keepNext/>
        <w:keepLines/>
        <w:ind w:left="720"/>
        <w:rPr>
          <w:sz w:val="22"/>
          <w:szCs w:val="22"/>
        </w:rPr>
      </w:pPr>
      <w:r w:rsidRPr="006B1DC0">
        <w:rPr>
          <w:sz w:val="22"/>
          <w:szCs w:val="22"/>
        </w:rPr>
        <w:t>Marlene H. Dortch, Secretary</w:t>
      </w:r>
    </w:p>
    <w:p w:rsidR="006B1DC0" w:rsidRPr="006B1DC0" w:rsidRDefault="006B1DC0" w:rsidP="007D3E1C">
      <w:pPr>
        <w:keepNext/>
        <w:keepLines/>
        <w:ind w:left="720"/>
        <w:rPr>
          <w:sz w:val="22"/>
          <w:szCs w:val="22"/>
        </w:rPr>
      </w:pPr>
      <w:r w:rsidRPr="006B1DC0">
        <w:rPr>
          <w:sz w:val="22"/>
          <w:szCs w:val="22"/>
        </w:rPr>
        <w:t>Federal Communications Commission</w:t>
      </w:r>
    </w:p>
    <w:p w:rsidR="006B1DC0" w:rsidRPr="006B1DC0" w:rsidRDefault="006B1DC0" w:rsidP="007D3E1C">
      <w:pPr>
        <w:keepNext/>
        <w:keepLines/>
        <w:ind w:left="720"/>
        <w:rPr>
          <w:sz w:val="22"/>
          <w:szCs w:val="22"/>
        </w:rPr>
      </w:pPr>
      <w:r w:rsidRPr="006B1DC0">
        <w:rPr>
          <w:sz w:val="22"/>
          <w:szCs w:val="22"/>
        </w:rPr>
        <w:t>Office of the Secretary</w:t>
      </w:r>
    </w:p>
    <w:p w:rsidR="006B1DC0" w:rsidRPr="006B1DC0" w:rsidRDefault="006B1DC0" w:rsidP="007D3E1C">
      <w:pPr>
        <w:keepNext/>
        <w:keepLines/>
        <w:ind w:left="720"/>
        <w:rPr>
          <w:sz w:val="22"/>
          <w:szCs w:val="22"/>
        </w:rPr>
      </w:pPr>
      <w:r w:rsidRPr="006B1DC0">
        <w:rPr>
          <w:sz w:val="22"/>
          <w:szCs w:val="22"/>
        </w:rPr>
        <w:t>445 12th Street, SW</w:t>
      </w:r>
    </w:p>
    <w:p w:rsidR="006B1DC0" w:rsidRPr="006B1DC0" w:rsidRDefault="006B1DC0" w:rsidP="007D3E1C">
      <w:pPr>
        <w:keepNext/>
        <w:keepLines/>
        <w:ind w:left="720"/>
        <w:rPr>
          <w:sz w:val="22"/>
          <w:szCs w:val="22"/>
        </w:rPr>
      </w:pPr>
      <w:r w:rsidRPr="006B1DC0">
        <w:rPr>
          <w:sz w:val="22"/>
          <w:szCs w:val="22"/>
        </w:rPr>
        <w:t>Washington, DC 20554</w:t>
      </w:r>
    </w:p>
    <w:p w:rsidR="006B1DC0" w:rsidRDefault="006B1DC0" w:rsidP="009445AF">
      <w:pPr>
        <w:rPr>
          <w:color w:val="000000"/>
          <w:sz w:val="22"/>
          <w:szCs w:val="22"/>
        </w:rPr>
      </w:pPr>
    </w:p>
    <w:p w:rsidR="006B1DC0" w:rsidRPr="006B1DC0" w:rsidRDefault="006B1DC0" w:rsidP="007D3E1C">
      <w:pPr>
        <w:spacing w:after="240"/>
        <w:rPr>
          <w:color w:val="000000"/>
          <w:sz w:val="22"/>
          <w:szCs w:val="22"/>
        </w:rPr>
      </w:pPr>
      <w:r>
        <w:rPr>
          <w:color w:val="000000"/>
          <w:sz w:val="22"/>
          <w:szCs w:val="22"/>
        </w:rPr>
        <w:t>Additional information on how to file a paper document with</w:t>
      </w:r>
      <w:r w:rsidR="005E36BE">
        <w:rPr>
          <w:color w:val="000000"/>
          <w:sz w:val="22"/>
          <w:szCs w:val="22"/>
        </w:rPr>
        <w:t xml:space="preserve"> the</w:t>
      </w:r>
      <w:r>
        <w:rPr>
          <w:color w:val="000000"/>
          <w:sz w:val="22"/>
          <w:szCs w:val="22"/>
        </w:rPr>
        <w:t xml:space="preserve"> Commission can be found at:  </w:t>
      </w:r>
      <w:hyperlink r:id="rId8" w:history="1">
        <w:r w:rsidRPr="002E0432">
          <w:rPr>
            <w:rStyle w:val="Hyperlink"/>
            <w:sz w:val="22"/>
            <w:szCs w:val="22"/>
          </w:rPr>
          <w:t>http://www.fcc.gov/guides/how-file-paper-documents-fcc</w:t>
        </w:r>
      </w:hyperlink>
      <w:r>
        <w:rPr>
          <w:color w:val="000000"/>
          <w:sz w:val="22"/>
          <w:szCs w:val="22"/>
        </w:rPr>
        <w:t xml:space="preserve">.     </w:t>
      </w:r>
    </w:p>
    <w:p w:rsidR="00B747A3" w:rsidRPr="00B747A3" w:rsidRDefault="00226499" w:rsidP="009309BC">
      <w:pPr>
        <w:pStyle w:val="ListParagraph"/>
        <w:numPr>
          <w:ilvl w:val="1"/>
          <w:numId w:val="6"/>
        </w:numPr>
        <w:spacing w:after="120"/>
        <w:rPr>
          <w:b/>
          <w:color w:val="000000"/>
          <w:sz w:val="22"/>
          <w:szCs w:val="22"/>
        </w:rPr>
      </w:pPr>
      <w:r>
        <w:rPr>
          <w:b/>
          <w:color w:val="000000"/>
          <w:sz w:val="22"/>
          <w:szCs w:val="22"/>
        </w:rPr>
        <w:t>D</w:t>
      </w:r>
      <w:r w:rsidR="00B747A3">
        <w:rPr>
          <w:b/>
          <w:color w:val="000000"/>
          <w:sz w:val="22"/>
          <w:szCs w:val="22"/>
        </w:rPr>
        <w:t xml:space="preserve">isclosure of television JSAs </w:t>
      </w:r>
      <w:r w:rsidR="00DF28C6">
        <w:rPr>
          <w:b/>
          <w:color w:val="000000"/>
          <w:sz w:val="22"/>
          <w:szCs w:val="22"/>
        </w:rPr>
        <w:t>on</w:t>
      </w:r>
      <w:r w:rsidR="00B747A3">
        <w:rPr>
          <w:b/>
          <w:color w:val="000000"/>
          <w:sz w:val="22"/>
          <w:szCs w:val="22"/>
        </w:rPr>
        <w:t xml:space="preserve"> FCC Forms</w:t>
      </w:r>
    </w:p>
    <w:p w:rsidR="00DB6F3B" w:rsidRPr="001408E0" w:rsidRDefault="002727B7" w:rsidP="00734391">
      <w:pPr>
        <w:rPr>
          <w:color w:val="000000"/>
          <w:sz w:val="22"/>
          <w:szCs w:val="22"/>
        </w:rPr>
      </w:pPr>
      <w:r>
        <w:rPr>
          <w:color w:val="000000"/>
          <w:sz w:val="22"/>
          <w:szCs w:val="22"/>
        </w:rPr>
        <w:t>Previously</w:t>
      </w:r>
      <w:r w:rsidR="00F5238D">
        <w:rPr>
          <w:color w:val="000000"/>
          <w:sz w:val="22"/>
          <w:szCs w:val="22"/>
        </w:rPr>
        <w:t>, various FCC Forms</w:t>
      </w:r>
      <w:r w:rsidR="001408E0">
        <w:rPr>
          <w:color w:val="000000"/>
          <w:sz w:val="22"/>
          <w:szCs w:val="22"/>
        </w:rPr>
        <w:t>—listed below—contain</w:t>
      </w:r>
      <w:r>
        <w:rPr>
          <w:color w:val="000000"/>
          <w:sz w:val="22"/>
          <w:szCs w:val="22"/>
        </w:rPr>
        <w:t>ed</w:t>
      </w:r>
      <w:r w:rsidR="00F5238D">
        <w:rPr>
          <w:color w:val="000000"/>
          <w:sz w:val="22"/>
          <w:szCs w:val="22"/>
        </w:rPr>
        <w:t xml:space="preserve"> questions regarding </w:t>
      </w:r>
      <w:r w:rsidR="00F5238D" w:rsidRPr="001408E0">
        <w:rPr>
          <w:color w:val="000000"/>
          <w:sz w:val="22"/>
          <w:szCs w:val="22"/>
        </w:rPr>
        <w:t>attributable radio JSAs and attributable radio or television time brokerage agreements (also referred to as local marketing agreements).  These questions now include attributable television JSAs.  Any entity that is required to answer such a question sho</w:t>
      </w:r>
      <w:r w:rsidR="001408E0">
        <w:rPr>
          <w:color w:val="000000"/>
          <w:sz w:val="22"/>
          <w:szCs w:val="22"/>
        </w:rPr>
        <w:t xml:space="preserve">uld consult the form’s instructions for guidance </w:t>
      </w:r>
      <w:r w:rsidR="00F5238D" w:rsidRPr="001408E0">
        <w:rPr>
          <w:color w:val="000000"/>
          <w:sz w:val="22"/>
          <w:szCs w:val="22"/>
        </w:rPr>
        <w:t xml:space="preserve">on responding to the question. </w:t>
      </w:r>
    </w:p>
    <w:p w:rsidR="00F5238D" w:rsidRPr="001408E0" w:rsidRDefault="00F5238D" w:rsidP="00DB6F3B">
      <w:pPr>
        <w:rPr>
          <w:color w:val="000000"/>
          <w:sz w:val="22"/>
          <w:szCs w:val="22"/>
        </w:rPr>
      </w:pPr>
    </w:p>
    <w:p w:rsidR="001408E0" w:rsidRPr="001408E0" w:rsidRDefault="001408E0" w:rsidP="001408E0">
      <w:pPr>
        <w:pStyle w:val="ListParagraph"/>
        <w:numPr>
          <w:ilvl w:val="0"/>
          <w:numId w:val="17"/>
        </w:numPr>
        <w:rPr>
          <w:b/>
          <w:color w:val="000000"/>
          <w:sz w:val="22"/>
          <w:szCs w:val="22"/>
          <w:u w:val="single"/>
        </w:rPr>
      </w:pPr>
      <w:r w:rsidRPr="001408E0">
        <w:rPr>
          <w:sz w:val="22"/>
          <w:szCs w:val="22"/>
        </w:rPr>
        <w:t xml:space="preserve">FCC Form </w:t>
      </w:r>
      <w:r w:rsidR="00B8012C">
        <w:rPr>
          <w:sz w:val="22"/>
          <w:szCs w:val="22"/>
        </w:rPr>
        <w:t>2100</w:t>
      </w:r>
      <w:r w:rsidR="003B5FFC">
        <w:rPr>
          <w:sz w:val="22"/>
          <w:szCs w:val="22"/>
        </w:rPr>
        <w:t>, Schedule A</w:t>
      </w:r>
      <w:r w:rsidR="00B8012C">
        <w:rPr>
          <w:sz w:val="22"/>
          <w:szCs w:val="22"/>
        </w:rPr>
        <w:t xml:space="preserve"> (Formerly FCC Form </w:t>
      </w:r>
      <w:r w:rsidRPr="001408E0">
        <w:rPr>
          <w:sz w:val="22"/>
          <w:szCs w:val="22"/>
        </w:rPr>
        <w:t>301</w:t>
      </w:r>
      <w:r w:rsidR="00B8012C">
        <w:rPr>
          <w:sz w:val="22"/>
          <w:szCs w:val="22"/>
        </w:rPr>
        <w:t>)</w:t>
      </w:r>
      <w:r w:rsidRPr="001408E0">
        <w:rPr>
          <w:sz w:val="22"/>
          <w:szCs w:val="22"/>
        </w:rPr>
        <w:t>, Application for Construction Permit For Co</w:t>
      </w:r>
      <w:r>
        <w:rPr>
          <w:sz w:val="22"/>
          <w:szCs w:val="22"/>
        </w:rPr>
        <w:t xml:space="preserve">mmercial Broadcast Station; </w:t>
      </w:r>
    </w:p>
    <w:p w:rsidR="001408E0" w:rsidRPr="001408E0" w:rsidRDefault="001408E0" w:rsidP="001408E0">
      <w:pPr>
        <w:pStyle w:val="ListParagraph"/>
        <w:numPr>
          <w:ilvl w:val="0"/>
          <w:numId w:val="17"/>
        </w:numPr>
        <w:rPr>
          <w:b/>
          <w:color w:val="000000"/>
          <w:sz w:val="22"/>
          <w:szCs w:val="22"/>
          <w:u w:val="single"/>
        </w:rPr>
      </w:pPr>
      <w:r w:rsidRPr="001408E0">
        <w:rPr>
          <w:sz w:val="22"/>
          <w:szCs w:val="22"/>
        </w:rPr>
        <w:t>FCC Form 314, Application for Consent to Assignment of Broadcast Station Cons</w:t>
      </w:r>
      <w:r>
        <w:rPr>
          <w:sz w:val="22"/>
          <w:szCs w:val="22"/>
        </w:rPr>
        <w:t xml:space="preserve">truction Permit or License; </w:t>
      </w:r>
    </w:p>
    <w:p w:rsidR="001408E0" w:rsidRPr="001408E0" w:rsidRDefault="001408E0" w:rsidP="001408E0">
      <w:pPr>
        <w:pStyle w:val="ListParagraph"/>
        <w:numPr>
          <w:ilvl w:val="0"/>
          <w:numId w:val="17"/>
        </w:numPr>
        <w:rPr>
          <w:b/>
          <w:color w:val="000000"/>
          <w:sz w:val="22"/>
          <w:szCs w:val="22"/>
          <w:u w:val="single"/>
        </w:rPr>
      </w:pPr>
      <w:r w:rsidRPr="001408E0">
        <w:rPr>
          <w:sz w:val="22"/>
          <w:szCs w:val="22"/>
        </w:rPr>
        <w:t xml:space="preserve">FCC Form 315, Application for Consent to Transfer Control of Corporation Holding Broadcast Station Construction Permit or License; </w:t>
      </w:r>
    </w:p>
    <w:p w:rsidR="00F5238D" w:rsidRPr="001408E0" w:rsidRDefault="008A4306" w:rsidP="001408E0">
      <w:pPr>
        <w:pStyle w:val="ListParagraph"/>
        <w:numPr>
          <w:ilvl w:val="0"/>
          <w:numId w:val="17"/>
        </w:numPr>
        <w:rPr>
          <w:b/>
          <w:color w:val="000000"/>
          <w:sz w:val="22"/>
          <w:szCs w:val="22"/>
          <w:u w:val="single"/>
        </w:rPr>
      </w:pPr>
      <w:r>
        <w:rPr>
          <w:sz w:val="22"/>
          <w:szCs w:val="22"/>
          <w:shd w:val="clear" w:color="auto" w:fill="FFFFFF"/>
        </w:rPr>
        <w:t xml:space="preserve">FCC </w:t>
      </w:r>
      <w:r w:rsidR="001408E0" w:rsidRPr="001408E0">
        <w:rPr>
          <w:sz w:val="22"/>
          <w:szCs w:val="22"/>
          <w:shd w:val="clear" w:color="auto" w:fill="FFFFFF"/>
        </w:rPr>
        <w:t>Form 323, Ownership Report for Commercial Broadcast Station</w:t>
      </w:r>
    </w:p>
    <w:p w:rsidR="001408E0" w:rsidRPr="001408E0" w:rsidRDefault="001408E0" w:rsidP="001408E0">
      <w:pPr>
        <w:pStyle w:val="ListParagraph"/>
        <w:rPr>
          <w:b/>
          <w:color w:val="000000"/>
          <w:sz w:val="22"/>
          <w:szCs w:val="22"/>
          <w:u w:val="single"/>
        </w:rPr>
      </w:pPr>
    </w:p>
    <w:p w:rsidR="00DB6F3B" w:rsidRPr="001408E0" w:rsidRDefault="00DB6F3B" w:rsidP="001408E0">
      <w:pPr>
        <w:pStyle w:val="ListParagraph"/>
        <w:numPr>
          <w:ilvl w:val="0"/>
          <w:numId w:val="15"/>
        </w:numPr>
        <w:jc w:val="center"/>
        <w:rPr>
          <w:b/>
          <w:color w:val="000000"/>
          <w:sz w:val="22"/>
          <w:szCs w:val="22"/>
          <w:u w:val="single"/>
        </w:rPr>
      </w:pPr>
      <w:r w:rsidRPr="001408E0">
        <w:rPr>
          <w:b/>
          <w:color w:val="000000"/>
          <w:sz w:val="22"/>
          <w:szCs w:val="22"/>
          <w:u w:val="single"/>
        </w:rPr>
        <w:t>RECORDKEEPING</w:t>
      </w:r>
    </w:p>
    <w:p w:rsidR="00DB6F3B" w:rsidRDefault="00DB6F3B" w:rsidP="001408E0">
      <w:pPr>
        <w:pStyle w:val="ParaNum"/>
        <w:widowControl/>
        <w:spacing w:after="0"/>
        <w:ind w:right="-360"/>
        <w:jc w:val="left"/>
        <w:rPr>
          <w:color w:val="000000"/>
          <w:szCs w:val="22"/>
        </w:rPr>
      </w:pPr>
    </w:p>
    <w:p w:rsidR="00DB6F3B" w:rsidRDefault="001408E0" w:rsidP="001408E0">
      <w:pPr>
        <w:pStyle w:val="ParaNum"/>
        <w:widowControl/>
        <w:spacing w:after="0"/>
        <w:ind w:right="-360"/>
        <w:jc w:val="left"/>
        <w:rPr>
          <w:color w:val="000000"/>
          <w:szCs w:val="22"/>
        </w:rPr>
      </w:pPr>
      <w:r>
        <w:rPr>
          <w:color w:val="000000"/>
          <w:szCs w:val="22"/>
        </w:rPr>
        <w:t xml:space="preserve">The </w:t>
      </w:r>
      <w:r>
        <w:rPr>
          <w:i/>
          <w:color w:val="000000"/>
          <w:szCs w:val="22"/>
        </w:rPr>
        <w:t>Report and Order</w:t>
      </w:r>
      <w:r>
        <w:rPr>
          <w:color w:val="000000"/>
          <w:szCs w:val="22"/>
        </w:rPr>
        <w:t xml:space="preserve"> does not impose any new recordkeeping obligations on television stations. </w:t>
      </w:r>
    </w:p>
    <w:p w:rsidR="001408E0" w:rsidRPr="00B747A3" w:rsidRDefault="001408E0" w:rsidP="001408E0">
      <w:pPr>
        <w:pStyle w:val="ParaNum"/>
        <w:widowControl/>
        <w:spacing w:after="0"/>
        <w:ind w:right="-360"/>
        <w:jc w:val="left"/>
        <w:rPr>
          <w:color w:val="000000"/>
          <w:szCs w:val="22"/>
        </w:rPr>
      </w:pPr>
    </w:p>
    <w:p w:rsidR="00DB6F3B" w:rsidRPr="00B747A3" w:rsidRDefault="00DB6F3B" w:rsidP="001408E0">
      <w:pPr>
        <w:pStyle w:val="ListParagraph"/>
        <w:numPr>
          <w:ilvl w:val="0"/>
          <w:numId w:val="15"/>
        </w:numPr>
        <w:jc w:val="center"/>
        <w:rPr>
          <w:b/>
          <w:color w:val="000000"/>
          <w:sz w:val="22"/>
          <w:szCs w:val="22"/>
          <w:u w:val="single"/>
        </w:rPr>
      </w:pPr>
      <w:r w:rsidRPr="00B747A3">
        <w:rPr>
          <w:b/>
          <w:color w:val="000000"/>
          <w:sz w:val="22"/>
          <w:szCs w:val="22"/>
          <w:u w:val="single"/>
        </w:rPr>
        <w:t>IMPACT ON SMALL BUSINESS</w:t>
      </w:r>
    </w:p>
    <w:p w:rsidR="00DB6F3B" w:rsidRPr="009F0466" w:rsidRDefault="00DB6F3B" w:rsidP="00DB6F3B">
      <w:pPr>
        <w:jc w:val="center"/>
        <w:rPr>
          <w:b/>
          <w:color w:val="000000"/>
          <w:szCs w:val="24"/>
          <w:u w:val="single"/>
        </w:rPr>
      </w:pPr>
    </w:p>
    <w:p w:rsidR="007D3E1C" w:rsidRDefault="002E512D" w:rsidP="002E512D">
      <w:pPr>
        <w:pStyle w:val="ParaNum"/>
        <w:spacing w:after="120"/>
        <w:jc w:val="left"/>
        <w:rPr>
          <w:szCs w:val="22"/>
        </w:rPr>
      </w:pPr>
      <w:r w:rsidRPr="00FF2DF4">
        <w:rPr>
          <w:szCs w:val="22"/>
        </w:rPr>
        <w:t xml:space="preserve">The </w:t>
      </w:r>
      <w:r w:rsidRPr="002E512D">
        <w:rPr>
          <w:i/>
          <w:szCs w:val="22"/>
        </w:rPr>
        <w:t>Report and</w:t>
      </w:r>
      <w:r>
        <w:rPr>
          <w:szCs w:val="22"/>
        </w:rPr>
        <w:t xml:space="preserve"> </w:t>
      </w:r>
      <w:r w:rsidRPr="00FF2DF4">
        <w:rPr>
          <w:i/>
          <w:szCs w:val="22"/>
        </w:rPr>
        <w:t>Order</w:t>
      </w:r>
      <w:r w:rsidRPr="00FF2DF4">
        <w:rPr>
          <w:szCs w:val="22"/>
        </w:rPr>
        <w:t xml:space="preserve"> brings the Commission’s policy regarding </w:t>
      </w:r>
      <w:r>
        <w:rPr>
          <w:szCs w:val="22"/>
        </w:rPr>
        <w:t>television JSAs</w:t>
      </w:r>
      <w:r w:rsidRPr="00FF2DF4">
        <w:rPr>
          <w:szCs w:val="22"/>
        </w:rPr>
        <w:t xml:space="preserve"> in line with the existi</w:t>
      </w:r>
      <w:r>
        <w:rPr>
          <w:szCs w:val="22"/>
        </w:rPr>
        <w:t xml:space="preserve">ng rules regarding radio JSAs by </w:t>
      </w:r>
      <w:r w:rsidRPr="00FF2DF4">
        <w:rPr>
          <w:szCs w:val="22"/>
        </w:rPr>
        <w:t>count</w:t>
      </w:r>
      <w:r>
        <w:rPr>
          <w:szCs w:val="22"/>
        </w:rPr>
        <w:t>ing</w:t>
      </w:r>
      <w:r w:rsidRPr="00FF2DF4">
        <w:rPr>
          <w:szCs w:val="22"/>
        </w:rPr>
        <w:t xml:space="preserve"> </w:t>
      </w:r>
      <w:r w:rsidRPr="00471AB3">
        <w:rPr>
          <w:szCs w:val="22"/>
        </w:rPr>
        <w:t xml:space="preserve">television stations brokered under a same-market television JSA toward the brokering station’s permissible </w:t>
      </w:r>
      <w:r w:rsidR="00E33982" w:rsidRPr="00471AB3">
        <w:rPr>
          <w:szCs w:val="22"/>
        </w:rPr>
        <w:t xml:space="preserve">television </w:t>
      </w:r>
      <w:r w:rsidRPr="00471AB3">
        <w:rPr>
          <w:szCs w:val="22"/>
        </w:rPr>
        <w:t>ownership totals if the</w:t>
      </w:r>
      <w:r w:rsidR="003937A0" w:rsidRPr="00471AB3">
        <w:rPr>
          <w:szCs w:val="22"/>
        </w:rPr>
        <w:t xml:space="preserve"> brokering station</w:t>
      </w:r>
      <w:r w:rsidRPr="00471AB3">
        <w:rPr>
          <w:szCs w:val="22"/>
        </w:rPr>
        <w:t xml:space="preserve"> </w:t>
      </w:r>
      <w:r w:rsidR="003937A0" w:rsidRPr="00471AB3">
        <w:rPr>
          <w:szCs w:val="22"/>
        </w:rPr>
        <w:t xml:space="preserve">sells more </w:t>
      </w:r>
      <w:r w:rsidRPr="00471AB3">
        <w:rPr>
          <w:szCs w:val="22"/>
        </w:rPr>
        <w:t xml:space="preserve">than </w:t>
      </w:r>
      <w:r w:rsidRPr="00471AB3">
        <w:rPr>
          <w:szCs w:val="22"/>
        </w:rPr>
        <w:lastRenderedPageBreak/>
        <w:t xml:space="preserve">15 percent of the brokered station’s </w:t>
      </w:r>
      <w:r w:rsidR="00E33982" w:rsidRPr="00471AB3">
        <w:rPr>
          <w:szCs w:val="22"/>
        </w:rPr>
        <w:t xml:space="preserve">weekly </w:t>
      </w:r>
      <w:r w:rsidRPr="00471AB3">
        <w:rPr>
          <w:szCs w:val="22"/>
        </w:rPr>
        <w:t>advertising time.</w:t>
      </w:r>
      <w:r w:rsidR="007D3E1C" w:rsidRPr="00471AB3">
        <w:rPr>
          <w:szCs w:val="22"/>
        </w:rPr>
        <w:t xml:space="preserve">  Attribution of an ownership interest to the brokering station</w:t>
      </w:r>
      <w:r w:rsidR="00AC1705" w:rsidRPr="00471AB3">
        <w:rPr>
          <w:szCs w:val="22"/>
        </w:rPr>
        <w:t xml:space="preserve"> in these circumstances</w:t>
      </w:r>
      <w:r w:rsidR="007D3E1C" w:rsidRPr="00471AB3">
        <w:rPr>
          <w:szCs w:val="22"/>
        </w:rPr>
        <w:t xml:space="preserve"> does not diminish the ownership interests held by the owners of the brokered station or otherwise impact the organizational structure of the brokered station.</w:t>
      </w:r>
      <w:r w:rsidRPr="00FF2DF4">
        <w:rPr>
          <w:szCs w:val="22"/>
        </w:rPr>
        <w:t xml:space="preserve">  </w:t>
      </w:r>
    </w:p>
    <w:p w:rsidR="002E512D" w:rsidRDefault="002E512D" w:rsidP="002E512D">
      <w:pPr>
        <w:pStyle w:val="ParaNum"/>
        <w:spacing w:after="120"/>
        <w:jc w:val="left"/>
        <w:rPr>
          <w:szCs w:val="22"/>
        </w:rPr>
      </w:pPr>
      <w:r w:rsidRPr="00FF2DF4">
        <w:rPr>
          <w:szCs w:val="22"/>
        </w:rPr>
        <w:t xml:space="preserve">The rule adopted in the </w:t>
      </w:r>
      <w:r w:rsidR="00D2129E" w:rsidRPr="00D2129E">
        <w:rPr>
          <w:i/>
          <w:szCs w:val="22"/>
        </w:rPr>
        <w:t>Report and</w:t>
      </w:r>
      <w:r w:rsidR="00D2129E">
        <w:rPr>
          <w:szCs w:val="22"/>
        </w:rPr>
        <w:t xml:space="preserve"> </w:t>
      </w:r>
      <w:r w:rsidRPr="00FF2DF4">
        <w:rPr>
          <w:i/>
          <w:szCs w:val="22"/>
        </w:rPr>
        <w:t>Order</w:t>
      </w:r>
      <w:r w:rsidRPr="00FF2DF4">
        <w:rPr>
          <w:szCs w:val="22"/>
        </w:rPr>
        <w:t xml:space="preserve"> protects local markets</w:t>
      </w:r>
      <w:r>
        <w:rPr>
          <w:szCs w:val="22"/>
        </w:rPr>
        <w:t>—including small businesses operating in local markets—</w:t>
      </w:r>
      <w:r w:rsidRPr="00FF2DF4">
        <w:rPr>
          <w:szCs w:val="22"/>
        </w:rPr>
        <w:t>from exposure to competitive harms that might result from contractual agreements between stations for control of advertising</w:t>
      </w:r>
      <w:r w:rsidR="002727B7">
        <w:rPr>
          <w:szCs w:val="22"/>
        </w:rPr>
        <w:t xml:space="preserve"> sales</w:t>
      </w:r>
      <w:r w:rsidRPr="00FF2DF4">
        <w:rPr>
          <w:szCs w:val="22"/>
        </w:rPr>
        <w:t>.</w:t>
      </w:r>
      <w:r>
        <w:rPr>
          <w:szCs w:val="22"/>
        </w:rPr>
        <w:t xml:space="preserve">  Therefore, the Commission believes that in many cases the attribution of a same-market television JSA will protect small businesses, as well as large, from the adverse impacts of competing stations’ coordination of advertising sales.</w:t>
      </w:r>
      <w:r w:rsidRPr="00FF2DF4">
        <w:rPr>
          <w:szCs w:val="22"/>
        </w:rPr>
        <w:t xml:space="preserve">  </w:t>
      </w:r>
    </w:p>
    <w:p w:rsidR="002E512D" w:rsidRDefault="00F2332D" w:rsidP="002E512D">
      <w:pPr>
        <w:pStyle w:val="ParaNum"/>
        <w:spacing w:after="120"/>
        <w:jc w:val="left"/>
        <w:rPr>
          <w:szCs w:val="22"/>
        </w:rPr>
      </w:pPr>
      <w:r>
        <w:rPr>
          <w:szCs w:val="22"/>
        </w:rPr>
        <w:t>T</w:t>
      </w:r>
      <w:r w:rsidR="002E512D" w:rsidRPr="00FF2DF4">
        <w:rPr>
          <w:szCs w:val="22"/>
        </w:rPr>
        <w:t xml:space="preserve">he </w:t>
      </w:r>
      <w:r w:rsidR="00C62143" w:rsidRPr="00C62143">
        <w:rPr>
          <w:i/>
          <w:szCs w:val="22"/>
        </w:rPr>
        <w:t xml:space="preserve">Report and </w:t>
      </w:r>
      <w:r w:rsidR="002E512D" w:rsidRPr="00FF2DF4">
        <w:rPr>
          <w:i/>
          <w:szCs w:val="22"/>
        </w:rPr>
        <w:t>Order</w:t>
      </w:r>
      <w:r w:rsidR="00C62143">
        <w:rPr>
          <w:szCs w:val="22"/>
        </w:rPr>
        <w:t xml:space="preserve"> adopts a two-year transition period for stations </w:t>
      </w:r>
      <w:r w:rsidR="002E512D" w:rsidRPr="00FF2DF4">
        <w:rPr>
          <w:szCs w:val="22"/>
        </w:rPr>
        <w:t>to c</w:t>
      </w:r>
      <w:r w:rsidR="00C62143">
        <w:rPr>
          <w:szCs w:val="22"/>
        </w:rPr>
        <w:t>ome into compliance in order</w:t>
      </w:r>
      <w:r w:rsidR="002E512D" w:rsidRPr="00FF2DF4">
        <w:rPr>
          <w:szCs w:val="22"/>
        </w:rPr>
        <w:t xml:space="preserve"> to avoid undue disruption t</w:t>
      </w:r>
      <w:r w:rsidR="00C62143">
        <w:rPr>
          <w:szCs w:val="22"/>
        </w:rPr>
        <w:t>o current business arrangements, which</w:t>
      </w:r>
      <w:r w:rsidR="002E512D">
        <w:rPr>
          <w:szCs w:val="22"/>
        </w:rPr>
        <w:t xml:space="preserve"> will help small television stations that do not have the same financial and technical resources as large stations.</w:t>
      </w:r>
      <w:r w:rsidR="002E512D" w:rsidRPr="00FF2DF4">
        <w:rPr>
          <w:szCs w:val="22"/>
        </w:rPr>
        <w:t xml:space="preserve">  </w:t>
      </w:r>
      <w:r w:rsidR="00C62143">
        <w:rPr>
          <w:szCs w:val="22"/>
        </w:rPr>
        <w:t>T</w:t>
      </w:r>
      <w:r w:rsidR="002E512D" w:rsidRPr="00FF2DF4">
        <w:rPr>
          <w:szCs w:val="22"/>
        </w:rPr>
        <w:t xml:space="preserve">his transition period will give small entities with </w:t>
      </w:r>
      <w:r w:rsidR="00C62143">
        <w:rPr>
          <w:szCs w:val="22"/>
        </w:rPr>
        <w:t xml:space="preserve">attributable </w:t>
      </w:r>
      <w:r w:rsidR="002E512D" w:rsidRPr="00FF2DF4">
        <w:rPr>
          <w:szCs w:val="22"/>
        </w:rPr>
        <w:t xml:space="preserve">television JSAs sufficient time to make alternative arrangements or to seek </w:t>
      </w:r>
      <w:r w:rsidR="00C62143">
        <w:rPr>
          <w:szCs w:val="22"/>
        </w:rPr>
        <w:t>a waiver</w:t>
      </w:r>
      <w:r w:rsidR="002E512D" w:rsidRPr="00FF2DF4">
        <w:rPr>
          <w:szCs w:val="22"/>
        </w:rPr>
        <w:t xml:space="preserve">, if appropriate.  </w:t>
      </w:r>
    </w:p>
    <w:p w:rsidR="002E512D" w:rsidRDefault="002E512D" w:rsidP="00CB1F47">
      <w:pPr>
        <w:pStyle w:val="ParaNum"/>
        <w:widowControl/>
        <w:spacing w:after="120"/>
        <w:jc w:val="left"/>
        <w:rPr>
          <w:szCs w:val="22"/>
        </w:rPr>
      </w:pPr>
      <w:r w:rsidRPr="00FF2DF4">
        <w:rPr>
          <w:szCs w:val="22"/>
        </w:rPr>
        <w:t xml:space="preserve">In addition, </w:t>
      </w:r>
      <w:r>
        <w:rPr>
          <w:szCs w:val="22"/>
        </w:rPr>
        <w:t xml:space="preserve">the </w:t>
      </w:r>
      <w:r>
        <w:rPr>
          <w:i/>
          <w:szCs w:val="22"/>
        </w:rPr>
        <w:t xml:space="preserve">Report and Order </w:t>
      </w:r>
      <w:r>
        <w:rPr>
          <w:szCs w:val="22"/>
        </w:rPr>
        <w:t xml:space="preserve">adopts a filing requirement for attributable television JSAs, which the Commission believes will have a </w:t>
      </w:r>
      <w:r w:rsidRPr="00FF2DF4">
        <w:rPr>
          <w:szCs w:val="22"/>
        </w:rPr>
        <w:t xml:space="preserve">minimal and uniform </w:t>
      </w:r>
      <w:r>
        <w:rPr>
          <w:szCs w:val="22"/>
        </w:rPr>
        <w:t>impact for all entities.  C</w:t>
      </w:r>
      <w:r w:rsidRPr="00FF2DF4">
        <w:rPr>
          <w:szCs w:val="22"/>
        </w:rPr>
        <w:t xml:space="preserve">ompliance will only require the expenditure of </w:t>
      </w:r>
      <w:r>
        <w:rPr>
          <w:szCs w:val="22"/>
        </w:rPr>
        <w:t>very little</w:t>
      </w:r>
      <w:r w:rsidRPr="00FF2DF4">
        <w:rPr>
          <w:szCs w:val="22"/>
        </w:rPr>
        <w:t xml:space="preserve"> additio</w:t>
      </w:r>
      <w:r>
        <w:rPr>
          <w:szCs w:val="22"/>
        </w:rPr>
        <w:t>nal resources, and</w:t>
      </w:r>
      <w:r w:rsidRPr="00FF2DF4">
        <w:rPr>
          <w:szCs w:val="22"/>
        </w:rPr>
        <w:t xml:space="preserve"> the filing requirement is the least burdensome alternative.</w:t>
      </w:r>
      <w:r>
        <w:rPr>
          <w:szCs w:val="22"/>
        </w:rPr>
        <w:t xml:space="preserve">  In addition, entities may be required to report attributable television JSAs on certain FCC Forms, as described above.  C</w:t>
      </w:r>
      <w:r w:rsidRPr="00FF2DF4">
        <w:rPr>
          <w:szCs w:val="22"/>
        </w:rPr>
        <w:t xml:space="preserve">ompliance </w:t>
      </w:r>
      <w:r>
        <w:rPr>
          <w:szCs w:val="22"/>
        </w:rPr>
        <w:t>is very simple and will</w:t>
      </w:r>
      <w:r w:rsidRPr="00FF2DF4">
        <w:rPr>
          <w:szCs w:val="22"/>
        </w:rPr>
        <w:t xml:space="preserve"> only require the expenditure</w:t>
      </w:r>
      <w:r>
        <w:rPr>
          <w:szCs w:val="22"/>
        </w:rPr>
        <w:t xml:space="preserve"> of very little</w:t>
      </w:r>
      <w:r w:rsidRPr="00FF2DF4">
        <w:rPr>
          <w:szCs w:val="22"/>
        </w:rPr>
        <w:t xml:space="preserve"> additional resources</w:t>
      </w:r>
      <w:r>
        <w:rPr>
          <w:szCs w:val="22"/>
        </w:rPr>
        <w:t xml:space="preserve">.  Accordingly, the adverse economic impact on small businesses will be minimal, at most, and in many cases non-existent.  </w:t>
      </w:r>
    </w:p>
    <w:p w:rsidR="00825EA9" w:rsidRDefault="00825EA9" w:rsidP="00CB1F47">
      <w:pPr>
        <w:pStyle w:val="ParaNum"/>
        <w:widowControl/>
        <w:spacing w:after="120"/>
        <w:jc w:val="left"/>
        <w:rPr>
          <w:szCs w:val="22"/>
        </w:rPr>
      </w:pPr>
    </w:p>
    <w:p w:rsidR="00DB6F3B" w:rsidRPr="00350AA4" w:rsidRDefault="00DB6F3B" w:rsidP="00DB6F3B">
      <w:pPr>
        <w:jc w:val="center"/>
        <w:rPr>
          <w:b/>
          <w:color w:val="000000"/>
          <w:szCs w:val="24"/>
          <w:u w:val="single"/>
        </w:rPr>
      </w:pPr>
      <w:r w:rsidRPr="00350AA4">
        <w:rPr>
          <w:b/>
          <w:color w:val="000000"/>
          <w:szCs w:val="24"/>
          <w:u w:val="single"/>
        </w:rPr>
        <w:t>INTERNET LINKS</w:t>
      </w:r>
    </w:p>
    <w:p w:rsidR="00DB6F3B" w:rsidRPr="00350AA4" w:rsidRDefault="00DB6F3B" w:rsidP="00DB6F3B">
      <w:pPr>
        <w:rPr>
          <w:color w:val="000000"/>
          <w:szCs w:val="24"/>
        </w:rPr>
      </w:pPr>
    </w:p>
    <w:p w:rsidR="00DB6F3B" w:rsidRPr="005765A8" w:rsidRDefault="00DB6F3B" w:rsidP="00DB6F3B">
      <w:pPr>
        <w:rPr>
          <w:b/>
          <w:color w:val="000000"/>
          <w:sz w:val="22"/>
          <w:szCs w:val="22"/>
        </w:rPr>
      </w:pPr>
      <w:r w:rsidRPr="005765A8">
        <w:rPr>
          <w:b/>
          <w:color w:val="000000"/>
          <w:sz w:val="22"/>
          <w:szCs w:val="22"/>
        </w:rPr>
        <w:t xml:space="preserve">Report and Order </w:t>
      </w:r>
    </w:p>
    <w:p w:rsidR="00DB6F3B" w:rsidRPr="005765A8" w:rsidRDefault="00DB6F3B" w:rsidP="00DB6F3B">
      <w:pPr>
        <w:rPr>
          <w:color w:val="000000"/>
          <w:sz w:val="22"/>
          <w:szCs w:val="22"/>
        </w:rPr>
      </w:pPr>
    </w:p>
    <w:p w:rsidR="00DB6F3B" w:rsidRPr="005765A8" w:rsidRDefault="00D154B8" w:rsidP="005765A8">
      <w:pPr>
        <w:pStyle w:val="ListParagraph"/>
        <w:numPr>
          <w:ilvl w:val="0"/>
          <w:numId w:val="20"/>
        </w:numPr>
        <w:rPr>
          <w:color w:val="000000"/>
          <w:sz w:val="22"/>
          <w:szCs w:val="22"/>
        </w:rPr>
      </w:pPr>
      <w:hyperlink r:id="rId9" w:history="1">
        <w:r w:rsidR="005765A8" w:rsidRPr="005765A8">
          <w:rPr>
            <w:rStyle w:val="Hyperlink"/>
            <w:sz w:val="22"/>
            <w:szCs w:val="22"/>
          </w:rPr>
          <w:t>http://www.fcc.gov/document/2014-quadrennial-regulatory-review</w:t>
        </w:r>
      </w:hyperlink>
      <w:r w:rsidR="005765A8" w:rsidRPr="005765A8">
        <w:rPr>
          <w:color w:val="000000"/>
          <w:sz w:val="22"/>
          <w:szCs w:val="22"/>
        </w:rPr>
        <w:t xml:space="preserve"> </w:t>
      </w:r>
    </w:p>
    <w:p w:rsidR="005765A8" w:rsidRPr="005765A8" w:rsidRDefault="005765A8" w:rsidP="00DB6F3B">
      <w:pPr>
        <w:rPr>
          <w:color w:val="000000"/>
          <w:sz w:val="22"/>
          <w:szCs w:val="22"/>
        </w:rPr>
      </w:pPr>
    </w:p>
    <w:p w:rsidR="00DB6F3B" w:rsidRPr="005765A8" w:rsidRDefault="00DB6F3B" w:rsidP="00DB6F3B">
      <w:pPr>
        <w:rPr>
          <w:b/>
          <w:color w:val="000000"/>
          <w:sz w:val="22"/>
          <w:szCs w:val="22"/>
        </w:rPr>
      </w:pPr>
      <w:r w:rsidRPr="005765A8">
        <w:rPr>
          <w:b/>
          <w:color w:val="000000"/>
          <w:sz w:val="22"/>
          <w:szCs w:val="22"/>
        </w:rPr>
        <w:t>Chairman and Commissioner Statements</w:t>
      </w:r>
    </w:p>
    <w:p w:rsidR="00DB6F3B" w:rsidRPr="005765A8" w:rsidRDefault="00DB6F3B" w:rsidP="00DB6F3B">
      <w:pPr>
        <w:rPr>
          <w:color w:val="000000"/>
          <w:sz w:val="22"/>
          <w:szCs w:val="22"/>
          <w:u w:val="single"/>
        </w:rPr>
      </w:pPr>
      <w:r w:rsidRPr="005765A8">
        <w:rPr>
          <w:color w:val="000000"/>
          <w:sz w:val="22"/>
          <w:szCs w:val="22"/>
          <w:u w:val="single"/>
        </w:rPr>
        <w:t xml:space="preserve"> </w:t>
      </w:r>
    </w:p>
    <w:p w:rsidR="005765A8" w:rsidRPr="005765A8" w:rsidRDefault="005765A8" w:rsidP="005765A8">
      <w:pPr>
        <w:pStyle w:val="ListParagraph"/>
        <w:numPr>
          <w:ilvl w:val="0"/>
          <w:numId w:val="19"/>
        </w:numPr>
        <w:rPr>
          <w:color w:val="000000"/>
          <w:sz w:val="22"/>
          <w:szCs w:val="22"/>
        </w:rPr>
      </w:pPr>
      <w:r w:rsidRPr="005765A8">
        <w:rPr>
          <w:color w:val="000000"/>
          <w:sz w:val="22"/>
          <w:szCs w:val="22"/>
        </w:rPr>
        <w:t xml:space="preserve">Chairman Wheeler:  </w:t>
      </w:r>
      <w:hyperlink r:id="rId10" w:history="1">
        <w:r w:rsidRPr="005765A8">
          <w:rPr>
            <w:rStyle w:val="Hyperlink"/>
            <w:sz w:val="22"/>
            <w:szCs w:val="22"/>
          </w:rPr>
          <w:t>http://www.fcc.gov/article/fcc-14-28a2</w:t>
        </w:r>
      </w:hyperlink>
      <w:r w:rsidRPr="005765A8">
        <w:rPr>
          <w:color w:val="000000"/>
          <w:sz w:val="22"/>
          <w:szCs w:val="22"/>
        </w:rPr>
        <w:t xml:space="preserve"> </w:t>
      </w:r>
    </w:p>
    <w:p w:rsidR="005765A8" w:rsidRPr="005765A8" w:rsidRDefault="005765A8" w:rsidP="005765A8">
      <w:pPr>
        <w:pStyle w:val="ListParagraph"/>
        <w:numPr>
          <w:ilvl w:val="0"/>
          <w:numId w:val="19"/>
        </w:numPr>
        <w:rPr>
          <w:color w:val="000000"/>
          <w:sz w:val="22"/>
          <w:szCs w:val="22"/>
        </w:rPr>
      </w:pPr>
      <w:r w:rsidRPr="005765A8">
        <w:rPr>
          <w:color w:val="000000"/>
          <w:sz w:val="22"/>
          <w:szCs w:val="22"/>
        </w:rPr>
        <w:t xml:space="preserve">Commissioner Clyburn:  </w:t>
      </w:r>
      <w:hyperlink r:id="rId11" w:history="1">
        <w:r w:rsidRPr="005765A8">
          <w:rPr>
            <w:rStyle w:val="Hyperlink"/>
            <w:sz w:val="22"/>
            <w:szCs w:val="22"/>
          </w:rPr>
          <w:t>http://www.fcc.gov/article/fcc-14-28a3</w:t>
        </w:r>
      </w:hyperlink>
      <w:r w:rsidRPr="005765A8">
        <w:rPr>
          <w:color w:val="000000"/>
          <w:sz w:val="22"/>
          <w:szCs w:val="22"/>
        </w:rPr>
        <w:t xml:space="preserve"> </w:t>
      </w:r>
    </w:p>
    <w:p w:rsidR="005765A8" w:rsidRPr="00E90A28" w:rsidRDefault="005765A8" w:rsidP="005765A8">
      <w:pPr>
        <w:pStyle w:val="ListParagraph"/>
        <w:numPr>
          <w:ilvl w:val="0"/>
          <w:numId w:val="19"/>
        </w:numPr>
        <w:rPr>
          <w:color w:val="000000"/>
          <w:sz w:val="22"/>
          <w:szCs w:val="22"/>
        </w:rPr>
      </w:pPr>
      <w:r w:rsidRPr="00E90A28">
        <w:rPr>
          <w:color w:val="000000"/>
          <w:sz w:val="22"/>
          <w:szCs w:val="22"/>
        </w:rPr>
        <w:t xml:space="preserve">Commissioner Rosenworcel:  </w:t>
      </w:r>
      <w:hyperlink r:id="rId12" w:history="1">
        <w:r w:rsidRPr="00E90A28">
          <w:rPr>
            <w:rStyle w:val="Hyperlink"/>
            <w:sz w:val="22"/>
            <w:szCs w:val="22"/>
          </w:rPr>
          <w:t>http://www.fcc.gov/article/fcc-14-28a4</w:t>
        </w:r>
      </w:hyperlink>
      <w:r w:rsidRPr="00E90A28">
        <w:rPr>
          <w:color w:val="000000"/>
          <w:sz w:val="22"/>
          <w:szCs w:val="22"/>
        </w:rPr>
        <w:t xml:space="preserve"> </w:t>
      </w:r>
    </w:p>
    <w:p w:rsidR="005765A8" w:rsidRPr="00E90A28" w:rsidRDefault="005765A8" w:rsidP="005765A8">
      <w:pPr>
        <w:pStyle w:val="ListParagraph"/>
        <w:numPr>
          <w:ilvl w:val="0"/>
          <w:numId w:val="19"/>
        </w:numPr>
        <w:rPr>
          <w:color w:val="000000"/>
          <w:sz w:val="22"/>
          <w:szCs w:val="22"/>
        </w:rPr>
      </w:pPr>
      <w:r w:rsidRPr="00E90A28">
        <w:rPr>
          <w:color w:val="000000"/>
          <w:sz w:val="22"/>
          <w:szCs w:val="22"/>
        </w:rPr>
        <w:t xml:space="preserve">Commissioner Pai:  </w:t>
      </w:r>
      <w:hyperlink r:id="rId13" w:history="1">
        <w:r w:rsidRPr="00E90A28">
          <w:rPr>
            <w:rStyle w:val="Hyperlink"/>
            <w:sz w:val="22"/>
            <w:szCs w:val="22"/>
          </w:rPr>
          <w:t>http://www.fcc.gov/article/fcc-14-28a5</w:t>
        </w:r>
      </w:hyperlink>
      <w:r w:rsidRPr="00E90A28">
        <w:rPr>
          <w:color w:val="000000"/>
          <w:sz w:val="22"/>
          <w:szCs w:val="22"/>
        </w:rPr>
        <w:t xml:space="preserve"> </w:t>
      </w:r>
    </w:p>
    <w:p w:rsidR="005765A8" w:rsidRPr="00E90A28" w:rsidRDefault="005765A8" w:rsidP="005765A8">
      <w:pPr>
        <w:pStyle w:val="ListParagraph"/>
        <w:numPr>
          <w:ilvl w:val="0"/>
          <w:numId w:val="19"/>
        </w:numPr>
        <w:rPr>
          <w:color w:val="000000"/>
          <w:sz w:val="22"/>
          <w:szCs w:val="22"/>
        </w:rPr>
      </w:pPr>
      <w:r w:rsidRPr="00E90A28">
        <w:rPr>
          <w:color w:val="000000"/>
          <w:sz w:val="22"/>
          <w:szCs w:val="22"/>
        </w:rPr>
        <w:t xml:space="preserve">Commissioner O’Rielly:  </w:t>
      </w:r>
      <w:hyperlink r:id="rId14" w:history="1">
        <w:r w:rsidRPr="00E90A28">
          <w:rPr>
            <w:rStyle w:val="Hyperlink"/>
            <w:sz w:val="22"/>
            <w:szCs w:val="22"/>
          </w:rPr>
          <w:t>http://www.fcc.gov/article/fcc-14-28a6</w:t>
        </w:r>
      </w:hyperlink>
      <w:r w:rsidRPr="00E90A28">
        <w:rPr>
          <w:color w:val="000000"/>
          <w:sz w:val="22"/>
          <w:szCs w:val="22"/>
        </w:rPr>
        <w:t xml:space="preserve"> </w:t>
      </w:r>
    </w:p>
    <w:p w:rsidR="005765A8" w:rsidRPr="00E90A28" w:rsidRDefault="005765A8" w:rsidP="005765A8">
      <w:pPr>
        <w:pStyle w:val="ListParagraph"/>
        <w:numPr>
          <w:ilvl w:val="0"/>
          <w:numId w:val="19"/>
        </w:numPr>
        <w:rPr>
          <w:color w:val="000000"/>
          <w:sz w:val="22"/>
          <w:szCs w:val="22"/>
        </w:rPr>
      </w:pPr>
      <w:r w:rsidRPr="00E90A28">
        <w:rPr>
          <w:color w:val="000000"/>
          <w:sz w:val="22"/>
          <w:szCs w:val="22"/>
        </w:rPr>
        <w:t xml:space="preserve">Commissioner O’Rielly Attachment:  </w:t>
      </w:r>
      <w:hyperlink r:id="rId15" w:history="1">
        <w:r w:rsidRPr="00E90A28">
          <w:rPr>
            <w:rStyle w:val="Hyperlink"/>
            <w:sz w:val="22"/>
            <w:szCs w:val="22"/>
          </w:rPr>
          <w:t>http://www.fcc.gov/article/fcc-14-28a7</w:t>
        </w:r>
      </w:hyperlink>
      <w:r w:rsidRPr="00E90A28">
        <w:rPr>
          <w:color w:val="000000"/>
          <w:sz w:val="22"/>
          <w:szCs w:val="22"/>
        </w:rPr>
        <w:t xml:space="preserve"> </w:t>
      </w:r>
    </w:p>
    <w:p w:rsidR="00DB6F3B" w:rsidRPr="00E90A28" w:rsidRDefault="00DB6F3B" w:rsidP="00DB6F3B">
      <w:pPr>
        <w:rPr>
          <w:b/>
          <w:color w:val="000000"/>
          <w:sz w:val="22"/>
          <w:szCs w:val="22"/>
          <w:u w:val="single"/>
        </w:rPr>
      </w:pPr>
    </w:p>
    <w:p w:rsidR="00DB6F3B" w:rsidRPr="00E90A28" w:rsidRDefault="008A4306" w:rsidP="00DB6F3B">
      <w:pPr>
        <w:rPr>
          <w:b/>
          <w:color w:val="000000"/>
          <w:sz w:val="22"/>
          <w:szCs w:val="22"/>
        </w:rPr>
      </w:pPr>
      <w:r w:rsidRPr="00E90A28">
        <w:rPr>
          <w:b/>
          <w:color w:val="000000"/>
          <w:sz w:val="22"/>
          <w:szCs w:val="22"/>
        </w:rPr>
        <w:t>FCC Forms</w:t>
      </w:r>
    </w:p>
    <w:p w:rsidR="008A4306" w:rsidRPr="00E90A28" w:rsidRDefault="00E90A28" w:rsidP="00675A81">
      <w:pPr>
        <w:pStyle w:val="ListParagraph"/>
        <w:numPr>
          <w:ilvl w:val="0"/>
          <w:numId w:val="17"/>
        </w:numPr>
        <w:rPr>
          <w:b/>
          <w:color w:val="000000"/>
          <w:sz w:val="22"/>
          <w:szCs w:val="22"/>
          <w:u w:val="single"/>
        </w:rPr>
      </w:pPr>
      <w:r w:rsidRPr="00E90A28">
        <w:rPr>
          <w:sz w:val="22"/>
          <w:szCs w:val="22"/>
        </w:rPr>
        <w:t>FCC Form 2100, Schedule A</w:t>
      </w:r>
      <w:r w:rsidR="008A4306" w:rsidRPr="00E90A28">
        <w:rPr>
          <w:sz w:val="22"/>
          <w:szCs w:val="22"/>
        </w:rPr>
        <w:t>:</w:t>
      </w:r>
      <w:r w:rsidR="00675A81">
        <w:rPr>
          <w:sz w:val="22"/>
          <w:szCs w:val="22"/>
        </w:rPr>
        <w:t xml:space="preserve">  </w:t>
      </w:r>
      <w:hyperlink r:id="rId16" w:history="1">
        <w:r w:rsidR="00675A81" w:rsidRPr="00C3276A">
          <w:rPr>
            <w:rStyle w:val="Hyperlink"/>
            <w:sz w:val="22"/>
            <w:szCs w:val="22"/>
          </w:rPr>
          <w:t>http://transition.fcc.gov/Forms/Form2100/2100instructions.pdf</w:t>
        </w:r>
      </w:hyperlink>
      <w:r w:rsidR="00675A81">
        <w:rPr>
          <w:sz w:val="22"/>
          <w:szCs w:val="22"/>
        </w:rPr>
        <w:t xml:space="preserve"> </w:t>
      </w:r>
      <w:r>
        <w:rPr>
          <w:sz w:val="22"/>
          <w:szCs w:val="22"/>
        </w:rPr>
        <w:t xml:space="preserve">  </w:t>
      </w:r>
    </w:p>
    <w:p w:rsidR="008A4306" w:rsidRPr="00E90A28" w:rsidRDefault="008A4306" w:rsidP="008A4306">
      <w:pPr>
        <w:pStyle w:val="ListParagraph"/>
        <w:numPr>
          <w:ilvl w:val="0"/>
          <w:numId w:val="17"/>
        </w:numPr>
        <w:rPr>
          <w:b/>
          <w:color w:val="000000"/>
          <w:sz w:val="22"/>
          <w:szCs w:val="22"/>
          <w:u w:val="single"/>
        </w:rPr>
      </w:pPr>
      <w:r w:rsidRPr="00E90A28">
        <w:rPr>
          <w:sz w:val="22"/>
          <w:szCs w:val="22"/>
        </w:rPr>
        <w:t xml:space="preserve">FCC Form 314:  </w:t>
      </w:r>
      <w:hyperlink r:id="rId17" w:history="1">
        <w:r w:rsidRPr="00E90A28">
          <w:rPr>
            <w:rStyle w:val="Hyperlink"/>
            <w:sz w:val="22"/>
            <w:szCs w:val="22"/>
          </w:rPr>
          <w:t>http://transition.fcc.gov/Forms/Form314/314.pdf</w:t>
        </w:r>
      </w:hyperlink>
      <w:r w:rsidRPr="00E90A28">
        <w:rPr>
          <w:sz w:val="22"/>
          <w:szCs w:val="22"/>
        </w:rPr>
        <w:t xml:space="preserve"> </w:t>
      </w:r>
    </w:p>
    <w:p w:rsidR="008A4306" w:rsidRPr="00E90A28" w:rsidRDefault="008A4306" w:rsidP="008A4306">
      <w:pPr>
        <w:pStyle w:val="ListParagraph"/>
        <w:numPr>
          <w:ilvl w:val="0"/>
          <w:numId w:val="17"/>
        </w:numPr>
        <w:rPr>
          <w:b/>
          <w:color w:val="000000"/>
          <w:sz w:val="22"/>
          <w:szCs w:val="22"/>
          <w:u w:val="single"/>
        </w:rPr>
      </w:pPr>
      <w:r w:rsidRPr="00E90A28">
        <w:rPr>
          <w:sz w:val="22"/>
          <w:szCs w:val="22"/>
        </w:rPr>
        <w:t xml:space="preserve">FCC Form 315:  </w:t>
      </w:r>
      <w:hyperlink r:id="rId18" w:history="1">
        <w:r w:rsidRPr="00E90A28">
          <w:rPr>
            <w:rStyle w:val="Hyperlink"/>
            <w:sz w:val="22"/>
            <w:szCs w:val="22"/>
          </w:rPr>
          <w:t>http://transition.fcc.gov/Forms/Form315/315.pdf</w:t>
        </w:r>
      </w:hyperlink>
      <w:r w:rsidRPr="00E90A28">
        <w:rPr>
          <w:sz w:val="22"/>
          <w:szCs w:val="22"/>
        </w:rPr>
        <w:t xml:space="preserve"> </w:t>
      </w:r>
    </w:p>
    <w:p w:rsidR="00DB6F3B" w:rsidRPr="00E90A28" w:rsidRDefault="008A4306" w:rsidP="008A4306">
      <w:pPr>
        <w:pStyle w:val="ListParagraph"/>
        <w:numPr>
          <w:ilvl w:val="0"/>
          <w:numId w:val="17"/>
        </w:numPr>
        <w:rPr>
          <w:color w:val="000000"/>
          <w:sz w:val="22"/>
          <w:szCs w:val="22"/>
        </w:rPr>
      </w:pPr>
      <w:r w:rsidRPr="00E90A28">
        <w:rPr>
          <w:sz w:val="22"/>
          <w:szCs w:val="22"/>
          <w:shd w:val="clear" w:color="auto" w:fill="FFFFFF"/>
        </w:rPr>
        <w:t xml:space="preserve">FCC Form 323:  </w:t>
      </w:r>
      <w:hyperlink r:id="rId19" w:history="1">
        <w:r w:rsidRPr="00E90A28">
          <w:rPr>
            <w:rStyle w:val="Hyperlink"/>
            <w:sz w:val="22"/>
            <w:szCs w:val="22"/>
            <w:shd w:val="clear" w:color="auto" w:fill="FFFFFF"/>
          </w:rPr>
          <w:t>http://transition.fcc.gov/Forms/Form323/323.pdf</w:t>
        </w:r>
      </w:hyperlink>
      <w:r w:rsidRPr="00E90A28">
        <w:rPr>
          <w:sz w:val="22"/>
          <w:szCs w:val="22"/>
          <w:shd w:val="clear" w:color="auto" w:fill="FFFFFF"/>
        </w:rPr>
        <w:t xml:space="preserve"> </w:t>
      </w:r>
    </w:p>
    <w:p w:rsidR="008A4306" w:rsidRPr="008A4306" w:rsidRDefault="008A4306" w:rsidP="008A4306">
      <w:pPr>
        <w:rPr>
          <w:color w:val="000000"/>
        </w:rPr>
      </w:pPr>
    </w:p>
    <w:p w:rsidR="004D5682" w:rsidRPr="00471AB3" w:rsidRDefault="00471AB3">
      <w:pPr>
        <w:rPr>
          <w:b/>
          <w:sz w:val="22"/>
          <w:szCs w:val="22"/>
        </w:rPr>
      </w:pPr>
      <w:r w:rsidRPr="00471AB3">
        <w:rPr>
          <w:b/>
          <w:sz w:val="22"/>
          <w:szCs w:val="22"/>
        </w:rPr>
        <w:t>FCC Rules</w:t>
      </w:r>
    </w:p>
    <w:p w:rsidR="00471AB3" w:rsidRDefault="00471AB3" w:rsidP="00471AB3">
      <w:pPr>
        <w:pStyle w:val="ListParagraph"/>
        <w:numPr>
          <w:ilvl w:val="0"/>
          <w:numId w:val="21"/>
        </w:numPr>
        <w:rPr>
          <w:sz w:val="22"/>
          <w:szCs w:val="22"/>
        </w:rPr>
      </w:pPr>
      <w:r w:rsidRPr="00471AB3">
        <w:rPr>
          <w:sz w:val="22"/>
          <w:szCs w:val="22"/>
        </w:rPr>
        <w:t>47 C.F.R</w:t>
      </w:r>
      <w:r>
        <w:rPr>
          <w:sz w:val="22"/>
          <w:szCs w:val="22"/>
        </w:rPr>
        <w:t>. § 73.3555 (2013</w:t>
      </w:r>
      <w:r w:rsidRPr="00471AB3">
        <w:rPr>
          <w:sz w:val="22"/>
          <w:szCs w:val="22"/>
        </w:rPr>
        <w:t>):</w:t>
      </w:r>
      <w:r>
        <w:rPr>
          <w:sz w:val="22"/>
          <w:szCs w:val="22"/>
        </w:rPr>
        <w:t xml:space="preserve">  </w:t>
      </w:r>
      <w:hyperlink r:id="rId20" w:history="1">
        <w:r w:rsidRPr="00293848">
          <w:rPr>
            <w:rStyle w:val="Hyperlink"/>
            <w:sz w:val="22"/>
            <w:szCs w:val="22"/>
          </w:rPr>
          <w:t>http://www.gpo.gov/fdsys/pkg/CFR-2013-title47-vol4/pdf/CFR-2013-title47-vol4-sec73-3555.pdf</w:t>
        </w:r>
      </w:hyperlink>
      <w:r>
        <w:rPr>
          <w:sz w:val="22"/>
          <w:szCs w:val="22"/>
        </w:rPr>
        <w:t xml:space="preserve"> </w:t>
      </w:r>
    </w:p>
    <w:p w:rsidR="00471AB3" w:rsidRPr="00471AB3" w:rsidRDefault="00471AB3" w:rsidP="00471AB3">
      <w:pPr>
        <w:pStyle w:val="ListParagraph"/>
        <w:rPr>
          <w:sz w:val="22"/>
          <w:szCs w:val="22"/>
        </w:rPr>
      </w:pPr>
    </w:p>
    <w:sectPr w:rsidR="00471AB3" w:rsidRPr="00471AB3" w:rsidSect="001C0034">
      <w:headerReference w:type="even" r:id="rId21"/>
      <w:headerReference w:type="default" r:id="rId22"/>
      <w:footerReference w:type="even" r:id="rId23"/>
      <w:footerReference w:type="default" r:id="rId24"/>
      <w:headerReference w:type="first" r:id="rId25"/>
      <w:footerReference w:type="first" r:id="rId26"/>
      <w:pgSz w:w="12240" w:h="15840" w:code="1"/>
      <w:pgMar w:top="1166" w:right="1152"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FB" w:rsidRDefault="002644FB">
      <w:r>
        <w:separator/>
      </w:r>
    </w:p>
  </w:endnote>
  <w:endnote w:type="continuationSeparator" w:id="0">
    <w:p w:rsidR="002644FB" w:rsidRDefault="0026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1B" w:rsidRDefault="0064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05709"/>
      <w:docPartObj>
        <w:docPartGallery w:val="Page Numbers (Bottom of Page)"/>
        <w:docPartUnique/>
      </w:docPartObj>
    </w:sdtPr>
    <w:sdtEndPr>
      <w:rPr>
        <w:noProof/>
      </w:rPr>
    </w:sdtEndPr>
    <w:sdtContent>
      <w:p w:rsidR="00DA1B4D" w:rsidRDefault="00DA1B4D">
        <w:pPr>
          <w:pStyle w:val="Footer"/>
          <w:jc w:val="center"/>
        </w:pPr>
        <w:r>
          <w:fldChar w:fldCharType="begin"/>
        </w:r>
        <w:r>
          <w:instrText xml:space="preserve"> PAGE   \* MERGEFORMAT </w:instrText>
        </w:r>
        <w:r>
          <w:fldChar w:fldCharType="separate"/>
        </w:r>
        <w:r w:rsidR="00D154B8">
          <w:rPr>
            <w:noProof/>
          </w:rPr>
          <w:t>5</w:t>
        </w:r>
        <w:r>
          <w:rPr>
            <w:noProof/>
          </w:rPr>
          <w:fldChar w:fldCharType="end"/>
        </w:r>
      </w:p>
    </w:sdtContent>
  </w:sdt>
  <w:p w:rsidR="00DA1B4D" w:rsidRDefault="00DA1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1B" w:rsidRDefault="0064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FB" w:rsidRDefault="002644FB">
      <w:r>
        <w:separator/>
      </w:r>
    </w:p>
  </w:footnote>
  <w:footnote w:type="continuationSeparator" w:id="0">
    <w:p w:rsidR="002644FB" w:rsidRDefault="002644FB">
      <w:r>
        <w:continuationSeparator/>
      </w:r>
    </w:p>
  </w:footnote>
  <w:footnote w:id="1">
    <w:p w:rsidR="00DA1B4D" w:rsidRPr="00ED797B" w:rsidRDefault="00DA1B4D" w:rsidP="00ED797B">
      <w:pPr>
        <w:pStyle w:val="FootnoteText"/>
      </w:pPr>
      <w:r>
        <w:rPr>
          <w:rStyle w:val="FootnoteReference"/>
        </w:rPr>
        <w:footnoteRef/>
      </w:r>
      <w:r>
        <w:t xml:space="preserve"> </w:t>
      </w:r>
      <w:r w:rsidRPr="00ED797B">
        <w:rPr>
          <w:i/>
        </w:rPr>
        <w:t>2014 Quadrennial Regulatory Review – Review of the Commission’s Broadcast Ownership Rules and Other Rules Adopted Pursuant to Section 202 of the Telecommunications Act of 1996</w:t>
      </w:r>
      <w:r>
        <w:t>, Further Notice of Proposed Rulemaking and Report and Order, 29 FCC Rcd 4371</w:t>
      </w:r>
      <w:r w:rsidR="00DC6C5B">
        <w:t xml:space="preserve">, </w:t>
      </w:r>
      <w:r w:rsidR="005009E9">
        <w:t xml:space="preserve">4527-45, </w:t>
      </w:r>
      <w:r w:rsidR="00DC6C5B">
        <w:t>¶¶ 340-72</w:t>
      </w:r>
      <w:r>
        <w:t xml:space="preserve"> (2014).</w:t>
      </w:r>
    </w:p>
    <w:p w:rsidR="00DA1B4D" w:rsidRDefault="00DA1B4D">
      <w:pPr>
        <w:pStyle w:val="FootnoteText"/>
      </w:pPr>
    </w:p>
  </w:footnote>
  <w:footnote w:id="2">
    <w:p w:rsidR="00CF3813" w:rsidRDefault="00CF3813" w:rsidP="00CF3813">
      <w:pPr>
        <w:pStyle w:val="FootnoteText"/>
      </w:pPr>
      <w:r w:rsidRPr="005F2EE8">
        <w:rPr>
          <w:rStyle w:val="FootnoteReference"/>
        </w:rPr>
        <w:footnoteRef/>
      </w:r>
      <w:r w:rsidRPr="005F2EE8">
        <w:t xml:space="preserve"> STELA</w:t>
      </w:r>
      <w:r>
        <w:t xml:space="preserve"> Reauthorization Act of 2014, Pub. L. No. 113-200, § 104, 128 Stat. 2059, 2063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1B" w:rsidRDefault="0064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1B" w:rsidRDefault="00644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4D" w:rsidRDefault="00DA1B4D">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393CED5C" wp14:editId="716AA3AF">
          <wp:simplePos x="0" y="0"/>
          <wp:positionH relativeFrom="column">
            <wp:posOffset>-403860</wp:posOffset>
          </wp:positionH>
          <wp:positionV relativeFrom="paragraph">
            <wp:posOffset>0</wp:posOffset>
          </wp:positionV>
          <wp:extent cx="863600"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DA1B4D" w:rsidRDefault="00DA1B4D" w:rsidP="006F0A85">
    <w:pPr>
      <w:jc w:val="center"/>
      <w:rPr>
        <w:rFonts w:ascii="CG Times (W1)" w:hAnsi="CG Times (W1)"/>
        <w:sz w:val="28"/>
      </w:rPr>
    </w:pPr>
    <w:r>
      <w:rPr>
        <w:rFonts w:ascii="CG Times (W1)" w:hAnsi="CG Times (W1)"/>
        <w:sz w:val="28"/>
      </w:rPr>
      <w:t>Washington, D.C. 20554</w:t>
    </w:r>
  </w:p>
  <w:p w:rsidR="00DA1B4D" w:rsidRDefault="00DA1B4D" w:rsidP="006F0A85">
    <w:pPr>
      <w:jc w:val="center"/>
      <w:rPr>
        <w:rFonts w:ascii="CG Times (W1)" w:hAnsi="CG Times (W1)"/>
        <w:sz w:val="28"/>
      </w:rPr>
    </w:pPr>
  </w:p>
  <w:p w:rsidR="00DA1B4D" w:rsidRPr="00DC6C5B" w:rsidRDefault="0091480A" w:rsidP="0091480A">
    <w:pPr>
      <w:tabs>
        <w:tab w:val="left" w:pos="3936"/>
        <w:tab w:val="center" w:pos="4824"/>
      </w:tabs>
      <w:rPr>
        <w:sz w:val="22"/>
        <w:szCs w:val="22"/>
      </w:rPr>
    </w:pPr>
    <w:r>
      <w:rPr>
        <w:color w:val="000000" w:themeColor="text1"/>
        <w:sz w:val="22"/>
        <w:szCs w:val="22"/>
      </w:rPr>
      <w:tab/>
    </w:r>
    <w:r w:rsidR="002F4014">
      <w:rPr>
        <w:sz w:val="22"/>
        <w:szCs w:val="22"/>
      </w:rPr>
      <w:t xml:space="preserve">December </w:t>
    </w:r>
    <w:r w:rsidR="00C073CB">
      <w:rPr>
        <w:sz w:val="22"/>
        <w:szCs w:val="22"/>
      </w:rPr>
      <w:t>11</w:t>
    </w:r>
    <w:r w:rsidR="00DA1B4D" w:rsidRPr="00DC6C5B">
      <w:rPr>
        <w:sz w:val="22"/>
        <w:szCs w:val="22"/>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3FD"/>
    <w:multiLevelType w:val="hybridMultilevel"/>
    <w:tmpl w:val="4650E39C"/>
    <w:lvl w:ilvl="0" w:tplc="F4B8BCC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3397D"/>
    <w:multiLevelType w:val="hybridMultilevel"/>
    <w:tmpl w:val="E4729DF4"/>
    <w:lvl w:ilvl="0" w:tplc="04090001">
      <w:start w:val="1"/>
      <w:numFmt w:val="bullet"/>
      <w:lvlText w:val=""/>
      <w:lvlJc w:val="left"/>
      <w:pPr>
        <w:tabs>
          <w:tab w:val="num" w:pos="720"/>
        </w:tabs>
        <w:ind w:left="720" w:hanging="360"/>
      </w:pPr>
      <w:rPr>
        <w:rFonts w:ascii="Symbol" w:hAnsi="Symbol" w:hint="default"/>
      </w:rPr>
    </w:lvl>
    <w:lvl w:ilvl="1" w:tplc="399CA99E">
      <w:start w:val="1"/>
      <w:numFmt w:val="decimal"/>
      <w:lvlText w:val="%2."/>
      <w:lvlJc w:val="left"/>
      <w:pPr>
        <w:tabs>
          <w:tab w:val="num" w:pos="360"/>
        </w:tabs>
        <w:ind w:left="360" w:hanging="360"/>
      </w:pPr>
      <w:rPr>
        <w:rFonts w:hint="default"/>
        <w:b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CCE2A714">
      <w:start w:val="1"/>
      <w:numFmt w:val="upperLetter"/>
      <w:lvlText w:val="%7."/>
      <w:lvlJc w:val="left"/>
      <w:pPr>
        <w:ind w:left="5040" w:hanging="360"/>
      </w:pPr>
      <w:rPr>
        <w:rFonts w:hint="default"/>
        <w:u w:val="single"/>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163D2"/>
    <w:multiLevelType w:val="hybridMultilevel"/>
    <w:tmpl w:val="7DC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57648"/>
    <w:multiLevelType w:val="hybridMultilevel"/>
    <w:tmpl w:val="CF00C8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C922B2"/>
    <w:multiLevelType w:val="hybridMultilevel"/>
    <w:tmpl w:val="4DE013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2701E"/>
    <w:multiLevelType w:val="hybridMultilevel"/>
    <w:tmpl w:val="E086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B41C8"/>
    <w:multiLevelType w:val="hybridMultilevel"/>
    <w:tmpl w:val="CFB63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F7A76"/>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12E16D04"/>
    <w:multiLevelType w:val="hybridMultilevel"/>
    <w:tmpl w:val="6BC4A09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D329F4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90BB0"/>
    <w:multiLevelType w:val="hybridMultilevel"/>
    <w:tmpl w:val="3CA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871BC"/>
    <w:multiLevelType w:val="hybridMultilevel"/>
    <w:tmpl w:val="FD4863D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004108"/>
    <w:multiLevelType w:val="hybridMultilevel"/>
    <w:tmpl w:val="DB38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96C50"/>
    <w:multiLevelType w:val="hybridMultilevel"/>
    <w:tmpl w:val="C218C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AC21F00"/>
    <w:multiLevelType w:val="hybridMultilevel"/>
    <w:tmpl w:val="66B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D2B62"/>
    <w:multiLevelType w:val="hybridMultilevel"/>
    <w:tmpl w:val="7EA89A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920A4"/>
    <w:multiLevelType w:val="multilevel"/>
    <w:tmpl w:val="9E6885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F647218"/>
    <w:multiLevelType w:val="hybridMultilevel"/>
    <w:tmpl w:val="5378B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2426ED"/>
    <w:multiLevelType w:val="hybridMultilevel"/>
    <w:tmpl w:val="386E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00727"/>
    <w:multiLevelType w:val="hybridMultilevel"/>
    <w:tmpl w:val="C9C661D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182925"/>
    <w:multiLevelType w:val="singleLevel"/>
    <w:tmpl w:val="06C4CEF4"/>
    <w:lvl w:ilvl="0">
      <w:start w:val="1"/>
      <w:numFmt w:val="decimal"/>
      <w:lvlText w:val="%1."/>
      <w:lvlJc w:val="left"/>
      <w:pPr>
        <w:tabs>
          <w:tab w:val="num" w:pos="1080"/>
        </w:tabs>
        <w:ind w:left="0" w:firstLine="720"/>
      </w:pPr>
      <w:rPr>
        <w:rFonts w:ascii="Times New Roman" w:hAnsi="Times New Roman" w:cs="Times New Roman" w:hint="default"/>
        <w:b w:val="0"/>
        <w:color w:val="auto"/>
        <w:sz w:val="22"/>
        <w:szCs w:val="22"/>
      </w:rPr>
    </w:lvl>
  </w:abstractNum>
  <w:abstractNum w:abstractNumId="20">
    <w:nsid w:val="7B345E04"/>
    <w:multiLevelType w:val="hybridMultilevel"/>
    <w:tmpl w:val="98A0AB6E"/>
    <w:lvl w:ilvl="0" w:tplc="9E2808BA">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12"/>
  </w:num>
  <w:num w:numId="3">
    <w:abstractNumId w:val="6"/>
  </w:num>
  <w:num w:numId="4">
    <w:abstractNumId w:val="15"/>
  </w:num>
  <w:num w:numId="5">
    <w:abstractNumId w:val="7"/>
  </w:num>
  <w:num w:numId="6">
    <w:abstractNumId w:val="1"/>
  </w:num>
  <w:num w:numId="7">
    <w:abstractNumId w:val="14"/>
  </w:num>
  <w:num w:numId="8">
    <w:abstractNumId w:val="13"/>
  </w:num>
  <w:num w:numId="9">
    <w:abstractNumId w:val="8"/>
  </w:num>
  <w:num w:numId="10">
    <w:abstractNumId w:val="0"/>
  </w:num>
  <w:num w:numId="11">
    <w:abstractNumId w:val="16"/>
  </w:num>
  <w:num w:numId="12">
    <w:abstractNumId w:val="10"/>
  </w:num>
  <w:num w:numId="13">
    <w:abstractNumId w:val="18"/>
  </w:num>
  <w:num w:numId="14">
    <w:abstractNumId w:val="3"/>
  </w:num>
  <w:num w:numId="15">
    <w:abstractNumId w:val="4"/>
  </w:num>
  <w:num w:numId="16">
    <w:abstractNumId w:val="17"/>
  </w:num>
  <w:num w:numId="17">
    <w:abstractNumId w:val="11"/>
  </w:num>
  <w:num w:numId="18">
    <w:abstractNumId w:val="19"/>
  </w:num>
  <w:num w:numId="19">
    <w:abstractNumId w:val="2"/>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AE"/>
    <w:rsid w:val="0002108E"/>
    <w:rsid w:val="00026FF1"/>
    <w:rsid w:val="00034811"/>
    <w:rsid w:val="00035AC6"/>
    <w:rsid w:val="000451CC"/>
    <w:rsid w:val="000661F4"/>
    <w:rsid w:val="00071699"/>
    <w:rsid w:val="00077E4B"/>
    <w:rsid w:val="00084778"/>
    <w:rsid w:val="000C0C42"/>
    <w:rsid w:val="000C1868"/>
    <w:rsid w:val="000D325C"/>
    <w:rsid w:val="000E1EC8"/>
    <w:rsid w:val="000F7DC9"/>
    <w:rsid w:val="001157F7"/>
    <w:rsid w:val="001169EA"/>
    <w:rsid w:val="00117541"/>
    <w:rsid w:val="001403F4"/>
    <w:rsid w:val="001408E0"/>
    <w:rsid w:val="00142E52"/>
    <w:rsid w:val="001461D2"/>
    <w:rsid w:val="00186C2C"/>
    <w:rsid w:val="001A3268"/>
    <w:rsid w:val="001C0034"/>
    <w:rsid w:val="001C2F18"/>
    <w:rsid w:val="001E4FCF"/>
    <w:rsid w:val="002141DD"/>
    <w:rsid w:val="0021782A"/>
    <w:rsid w:val="00226499"/>
    <w:rsid w:val="00226626"/>
    <w:rsid w:val="002370A4"/>
    <w:rsid w:val="00251F2B"/>
    <w:rsid w:val="00262BCE"/>
    <w:rsid w:val="002644FB"/>
    <w:rsid w:val="002727B7"/>
    <w:rsid w:val="00273E48"/>
    <w:rsid w:val="002844A7"/>
    <w:rsid w:val="00295A96"/>
    <w:rsid w:val="002A1028"/>
    <w:rsid w:val="002B3D88"/>
    <w:rsid w:val="002D18E0"/>
    <w:rsid w:val="002D3A23"/>
    <w:rsid w:val="002E512D"/>
    <w:rsid w:val="002F4014"/>
    <w:rsid w:val="00352DF6"/>
    <w:rsid w:val="0035458A"/>
    <w:rsid w:val="003700DF"/>
    <w:rsid w:val="00372A4F"/>
    <w:rsid w:val="003937A0"/>
    <w:rsid w:val="0039511A"/>
    <w:rsid w:val="003B5FFC"/>
    <w:rsid w:val="003C4393"/>
    <w:rsid w:val="003E6C1F"/>
    <w:rsid w:val="003F6B72"/>
    <w:rsid w:val="00400C2E"/>
    <w:rsid w:val="00415D62"/>
    <w:rsid w:val="00432FE0"/>
    <w:rsid w:val="00471AB3"/>
    <w:rsid w:val="00493FE5"/>
    <w:rsid w:val="004A4449"/>
    <w:rsid w:val="004B2292"/>
    <w:rsid w:val="004D5682"/>
    <w:rsid w:val="005009E9"/>
    <w:rsid w:val="0050520D"/>
    <w:rsid w:val="005572B0"/>
    <w:rsid w:val="005765A8"/>
    <w:rsid w:val="005E36BE"/>
    <w:rsid w:val="005F3B98"/>
    <w:rsid w:val="0061068D"/>
    <w:rsid w:val="006117B9"/>
    <w:rsid w:val="00632548"/>
    <w:rsid w:val="00643481"/>
    <w:rsid w:val="00643A1B"/>
    <w:rsid w:val="0064441B"/>
    <w:rsid w:val="0066052B"/>
    <w:rsid w:val="00675A81"/>
    <w:rsid w:val="00694606"/>
    <w:rsid w:val="006B1DC0"/>
    <w:rsid w:val="006B5BA3"/>
    <w:rsid w:val="006D356E"/>
    <w:rsid w:val="006F0A85"/>
    <w:rsid w:val="006F23E5"/>
    <w:rsid w:val="006F4A3B"/>
    <w:rsid w:val="0070016D"/>
    <w:rsid w:val="007256AB"/>
    <w:rsid w:val="00725AD3"/>
    <w:rsid w:val="00727B75"/>
    <w:rsid w:val="00734391"/>
    <w:rsid w:val="00786385"/>
    <w:rsid w:val="007A6001"/>
    <w:rsid w:val="007D3E1C"/>
    <w:rsid w:val="00825EA9"/>
    <w:rsid w:val="00832A5A"/>
    <w:rsid w:val="00840D90"/>
    <w:rsid w:val="00854DEC"/>
    <w:rsid w:val="0087133B"/>
    <w:rsid w:val="00882C52"/>
    <w:rsid w:val="008869A1"/>
    <w:rsid w:val="008A4306"/>
    <w:rsid w:val="008E262F"/>
    <w:rsid w:val="0091480A"/>
    <w:rsid w:val="0091729D"/>
    <w:rsid w:val="00917DE1"/>
    <w:rsid w:val="00923940"/>
    <w:rsid w:val="00925990"/>
    <w:rsid w:val="009309BC"/>
    <w:rsid w:val="0093240F"/>
    <w:rsid w:val="009445AF"/>
    <w:rsid w:val="00962E01"/>
    <w:rsid w:val="00976CDA"/>
    <w:rsid w:val="00990118"/>
    <w:rsid w:val="009A01C7"/>
    <w:rsid w:val="009C00B3"/>
    <w:rsid w:val="009D3E3D"/>
    <w:rsid w:val="009D56EF"/>
    <w:rsid w:val="009E611C"/>
    <w:rsid w:val="009F4AAB"/>
    <w:rsid w:val="00A011F4"/>
    <w:rsid w:val="00A03C0A"/>
    <w:rsid w:val="00A124DA"/>
    <w:rsid w:val="00A17189"/>
    <w:rsid w:val="00A21E78"/>
    <w:rsid w:val="00A32324"/>
    <w:rsid w:val="00A45116"/>
    <w:rsid w:val="00A628A6"/>
    <w:rsid w:val="00A66A61"/>
    <w:rsid w:val="00A717A0"/>
    <w:rsid w:val="00A84B6E"/>
    <w:rsid w:val="00A869D1"/>
    <w:rsid w:val="00AA12D6"/>
    <w:rsid w:val="00AB3790"/>
    <w:rsid w:val="00AB499F"/>
    <w:rsid w:val="00AC1705"/>
    <w:rsid w:val="00AD6392"/>
    <w:rsid w:val="00B34CAD"/>
    <w:rsid w:val="00B35BC0"/>
    <w:rsid w:val="00B440FD"/>
    <w:rsid w:val="00B717BB"/>
    <w:rsid w:val="00B747A3"/>
    <w:rsid w:val="00B8012C"/>
    <w:rsid w:val="00BC75C7"/>
    <w:rsid w:val="00BE38BF"/>
    <w:rsid w:val="00C073CB"/>
    <w:rsid w:val="00C24C68"/>
    <w:rsid w:val="00C254A1"/>
    <w:rsid w:val="00C40EB9"/>
    <w:rsid w:val="00C62143"/>
    <w:rsid w:val="00C73C31"/>
    <w:rsid w:val="00CA6265"/>
    <w:rsid w:val="00CB1F47"/>
    <w:rsid w:val="00CE7061"/>
    <w:rsid w:val="00CE73FE"/>
    <w:rsid w:val="00CF3813"/>
    <w:rsid w:val="00D12D16"/>
    <w:rsid w:val="00D13C80"/>
    <w:rsid w:val="00D154B8"/>
    <w:rsid w:val="00D2129E"/>
    <w:rsid w:val="00D31989"/>
    <w:rsid w:val="00D45B59"/>
    <w:rsid w:val="00D50F31"/>
    <w:rsid w:val="00D708E7"/>
    <w:rsid w:val="00D80CDD"/>
    <w:rsid w:val="00D96B1A"/>
    <w:rsid w:val="00DA10AE"/>
    <w:rsid w:val="00DA1B4D"/>
    <w:rsid w:val="00DB3FBC"/>
    <w:rsid w:val="00DB6F3B"/>
    <w:rsid w:val="00DC6C5B"/>
    <w:rsid w:val="00DD201B"/>
    <w:rsid w:val="00DF28C6"/>
    <w:rsid w:val="00E01A35"/>
    <w:rsid w:val="00E13E73"/>
    <w:rsid w:val="00E2494E"/>
    <w:rsid w:val="00E30B3D"/>
    <w:rsid w:val="00E3227C"/>
    <w:rsid w:val="00E33982"/>
    <w:rsid w:val="00E378CF"/>
    <w:rsid w:val="00E55286"/>
    <w:rsid w:val="00E66742"/>
    <w:rsid w:val="00E707E4"/>
    <w:rsid w:val="00E90A28"/>
    <w:rsid w:val="00EA4A4A"/>
    <w:rsid w:val="00EB3695"/>
    <w:rsid w:val="00EB6810"/>
    <w:rsid w:val="00EC4BBE"/>
    <w:rsid w:val="00ED797B"/>
    <w:rsid w:val="00EF23BE"/>
    <w:rsid w:val="00F20474"/>
    <w:rsid w:val="00F2332D"/>
    <w:rsid w:val="00F35266"/>
    <w:rsid w:val="00F5238D"/>
    <w:rsid w:val="00F56E2D"/>
    <w:rsid w:val="00F6159F"/>
    <w:rsid w:val="00F65036"/>
    <w:rsid w:val="00F7271A"/>
    <w:rsid w:val="00F81A06"/>
    <w:rsid w:val="00F95A94"/>
    <w:rsid w:val="00F95F8A"/>
    <w:rsid w:val="00F9618A"/>
    <w:rsid w:val="00FD20EC"/>
    <w:rsid w:val="00FE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ParaNum">
    <w:name w:val="ParaNum"/>
    <w:basedOn w:val="Normal"/>
    <w:link w:val="ParaNumChar1"/>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 Char Char,ALTS FOOTNOTE,fn"/>
    <w:basedOn w:val="Normal"/>
    <w:link w:val="FootnoteTextChar"/>
    <w:rsid w:val="00DB6F3B"/>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rsid w:val="00DB6F3B"/>
  </w:style>
  <w:style w:type="character" w:styleId="FootnoteReference">
    <w:name w:val="footnote reference"/>
    <w:aliases w:val="Appel note de bas de p,Style 12,(NECG) Footnote Reference,Style 124,o,fr,Style 3,Style 13,FR,Style 17,Style 6,Footnote Reference/,Style 7"/>
    <w:rsid w:val="00DB6F3B"/>
    <w:rPr>
      <w:vertAlign w:val="superscript"/>
    </w:rPr>
  </w:style>
  <w:style w:type="character" w:customStyle="1" w:styleId="ParaNumChar1">
    <w:name w:val="ParaNum Char1"/>
    <w:link w:val="ParaNum"/>
    <w:rsid w:val="00DB6F3B"/>
    <w:rPr>
      <w:snapToGrid w:val="0"/>
      <w:kern w:val="28"/>
      <w:sz w:val="22"/>
    </w:rPr>
  </w:style>
  <w:style w:type="paragraph" w:customStyle="1" w:styleId="ColorfulList-Accent11">
    <w:name w:val="Colorful List - Accent 11"/>
    <w:basedOn w:val="Normal"/>
    <w:uiPriority w:val="34"/>
    <w:qFormat/>
    <w:rsid w:val="00DB6F3B"/>
    <w:pPr>
      <w:ind w:left="720"/>
    </w:pPr>
    <w:rPr>
      <w:sz w:val="20"/>
    </w:rPr>
  </w:style>
  <w:style w:type="paragraph" w:styleId="ListParagraph">
    <w:name w:val="List Paragraph"/>
    <w:basedOn w:val="Normal"/>
    <w:uiPriority w:val="34"/>
    <w:qFormat/>
    <w:rsid w:val="00DB6F3B"/>
    <w:pPr>
      <w:ind w:left="720"/>
    </w:pPr>
    <w:rPr>
      <w:sz w:val="20"/>
    </w:rPr>
  </w:style>
  <w:style w:type="character" w:customStyle="1" w:styleId="FooterChar">
    <w:name w:val="Footer Char"/>
    <w:basedOn w:val="DefaultParagraphFont"/>
    <w:link w:val="Footer"/>
    <w:uiPriority w:val="99"/>
    <w:rsid w:val="00694606"/>
    <w:rPr>
      <w:sz w:val="24"/>
    </w:rPr>
  </w:style>
  <w:style w:type="character" w:styleId="Strong">
    <w:name w:val="Strong"/>
    <w:basedOn w:val="DefaultParagraphFont"/>
    <w:uiPriority w:val="22"/>
    <w:qFormat/>
    <w:rsid w:val="006B1DC0"/>
    <w:rPr>
      <w:b/>
      <w:bCs/>
    </w:rPr>
  </w:style>
  <w:style w:type="character" w:customStyle="1" w:styleId="ParaNumChar2">
    <w:name w:val="ParaNum Char2"/>
    <w:rsid w:val="002E512D"/>
    <w:rPr>
      <w:snapToGrid w:val="0"/>
      <w:kern w:val="28"/>
      <w:sz w:val="22"/>
      <w:lang w:val="en-US" w:eastAsia="en-US" w:bidi="ar-SA"/>
    </w:rPr>
  </w:style>
  <w:style w:type="paragraph" w:customStyle="1" w:styleId="Foonotetext">
    <w:name w:val="Foonote text"/>
    <w:aliases w:val="char3"/>
    <w:basedOn w:val="Normal"/>
    <w:autoRedefine/>
    <w:rsid w:val="002E512D"/>
    <w:pPr>
      <w:widowControl w:val="0"/>
      <w:spacing w:after="120"/>
    </w:pPr>
    <w:rPr>
      <w:snapToGrid w:val="0"/>
      <w:kern w:val="28"/>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ParaNum">
    <w:name w:val="ParaNum"/>
    <w:basedOn w:val="Normal"/>
    <w:link w:val="ParaNumChar1"/>
    <w:pPr>
      <w:widowControl w:val="0"/>
      <w:spacing w:after="220"/>
      <w:jc w:val="both"/>
    </w:pPr>
    <w:rPr>
      <w:snapToGrid w:val="0"/>
      <w:kern w:val="28"/>
      <w:sz w:val="2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2 Char Char,ALTS FOOTNOTE,fn"/>
    <w:basedOn w:val="Normal"/>
    <w:link w:val="FootnoteTextChar"/>
    <w:rsid w:val="00DB6F3B"/>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rsid w:val="00DB6F3B"/>
  </w:style>
  <w:style w:type="character" w:styleId="FootnoteReference">
    <w:name w:val="footnote reference"/>
    <w:aliases w:val="Appel note de bas de p,Style 12,(NECG) Footnote Reference,Style 124,o,fr,Style 3,Style 13,FR,Style 17,Style 6,Footnote Reference/,Style 7"/>
    <w:rsid w:val="00DB6F3B"/>
    <w:rPr>
      <w:vertAlign w:val="superscript"/>
    </w:rPr>
  </w:style>
  <w:style w:type="character" w:customStyle="1" w:styleId="ParaNumChar1">
    <w:name w:val="ParaNum Char1"/>
    <w:link w:val="ParaNum"/>
    <w:rsid w:val="00DB6F3B"/>
    <w:rPr>
      <w:snapToGrid w:val="0"/>
      <w:kern w:val="28"/>
      <w:sz w:val="22"/>
    </w:rPr>
  </w:style>
  <w:style w:type="paragraph" w:customStyle="1" w:styleId="ColorfulList-Accent11">
    <w:name w:val="Colorful List - Accent 11"/>
    <w:basedOn w:val="Normal"/>
    <w:uiPriority w:val="34"/>
    <w:qFormat/>
    <w:rsid w:val="00DB6F3B"/>
    <w:pPr>
      <w:ind w:left="720"/>
    </w:pPr>
    <w:rPr>
      <w:sz w:val="20"/>
    </w:rPr>
  </w:style>
  <w:style w:type="paragraph" w:styleId="ListParagraph">
    <w:name w:val="List Paragraph"/>
    <w:basedOn w:val="Normal"/>
    <w:uiPriority w:val="34"/>
    <w:qFormat/>
    <w:rsid w:val="00DB6F3B"/>
    <w:pPr>
      <w:ind w:left="720"/>
    </w:pPr>
    <w:rPr>
      <w:sz w:val="20"/>
    </w:rPr>
  </w:style>
  <w:style w:type="character" w:customStyle="1" w:styleId="FooterChar">
    <w:name w:val="Footer Char"/>
    <w:basedOn w:val="DefaultParagraphFont"/>
    <w:link w:val="Footer"/>
    <w:uiPriority w:val="99"/>
    <w:rsid w:val="00694606"/>
    <w:rPr>
      <w:sz w:val="24"/>
    </w:rPr>
  </w:style>
  <w:style w:type="character" w:styleId="Strong">
    <w:name w:val="Strong"/>
    <w:basedOn w:val="DefaultParagraphFont"/>
    <w:uiPriority w:val="22"/>
    <w:qFormat/>
    <w:rsid w:val="006B1DC0"/>
    <w:rPr>
      <w:b/>
      <w:bCs/>
    </w:rPr>
  </w:style>
  <w:style w:type="character" w:customStyle="1" w:styleId="ParaNumChar2">
    <w:name w:val="ParaNum Char2"/>
    <w:rsid w:val="002E512D"/>
    <w:rPr>
      <w:snapToGrid w:val="0"/>
      <w:kern w:val="28"/>
      <w:sz w:val="22"/>
      <w:lang w:val="en-US" w:eastAsia="en-US" w:bidi="ar-SA"/>
    </w:rPr>
  </w:style>
  <w:style w:type="paragraph" w:customStyle="1" w:styleId="Foonotetext">
    <w:name w:val="Foonote text"/>
    <w:aliases w:val="char3"/>
    <w:basedOn w:val="Normal"/>
    <w:autoRedefine/>
    <w:rsid w:val="002E512D"/>
    <w:pPr>
      <w:widowControl w:val="0"/>
      <w:spacing w:after="120"/>
    </w:pPr>
    <w:rPr>
      <w:snapToGrid w:val="0"/>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500749">
      <w:bodyDiv w:val="1"/>
      <w:marLeft w:val="0"/>
      <w:marRight w:val="0"/>
      <w:marTop w:val="0"/>
      <w:marBottom w:val="0"/>
      <w:divBdr>
        <w:top w:val="none" w:sz="0" w:space="0" w:color="auto"/>
        <w:left w:val="none" w:sz="0" w:space="0" w:color="auto"/>
        <w:bottom w:val="none" w:sz="0" w:space="0" w:color="auto"/>
        <w:right w:val="none" w:sz="0" w:space="0" w:color="auto"/>
      </w:divBdr>
      <w:divsChild>
        <w:div w:id="344408144">
          <w:marLeft w:val="0"/>
          <w:marRight w:val="0"/>
          <w:marTop w:val="0"/>
          <w:marBottom w:val="0"/>
          <w:divBdr>
            <w:top w:val="none" w:sz="0" w:space="0" w:color="auto"/>
            <w:left w:val="none" w:sz="0" w:space="0" w:color="auto"/>
            <w:bottom w:val="none" w:sz="0" w:space="0" w:color="auto"/>
            <w:right w:val="none" w:sz="0" w:space="0" w:color="auto"/>
          </w:divBdr>
        </w:div>
        <w:div w:id="1635870835">
          <w:marLeft w:val="600"/>
          <w:marRight w:val="0"/>
          <w:marTop w:val="0"/>
          <w:marBottom w:val="0"/>
          <w:divBdr>
            <w:top w:val="none" w:sz="0" w:space="0" w:color="auto"/>
            <w:left w:val="none" w:sz="0" w:space="0" w:color="auto"/>
            <w:bottom w:val="none" w:sz="0" w:space="0" w:color="auto"/>
            <w:right w:val="none" w:sz="0" w:space="0" w:color="auto"/>
          </w:divBdr>
        </w:div>
        <w:div w:id="1010521918">
          <w:marLeft w:val="600"/>
          <w:marRight w:val="0"/>
          <w:marTop w:val="0"/>
          <w:marBottom w:val="0"/>
          <w:divBdr>
            <w:top w:val="none" w:sz="0" w:space="0" w:color="auto"/>
            <w:left w:val="none" w:sz="0" w:space="0" w:color="auto"/>
            <w:bottom w:val="none" w:sz="0" w:space="0" w:color="auto"/>
            <w:right w:val="none" w:sz="0" w:space="0" w:color="auto"/>
          </w:divBdr>
        </w:div>
        <w:div w:id="2032995146">
          <w:marLeft w:val="600"/>
          <w:marRight w:val="0"/>
          <w:marTop w:val="0"/>
          <w:marBottom w:val="0"/>
          <w:divBdr>
            <w:top w:val="none" w:sz="0" w:space="0" w:color="auto"/>
            <w:left w:val="none" w:sz="0" w:space="0" w:color="auto"/>
            <w:bottom w:val="none" w:sz="0" w:space="0" w:color="auto"/>
            <w:right w:val="none" w:sz="0" w:space="0" w:color="auto"/>
          </w:divBdr>
        </w:div>
        <w:div w:id="520776508">
          <w:marLeft w:val="600"/>
          <w:marRight w:val="0"/>
          <w:marTop w:val="0"/>
          <w:marBottom w:val="0"/>
          <w:divBdr>
            <w:top w:val="none" w:sz="0" w:space="0" w:color="auto"/>
            <w:left w:val="none" w:sz="0" w:space="0" w:color="auto"/>
            <w:bottom w:val="none" w:sz="0" w:space="0" w:color="auto"/>
            <w:right w:val="none" w:sz="0" w:space="0" w:color="auto"/>
          </w:divBdr>
        </w:div>
        <w:div w:id="2034921868">
          <w:marLeft w:val="600"/>
          <w:marRight w:val="0"/>
          <w:marTop w:val="0"/>
          <w:marBottom w:val="0"/>
          <w:divBdr>
            <w:top w:val="none" w:sz="0" w:space="0" w:color="auto"/>
            <w:left w:val="none" w:sz="0" w:space="0" w:color="auto"/>
            <w:bottom w:val="none" w:sz="0" w:space="0" w:color="auto"/>
            <w:right w:val="none" w:sz="0" w:space="0" w:color="auto"/>
          </w:divBdr>
        </w:div>
        <w:div w:id="819888024">
          <w:marLeft w:val="600"/>
          <w:marRight w:val="0"/>
          <w:marTop w:val="0"/>
          <w:marBottom w:val="0"/>
          <w:divBdr>
            <w:top w:val="none" w:sz="0" w:space="0" w:color="auto"/>
            <w:left w:val="none" w:sz="0" w:space="0" w:color="auto"/>
            <w:bottom w:val="none" w:sz="0" w:space="0" w:color="auto"/>
            <w:right w:val="none" w:sz="0" w:space="0" w:color="auto"/>
          </w:divBdr>
        </w:div>
        <w:div w:id="395399618">
          <w:marLeft w:val="0"/>
          <w:marRight w:val="0"/>
          <w:marTop w:val="0"/>
          <w:marBottom w:val="0"/>
          <w:divBdr>
            <w:top w:val="none" w:sz="0" w:space="0" w:color="auto"/>
            <w:left w:val="none" w:sz="0" w:space="0" w:color="auto"/>
            <w:bottom w:val="none" w:sz="0" w:space="0" w:color="auto"/>
            <w:right w:val="none" w:sz="0" w:space="0" w:color="auto"/>
          </w:divBdr>
        </w:div>
        <w:div w:id="245765729">
          <w:marLeft w:val="0"/>
          <w:marRight w:val="0"/>
          <w:marTop w:val="0"/>
          <w:marBottom w:val="0"/>
          <w:divBdr>
            <w:top w:val="none" w:sz="0" w:space="0" w:color="auto"/>
            <w:left w:val="none" w:sz="0" w:space="0" w:color="auto"/>
            <w:bottom w:val="none" w:sz="0" w:space="0" w:color="auto"/>
            <w:right w:val="none" w:sz="0" w:space="0" w:color="auto"/>
          </w:divBdr>
        </w:div>
        <w:div w:id="423116841">
          <w:marLeft w:val="600"/>
          <w:marRight w:val="0"/>
          <w:marTop w:val="0"/>
          <w:marBottom w:val="0"/>
          <w:divBdr>
            <w:top w:val="none" w:sz="0" w:space="0" w:color="auto"/>
            <w:left w:val="none" w:sz="0" w:space="0" w:color="auto"/>
            <w:bottom w:val="none" w:sz="0" w:space="0" w:color="auto"/>
            <w:right w:val="none" w:sz="0" w:space="0" w:color="auto"/>
          </w:divBdr>
        </w:div>
        <w:div w:id="2004892630">
          <w:marLeft w:val="600"/>
          <w:marRight w:val="0"/>
          <w:marTop w:val="0"/>
          <w:marBottom w:val="0"/>
          <w:divBdr>
            <w:top w:val="none" w:sz="0" w:space="0" w:color="auto"/>
            <w:left w:val="none" w:sz="0" w:space="0" w:color="auto"/>
            <w:bottom w:val="none" w:sz="0" w:space="0" w:color="auto"/>
            <w:right w:val="none" w:sz="0" w:space="0" w:color="auto"/>
          </w:divBdr>
        </w:div>
        <w:div w:id="371275129">
          <w:marLeft w:val="600"/>
          <w:marRight w:val="0"/>
          <w:marTop w:val="0"/>
          <w:marBottom w:val="0"/>
          <w:divBdr>
            <w:top w:val="none" w:sz="0" w:space="0" w:color="auto"/>
            <w:left w:val="none" w:sz="0" w:space="0" w:color="auto"/>
            <w:bottom w:val="none" w:sz="0" w:space="0" w:color="auto"/>
            <w:right w:val="none" w:sz="0" w:space="0" w:color="auto"/>
          </w:divBdr>
        </w:div>
        <w:div w:id="61175161">
          <w:marLeft w:val="600"/>
          <w:marRight w:val="0"/>
          <w:marTop w:val="0"/>
          <w:marBottom w:val="0"/>
          <w:divBdr>
            <w:top w:val="none" w:sz="0" w:space="0" w:color="auto"/>
            <w:left w:val="none" w:sz="0" w:space="0" w:color="auto"/>
            <w:bottom w:val="none" w:sz="0" w:space="0" w:color="auto"/>
            <w:right w:val="none" w:sz="0" w:space="0" w:color="auto"/>
          </w:divBdr>
        </w:div>
        <w:div w:id="1088649013">
          <w:marLeft w:val="600"/>
          <w:marRight w:val="0"/>
          <w:marTop w:val="0"/>
          <w:marBottom w:val="0"/>
          <w:divBdr>
            <w:top w:val="none" w:sz="0" w:space="0" w:color="auto"/>
            <w:left w:val="none" w:sz="0" w:space="0" w:color="auto"/>
            <w:bottom w:val="none" w:sz="0" w:space="0" w:color="auto"/>
            <w:right w:val="none" w:sz="0" w:space="0" w:color="auto"/>
          </w:divBdr>
        </w:div>
        <w:div w:id="1671635663">
          <w:marLeft w:val="0"/>
          <w:marRight w:val="0"/>
          <w:marTop w:val="0"/>
          <w:marBottom w:val="0"/>
          <w:divBdr>
            <w:top w:val="none" w:sz="0" w:space="0" w:color="auto"/>
            <w:left w:val="none" w:sz="0" w:space="0" w:color="auto"/>
            <w:bottom w:val="none" w:sz="0" w:space="0" w:color="auto"/>
            <w:right w:val="none" w:sz="0" w:space="0" w:color="auto"/>
          </w:divBdr>
        </w:div>
        <w:div w:id="1886678848">
          <w:marLeft w:val="0"/>
          <w:marRight w:val="0"/>
          <w:marTop w:val="0"/>
          <w:marBottom w:val="0"/>
          <w:divBdr>
            <w:top w:val="none" w:sz="0" w:space="0" w:color="auto"/>
            <w:left w:val="none" w:sz="0" w:space="0" w:color="auto"/>
            <w:bottom w:val="none" w:sz="0" w:space="0" w:color="auto"/>
            <w:right w:val="none" w:sz="0" w:space="0" w:color="auto"/>
          </w:divBdr>
        </w:div>
        <w:div w:id="450632568">
          <w:marLeft w:val="600"/>
          <w:marRight w:val="0"/>
          <w:marTop w:val="0"/>
          <w:marBottom w:val="0"/>
          <w:divBdr>
            <w:top w:val="none" w:sz="0" w:space="0" w:color="auto"/>
            <w:left w:val="none" w:sz="0" w:space="0" w:color="auto"/>
            <w:bottom w:val="none" w:sz="0" w:space="0" w:color="auto"/>
            <w:right w:val="none" w:sz="0" w:space="0" w:color="auto"/>
          </w:divBdr>
        </w:div>
        <w:div w:id="1436830739">
          <w:marLeft w:val="600"/>
          <w:marRight w:val="0"/>
          <w:marTop w:val="0"/>
          <w:marBottom w:val="0"/>
          <w:divBdr>
            <w:top w:val="none" w:sz="0" w:space="0" w:color="auto"/>
            <w:left w:val="none" w:sz="0" w:space="0" w:color="auto"/>
            <w:bottom w:val="none" w:sz="0" w:space="0" w:color="auto"/>
            <w:right w:val="none" w:sz="0" w:space="0" w:color="auto"/>
          </w:divBdr>
        </w:div>
        <w:div w:id="377819538">
          <w:marLeft w:val="600"/>
          <w:marRight w:val="0"/>
          <w:marTop w:val="0"/>
          <w:marBottom w:val="0"/>
          <w:divBdr>
            <w:top w:val="none" w:sz="0" w:space="0" w:color="auto"/>
            <w:left w:val="none" w:sz="0" w:space="0" w:color="auto"/>
            <w:bottom w:val="none" w:sz="0" w:space="0" w:color="auto"/>
            <w:right w:val="none" w:sz="0" w:space="0" w:color="auto"/>
          </w:divBdr>
        </w:div>
        <w:div w:id="290795610">
          <w:marLeft w:val="600"/>
          <w:marRight w:val="0"/>
          <w:marTop w:val="0"/>
          <w:marBottom w:val="0"/>
          <w:divBdr>
            <w:top w:val="none" w:sz="0" w:space="0" w:color="auto"/>
            <w:left w:val="none" w:sz="0" w:space="0" w:color="auto"/>
            <w:bottom w:val="none" w:sz="0" w:space="0" w:color="auto"/>
            <w:right w:val="none" w:sz="0" w:space="0" w:color="auto"/>
          </w:divBdr>
        </w:div>
        <w:div w:id="197992016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guides/how-file-paper-documents-fcc" TargetMode="External"/><Relationship Id="rId13" Type="http://schemas.openxmlformats.org/officeDocument/2006/relationships/hyperlink" Target="http://www.fcc.gov/article/fcc-14-28a5" TargetMode="External"/><Relationship Id="rId18" Type="http://schemas.openxmlformats.org/officeDocument/2006/relationships/hyperlink" Target="http://transition.fcc.gov/Forms/Form315/315.pdf"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cc.gov/article/fcc-14-28a4" TargetMode="External"/><Relationship Id="rId17" Type="http://schemas.openxmlformats.org/officeDocument/2006/relationships/hyperlink" Target="http://transition.fcc.gov/Forms/Form314/314.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transition.fcc.gov/Forms/Form2100/2100instructions.pdf" TargetMode="External"/><Relationship Id="rId20" Type="http://schemas.openxmlformats.org/officeDocument/2006/relationships/hyperlink" Target="http://www.gpo.gov/fdsys/pkg/CFR-2013-title47-vol4/pdf/CFR-2013-title47-vol4-sec73-3555.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article/fcc-14-28a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article/fcc-14-28a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cc.gov/article/fcc-14-28a2" TargetMode="External"/><Relationship Id="rId19" Type="http://schemas.openxmlformats.org/officeDocument/2006/relationships/hyperlink" Target="http://transition.fcc.gov/Forms/Form323/323.pdf" TargetMode="External"/><Relationship Id="rId4" Type="http://schemas.openxmlformats.org/officeDocument/2006/relationships/settings" Target="settings.xml"/><Relationship Id="rId9" Type="http://schemas.openxmlformats.org/officeDocument/2006/relationships/hyperlink" Target="http://www.fcc.gov/document/2014-quadrennial-regulatory-review" TargetMode="External"/><Relationship Id="rId14" Type="http://schemas.openxmlformats.org/officeDocument/2006/relationships/hyperlink" Target="http://www.fcc.gov/article/fcc-14-28a6"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5</Pages>
  <Words>1977</Words>
  <Characters>11710</Characters>
  <Application>Microsoft Office Word</Application>
  <DocSecurity>0</DocSecurity>
  <Lines>226</Lines>
  <Paragraphs>81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13744</CharactersWithSpaces>
  <SharedDoc>false</SharedDoc>
  <HyperlinkBase> </HyperlinkBase>
  <HLinks>
    <vt:vector size="96" baseType="variant">
      <vt:variant>
        <vt:i4>7209078</vt:i4>
      </vt:variant>
      <vt:variant>
        <vt:i4>45</vt:i4>
      </vt:variant>
      <vt:variant>
        <vt:i4>0</vt:i4>
      </vt:variant>
      <vt:variant>
        <vt:i4>5</vt:i4>
      </vt:variant>
      <vt:variant>
        <vt:lpwstr>http://www.fcc.gov/oet/ea/</vt:lpwstr>
      </vt:variant>
      <vt:variant>
        <vt:lpwstr/>
      </vt:variant>
      <vt:variant>
        <vt:i4>4259959</vt:i4>
      </vt:variant>
      <vt:variant>
        <vt:i4>42</vt:i4>
      </vt:variant>
      <vt:variant>
        <vt:i4>0</vt:i4>
      </vt:variant>
      <vt:variant>
        <vt:i4>5</vt:i4>
      </vt:variant>
      <vt:variant>
        <vt:lpwstr>http://hraunfoss.fcc.gov/edocs_public/attachmatch/FCC-12-36A1.txt</vt:lpwstr>
      </vt:variant>
      <vt:variant>
        <vt:lpwstr/>
      </vt:variant>
      <vt:variant>
        <vt:i4>6094963</vt:i4>
      </vt:variant>
      <vt:variant>
        <vt:i4>39</vt:i4>
      </vt:variant>
      <vt:variant>
        <vt:i4>0</vt:i4>
      </vt:variant>
      <vt:variant>
        <vt:i4>5</vt:i4>
      </vt:variant>
      <vt:variant>
        <vt:lpwstr>http://hraunfoss.fcc.gov/edocs_public/attachmatch/FCC-12-36A1.pdf</vt:lpwstr>
      </vt:variant>
      <vt:variant>
        <vt:lpwstr/>
      </vt:variant>
      <vt:variant>
        <vt:i4>5636199</vt:i4>
      </vt:variant>
      <vt:variant>
        <vt:i4>36</vt:i4>
      </vt:variant>
      <vt:variant>
        <vt:i4>0</vt:i4>
      </vt:variant>
      <vt:variant>
        <vt:i4>5</vt:i4>
      </vt:variant>
      <vt:variant>
        <vt:lpwstr>http://hraunfoss.fcc.gov/edocs_public/attachmatch/FCC-12-36A1.doc</vt:lpwstr>
      </vt:variant>
      <vt:variant>
        <vt:lpwstr/>
      </vt:variant>
      <vt:variant>
        <vt:i4>7536644</vt:i4>
      </vt:variant>
      <vt:variant>
        <vt:i4>33</vt:i4>
      </vt:variant>
      <vt:variant>
        <vt:i4>0</vt:i4>
      </vt:variant>
      <vt:variant>
        <vt:i4>5</vt:i4>
      </vt:variant>
      <vt:variant>
        <vt:lpwstr>http://hraunfoss.fcc.gov/edocs_public/attachmatch/FCC-10-174A1.txt</vt:lpwstr>
      </vt:variant>
      <vt:variant>
        <vt:lpwstr/>
      </vt:variant>
      <vt:variant>
        <vt:i4>6619160</vt:i4>
      </vt:variant>
      <vt:variant>
        <vt:i4>30</vt:i4>
      </vt:variant>
      <vt:variant>
        <vt:i4>0</vt:i4>
      </vt:variant>
      <vt:variant>
        <vt:i4>5</vt:i4>
      </vt:variant>
      <vt:variant>
        <vt:lpwstr>http://hraunfoss.fcc.gov/edocs_public/attachmatch/FCC-10-174A1.pdf</vt:lpwstr>
      </vt:variant>
      <vt:variant>
        <vt:lpwstr/>
      </vt:variant>
      <vt:variant>
        <vt:i4>7602195</vt:i4>
      </vt:variant>
      <vt:variant>
        <vt:i4>27</vt:i4>
      </vt:variant>
      <vt:variant>
        <vt:i4>0</vt:i4>
      </vt:variant>
      <vt:variant>
        <vt:i4>5</vt:i4>
      </vt:variant>
      <vt:variant>
        <vt:lpwstr>http://hraunfoss.fcc.gov/edocs_public/attachmatch/FCC-10-174A1.doc</vt:lpwstr>
      </vt:variant>
      <vt:variant>
        <vt:lpwstr/>
      </vt:variant>
      <vt:variant>
        <vt:i4>8126468</vt:i4>
      </vt:variant>
      <vt:variant>
        <vt:i4>24</vt:i4>
      </vt:variant>
      <vt:variant>
        <vt:i4>0</vt:i4>
      </vt:variant>
      <vt:variant>
        <vt:i4>5</vt:i4>
      </vt:variant>
      <vt:variant>
        <vt:lpwstr>http://hraunfoss.fcc.gov/edocs_public/attachmatch/FCC-08-260A1.txt</vt:lpwstr>
      </vt:variant>
      <vt:variant>
        <vt:lpwstr/>
      </vt:variant>
      <vt:variant>
        <vt:i4>6946840</vt:i4>
      </vt:variant>
      <vt:variant>
        <vt:i4>21</vt:i4>
      </vt:variant>
      <vt:variant>
        <vt:i4>0</vt:i4>
      </vt:variant>
      <vt:variant>
        <vt:i4>5</vt:i4>
      </vt:variant>
      <vt:variant>
        <vt:lpwstr>http://hraunfoss.fcc.gov/edocs_public/attachmatch/FCC-08-260A1.pdf</vt:lpwstr>
      </vt:variant>
      <vt:variant>
        <vt:lpwstr/>
      </vt:variant>
      <vt:variant>
        <vt:i4>8060947</vt:i4>
      </vt:variant>
      <vt:variant>
        <vt:i4>18</vt:i4>
      </vt:variant>
      <vt:variant>
        <vt:i4>0</vt:i4>
      </vt:variant>
      <vt:variant>
        <vt:i4>5</vt:i4>
      </vt:variant>
      <vt:variant>
        <vt:lpwstr>http://hraunfoss.fcc.gov/edocs_public/attachmatch/FCC-08-260A1.doc</vt:lpwstr>
      </vt:variant>
      <vt:variant>
        <vt:lpwstr/>
      </vt:variant>
      <vt:variant>
        <vt:i4>2359352</vt:i4>
      </vt:variant>
      <vt:variant>
        <vt:i4>15</vt:i4>
      </vt:variant>
      <vt:variant>
        <vt:i4>0</vt:i4>
      </vt:variant>
      <vt:variant>
        <vt:i4>5</vt:i4>
      </vt:variant>
      <vt:variant>
        <vt:lpwstr>http://www.fcc.gov/labhelp</vt:lpwstr>
      </vt:variant>
      <vt:variant>
        <vt:lpwstr/>
      </vt:variant>
      <vt:variant>
        <vt:i4>6488188</vt:i4>
      </vt:variant>
      <vt:variant>
        <vt:i4>12</vt:i4>
      </vt:variant>
      <vt:variant>
        <vt:i4>0</vt:i4>
      </vt:variant>
      <vt:variant>
        <vt:i4>5</vt:i4>
      </vt:variant>
      <vt:variant>
        <vt:lpwstr>http://www.fcc.gov/oet/whitespace/</vt:lpwstr>
      </vt:variant>
      <vt:variant>
        <vt:lpwstr/>
      </vt:variant>
      <vt:variant>
        <vt:i4>6094963</vt:i4>
      </vt:variant>
      <vt:variant>
        <vt:i4>9</vt:i4>
      </vt:variant>
      <vt:variant>
        <vt:i4>0</vt:i4>
      </vt:variant>
      <vt:variant>
        <vt:i4>5</vt:i4>
      </vt:variant>
      <vt:variant>
        <vt:lpwstr>http://hraunfoss.fcc.gov/edocs_public/attachmatch/FCC-12-36A1.pdf</vt:lpwstr>
      </vt:variant>
      <vt:variant>
        <vt:lpwstr/>
      </vt:variant>
      <vt:variant>
        <vt:i4>6619160</vt:i4>
      </vt:variant>
      <vt:variant>
        <vt:i4>6</vt:i4>
      </vt:variant>
      <vt:variant>
        <vt:i4>0</vt:i4>
      </vt:variant>
      <vt:variant>
        <vt:i4>5</vt:i4>
      </vt:variant>
      <vt:variant>
        <vt:lpwstr>http://hraunfoss.fcc.gov/edocs_public/attachmatch/FCC-10-174A1.pdf</vt:lpwstr>
      </vt:variant>
      <vt:variant>
        <vt:lpwstr/>
      </vt:variant>
      <vt:variant>
        <vt:i4>6946840</vt:i4>
      </vt:variant>
      <vt:variant>
        <vt:i4>3</vt:i4>
      </vt:variant>
      <vt:variant>
        <vt:i4>0</vt:i4>
      </vt:variant>
      <vt:variant>
        <vt:i4>5</vt:i4>
      </vt:variant>
      <vt:variant>
        <vt:lpwstr>http://hraunfoss.fcc.gov/edocs_public/attachmatch/FCC-08-260A1.pdf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2012-06-11T20:16:00Z</cp:lastPrinted>
  <dcterms:created xsi:type="dcterms:W3CDTF">2014-12-11T20:21:00Z</dcterms:created>
  <dcterms:modified xsi:type="dcterms:W3CDTF">2014-12-11T20:21:00Z</dcterms:modified>
  <cp:category> </cp:category>
  <cp:contentStatus> </cp:contentStatus>
</cp:coreProperties>
</file>