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C0" w:rsidRDefault="00635AC0" w:rsidP="00635AC0">
      <w:pPr>
        <w:jc w:val="center"/>
        <w:rPr>
          <w:b/>
        </w:rPr>
      </w:pPr>
      <w:bookmarkStart w:id="0" w:name="_GoBack"/>
      <w:bookmarkEnd w:id="0"/>
      <w:r>
        <w:rPr>
          <w:b/>
        </w:rPr>
        <w:t>Before the</w:t>
      </w:r>
    </w:p>
    <w:p w:rsidR="00635AC0" w:rsidRDefault="00635AC0" w:rsidP="00635AC0">
      <w:pPr>
        <w:jc w:val="center"/>
        <w:rPr>
          <w:b/>
        </w:rPr>
      </w:pPr>
      <w:r>
        <w:rPr>
          <w:b/>
        </w:rPr>
        <w:t>Federal Communications Commission</w:t>
      </w:r>
    </w:p>
    <w:p w:rsidR="00635AC0" w:rsidRPr="00045B86" w:rsidRDefault="00635AC0" w:rsidP="00045B86">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35AC0" w:rsidRDefault="00635AC0" w:rsidP="00635AC0">
      <w:pPr>
        <w:tabs>
          <w:tab w:val="left" w:pos="-720"/>
        </w:tabs>
        <w:suppressAutoHyphens/>
        <w:spacing w:line="227" w:lineRule="auto"/>
        <w:rPr>
          <w:spacing w:val="-2"/>
        </w:rPr>
      </w:pPr>
    </w:p>
    <w:p w:rsidR="00045B86" w:rsidRDefault="00045B86" w:rsidP="00635AC0">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635AC0" w:rsidTr="00543B5A">
        <w:tc>
          <w:tcPr>
            <w:tcW w:w="4698" w:type="dxa"/>
          </w:tcPr>
          <w:p w:rsidR="00635AC0" w:rsidRDefault="00635AC0" w:rsidP="001212C4">
            <w:pPr>
              <w:tabs>
                <w:tab w:val="center" w:pos="4680"/>
              </w:tabs>
              <w:suppressAutoHyphens/>
              <w:rPr>
                <w:spacing w:val="-2"/>
              </w:rPr>
            </w:pPr>
            <w:r>
              <w:rPr>
                <w:spacing w:val="-2"/>
              </w:rPr>
              <w:t>In the Matter of</w:t>
            </w:r>
          </w:p>
          <w:p w:rsidR="00635AC0" w:rsidRDefault="00635AC0" w:rsidP="001212C4">
            <w:pPr>
              <w:tabs>
                <w:tab w:val="center" w:pos="4680"/>
              </w:tabs>
              <w:suppressAutoHyphens/>
              <w:rPr>
                <w:spacing w:val="-2"/>
              </w:rPr>
            </w:pPr>
          </w:p>
          <w:p w:rsidR="00635AC0" w:rsidRDefault="00635AC0" w:rsidP="001212C4">
            <w:r>
              <w:t>Amendment of Section 73.202(b),</w:t>
            </w:r>
          </w:p>
          <w:p w:rsidR="00635AC0" w:rsidRDefault="00635AC0" w:rsidP="001212C4">
            <w:r>
              <w:t>Table of Allotments,</w:t>
            </w:r>
          </w:p>
          <w:p w:rsidR="00635AC0" w:rsidRDefault="00635AC0" w:rsidP="001212C4">
            <w:r>
              <w:t>FM Broadcast Stations.</w:t>
            </w:r>
          </w:p>
          <w:p w:rsidR="00635AC0" w:rsidRPr="00001834" w:rsidRDefault="00001834" w:rsidP="001212C4">
            <w:pPr>
              <w:autoSpaceDE w:val="0"/>
              <w:autoSpaceDN w:val="0"/>
              <w:adjustRightInd w:val="0"/>
              <w:jc w:val="left"/>
              <w:rPr>
                <w:szCs w:val="22"/>
              </w:rPr>
            </w:pPr>
            <w:r w:rsidRPr="00001834">
              <w:rPr>
                <w:color w:val="000000"/>
                <w:szCs w:val="22"/>
              </w:rPr>
              <w:t xml:space="preserve">(Enfield, New Hampshire; Hartford and White River Junction, Vermont; and Keeseville and Morrisonville, New York) </w:t>
            </w:r>
          </w:p>
        </w:tc>
        <w:tc>
          <w:tcPr>
            <w:tcW w:w="630" w:type="dxa"/>
          </w:tcPr>
          <w:p w:rsidR="00635AC0" w:rsidRDefault="00635AC0" w:rsidP="001212C4">
            <w:pPr>
              <w:tabs>
                <w:tab w:val="center" w:pos="4680"/>
              </w:tabs>
              <w:suppressAutoHyphens/>
              <w:rPr>
                <w:b/>
                <w:spacing w:val="-2"/>
              </w:rPr>
            </w:pPr>
            <w:r>
              <w:rPr>
                <w:b/>
                <w:spacing w:val="-2"/>
              </w:rPr>
              <w:t>)</w:t>
            </w:r>
          </w:p>
          <w:p w:rsidR="00635AC0" w:rsidRDefault="00635AC0" w:rsidP="001212C4">
            <w:pPr>
              <w:tabs>
                <w:tab w:val="center" w:pos="4680"/>
              </w:tabs>
              <w:suppressAutoHyphens/>
              <w:rPr>
                <w:b/>
                <w:spacing w:val="-2"/>
              </w:rPr>
            </w:pPr>
            <w:r>
              <w:rPr>
                <w:b/>
                <w:spacing w:val="-2"/>
              </w:rPr>
              <w:t>)</w:t>
            </w:r>
          </w:p>
          <w:p w:rsidR="00635AC0" w:rsidRDefault="00635AC0" w:rsidP="001212C4">
            <w:pPr>
              <w:tabs>
                <w:tab w:val="center" w:pos="4680"/>
              </w:tabs>
              <w:suppressAutoHyphens/>
              <w:rPr>
                <w:b/>
                <w:spacing w:val="-2"/>
              </w:rPr>
            </w:pPr>
            <w:r>
              <w:rPr>
                <w:b/>
                <w:spacing w:val="-2"/>
              </w:rPr>
              <w:t>)</w:t>
            </w:r>
          </w:p>
          <w:p w:rsidR="00635AC0" w:rsidRDefault="00635AC0" w:rsidP="001212C4">
            <w:pPr>
              <w:tabs>
                <w:tab w:val="center" w:pos="4680"/>
              </w:tabs>
              <w:suppressAutoHyphens/>
              <w:rPr>
                <w:b/>
                <w:spacing w:val="-2"/>
              </w:rPr>
            </w:pPr>
            <w:r>
              <w:rPr>
                <w:b/>
                <w:spacing w:val="-2"/>
              </w:rPr>
              <w:t>)</w:t>
            </w:r>
          </w:p>
          <w:p w:rsidR="00635AC0" w:rsidRDefault="00635AC0" w:rsidP="001212C4">
            <w:pPr>
              <w:tabs>
                <w:tab w:val="center" w:pos="4680"/>
              </w:tabs>
              <w:suppressAutoHyphens/>
              <w:rPr>
                <w:b/>
                <w:spacing w:val="-2"/>
              </w:rPr>
            </w:pPr>
            <w:r>
              <w:rPr>
                <w:b/>
                <w:spacing w:val="-2"/>
              </w:rPr>
              <w:t>)</w:t>
            </w:r>
          </w:p>
          <w:p w:rsidR="00635AC0" w:rsidRDefault="00635AC0" w:rsidP="001212C4">
            <w:pPr>
              <w:tabs>
                <w:tab w:val="center" w:pos="4680"/>
              </w:tabs>
              <w:suppressAutoHyphens/>
              <w:rPr>
                <w:b/>
                <w:spacing w:val="-2"/>
              </w:rPr>
            </w:pPr>
            <w:r>
              <w:rPr>
                <w:b/>
                <w:spacing w:val="-2"/>
              </w:rPr>
              <w:t>)</w:t>
            </w:r>
          </w:p>
          <w:p w:rsidR="00635AC0" w:rsidRDefault="00001834" w:rsidP="001212C4">
            <w:pPr>
              <w:tabs>
                <w:tab w:val="center" w:pos="4680"/>
              </w:tabs>
              <w:suppressAutoHyphens/>
              <w:rPr>
                <w:b/>
                <w:spacing w:val="-2"/>
              </w:rPr>
            </w:pPr>
            <w:r>
              <w:rPr>
                <w:b/>
                <w:spacing w:val="-2"/>
              </w:rPr>
              <w:t>)</w:t>
            </w:r>
          </w:p>
          <w:p w:rsidR="00635AC0" w:rsidRPr="00001834" w:rsidRDefault="00001834" w:rsidP="001212C4">
            <w:pPr>
              <w:tabs>
                <w:tab w:val="center" w:pos="4680"/>
              </w:tabs>
              <w:suppressAutoHyphens/>
              <w:rPr>
                <w:b/>
                <w:spacing w:val="-2"/>
              </w:rPr>
            </w:pPr>
            <w:r w:rsidRPr="00001834">
              <w:rPr>
                <w:b/>
                <w:spacing w:val="-2"/>
              </w:rPr>
              <w:t>)</w:t>
            </w:r>
          </w:p>
        </w:tc>
        <w:tc>
          <w:tcPr>
            <w:tcW w:w="4248" w:type="dxa"/>
          </w:tcPr>
          <w:p w:rsidR="00635AC0" w:rsidRDefault="00635AC0" w:rsidP="001212C4">
            <w:pPr>
              <w:tabs>
                <w:tab w:val="center" w:pos="4680"/>
              </w:tabs>
              <w:suppressAutoHyphens/>
              <w:rPr>
                <w:spacing w:val="-2"/>
              </w:rPr>
            </w:pPr>
          </w:p>
          <w:p w:rsidR="00635AC0" w:rsidRDefault="00635AC0" w:rsidP="001212C4">
            <w:pPr>
              <w:tabs>
                <w:tab w:val="center" w:pos="4680"/>
              </w:tabs>
              <w:suppressAutoHyphens/>
              <w:rPr>
                <w:spacing w:val="-2"/>
              </w:rPr>
            </w:pPr>
          </w:p>
          <w:p w:rsidR="000118B7" w:rsidRDefault="000118B7" w:rsidP="001212C4">
            <w:pPr>
              <w:tabs>
                <w:tab w:val="center" w:pos="4680"/>
              </w:tabs>
              <w:suppressAutoHyphens/>
              <w:rPr>
                <w:spacing w:val="-2"/>
              </w:rPr>
            </w:pPr>
          </w:p>
          <w:p w:rsidR="00635AC0" w:rsidRDefault="00635AC0" w:rsidP="001212C4">
            <w:pPr>
              <w:tabs>
                <w:tab w:val="center" w:pos="4680"/>
              </w:tabs>
              <w:suppressAutoHyphens/>
              <w:rPr>
                <w:spacing w:val="-2"/>
              </w:rPr>
            </w:pPr>
            <w:r>
              <w:rPr>
                <w:spacing w:val="-2"/>
              </w:rPr>
              <w:t>MB Docket No. 0</w:t>
            </w:r>
            <w:r w:rsidR="00001834">
              <w:rPr>
                <w:spacing w:val="-2"/>
              </w:rPr>
              <w:t>5-162</w:t>
            </w:r>
          </w:p>
          <w:p w:rsidR="00635AC0" w:rsidRDefault="00635AC0" w:rsidP="001212C4">
            <w:pPr>
              <w:tabs>
                <w:tab w:val="center" w:pos="4680"/>
              </w:tabs>
              <w:suppressAutoHyphens/>
              <w:rPr>
                <w:spacing w:val="-2"/>
              </w:rPr>
            </w:pPr>
            <w:r>
              <w:rPr>
                <w:spacing w:val="-2"/>
              </w:rPr>
              <w:t>RM-1</w:t>
            </w:r>
            <w:r w:rsidR="000118B7">
              <w:rPr>
                <w:spacing w:val="-2"/>
              </w:rPr>
              <w:t>1</w:t>
            </w:r>
            <w:r w:rsidR="00001834">
              <w:rPr>
                <w:spacing w:val="-2"/>
              </w:rPr>
              <w:t>227</w:t>
            </w:r>
          </w:p>
          <w:p w:rsidR="000118B7" w:rsidRDefault="000118B7" w:rsidP="001212C4">
            <w:pPr>
              <w:tabs>
                <w:tab w:val="center" w:pos="4680"/>
              </w:tabs>
              <w:suppressAutoHyphens/>
              <w:rPr>
                <w:spacing w:val="-2"/>
              </w:rPr>
            </w:pPr>
            <w:r>
              <w:rPr>
                <w:spacing w:val="-2"/>
              </w:rPr>
              <w:t>RM-11</w:t>
            </w:r>
            <w:r w:rsidR="00001834">
              <w:rPr>
                <w:spacing w:val="-2"/>
              </w:rPr>
              <w:t>284</w:t>
            </w:r>
          </w:p>
        </w:tc>
      </w:tr>
    </w:tbl>
    <w:p w:rsidR="00045B86" w:rsidRDefault="00045B86" w:rsidP="00045B86">
      <w:pPr>
        <w:tabs>
          <w:tab w:val="left" w:pos="720"/>
          <w:tab w:val="left" w:pos="5760"/>
        </w:tabs>
        <w:suppressAutoHyphens/>
        <w:spacing w:line="227" w:lineRule="auto"/>
        <w:rPr>
          <w:b/>
          <w:spacing w:val="-2"/>
        </w:rPr>
      </w:pPr>
    </w:p>
    <w:p w:rsidR="00393C6A" w:rsidRDefault="00393C6A" w:rsidP="00635AC0">
      <w:pPr>
        <w:tabs>
          <w:tab w:val="left" w:pos="720"/>
          <w:tab w:val="left" w:pos="5760"/>
        </w:tabs>
        <w:suppressAutoHyphens/>
        <w:spacing w:line="227" w:lineRule="auto"/>
        <w:jc w:val="center"/>
        <w:rPr>
          <w:b/>
          <w:spacing w:val="-2"/>
        </w:rPr>
      </w:pPr>
      <w:r>
        <w:rPr>
          <w:b/>
          <w:spacing w:val="-2"/>
        </w:rPr>
        <w:t>ORDER ON RECONSIDERATION</w:t>
      </w:r>
    </w:p>
    <w:p w:rsidR="00635AC0" w:rsidRPr="000174E2" w:rsidRDefault="00393C6A" w:rsidP="00635AC0">
      <w:pPr>
        <w:tabs>
          <w:tab w:val="left" w:pos="720"/>
          <w:tab w:val="left" w:pos="5760"/>
        </w:tabs>
        <w:suppressAutoHyphens/>
        <w:spacing w:line="227" w:lineRule="auto"/>
        <w:jc w:val="center"/>
        <w:rPr>
          <w:b/>
          <w:spacing w:val="-2"/>
        </w:rPr>
      </w:pPr>
      <w:r w:rsidRPr="000174E2">
        <w:rPr>
          <w:b/>
          <w:spacing w:val="-2"/>
        </w:rPr>
        <w:t xml:space="preserve"> </w:t>
      </w:r>
      <w:r w:rsidR="00635AC0" w:rsidRPr="000174E2">
        <w:rPr>
          <w:b/>
          <w:spacing w:val="-2"/>
        </w:rPr>
        <w:t>(Proceeding Terminated)</w:t>
      </w:r>
    </w:p>
    <w:p w:rsidR="00635AC0" w:rsidRDefault="00635AC0" w:rsidP="00635AC0">
      <w:pPr>
        <w:tabs>
          <w:tab w:val="left" w:pos="720"/>
          <w:tab w:val="left" w:pos="5760"/>
        </w:tabs>
        <w:suppressAutoHyphens/>
        <w:spacing w:line="227" w:lineRule="auto"/>
        <w:rPr>
          <w:b/>
          <w:spacing w:val="-2"/>
        </w:rPr>
      </w:pPr>
    </w:p>
    <w:p w:rsidR="00045B86" w:rsidRDefault="00045B86" w:rsidP="00635AC0">
      <w:pPr>
        <w:tabs>
          <w:tab w:val="left" w:pos="720"/>
          <w:tab w:val="left" w:pos="5760"/>
        </w:tabs>
        <w:suppressAutoHyphens/>
        <w:spacing w:line="227" w:lineRule="auto"/>
        <w:rPr>
          <w:b/>
          <w:spacing w:val="-2"/>
        </w:rPr>
      </w:pPr>
    </w:p>
    <w:p w:rsidR="00635AC0" w:rsidRPr="00286A34" w:rsidRDefault="00635AC0" w:rsidP="00635AC0">
      <w:pPr>
        <w:tabs>
          <w:tab w:val="left" w:pos="720"/>
          <w:tab w:val="left" w:pos="5760"/>
        </w:tabs>
        <w:suppressAutoHyphens/>
        <w:spacing w:line="227" w:lineRule="auto"/>
        <w:rPr>
          <w:spacing w:val="-2"/>
        </w:rPr>
      </w:pPr>
      <w:r>
        <w:rPr>
          <w:b/>
          <w:spacing w:val="-2"/>
        </w:rPr>
        <w:t>Adopted</w:t>
      </w:r>
      <w:r w:rsidR="009B6F7A">
        <w:rPr>
          <w:b/>
          <w:spacing w:val="-2"/>
        </w:rPr>
        <w:t xml:space="preserve">:   </w:t>
      </w:r>
      <w:r w:rsidR="009E466D">
        <w:rPr>
          <w:b/>
          <w:spacing w:val="-2"/>
        </w:rPr>
        <w:t>December</w:t>
      </w:r>
      <w:r w:rsidR="00F34A56">
        <w:rPr>
          <w:b/>
          <w:spacing w:val="-2"/>
        </w:rPr>
        <w:t xml:space="preserve"> 15</w:t>
      </w:r>
      <w:r w:rsidR="00C136DF" w:rsidRPr="00C136DF">
        <w:rPr>
          <w:b/>
          <w:spacing w:val="-2"/>
        </w:rPr>
        <w:t>, 201</w:t>
      </w:r>
      <w:r w:rsidR="00001834">
        <w:rPr>
          <w:b/>
          <w:spacing w:val="-2"/>
        </w:rPr>
        <w:t>4</w:t>
      </w:r>
      <w:r w:rsidR="009B6F7A">
        <w:rPr>
          <w:b/>
          <w:spacing w:val="-2"/>
        </w:rPr>
        <w:tab/>
      </w:r>
      <w:r>
        <w:rPr>
          <w:b/>
          <w:spacing w:val="-2"/>
        </w:rPr>
        <w:t xml:space="preserve">Released:   </w:t>
      </w:r>
      <w:r w:rsidR="006D6804">
        <w:rPr>
          <w:b/>
          <w:spacing w:val="-2"/>
        </w:rPr>
        <w:t xml:space="preserve">December </w:t>
      </w:r>
      <w:r w:rsidR="00F34A56">
        <w:rPr>
          <w:b/>
          <w:spacing w:val="-2"/>
        </w:rPr>
        <w:t>16</w:t>
      </w:r>
      <w:r w:rsidR="00C136DF">
        <w:rPr>
          <w:b/>
          <w:spacing w:val="-2"/>
        </w:rPr>
        <w:t>, 201</w:t>
      </w:r>
      <w:r w:rsidR="00001834">
        <w:rPr>
          <w:b/>
          <w:spacing w:val="-2"/>
        </w:rPr>
        <w:t>4</w:t>
      </w:r>
    </w:p>
    <w:p w:rsidR="00635AC0" w:rsidRDefault="00635AC0" w:rsidP="00635AC0"/>
    <w:p w:rsidR="00635AC0" w:rsidRDefault="00635AC0" w:rsidP="00635AC0">
      <w:pPr>
        <w:rPr>
          <w:spacing w:val="-2"/>
        </w:rPr>
      </w:pPr>
      <w:r>
        <w:t xml:space="preserve">By the </w:t>
      </w:r>
      <w:r>
        <w:rPr>
          <w:spacing w:val="-2"/>
        </w:rPr>
        <w:t xml:space="preserve">Chief, </w:t>
      </w:r>
      <w:r w:rsidR="009E466D">
        <w:rPr>
          <w:spacing w:val="-2"/>
        </w:rPr>
        <w:t xml:space="preserve">Audio Division, </w:t>
      </w:r>
      <w:r>
        <w:rPr>
          <w:spacing w:val="-2"/>
        </w:rPr>
        <w:t>Media Bureau:</w:t>
      </w:r>
    </w:p>
    <w:p w:rsidR="00635AC0" w:rsidRDefault="00635AC0" w:rsidP="00635AC0">
      <w:pPr>
        <w:rPr>
          <w:spacing w:val="-2"/>
        </w:rPr>
      </w:pPr>
    </w:p>
    <w:p w:rsidR="00393C6A" w:rsidRPr="00393C6A" w:rsidRDefault="00393C6A" w:rsidP="00393C6A">
      <w:pPr>
        <w:rPr>
          <w:b/>
          <w:spacing w:val="-2"/>
        </w:rPr>
      </w:pPr>
      <w:r>
        <w:rPr>
          <w:b/>
          <w:spacing w:val="-2"/>
        </w:rPr>
        <w:t xml:space="preserve">I.  </w:t>
      </w:r>
      <w:r w:rsidRPr="00393C6A">
        <w:rPr>
          <w:b/>
          <w:spacing w:val="-2"/>
        </w:rPr>
        <w:t>INTRODUCTION</w:t>
      </w:r>
    </w:p>
    <w:p w:rsidR="00393C6A" w:rsidRPr="00431BDA" w:rsidRDefault="00393C6A" w:rsidP="00393C6A">
      <w:pPr>
        <w:rPr>
          <w:b/>
          <w:spacing w:val="-2"/>
          <w:szCs w:val="22"/>
        </w:rPr>
      </w:pPr>
    </w:p>
    <w:p w:rsidR="00635AC0" w:rsidRPr="00834EBF" w:rsidRDefault="00834EBF" w:rsidP="00F34A56">
      <w:pPr>
        <w:tabs>
          <w:tab w:val="left" w:pos="1440"/>
        </w:tabs>
        <w:ind w:firstLine="720"/>
        <w:jc w:val="left"/>
        <w:rPr>
          <w:color w:val="000000"/>
          <w:szCs w:val="22"/>
          <w:shd w:val="clear" w:color="auto" w:fill="FFFFFF"/>
        </w:rPr>
      </w:pPr>
      <w:r>
        <w:rPr>
          <w:color w:val="000000"/>
          <w:szCs w:val="22"/>
          <w:shd w:val="clear" w:color="auto" w:fill="FFFFFF"/>
        </w:rPr>
        <w:t xml:space="preserve">1.  </w:t>
      </w:r>
      <w:r w:rsidR="00F34A56">
        <w:rPr>
          <w:color w:val="000000"/>
          <w:szCs w:val="22"/>
          <w:shd w:val="clear" w:color="auto" w:fill="FFFFFF"/>
        </w:rPr>
        <w:tab/>
      </w:r>
      <w:r w:rsidR="00431BDA" w:rsidRPr="00834EBF">
        <w:rPr>
          <w:color w:val="000000"/>
          <w:szCs w:val="22"/>
          <w:shd w:val="clear" w:color="auto" w:fill="FFFFFF"/>
        </w:rPr>
        <w:t>The Commission, by the Chief,</w:t>
      </w:r>
      <w:r w:rsidR="00431BDA" w:rsidRPr="00834EBF">
        <w:rPr>
          <w:rStyle w:val="apple-converted-space"/>
          <w:color w:val="000000"/>
          <w:szCs w:val="22"/>
          <w:shd w:val="clear" w:color="auto" w:fill="FFFFFF"/>
        </w:rPr>
        <w:t> </w:t>
      </w:r>
      <w:bookmarkStart w:id="1" w:name="SR;103"/>
      <w:bookmarkEnd w:id="1"/>
      <w:r w:rsidR="009E466D">
        <w:rPr>
          <w:rStyle w:val="apple-converted-space"/>
          <w:color w:val="000000"/>
          <w:szCs w:val="22"/>
          <w:shd w:val="clear" w:color="auto" w:fill="FFFFFF"/>
        </w:rPr>
        <w:t xml:space="preserve">Audio Division, </w:t>
      </w:r>
      <w:r w:rsidR="00431BDA" w:rsidRPr="00834EBF">
        <w:rPr>
          <w:rStyle w:val="apple-converted-space"/>
          <w:color w:val="000000"/>
          <w:szCs w:val="22"/>
          <w:shd w:val="clear" w:color="auto" w:fill="FFFFFF"/>
        </w:rPr>
        <w:t>Media Bureau</w:t>
      </w:r>
      <w:r w:rsidR="009A72EE">
        <w:rPr>
          <w:rStyle w:val="apple-converted-space"/>
          <w:color w:val="000000"/>
          <w:szCs w:val="22"/>
          <w:shd w:val="clear" w:color="auto" w:fill="FFFFFF"/>
        </w:rPr>
        <w:t xml:space="preserve"> (</w:t>
      </w:r>
      <w:r w:rsidR="00151216">
        <w:rPr>
          <w:rStyle w:val="apple-converted-space"/>
          <w:color w:val="000000"/>
          <w:szCs w:val="22"/>
          <w:shd w:val="clear" w:color="auto" w:fill="FFFFFF"/>
        </w:rPr>
        <w:t>“Bureau”)</w:t>
      </w:r>
      <w:r w:rsidR="00431BDA" w:rsidRPr="00834EBF">
        <w:rPr>
          <w:rStyle w:val="apple-converted-space"/>
          <w:color w:val="000000"/>
          <w:szCs w:val="22"/>
          <w:shd w:val="clear" w:color="auto" w:fill="FFFFFF"/>
        </w:rPr>
        <w:t>,</w:t>
      </w:r>
      <w:r w:rsidR="00431BDA" w:rsidRPr="00834EBF">
        <w:rPr>
          <w:color w:val="000000"/>
          <w:szCs w:val="22"/>
          <w:shd w:val="clear" w:color="auto" w:fill="FFFFFF"/>
        </w:rPr>
        <w:t xml:space="preserve"> pursuant to delegated authority,</w:t>
      </w:r>
      <w:r w:rsidR="00431BDA" w:rsidRPr="00834EBF">
        <w:rPr>
          <w:rFonts w:ascii="Verdana" w:hAnsi="Verdana"/>
          <w:color w:val="000000"/>
          <w:sz w:val="20"/>
          <w:shd w:val="clear" w:color="auto" w:fill="FFFFFF"/>
        </w:rPr>
        <w:t xml:space="preserve"> </w:t>
      </w:r>
      <w:r w:rsidR="00431BDA" w:rsidRPr="00834EBF">
        <w:rPr>
          <w:color w:val="000000"/>
          <w:szCs w:val="22"/>
          <w:shd w:val="clear" w:color="auto" w:fill="FFFFFF"/>
        </w:rPr>
        <w:t xml:space="preserve">has before it a </w:t>
      </w:r>
      <w:r w:rsidR="00FB7D84">
        <w:rPr>
          <w:color w:val="000000"/>
          <w:szCs w:val="22"/>
          <w:shd w:val="clear" w:color="auto" w:fill="FFFFFF"/>
        </w:rPr>
        <w:t xml:space="preserve">timely-filed </w:t>
      </w:r>
      <w:r w:rsidR="00431BDA" w:rsidRPr="00834EBF">
        <w:rPr>
          <w:color w:val="000000"/>
          <w:szCs w:val="22"/>
          <w:shd w:val="clear" w:color="auto" w:fill="FFFFFF"/>
        </w:rPr>
        <w:t>Petition for Reconsideration and Clarification (“Petition”) filed by Roy E. Henderson (“Henderson”).</w:t>
      </w:r>
      <w:r w:rsidR="00FB7D84">
        <w:rPr>
          <w:rStyle w:val="FootnoteReference"/>
          <w:szCs w:val="22"/>
          <w:shd w:val="clear" w:color="auto" w:fill="FFFFFF"/>
        </w:rPr>
        <w:footnoteReference w:id="2"/>
      </w:r>
      <w:r w:rsidR="00431BDA" w:rsidRPr="00834EBF">
        <w:rPr>
          <w:color w:val="000000"/>
          <w:szCs w:val="22"/>
          <w:shd w:val="clear" w:color="auto" w:fill="FFFFFF"/>
        </w:rPr>
        <w:t xml:space="preserve"> The Petition seeks reconsideration and clarification of the Commission's Memorandum Opinion and Order</w:t>
      </w:r>
      <w:r w:rsidR="004F62E9" w:rsidRPr="00431BDA">
        <w:rPr>
          <w:rStyle w:val="FootnoteReference"/>
          <w:sz w:val="22"/>
          <w:szCs w:val="22"/>
          <w:shd w:val="clear" w:color="auto" w:fill="FFFFFF"/>
        </w:rPr>
        <w:footnoteReference w:id="3"/>
      </w:r>
      <w:r w:rsidR="0062411B">
        <w:rPr>
          <w:color w:val="000000"/>
          <w:szCs w:val="22"/>
          <w:shd w:val="clear" w:color="auto" w:fill="FFFFFF"/>
        </w:rPr>
        <w:t xml:space="preserve"> in the proceeding,</w:t>
      </w:r>
      <w:r w:rsidR="004F62E9" w:rsidRPr="00834EBF">
        <w:rPr>
          <w:color w:val="000000"/>
          <w:szCs w:val="22"/>
          <w:shd w:val="clear" w:color="auto" w:fill="FFFFFF"/>
        </w:rPr>
        <w:t xml:space="preserve"> specifically that portion of the Commission’s decision that modified</w:t>
      </w:r>
      <w:r w:rsidR="00431BDA" w:rsidRPr="00834EBF">
        <w:rPr>
          <w:color w:val="000000"/>
          <w:szCs w:val="22"/>
          <w:shd w:val="clear" w:color="auto" w:fill="FFFFFF"/>
        </w:rPr>
        <w:t xml:space="preserve"> the FM allotment processing policies. The Petition </w:t>
      </w:r>
      <w:r w:rsidR="0062411B">
        <w:rPr>
          <w:color w:val="000000"/>
          <w:szCs w:val="22"/>
          <w:shd w:val="clear" w:color="auto" w:fill="FFFFFF"/>
        </w:rPr>
        <w:t>does not present</w:t>
      </w:r>
      <w:r w:rsidRPr="00834EBF">
        <w:rPr>
          <w:color w:val="000000"/>
          <w:szCs w:val="22"/>
          <w:shd w:val="clear" w:color="auto" w:fill="FFFFFF"/>
        </w:rPr>
        <w:t xml:space="preserve"> evidence of</w:t>
      </w:r>
      <w:r w:rsidR="004F62E9" w:rsidRPr="00834EBF">
        <w:rPr>
          <w:color w:val="000000"/>
          <w:szCs w:val="22"/>
          <w:shd w:val="clear" w:color="auto" w:fill="FFFFFF"/>
        </w:rPr>
        <w:t xml:space="preserve"> material error or omission </w:t>
      </w:r>
      <w:r w:rsidRPr="00834EBF">
        <w:rPr>
          <w:color w:val="000000"/>
          <w:szCs w:val="22"/>
          <w:shd w:val="clear" w:color="auto" w:fill="FFFFFF"/>
        </w:rPr>
        <w:t>of fact or law</w:t>
      </w:r>
      <w:r w:rsidR="00400431">
        <w:rPr>
          <w:color w:val="000000"/>
          <w:szCs w:val="22"/>
          <w:shd w:val="clear" w:color="auto" w:fill="FFFFFF"/>
        </w:rPr>
        <w:t>,</w:t>
      </w:r>
      <w:r w:rsidRPr="00834EBF">
        <w:rPr>
          <w:color w:val="000000"/>
          <w:szCs w:val="22"/>
          <w:shd w:val="clear" w:color="auto" w:fill="FFFFFF"/>
        </w:rPr>
        <w:t xml:space="preserve"> or </w:t>
      </w:r>
      <w:r w:rsidR="0062411B">
        <w:rPr>
          <w:color w:val="000000"/>
          <w:szCs w:val="22"/>
          <w:shd w:val="clear" w:color="auto" w:fill="FFFFFF"/>
        </w:rPr>
        <w:t xml:space="preserve">other </w:t>
      </w:r>
      <w:r w:rsidRPr="00834EBF">
        <w:rPr>
          <w:color w:val="000000"/>
          <w:szCs w:val="22"/>
          <w:shd w:val="clear" w:color="auto" w:fill="FFFFFF"/>
        </w:rPr>
        <w:t xml:space="preserve">facts or circumstances that would warrant the Commission’s review of its </w:t>
      </w:r>
      <w:r w:rsidRPr="00400431">
        <w:rPr>
          <w:i/>
          <w:color w:val="000000"/>
          <w:szCs w:val="22"/>
          <w:shd w:val="clear" w:color="auto" w:fill="FFFFFF"/>
        </w:rPr>
        <w:t>Vacant Allotment Order</w:t>
      </w:r>
      <w:r w:rsidRPr="00834EBF">
        <w:rPr>
          <w:color w:val="000000"/>
          <w:szCs w:val="22"/>
          <w:shd w:val="clear" w:color="auto" w:fill="FFFFFF"/>
        </w:rPr>
        <w:t xml:space="preserve">. </w:t>
      </w:r>
      <w:r w:rsidR="00F45AB6">
        <w:rPr>
          <w:color w:val="000000"/>
          <w:szCs w:val="22"/>
          <w:shd w:val="clear" w:color="auto" w:fill="FFFFFF"/>
        </w:rPr>
        <w:t>Accordingly</w:t>
      </w:r>
      <w:r w:rsidR="00431BDA" w:rsidRPr="00834EBF">
        <w:rPr>
          <w:color w:val="000000"/>
          <w:szCs w:val="22"/>
          <w:shd w:val="clear" w:color="auto" w:fill="FFFFFF"/>
        </w:rPr>
        <w:t xml:space="preserve">, we </w:t>
      </w:r>
      <w:r w:rsidRPr="00834EBF">
        <w:rPr>
          <w:color w:val="000000"/>
          <w:szCs w:val="22"/>
          <w:shd w:val="clear" w:color="auto" w:fill="FFFFFF"/>
        </w:rPr>
        <w:t>dismiss the Petition.</w:t>
      </w:r>
    </w:p>
    <w:p w:rsidR="00966FC2" w:rsidRPr="00966FC2" w:rsidRDefault="00966FC2" w:rsidP="00966FC2">
      <w:pPr>
        <w:jc w:val="left"/>
        <w:rPr>
          <w:color w:val="000000"/>
          <w:szCs w:val="22"/>
          <w:shd w:val="clear" w:color="auto" w:fill="FFFFFF"/>
        </w:rPr>
      </w:pPr>
    </w:p>
    <w:p w:rsidR="00635AC0" w:rsidRPr="00267953" w:rsidRDefault="00267953" w:rsidP="00635AC0">
      <w:pPr>
        <w:jc w:val="left"/>
        <w:rPr>
          <w:b/>
          <w:spacing w:val="-2"/>
        </w:rPr>
      </w:pPr>
      <w:r w:rsidRPr="00267953">
        <w:rPr>
          <w:b/>
          <w:spacing w:val="-2"/>
        </w:rPr>
        <w:t>II.  BACKGROUND</w:t>
      </w:r>
    </w:p>
    <w:p w:rsidR="00267953" w:rsidRDefault="00267953" w:rsidP="00635AC0">
      <w:pPr>
        <w:jc w:val="left"/>
        <w:rPr>
          <w:spacing w:val="-2"/>
        </w:rPr>
      </w:pPr>
    </w:p>
    <w:p w:rsidR="00EC5FD7" w:rsidRDefault="00267953" w:rsidP="00F34A56">
      <w:pPr>
        <w:pStyle w:val="ParaNum"/>
        <w:numPr>
          <w:ilvl w:val="0"/>
          <w:numId w:val="0"/>
        </w:numPr>
        <w:tabs>
          <w:tab w:val="left" w:pos="720"/>
          <w:tab w:val="left" w:pos="1440"/>
        </w:tabs>
        <w:jc w:val="left"/>
      </w:pPr>
      <w:r>
        <w:tab/>
      </w:r>
      <w:r w:rsidR="00635AC0">
        <w:t xml:space="preserve">2.  </w:t>
      </w:r>
      <w:r w:rsidR="00F34A56">
        <w:tab/>
      </w:r>
      <w:r w:rsidRPr="00F53AAD">
        <w:rPr>
          <w:b/>
          <w:i/>
        </w:rPr>
        <w:t>Vacant Allotment Order.</w:t>
      </w:r>
      <w:r>
        <w:t xml:space="preserve">  The Commission</w:t>
      </w:r>
      <w:r w:rsidR="00642117">
        <w:t xml:space="preserve"> adopted the</w:t>
      </w:r>
      <w:r>
        <w:t xml:space="preserve"> </w:t>
      </w:r>
      <w:r w:rsidR="000F627C" w:rsidRPr="000F627C">
        <w:rPr>
          <w:i/>
        </w:rPr>
        <w:t>Vacant Allotment Order</w:t>
      </w:r>
      <w:r>
        <w:t xml:space="preserve"> </w:t>
      </w:r>
      <w:r w:rsidR="00642117">
        <w:t>upon</w:t>
      </w:r>
      <w:r w:rsidR="009A72EE">
        <w:t xml:space="preserve"> its review of a </w:t>
      </w:r>
      <w:r>
        <w:t xml:space="preserve">Bureau decision </w:t>
      </w:r>
      <w:r w:rsidR="00677526">
        <w:t xml:space="preserve">granting a proposal to, </w:t>
      </w:r>
      <w:r w:rsidR="00677526" w:rsidRPr="00677526">
        <w:rPr>
          <w:i/>
        </w:rPr>
        <w:t>inter alia</w:t>
      </w:r>
      <w:r w:rsidR="00677526">
        <w:t>, reallot</w:t>
      </w:r>
      <w:r>
        <w:t xml:space="preserve"> </w:t>
      </w:r>
      <w:r w:rsidR="00A96E18">
        <w:t xml:space="preserve">FM </w:t>
      </w:r>
      <w:r>
        <w:t xml:space="preserve">Channel </w:t>
      </w:r>
      <w:r w:rsidR="00677526">
        <w:t xml:space="preserve">231A from </w:t>
      </w:r>
      <w:r>
        <w:t>Keeseville</w:t>
      </w:r>
      <w:r w:rsidR="00677526">
        <w:t xml:space="preserve"> to Morrisonville</w:t>
      </w:r>
      <w:r>
        <w:t xml:space="preserve">, New York, as a first local service. </w:t>
      </w:r>
      <w:r w:rsidR="00677526">
        <w:t>The Commission granted the application for review</w:t>
      </w:r>
      <w:r w:rsidR="00400431">
        <w:rPr>
          <w:rStyle w:val="FootnoteReference"/>
        </w:rPr>
        <w:footnoteReference w:id="4"/>
      </w:r>
      <w:r w:rsidR="00677526">
        <w:t xml:space="preserve"> to the extent of rescinding that reallotment, finding that the Bureau’s action was inconsistent with existing Commission case law, “which states that the Commission will not remove a vacant FM or TV allotment </w:t>
      </w:r>
      <w:r w:rsidR="00677526">
        <w:lastRenderedPageBreak/>
        <w:t>from a community if a potential applicant has expressed an interest in applying to build a station on that channel, absent a compelling reason to do so</w:t>
      </w:r>
      <w:r w:rsidR="00F53AAD">
        <w:t>.”</w:t>
      </w:r>
      <w:r w:rsidR="00F53AAD">
        <w:rPr>
          <w:rStyle w:val="FootnoteReference"/>
        </w:rPr>
        <w:footnoteReference w:id="5"/>
      </w:r>
      <w:r w:rsidR="003C7F88">
        <w:t xml:space="preserve"> </w:t>
      </w:r>
    </w:p>
    <w:p w:rsidR="00004689" w:rsidRDefault="00EC5FD7" w:rsidP="00F34A56">
      <w:pPr>
        <w:pStyle w:val="ParaNum"/>
        <w:numPr>
          <w:ilvl w:val="0"/>
          <w:numId w:val="0"/>
        </w:numPr>
        <w:tabs>
          <w:tab w:val="left" w:pos="720"/>
          <w:tab w:val="left" w:pos="1440"/>
        </w:tabs>
        <w:jc w:val="left"/>
      </w:pPr>
      <w:r>
        <w:tab/>
        <w:t xml:space="preserve">3.  </w:t>
      </w:r>
      <w:r w:rsidR="00F34A56">
        <w:tab/>
      </w:r>
      <w:r w:rsidR="003C7F88">
        <w:t xml:space="preserve">The Commission </w:t>
      </w:r>
      <w:r w:rsidR="00725506">
        <w:t>stat</w:t>
      </w:r>
      <w:r w:rsidR="00880C0F">
        <w:t>ed</w:t>
      </w:r>
      <w:r w:rsidR="003C7F88">
        <w:t xml:space="preserve"> that the current active interest in the entire inventory of vacant FM allotments warrants an adjustment in FM allotment processing policies. </w:t>
      </w:r>
      <w:r w:rsidR="008B179C">
        <w:t>The</w:t>
      </w:r>
      <w:r w:rsidR="00725506">
        <w:t xml:space="preserve"> Commission</w:t>
      </w:r>
      <w:r>
        <w:t xml:space="preserve"> </w:t>
      </w:r>
      <w:r w:rsidR="008B179C">
        <w:t xml:space="preserve">therefore </w:t>
      </w:r>
      <w:r>
        <w:t xml:space="preserve">will no longer accept proposals to delete a vacant allotment, to move </w:t>
      </w:r>
      <w:r w:rsidR="008B07C9">
        <w:t>a vacant</w:t>
      </w:r>
      <w:r>
        <w:t xml:space="preserve"> allotment to a different community, or to down-grade the class of a vacant allotment.</w:t>
      </w:r>
      <w:r w:rsidR="00725506">
        <w:t xml:space="preserve"> </w:t>
      </w:r>
      <w:r w:rsidR="008B07C9">
        <w:t>The Commission noted, however, that it will continue to “permit parties to propose same-class channel substitutions for vacant allotments in order to accommodate proposals in technically related FM allotment and/or application filings.”</w:t>
      </w:r>
      <w:r w:rsidR="008B07C9">
        <w:rPr>
          <w:rStyle w:val="FootnoteReference"/>
        </w:rPr>
        <w:footnoteReference w:id="6"/>
      </w:r>
      <w:r w:rsidR="00713FC5">
        <w:t xml:space="preserve"> The Commission explained that same-class channel substitutions do not change the Section 307(b) determinations underlying the initial allotment decision.</w:t>
      </w:r>
    </w:p>
    <w:p w:rsidR="00267953" w:rsidRDefault="001E17BF" w:rsidP="00F34A56">
      <w:pPr>
        <w:tabs>
          <w:tab w:val="left" w:pos="720"/>
          <w:tab w:val="left" w:pos="1440"/>
        </w:tabs>
        <w:ind w:firstLine="720"/>
        <w:jc w:val="left"/>
      </w:pPr>
      <w:r>
        <w:t>4</w:t>
      </w:r>
      <w:r w:rsidR="00267953">
        <w:t xml:space="preserve">.  </w:t>
      </w:r>
      <w:r w:rsidR="00F34A56">
        <w:tab/>
      </w:r>
      <w:r w:rsidR="00267953" w:rsidRPr="00651495">
        <w:rPr>
          <w:b/>
        </w:rPr>
        <w:t>Henderson Petition for Reconsideration</w:t>
      </w:r>
      <w:r w:rsidR="00267953">
        <w:t>.</w:t>
      </w:r>
      <w:r w:rsidR="00BE56BD">
        <w:t xml:space="preserve">  </w:t>
      </w:r>
      <w:r w:rsidR="00AB2363">
        <w:t>Henderson was not previously a party to this proceeding, but states that, as a Commission licensee holding FM radio licenses, his interests stand to be affected by the modification of FM processing policies</w:t>
      </w:r>
      <w:r w:rsidR="003E6E6B">
        <w:t xml:space="preserve"> in the manner specified</w:t>
      </w:r>
      <w:r w:rsidR="00AB2363">
        <w:t xml:space="preserve"> in the </w:t>
      </w:r>
      <w:r w:rsidR="00AB2363" w:rsidRPr="002B7C96">
        <w:rPr>
          <w:i/>
        </w:rPr>
        <w:t>Vacant Allotment Order</w:t>
      </w:r>
      <w:r w:rsidR="00AB2363">
        <w:t xml:space="preserve">. </w:t>
      </w:r>
      <w:r w:rsidR="00BE56BD">
        <w:t>Henderson reques</w:t>
      </w:r>
      <w:r w:rsidR="00AB2363">
        <w:t>ts clarification of whether that decision prohibits requests for</w:t>
      </w:r>
      <w:r w:rsidR="00BE56BD">
        <w:t xml:space="preserve"> change</w:t>
      </w:r>
      <w:r w:rsidR="00AB2363">
        <w:t>s</w:t>
      </w:r>
      <w:r w:rsidR="00BE56BD">
        <w:t xml:space="preserve"> in the reference coo</w:t>
      </w:r>
      <w:r w:rsidR="00AB2363">
        <w:t xml:space="preserve">rdinates of </w:t>
      </w:r>
      <w:r w:rsidR="00651495">
        <w:t>vacant allotment</w:t>
      </w:r>
      <w:r w:rsidR="00AB2363">
        <w:t>s</w:t>
      </w:r>
      <w:r w:rsidR="00E679FB">
        <w:t xml:space="preserve">. He </w:t>
      </w:r>
      <w:r w:rsidR="00D25FDD">
        <w:t xml:space="preserve">states that </w:t>
      </w:r>
      <w:r w:rsidR="00AB2363">
        <w:t>the decision</w:t>
      </w:r>
      <w:r w:rsidR="00E679FB">
        <w:t xml:space="preserve"> does not specifically address </w:t>
      </w:r>
      <w:r w:rsidR="00AB2363">
        <w:t xml:space="preserve">proposed changes in vacant allotment </w:t>
      </w:r>
      <w:r w:rsidR="00D25FDD">
        <w:t>references coordinates</w:t>
      </w:r>
      <w:r w:rsidR="00AB2363">
        <w:t>,</w:t>
      </w:r>
      <w:r w:rsidR="00D25FDD">
        <w:t xml:space="preserve"> </w:t>
      </w:r>
      <w:r w:rsidR="000F627C">
        <w:t>and that</w:t>
      </w:r>
      <w:r w:rsidR="00D25FDD">
        <w:t xml:space="preserve"> </w:t>
      </w:r>
      <w:r w:rsidR="000F627C">
        <w:t>therefore</w:t>
      </w:r>
      <w:r w:rsidR="00D25FDD">
        <w:t xml:space="preserve"> it is unclear whether such requests will be prohibited. </w:t>
      </w:r>
    </w:p>
    <w:p w:rsidR="00651495" w:rsidRDefault="00651495" w:rsidP="00267953">
      <w:pPr>
        <w:jc w:val="left"/>
        <w:rPr>
          <w:b/>
        </w:rPr>
      </w:pPr>
    </w:p>
    <w:p w:rsidR="00267953" w:rsidRPr="00267953" w:rsidRDefault="00267953" w:rsidP="00267953">
      <w:pPr>
        <w:jc w:val="left"/>
        <w:rPr>
          <w:b/>
        </w:rPr>
      </w:pPr>
      <w:r w:rsidRPr="00267953">
        <w:rPr>
          <w:b/>
        </w:rPr>
        <w:t>III.  DISCUSSION</w:t>
      </w:r>
    </w:p>
    <w:p w:rsidR="00267953" w:rsidRDefault="00267953" w:rsidP="00267953">
      <w:pPr>
        <w:jc w:val="left"/>
      </w:pPr>
    </w:p>
    <w:p w:rsidR="00635AC0" w:rsidRDefault="0067188E" w:rsidP="00F34A56">
      <w:pPr>
        <w:tabs>
          <w:tab w:val="left" w:pos="1440"/>
        </w:tabs>
        <w:ind w:firstLine="720"/>
        <w:jc w:val="left"/>
        <w:rPr>
          <w:color w:val="000000"/>
          <w:szCs w:val="22"/>
        </w:rPr>
      </w:pPr>
      <w:r>
        <w:t>5</w:t>
      </w:r>
      <w:r w:rsidR="006A5FE2">
        <w:t xml:space="preserve">.  </w:t>
      </w:r>
      <w:r w:rsidR="00F34A56">
        <w:tab/>
      </w:r>
      <w:r w:rsidR="00635AC0">
        <w:t xml:space="preserve">Section 1.429 of the Rules </w:t>
      </w:r>
      <w:r w:rsidR="003E6E6B">
        <w:t xml:space="preserve">permits </w:t>
      </w:r>
      <w:r w:rsidR="00CE39A7">
        <w:t xml:space="preserve">interested persons </w:t>
      </w:r>
      <w:r w:rsidR="003E6E6B">
        <w:t>to petition for reconsideration of final orders in</w:t>
      </w:r>
      <w:r w:rsidR="00635AC0">
        <w:t xml:space="preserve"> rulemaking proceeding</w:t>
      </w:r>
      <w:r w:rsidR="00F6602C">
        <w:t>s</w:t>
      </w:r>
      <w:r w:rsidR="00635AC0">
        <w:t>.</w:t>
      </w:r>
      <w:r w:rsidR="00830EB2">
        <w:rPr>
          <w:rStyle w:val="FootnoteReference"/>
        </w:rPr>
        <w:footnoteReference w:id="7"/>
      </w:r>
      <w:r w:rsidR="00635AC0">
        <w:t xml:space="preserve">  Reconsideration is warranted only if the petitioner cites </w:t>
      </w:r>
      <w:r w:rsidR="00F6602C">
        <w:t>a</w:t>
      </w:r>
      <w:r w:rsidR="002A0F69">
        <w:t>n</w:t>
      </w:r>
      <w:r w:rsidR="00F6602C">
        <w:t xml:space="preserve"> </w:t>
      </w:r>
      <w:r w:rsidR="00635AC0">
        <w:t>error of fact or law</w:t>
      </w:r>
      <w:r w:rsidR="00F6602C">
        <w:t>,</w:t>
      </w:r>
      <w:r w:rsidR="00830EB2">
        <w:t xml:space="preserve"> </w:t>
      </w:r>
      <w:r w:rsidR="00C136DF">
        <w:t>or</w:t>
      </w:r>
      <w:r w:rsidR="003E6E6B">
        <w:t xml:space="preserve"> presents</w:t>
      </w:r>
      <w:r w:rsidR="00635AC0">
        <w:t xml:space="preserve"> facts or circumstances that otherwise warrant Commission review of its prior action.</w:t>
      </w:r>
      <w:r w:rsidR="00635AC0">
        <w:rPr>
          <w:rStyle w:val="FootnoteReference"/>
        </w:rPr>
        <w:footnoteReference w:id="8"/>
      </w:r>
      <w:r w:rsidR="00BC2F82">
        <w:t xml:space="preserve">  </w:t>
      </w:r>
      <w:r w:rsidR="006A5FE2" w:rsidRPr="006A5FE2">
        <w:rPr>
          <w:color w:val="000000"/>
          <w:szCs w:val="22"/>
        </w:rPr>
        <w:t xml:space="preserve">In 2011, in order “to allow the agency to resolve certain petitions for reconsideration more efficiently and expeditiously,” the Commission amended its rules to delegate authority to the relevant bureau or office to dismiss or deny </w:t>
      </w:r>
      <w:r w:rsidR="00437535">
        <w:rPr>
          <w:color w:val="000000"/>
          <w:szCs w:val="22"/>
        </w:rPr>
        <w:t xml:space="preserve">a </w:t>
      </w:r>
      <w:r w:rsidR="006A5FE2" w:rsidRPr="006A5FE2">
        <w:rPr>
          <w:color w:val="000000"/>
          <w:szCs w:val="22"/>
        </w:rPr>
        <w:t xml:space="preserve">petition </w:t>
      </w:r>
      <w:r w:rsidR="00437535">
        <w:rPr>
          <w:color w:val="000000"/>
          <w:szCs w:val="22"/>
        </w:rPr>
        <w:t xml:space="preserve">for reconsideration of a Commission-level rulemaking or adjudicatory order </w:t>
      </w:r>
      <w:r w:rsidR="006A5FE2" w:rsidRPr="006A5FE2">
        <w:rPr>
          <w:color w:val="000000"/>
          <w:szCs w:val="22"/>
        </w:rPr>
        <w:t>if the petition “plainly does not warrant consideration by the full Commission.”</w:t>
      </w:r>
      <w:r w:rsidR="00A96E18">
        <w:rPr>
          <w:rStyle w:val="FootnoteReference"/>
          <w:szCs w:val="22"/>
        </w:rPr>
        <w:footnoteReference w:id="9"/>
      </w:r>
      <w:r w:rsidR="006A5FE2" w:rsidRPr="006A5FE2">
        <w:rPr>
          <w:color w:val="000000"/>
          <w:szCs w:val="22"/>
        </w:rPr>
        <w:t xml:space="preserve"> </w:t>
      </w:r>
    </w:p>
    <w:p w:rsidR="00BE5BA9" w:rsidRPr="00BE5BA9" w:rsidRDefault="00BE5BA9" w:rsidP="00BE5BA9">
      <w:pPr>
        <w:ind w:firstLine="720"/>
        <w:jc w:val="left"/>
      </w:pPr>
    </w:p>
    <w:p w:rsidR="006D6804" w:rsidRDefault="005A240F" w:rsidP="00F34A56">
      <w:pPr>
        <w:widowControl/>
        <w:shd w:val="clear" w:color="auto" w:fill="FFFFFF"/>
        <w:tabs>
          <w:tab w:val="left" w:pos="720"/>
          <w:tab w:val="left" w:pos="1440"/>
        </w:tabs>
        <w:spacing w:after="240"/>
        <w:jc w:val="left"/>
        <w:rPr>
          <w:color w:val="000000"/>
          <w:szCs w:val="22"/>
          <w:shd w:val="clear" w:color="auto" w:fill="FFFFFF"/>
        </w:rPr>
      </w:pPr>
      <w:r>
        <w:rPr>
          <w:color w:val="000000"/>
          <w:szCs w:val="22"/>
          <w:shd w:val="clear" w:color="auto" w:fill="FFFFFF"/>
        </w:rPr>
        <w:tab/>
      </w:r>
      <w:r w:rsidR="0067188E">
        <w:rPr>
          <w:color w:val="000000"/>
          <w:szCs w:val="22"/>
          <w:shd w:val="clear" w:color="auto" w:fill="FFFFFF"/>
        </w:rPr>
        <w:t>6</w:t>
      </w:r>
      <w:r>
        <w:rPr>
          <w:color w:val="000000"/>
          <w:szCs w:val="22"/>
          <w:shd w:val="clear" w:color="auto" w:fill="FFFFFF"/>
        </w:rPr>
        <w:t xml:space="preserve">.  </w:t>
      </w:r>
      <w:r w:rsidR="00F34A56">
        <w:rPr>
          <w:color w:val="000000"/>
          <w:szCs w:val="22"/>
          <w:shd w:val="clear" w:color="auto" w:fill="FFFFFF"/>
        </w:rPr>
        <w:tab/>
      </w:r>
      <w:r w:rsidR="00F45AB6">
        <w:rPr>
          <w:color w:val="000000"/>
          <w:szCs w:val="22"/>
          <w:shd w:val="clear" w:color="auto" w:fill="FFFFFF"/>
        </w:rPr>
        <w:t>W</w:t>
      </w:r>
      <w:r w:rsidR="009135DE">
        <w:rPr>
          <w:color w:val="000000"/>
          <w:szCs w:val="22"/>
          <w:shd w:val="clear" w:color="auto" w:fill="FFFFFF"/>
        </w:rPr>
        <w:t xml:space="preserve">e find that a clarification is unnecessary.  </w:t>
      </w:r>
      <w:r w:rsidR="00151216">
        <w:rPr>
          <w:color w:val="000000"/>
          <w:szCs w:val="22"/>
          <w:shd w:val="clear" w:color="auto" w:fill="FFFFFF"/>
        </w:rPr>
        <w:t>T</w:t>
      </w:r>
      <w:r w:rsidR="00F22AAA">
        <w:t>he</w:t>
      </w:r>
      <w:r w:rsidR="009135DE">
        <w:t xml:space="preserve"> </w:t>
      </w:r>
      <w:r w:rsidR="009135DE" w:rsidRPr="00DD69DD">
        <w:rPr>
          <w:i/>
          <w:color w:val="000000"/>
          <w:szCs w:val="22"/>
          <w:shd w:val="clear" w:color="auto" w:fill="FFFFFF"/>
        </w:rPr>
        <w:t>Vacant Allotment Order</w:t>
      </w:r>
      <w:r w:rsidR="009135DE">
        <w:rPr>
          <w:color w:val="000000"/>
          <w:szCs w:val="22"/>
          <w:shd w:val="clear" w:color="auto" w:fill="FFFFFF"/>
        </w:rPr>
        <w:t xml:space="preserve"> states that </w:t>
      </w:r>
      <w:r w:rsidR="00F22AAA">
        <w:t xml:space="preserve">proposals will no longer be accepted </w:t>
      </w:r>
      <w:r w:rsidR="009135DE">
        <w:t xml:space="preserve">which involve </w:t>
      </w:r>
      <w:r w:rsidR="00F22AAA">
        <w:t>“the reallotment, class down-grade or deletion of a vacant FM allotment.”</w:t>
      </w:r>
      <w:r w:rsidR="00F22AAA">
        <w:rPr>
          <w:rStyle w:val="FootnoteReference"/>
        </w:rPr>
        <w:footnoteReference w:id="10"/>
      </w:r>
      <w:r w:rsidR="00F22AAA">
        <w:t xml:space="preserve"> </w:t>
      </w:r>
      <w:r w:rsidR="009135DE">
        <w:t xml:space="preserve">As a result, applicants and rulemaking petitions may continue to request changes in vacant allotment reference coordinates.  </w:t>
      </w:r>
      <w:r w:rsidR="00B556F3">
        <w:t>Moreover</w:t>
      </w:r>
      <w:r w:rsidR="00F22AAA">
        <w:t xml:space="preserve">, subsequent to the issuance of the </w:t>
      </w:r>
      <w:r w:rsidR="00F22AAA" w:rsidRPr="00460CD1">
        <w:rPr>
          <w:i/>
        </w:rPr>
        <w:t xml:space="preserve">Vacant Allotment </w:t>
      </w:r>
      <w:r w:rsidR="00F22AAA" w:rsidRPr="00460CD1">
        <w:rPr>
          <w:i/>
        </w:rPr>
        <w:lastRenderedPageBreak/>
        <w:t>Order</w:t>
      </w:r>
      <w:r w:rsidR="00F22AAA">
        <w:t xml:space="preserve">, the Bureau has processed </w:t>
      </w:r>
      <w:r w:rsidR="00DD69DD">
        <w:t>requests for</w:t>
      </w:r>
      <w:r w:rsidR="00F22AAA">
        <w:t xml:space="preserve"> same-class channel substitutions and changes in reference coordinates for vacant FM allotments.</w:t>
      </w:r>
      <w:r w:rsidR="00F22AAA">
        <w:rPr>
          <w:rStyle w:val="FootnoteReference"/>
        </w:rPr>
        <w:footnoteReference w:id="11"/>
      </w:r>
      <w:r w:rsidR="002A0F69">
        <w:t xml:space="preserve"> </w:t>
      </w:r>
      <w:bookmarkStart w:id="2" w:name="sp_999_2"/>
      <w:bookmarkStart w:id="3" w:name="SDU_2"/>
      <w:bookmarkStart w:id="4" w:name="SearchTerm"/>
    </w:p>
    <w:p w:rsidR="00122472" w:rsidRDefault="00F22AAA" w:rsidP="00E708B0">
      <w:pPr>
        <w:widowControl/>
        <w:shd w:val="clear" w:color="auto" w:fill="FFFFFF"/>
        <w:spacing w:after="240"/>
        <w:jc w:val="left"/>
        <w:rPr>
          <w:b/>
          <w:bCs/>
          <w:snapToGrid/>
          <w:color w:val="000000"/>
          <w:kern w:val="0"/>
          <w:szCs w:val="22"/>
        </w:rPr>
      </w:pPr>
      <w:r w:rsidRPr="00F22AAA">
        <w:rPr>
          <w:b/>
          <w:bCs/>
          <w:snapToGrid/>
          <w:color w:val="000000"/>
          <w:kern w:val="0"/>
          <w:szCs w:val="22"/>
        </w:rPr>
        <w:t>IV. ORDERING CLAUSE</w:t>
      </w:r>
    </w:p>
    <w:p w:rsidR="00BE0349" w:rsidRDefault="00E708B0" w:rsidP="00F34A56">
      <w:pPr>
        <w:widowControl/>
        <w:shd w:val="clear" w:color="auto" w:fill="FFFFFF"/>
        <w:tabs>
          <w:tab w:val="left" w:pos="720"/>
          <w:tab w:val="left" w:pos="1440"/>
        </w:tabs>
        <w:spacing w:after="240"/>
        <w:jc w:val="left"/>
        <w:rPr>
          <w:snapToGrid/>
          <w:color w:val="000000"/>
          <w:kern w:val="0"/>
          <w:szCs w:val="22"/>
          <w:shd w:val="clear" w:color="auto" w:fill="FFFFFF"/>
        </w:rPr>
      </w:pPr>
      <w:r>
        <w:rPr>
          <w:snapToGrid/>
          <w:color w:val="000000"/>
          <w:kern w:val="0"/>
          <w:szCs w:val="22"/>
          <w:shd w:val="clear" w:color="auto" w:fill="FFFFFF"/>
        </w:rPr>
        <w:tab/>
      </w:r>
      <w:r w:rsidR="0067188E">
        <w:rPr>
          <w:snapToGrid/>
          <w:color w:val="000000"/>
          <w:kern w:val="0"/>
          <w:szCs w:val="22"/>
          <w:shd w:val="clear" w:color="auto" w:fill="FFFFFF"/>
        </w:rPr>
        <w:t>7</w:t>
      </w:r>
      <w:r>
        <w:rPr>
          <w:snapToGrid/>
          <w:color w:val="000000"/>
          <w:kern w:val="0"/>
          <w:szCs w:val="22"/>
          <w:shd w:val="clear" w:color="auto" w:fill="FFFFFF"/>
        </w:rPr>
        <w:t xml:space="preserve">.  </w:t>
      </w:r>
      <w:r w:rsidR="00F34A56">
        <w:rPr>
          <w:snapToGrid/>
          <w:color w:val="000000"/>
          <w:kern w:val="0"/>
          <w:szCs w:val="22"/>
          <w:shd w:val="clear" w:color="auto" w:fill="FFFFFF"/>
        </w:rPr>
        <w:tab/>
      </w:r>
      <w:r w:rsidR="00F22AAA" w:rsidRPr="00F22AAA">
        <w:rPr>
          <w:snapToGrid/>
          <w:color w:val="000000"/>
          <w:kern w:val="0"/>
          <w:szCs w:val="22"/>
          <w:shd w:val="clear" w:color="auto" w:fill="FFFFFF"/>
        </w:rPr>
        <w:t>ACCORDINGLY, IT IS ORDERED that, pursuant to authority contained in Section 1.</w:t>
      </w:r>
      <w:r w:rsidR="00151216">
        <w:rPr>
          <w:snapToGrid/>
          <w:color w:val="000000"/>
          <w:kern w:val="0"/>
          <w:szCs w:val="22"/>
          <w:shd w:val="clear" w:color="auto" w:fill="FFFFFF"/>
        </w:rPr>
        <w:t xml:space="preserve">429(l) </w:t>
      </w:r>
      <w:r w:rsidR="00F22AAA" w:rsidRPr="00F22AAA">
        <w:rPr>
          <w:snapToGrid/>
          <w:color w:val="000000"/>
          <w:kern w:val="0"/>
          <w:szCs w:val="22"/>
          <w:shd w:val="clear" w:color="auto" w:fill="FFFFFF"/>
        </w:rPr>
        <w:t>of the Commission's Rules,</w:t>
      </w:r>
      <w:bookmarkStart w:id="5" w:name="FN[FN14]"/>
      <w:bookmarkEnd w:id="5"/>
      <w:r w:rsidR="00151216">
        <w:rPr>
          <w:rStyle w:val="FootnoteReference"/>
          <w:snapToGrid/>
          <w:kern w:val="0"/>
          <w:szCs w:val="22"/>
          <w:shd w:val="clear" w:color="auto" w:fill="FFFFFF"/>
        </w:rPr>
        <w:footnoteReference w:id="12"/>
      </w:r>
      <w:r w:rsidR="00F22AAA" w:rsidRPr="00F22AAA">
        <w:rPr>
          <w:snapToGrid/>
          <w:color w:val="000000"/>
          <w:kern w:val="0"/>
          <w:szCs w:val="22"/>
          <w:shd w:val="clear" w:color="auto" w:fill="FFFFFF"/>
        </w:rPr>
        <w:t xml:space="preserve"> the Petition for Reconsideration </w:t>
      </w:r>
      <w:r w:rsidR="00151216">
        <w:rPr>
          <w:snapToGrid/>
          <w:color w:val="000000"/>
          <w:kern w:val="0"/>
          <w:szCs w:val="22"/>
          <w:shd w:val="clear" w:color="auto" w:fill="FFFFFF"/>
        </w:rPr>
        <w:t>and Clarification filed on February 23, 2011</w:t>
      </w:r>
      <w:r w:rsidR="00F22AAA" w:rsidRPr="00F22AAA">
        <w:rPr>
          <w:snapToGrid/>
          <w:color w:val="000000"/>
          <w:kern w:val="0"/>
          <w:szCs w:val="22"/>
          <w:shd w:val="clear" w:color="auto" w:fill="FFFFFF"/>
        </w:rPr>
        <w:t>,</w:t>
      </w:r>
      <w:r w:rsidR="00151216">
        <w:rPr>
          <w:snapToGrid/>
          <w:color w:val="000000"/>
          <w:kern w:val="0"/>
          <w:szCs w:val="22"/>
          <w:shd w:val="clear" w:color="auto" w:fill="FFFFFF"/>
        </w:rPr>
        <w:t xml:space="preserve"> </w:t>
      </w:r>
      <w:r w:rsidR="00F22AAA" w:rsidRPr="00F22AAA">
        <w:rPr>
          <w:snapToGrid/>
          <w:color w:val="000000"/>
          <w:kern w:val="0"/>
          <w:szCs w:val="22"/>
          <w:shd w:val="clear" w:color="auto" w:fill="FFFFFF"/>
        </w:rPr>
        <w:t xml:space="preserve">by </w:t>
      </w:r>
      <w:r w:rsidR="00151216">
        <w:rPr>
          <w:snapToGrid/>
          <w:color w:val="000000"/>
          <w:kern w:val="0"/>
          <w:szCs w:val="22"/>
          <w:shd w:val="clear" w:color="auto" w:fill="FFFFFF"/>
        </w:rPr>
        <w:t>Roy E. Henderson,</w:t>
      </w:r>
      <w:r w:rsidR="00F22AAA" w:rsidRPr="00F22AAA">
        <w:rPr>
          <w:snapToGrid/>
          <w:color w:val="000000"/>
          <w:kern w:val="0"/>
          <w:szCs w:val="22"/>
          <w:shd w:val="clear" w:color="auto" w:fill="FFFFFF"/>
        </w:rPr>
        <w:t xml:space="preserve"> IS DISMISSED.</w:t>
      </w:r>
    </w:p>
    <w:p w:rsidR="0067188E" w:rsidRDefault="0067188E" w:rsidP="00F34A56">
      <w:pPr>
        <w:widowControl/>
        <w:shd w:val="clear" w:color="auto" w:fill="FFFFFF"/>
        <w:spacing w:after="240"/>
        <w:ind w:left="4320"/>
        <w:jc w:val="left"/>
        <w:rPr>
          <w:snapToGrid/>
          <w:color w:val="000000"/>
          <w:kern w:val="0"/>
          <w:szCs w:val="22"/>
        </w:rPr>
      </w:pPr>
      <w:r w:rsidRPr="00F22AAA">
        <w:rPr>
          <w:snapToGrid/>
          <w:color w:val="000000"/>
          <w:kern w:val="0"/>
          <w:szCs w:val="22"/>
        </w:rPr>
        <w:br/>
        <w:t>FEDERAL COMMUNICATIONS COMMISSION</w:t>
      </w:r>
    </w:p>
    <w:p w:rsidR="0067188E" w:rsidRDefault="0067188E" w:rsidP="0067188E">
      <w:pPr>
        <w:widowControl/>
        <w:shd w:val="clear" w:color="auto" w:fill="FFFFFF"/>
        <w:spacing w:after="240"/>
        <w:jc w:val="left"/>
        <w:rPr>
          <w:snapToGrid/>
          <w:kern w:val="0"/>
          <w:szCs w:val="22"/>
        </w:rPr>
      </w:pPr>
    </w:p>
    <w:p w:rsidR="0067188E" w:rsidRDefault="00F34A56" w:rsidP="0067188E">
      <w:pPr>
        <w:widowControl/>
        <w:shd w:val="clear" w:color="auto" w:fill="FFFFFF"/>
        <w:jc w:val="left"/>
        <w:rPr>
          <w:snapToGrid/>
          <w:kern w:val="0"/>
          <w:szCs w:val="22"/>
        </w:rPr>
      </w:pPr>
      <w:r>
        <w:rPr>
          <w:snapToGrid/>
          <w:kern w:val="0"/>
          <w:szCs w:val="22"/>
        </w:rPr>
        <w:tab/>
      </w:r>
      <w:r>
        <w:rPr>
          <w:snapToGrid/>
          <w:kern w:val="0"/>
          <w:szCs w:val="22"/>
        </w:rPr>
        <w:tab/>
      </w:r>
      <w:r>
        <w:rPr>
          <w:snapToGrid/>
          <w:kern w:val="0"/>
          <w:szCs w:val="22"/>
        </w:rPr>
        <w:tab/>
      </w:r>
      <w:r>
        <w:rPr>
          <w:snapToGrid/>
          <w:kern w:val="0"/>
          <w:szCs w:val="22"/>
        </w:rPr>
        <w:tab/>
      </w:r>
      <w:r>
        <w:rPr>
          <w:snapToGrid/>
          <w:kern w:val="0"/>
          <w:szCs w:val="22"/>
        </w:rPr>
        <w:tab/>
      </w:r>
      <w:r>
        <w:rPr>
          <w:snapToGrid/>
          <w:kern w:val="0"/>
          <w:szCs w:val="22"/>
        </w:rPr>
        <w:tab/>
        <w:t>Peter H. Doyle</w:t>
      </w:r>
    </w:p>
    <w:p w:rsidR="0067188E" w:rsidRDefault="0067188E" w:rsidP="0067188E">
      <w:pPr>
        <w:widowControl/>
        <w:shd w:val="clear" w:color="auto" w:fill="FFFFFF"/>
        <w:jc w:val="left"/>
        <w:rPr>
          <w:snapToGrid/>
          <w:kern w:val="0"/>
          <w:szCs w:val="22"/>
        </w:rPr>
      </w:pPr>
      <w:r>
        <w:rPr>
          <w:snapToGrid/>
          <w:kern w:val="0"/>
          <w:szCs w:val="22"/>
        </w:rPr>
        <w:tab/>
      </w:r>
      <w:r>
        <w:rPr>
          <w:snapToGrid/>
          <w:kern w:val="0"/>
          <w:szCs w:val="22"/>
        </w:rPr>
        <w:tab/>
      </w:r>
      <w:r>
        <w:rPr>
          <w:snapToGrid/>
          <w:kern w:val="0"/>
          <w:szCs w:val="22"/>
        </w:rPr>
        <w:tab/>
      </w:r>
      <w:r>
        <w:rPr>
          <w:snapToGrid/>
          <w:kern w:val="0"/>
          <w:szCs w:val="22"/>
        </w:rPr>
        <w:tab/>
      </w:r>
      <w:r>
        <w:rPr>
          <w:snapToGrid/>
          <w:kern w:val="0"/>
          <w:szCs w:val="22"/>
        </w:rPr>
        <w:tab/>
      </w:r>
      <w:r w:rsidR="00F34A56">
        <w:rPr>
          <w:snapToGrid/>
          <w:kern w:val="0"/>
          <w:szCs w:val="22"/>
        </w:rPr>
        <w:tab/>
      </w:r>
      <w:r>
        <w:rPr>
          <w:snapToGrid/>
          <w:kern w:val="0"/>
          <w:szCs w:val="22"/>
        </w:rPr>
        <w:t>Chief</w:t>
      </w:r>
      <w:r w:rsidR="00F34A56">
        <w:rPr>
          <w:snapToGrid/>
          <w:kern w:val="0"/>
          <w:szCs w:val="22"/>
        </w:rPr>
        <w:t>, Audio Division</w:t>
      </w:r>
    </w:p>
    <w:p w:rsidR="0067188E" w:rsidRPr="00BE0349" w:rsidRDefault="0067188E" w:rsidP="0067188E">
      <w:pPr>
        <w:widowControl/>
        <w:shd w:val="clear" w:color="auto" w:fill="FFFFFF"/>
        <w:jc w:val="left"/>
        <w:rPr>
          <w:snapToGrid/>
          <w:kern w:val="0"/>
          <w:szCs w:val="22"/>
        </w:rPr>
      </w:pPr>
      <w:r>
        <w:rPr>
          <w:snapToGrid/>
          <w:kern w:val="0"/>
          <w:szCs w:val="22"/>
        </w:rPr>
        <w:tab/>
      </w:r>
      <w:r>
        <w:rPr>
          <w:snapToGrid/>
          <w:kern w:val="0"/>
          <w:szCs w:val="22"/>
        </w:rPr>
        <w:tab/>
      </w:r>
      <w:r>
        <w:rPr>
          <w:snapToGrid/>
          <w:kern w:val="0"/>
          <w:szCs w:val="22"/>
        </w:rPr>
        <w:tab/>
      </w:r>
      <w:r>
        <w:rPr>
          <w:snapToGrid/>
          <w:kern w:val="0"/>
          <w:szCs w:val="22"/>
        </w:rPr>
        <w:tab/>
      </w:r>
      <w:r>
        <w:rPr>
          <w:snapToGrid/>
          <w:kern w:val="0"/>
          <w:szCs w:val="22"/>
        </w:rPr>
        <w:tab/>
      </w:r>
      <w:r w:rsidR="00F34A56">
        <w:rPr>
          <w:snapToGrid/>
          <w:kern w:val="0"/>
          <w:szCs w:val="22"/>
        </w:rPr>
        <w:tab/>
      </w:r>
      <w:r>
        <w:rPr>
          <w:snapToGrid/>
          <w:kern w:val="0"/>
          <w:szCs w:val="22"/>
        </w:rPr>
        <w:t>Media Bureau</w:t>
      </w:r>
    </w:p>
    <w:p w:rsidR="0067188E" w:rsidRPr="00BE0349" w:rsidRDefault="0067188E" w:rsidP="00E708B0">
      <w:pPr>
        <w:widowControl/>
        <w:shd w:val="clear" w:color="auto" w:fill="FFFFFF"/>
        <w:spacing w:after="240"/>
        <w:jc w:val="left"/>
        <w:rPr>
          <w:b/>
          <w:bCs/>
          <w:snapToGrid/>
          <w:color w:val="000000"/>
          <w:kern w:val="0"/>
          <w:szCs w:val="22"/>
        </w:rPr>
      </w:pPr>
    </w:p>
    <w:p w:rsidR="002D03F2" w:rsidRDefault="002D03F2" w:rsidP="008D2E2E">
      <w:pPr>
        <w:pStyle w:val="ParaNum"/>
        <w:numPr>
          <w:ilvl w:val="0"/>
          <w:numId w:val="0"/>
        </w:numPr>
        <w:tabs>
          <w:tab w:val="left" w:pos="810"/>
        </w:tabs>
        <w:ind w:left="2160"/>
        <w:jc w:val="left"/>
      </w:pPr>
      <w:bookmarkStart w:id="6" w:name="SR;913"/>
      <w:bookmarkEnd w:id="2"/>
      <w:bookmarkEnd w:id="3"/>
      <w:bookmarkEnd w:id="4"/>
      <w:bookmarkEnd w:id="6"/>
    </w:p>
    <w:sectPr w:rsidR="002D03F2" w:rsidSect="002D03F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584" w:right="1440" w:bottom="1584"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95" w:rsidRDefault="00244895">
      <w:pPr>
        <w:spacing w:line="20" w:lineRule="exact"/>
      </w:pPr>
    </w:p>
  </w:endnote>
  <w:endnote w:type="continuationSeparator" w:id="0">
    <w:p w:rsidR="00244895" w:rsidRDefault="00244895">
      <w:r>
        <w:t xml:space="preserve"> </w:t>
      </w:r>
    </w:p>
  </w:endnote>
  <w:endnote w:type="continuationNotice" w:id="1">
    <w:p w:rsidR="00244895" w:rsidRDefault="002448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A6" w:rsidRDefault="00C84EA6">
    <w:pPr>
      <w:pStyle w:val="Footer"/>
      <w:framePr w:wrap="around" w:vAnchor="text" w:hAnchor="margin" w:xAlign="center" w:y="1"/>
    </w:pPr>
    <w:r>
      <w:fldChar w:fldCharType="begin"/>
    </w:r>
    <w:r>
      <w:instrText xml:space="preserve">PAGE  </w:instrText>
    </w:r>
    <w:r>
      <w:fldChar w:fldCharType="end"/>
    </w:r>
  </w:p>
  <w:p w:rsidR="00C84EA6" w:rsidRDefault="00C84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A6" w:rsidRDefault="00C84EA6">
    <w:pPr>
      <w:pStyle w:val="Footer"/>
      <w:framePr w:wrap="around" w:vAnchor="text" w:hAnchor="margin" w:xAlign="center" w:y="1"/>
    </w:pPr>
    <w:r>
      <w:fldChar w:fldCharType="begin"/>
    </w:r>
    <w:r>
      <w:instrText xml:space="preserve">PAGE  </w:instrText>
    </w:r>
    <w:r>
      <w:fldChar w:fldCharType="separate"/>
    </w:r>
    <w:r w:rsidR="00BC0052">
      <w:rPr>
        <w:noProof/>
      </w:rPr>
      <w:t>2</w:t>
    </w:r>
    <w:r>
      <w:fldChar w:fldCharType="end"/>
    </w:r>
  </w:p>
  <w:p w:rsidR="00C84EA6" w:rsidRDefault="00C84EA6">
    <w:pPr>
      <w:spacing w:before="140" w:line="100" w:lineRule="exact"/>
      <w:rPr>
        <w:sz w:val="10"/>
      </w:rPr>
    </w:pPr>
  </w:p>
  <w:p w:rsidR="00C84EA6" w:rsidRDefault="00C84EA6">
    <w:pPr>
      <w:suppressAutoHyphens/>
      <w:spacing w:line="227" w:lineRule="auto"/>
    </w:pPr>
  </w:p>
  <w:p w:rsidR="00C84EA6" w:rsidRDefault="00C84E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A6" w:rsidRDefault="00C84EA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95" w:rsidRDefault="00244895">
      <w:r>
        <w:separator/>
      </w:r>
    </w:p>
  </w:footnote>
  <w:footnote w:type="continuationSeparator" w:id="0">
    <w:p w:rsidR="00244895" w:rsidRDefault="00244895">
      <w:pPr>
        <w:rPr>
          <w:sz w:val="20"/>
        </w:rPr>
      </w:pPr>
      <w:r>
        <w:rPr>
          <w:sz w:val="20"/>
        </w:rPr>
        <w:t xml:space="preserve">(Continued from previous page)  </w:t>
      </w:r>
      <w:r>
        <w:rPr>
          <w:sz w:val="20"/>
        </w:rPr>
        <w:separator/>
      </w:r>
    </w:p>
  </w:footnote>
  <w:footnote w:type="continuationNotice" w:id="1">
    <w:p w:rsidR="00244895" w:rsidRDefault="00244895">
      <w:pPr>
        <w:rPr>
          <w:sz w:val="20"/>
        </w:rPr>
      </w:pPr>
      <w:r>
        <w:rPr>
          <w:sz w:val="20"/>
        </w:rPr>
        <w:t>(continued….)</w:t>
      </w:r>
    </w:p>
  </w:footnote>
  <w:footnote w:id="2">
    <w:p w:rsidR="00FB7D84" w:rsidRDefault="00FB7D84">
      <w:pPr>
        <w:pStyle w:val="FootnoteText"/>
      </w:pPr>
      <w:r>
        <w:rPr>
          <w:rStyle w:val="FootnoteReference"/>
        </w:rPr>
        <w:footnoteRef/>
      </w:r>
      <w:r>
        <w:t xml:space="preserve"> “Petition for Reconsideration and Clarification,” filed by Roy E. Henderson (Feb. 23, 2011).</w:t>
      </w:r>
    </w:p>
  </w:footnote>
  <w:footnote w:id="3">
    <w:p w:rsidR="004F62E9" w:rsidRDefault="004F62E9" w:rsidP="004F62E9">
      <w:pPr>
        <w:pStyle w:val="FootnoteText"/>
      </w:pPr>
      <w:r>
        <w:rPr>
          <w:rStyle w:val="FootnoteReference"/>
        </w:rPr>
        <w:footnoteRef/>
      </w:r>
      <w:r>
        <w:t xml:space="preserve"> </w:t>
      </w:r>
      <w:r w:rsidRPr="00F53AAD">
        <w:rPr>
          <w:i/>
        </w:rPr>
        <w:t>Enfield, New Hampshire; Hartford and White River Junction, Vermont; and Keeseville and Morrisonville, New York</w:t>
      </w:r>
      <w:r>
        <w:t>, Memorandum Opinion and Order, 26 FCC Rcd 798 (2011) (“</w:t>
      </w:r>
      <w:r w:rsidRPr="00393C6A">
        <w:rPr>
          <w:i/>
        </w:rPr>
        <w:t>Vacant Allotment Order</w:t>
      </w:r>
      <w:r>
        <w:t>”).</w:t>
      </w:r>
      <w:r w:rsidR="00FB7D84">
        <w:t xml:space="preserve"> Notice of the decision was published in the Federal Register on February 17, 2011. </w:t>
      </w:r>
      <w:r w:rsidR="00FB7D84" w:rsidRPr="00FB7D84">
        <w:rPr>
          <w:i/>
        </w:rPr>
        <w:t xml:space="preserve">See </w:t>
      </w:r>
      <w:r w:rsidR="00FB7D84">
        <w:t>76 Fed.Reg. 9249 (Feb. 17, 2011).</w:t>
      </w:r>
    </w:p>
  </w:footnote>
  <w:footnote w:id="4">
    <w:p w:rsidR="00400431" w:rsidRDefault="00400431">
      <w:pPr>
        <w:pStyle w:val="FootnoteText"/>
      </w:pPr>
      <w:r>
        <w:rPr>
          <w:rStyle w:val="FootnoteReference"/>
        </w:rPr>
        <w:footnoteRef/>
      </w:r>
      <w:r>
        <w:t xml:space="preserve"> The applicant for review was Hall Communications, Inc., </w:t>
      </w:r>
      <w:r w:rsidR="00B4381D">
        <w:t xml:space="preserve">a counterproponent in this FM allotment rulemaking. </w:t>
      </w:r>
      <w:r w:rsidR="00B4381D" w:rsidRPr="00B4381D">
        <w:rPr>
          <w:i/>
          <w:color w:val="000000"/>
          <w:szCs w:val="22"/>
        </w:rPr>
        <w:t>Enfield, New Hampshire; Hartford and White River Junction, Vermont; and Keeseville and Morrisonville, New York</w:t>
      </w:r>
      <w:r w:rsidR="00B4381D">
        <w:rPr>
          <w:color w:val="000000"/>
          <w:szCs w:val="22"/>
        </w:rPr>
        <w:t>, Report and Order, 21 FCC Rcd 5136 (MB 2006).</w:t>
      </w:r>
    </w:p>
  </w:footnote>
  <w:footnote w:id="5">
    <w:p w:rsidR="00F53AAD" w:rsidRDefault="00F53AAD">
      <w:pPr>
        <w:pStyle w:val="FootnoteText"/>
      </w:pPr>
      <w:r>
        <w:rPr>
          <w:rStyle w:val="FootnoteReference"/>
        </w:rPr>
        <w:footnoteRef/>
      </w:r>
      <w:r>
        <w:t xml:space="preserve"> </w:t>
      </w:r>
      <w:r w:rsidRPr="00F53AAD">
        <w:rPr>
          <w:i/>
        </w:rPr>
        <w:t>Vacant Allotment Order</w:t>
      </w:r>
      <w:r>
        <w:t>, 26 FCC Rcd at 799 (citations omitted).</w:t>
      </w:r>
    </w:p>
  </w:footnote>
  <w:footnote w:id="6">
    <w:p w:rsidR="008B07C9" w:rsidRDefault="008B07C9">
      <w:pPr>
        <w:pStyle w:val="FootnoteText"/>
      </w:pPr>
      <w:r>
        <w:rPr>
          <w:rStyle w:val="FootnoteReference"/>
        </w:rPr>
        <w:footnoteRef/>
      </w:r>
      <w:r w:rsidR="00FB7D84" w:rsidRPr="00FB7D84">
        <w:rPr>
          <w:i/>
        </w:rPr>
        <w:t>Id</w:t>
      </w:r>
      <w:r w:rsidR="00FB7D84">
        <w:t>.</w:t>
      </w:r>
      <w:r>
        <w:t>, 26 FCC Rcd at 801, ¶ 10.</w:t>
      </w:r>
    </w:p>
  </w:footnote>
  <w:footnote w:id="7">
    <w:p w:rsidR="00830EB2" w:rsidRDefault="00830EB2">
      <w:pPr>
        <w:pStyle w:val="FootnoteText"/>
      </w:pPr>
      <w:r>
        <w:rPr>
          <w:rStyle w:val="FootnoteReference"/>
        </w:rPr>
        <w:footnoteRef/>
      </w:r>
      <w:r>
        <w:t xml:space="preserve"> 47 C.F.R. § 1.429</w:t>
      </w:r>
      <w:r w:rsidR="002A0F69">
        <w:t>.</w:t>
      </w:r>
    </w:p>
  </w:footnote>
  <w:footnote w:id="8">
    <w:p w:rsidR="00635AC0" w:rsidRPr="006E0713" w:rsidRDefault="00635AC0" w:rsidP="00635AC0">
      <w:pPr>
        <w:pStyle w:val="FootnoteText"/>
      </w:pPr>
      <w:r>
        <w:rPr>
          <w:rStyle w:val="FootnoteReference"/>
        </w:rPr>
        <w:footnoteRef/>
      </w:r>
      <w:r>
        <w:t xml:space="preserve"> </w:t>
      </w:r>
      <w:r>
        <w:rPr>
          <w:i/>
        </w:rPr>
        <w:t xml:space="preserve">See Eagle Broadcasting Co. v FCC, </w:t>
      </w:r>
      <w:r>
        <w:t xml:space="preserve">514 F.2d </w:t>
      </w:r>
      <w:r w:rsidR="00A65D13">
        <w:t xml:space="preserve"> </w:t>
      </w:r>
      <w:r>
        <w:t>852 (D.C. Cir. 1975).</w:t>
      </w:r>
    </w:p>
  </w:footnote>
  <w:footnote w:id="9">
    <w:p w:rsidR="00A96E18" w:rsidRDefault="00A96E18" w:rsidP="00A10999">
      <w:pPr>
        <w:autoSpaceDE w:val="0"/>
        <w:autoSpaceDN w:val="0"/>
        <w:adjustRightInd w:val="0"/>
        <w:rPr>
          <w:sz w:val="20"/>
        </w:rPr>
      </w:pPr>
      <w:r w:rsidRPr="00A96E18">
        <w:rPr>
          <w:rStyle w:val="FootnoteReference"/>
        </w:rPr>
        <w:footnoteRef/>
      </w:r>
      <w:r w:rsidRPr="00A96E18">
        <w:rPr>
          <w:sz w:val="20"/>
        </w:rPr>
        <w:t xml:space="preserve"> </w:t>
      </w:r>
      <w:hyperlink r:id="rId1" w:history="1">
        <w:r w:rsidRPr="00FE6817">
          <w:rPr>
            <w:i/>
            <w:sz w:val="20"/>
          </w:rPr>
          <w:t xml:space="preserve">Amendment of Certain of the Commission's Part 1 Rules of Practice and Procedure and Part 0 Rules of Commission Organization, </w:t>
        </w:r>
      </w:hyperlink>
      <w:hyperlink r:id="rId2" w:history="1">
        <w:r w:rsidRPr="00FE6817">
          <w:rPr>
            <w:iCs/>
            <w:sz w:val="20"/>
          </w:rPr>
          <w:t>Report and Order</w:t>
        </w:r>
      </w:hyperlink>
      <w:hyperlink r:id="rId3" w:history="1">
        <w:r w:rsidRPr="00A96E18">
          <w:rPr>
            <w:sz w:val="20"/>
          </w:rPr>
          <w:t>, 26 FCC Rcd 1594, 1606</w:t>
        </w:r>
      </w:hyperlink>
      <w:r w:rsidR="00A16F1A">
        <w:rPr>
          <w:sz w:val="20"/>
        </w:rPr>
        <w:t xml:space="preserve">, </w:t>
      </w:r>
      <w:r w:rsidR="00FE6817">
        <w:rPr>
          <w:sz w:val="20"/>
        </w:rPr>
        <w:t>¶¶</w:t>
      </w:r>
      <w:r w:rsidRPr="00A96E18">
        <w:rPr>
          <w:sz w:val="20"/>
        </w:rPr>
        <w:t xml:space="preserve"> 27-28 (2011</w:t>
      </w:r>
      <w:r w:rsidR="00FE6817">
        <w:rPr>
          <w:sz w:val="20"/>
        </w:rPr>
        <w:t>)</w:t>
      </w:r>
      <w:r w:rsidRPr="00A96E18">
        <w:rPr>
          <w:sz w:val="20"/>
        </w:rPr>
        <w:t xml:space="preserve">; </w:t>
      </w:r>
      <w:r w:rsidRPr="00A96E18">
        <w:rPr>
          <w:i/>
          <w:iCs/>
          <w:sz w:val="20"/>
        </w:rPr>
        <w:t>see also</w:t>
      </w:r>
      <w:r w:rsidR="00FE6817">
        <w:rPr>
          <w:i/>
          <w:iCs/>
          <w:sz w:val="20"/>
        </w:rPr>
        <w:t xml:space="preserve"> </w:t>
      </w:r>
      <w:hyperlink r:id="rId4" w:history="1">
        <w:r w:rsidRPr="00FE6817">
          <w:rPr>
            <w:sz w:val="20"/>
          </w:rPr>
          <w:t xml:space="preserve">47 C.F.R. §§ </w:t>
        </w:r>
      </w:hyperlink>
      <w:hyperlink r:id="rId5" w:history="1">
        <w:r w:rsidRPr="00FE6817">
          <w:rPr>
            <w:bCs/>
            <w:sz w:val="20"/>
          </w:rPr>
          <w:t>1</w:t>
        </w:r>
      </w:hyperlink>
      <w:hyperlink r:id="rId6" w:history="1">
        <w:r w:rsidRPr="00FE6817">
          <w:rPr>
            <w:sz w:val="20"/>
          </w:rPr>
          <w:t xml:space="preserve">. </w:t>
        </w:r>
      </w:hyperlink>
      <w:hyperlink r:id="rId7" w:history="1">
        <w:r w:rsidRPr="00FE6817">
          <w:rPr>
            <w:bCs/>
            <w:sz w:val="20"/>
          </w:rPr>
          <w:t>429</w:t>
        </w:r>
      </w:hyperlink>
      <w:hyperlink r:id="rId8" w:history="1">
        <w:r w:rsidRPr="0075560A">
          <w:rPr>
            <w:sz w:val="20"/>
          </w:rPr>
          <w:t>(</w:t>
        </w:r>
      </w:hyperlink>
      <w:hyperlink r:id="rId9" w:history="1">
        <w:r w:rsidRPr="0075560A">
          <w:rPr>
            <w:bCs/>
            <w:iCs/>
            <w:sz w:val="20"/>
          </w:rPr>
          <w:t>l</w:t>
        </w:r>
      </w:hyperlink>
      <w:hyperlink r:id="rId10" w:history="1">
        <w:r w:rsidRPr="0075560A">
          <w:rPr>
            <w:sz w:val="20"/>
          </w:rPr>
          <w:t>)</w:t>
        </w:r>
      </w:hyperlink>
      <w:r w:rsidRPr="00A96E18">
        <w:rPr>
          <w:sz w:val="20"/>
        </w:rPr>
        <w:t xml:space="preserve"> (codifying delegation in rulemaking cases) and 1.106(p) (codifying same delegation in non-rulemaking cases).</w:t>
      </w:r>
    </w:p>
    <w:p w:rsidR="00A10999" w:rsidRDefault="00A10999" w:rsidP="00A10999">
      <w:pPr>
        <w:autoSpaceDE w:val="0"/>
        <w:autoSpaceDN w:val="0"/>
        <w:adjustRightInd w:val="0"/>
      </w:pPr>
    </w:p>
  </w:footnote>
  <w:footnote w:id="10">
    <w:p w:rsidR="00F22AAA" w:rsidRDefault="00F22AAA" w:rsidP="00A10999">
      <w:pPr>
        <w:pStyle w:val="FootnoteText"/>
        <w:spacing w:after="0"/>
      </w:pPr>
      <w:r>
        <w:rPr>
          <w:rStyle w:val="FootnoteReference"/>
        </w:rPr>
        <w:footnoteRef/>
      </w:r>
      <w:r>
        <w:t xml:space="preserve"> </w:t>
      </w:r>
      <w:r w:rsidRPr="00452027">
        <w:rPr>
          <w:i/>
        </w:rPr>
        <w:t>Vacant Allotment Order</w:t>
      </w:r>
      <w:r>
        <w:t>, 26 FCC Rcd at 801, ¶ 10.</w:t>
      </w:r>
    </w:p>
  </w:footnote>
  <w:footnote w:id="11">
    <w:p w:rsidR="00F22AAA" w:rsidRDefault="00F22AAA" w:rsidP="00F22AAA">
      <w:pPr>
        <w:pStyle w:val="FootnoteText"/>
      </w:pPr>
      <w:r>
        <w:rPr>
          <w:rStyle w:val="FootnoteReference"/>
        </w:rPr>
        <w:footnoteRef/>
      </w:r>
      <w:r>
        <w:t xml:space="preserve"> </w:t>
      </w:r>
      <w:r w:rsidRPr="00452027">
        <w:rPr>
          <w:i/>
        </w:rPr>
        <w:t>See, e.g., Dermott, Arkansas, and Cleveland, Mississippi</w:t>
      </w:r>
      <w:r>
        <w:t xml:space="preserve">, Report and Order, 28 FCC Rcd 5664 (MB 2013) (granting request for same class channel substitutions and </w:t>
      </w:r>
      <w:r w:rsidR="00CE5326">
        <w:t>different</w:t>
      </w:r>
      <w:r>
        <w:t xml:space="preserve"> reference coordinates for vacant allotments at Dermott, Arkansas, and Cleveland, Mississippi); and </w:t>
      </w:r>
      <w:r w:rsidRPr="008C0072">
        <w:rPr>
          <w:i/>
        </w:rPr>
        <w:t>Asbury, Iowa</w:t>
      </w:r>
      <w:r>
        <w:t>, Report and Ord</w:t>
      </w:r>
      <w:r w:rsidR="009A72EE">
        <w:t xml:space="preserve">er, 27 FCC Rcd 11054 (MB 2012) </w:t>
      </w:r>
      <w:r>
        <w:t xml:space="preserve">(granting request for same class channel substitution and </w:t>
      </w:r>
      <w:r w:rsidR="00CE5326">
        <w:t>different</w:t>
      </w:r>
      <w:r>
        <w:t xml:space="preserve"> reference c</w:t>
      </w:r>
      <w:r w:rsidR="008C0072">
        <w:t xml:space="preserve">oordinates for vacant allotment </w:t>
      </w:r>
      <w:r>
        <w:t>at Asbury, Iowa).</w:t>
      </w:r>
    </w:p>
  </w:footnote>
  <w:footnote w:id="12">
    <w:p w:rsidR="00151216" w:rsidRDefault="00151216">
      <w:pPr>
        <w:pStyle w:val="FootnoteText"/>
      </w:pPr>
      <w:r>
        <w:rPr>
          <w:rStyle w:val="FootnoteReference"/>
        </w:rPr>
        <w:footnoteRef/>
      </w:r>
      <w:r>
        <w:t xml:space="preserve"> 47 C.F.R. §1.429(l).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77" w:rsidRDefault="00932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A6" w:rsidRDefault="00C84EA6" w:rsidP="00AA3E8D">
    <w:pPr>
      <w:tabs>
        <w:tab w:val="center" w:pos="4680"/>
        <w:tab w:val="right" w:pos="9360"/>
      </w:tabs>
      <w:suppressAutoHyphens/>
      <w:spacing w:line="227" w:lineRule="auto"/>
      <w:rPr>
        <w:b/>
        <w:spacing w:val="-2"/>
      </w:rPr>
    </w:pPr>
    <w:r>
      <w:rPr>
        <w:b/>
        <w:spacing w:val="-2"/>
      </w:rPr>
      <w:t xml:space="preserve">                                                   Federal Communications Commission                     </w:t>
    </w:r>
    <w:r w:rsidR="00635AC0">
      <w:rPr>
        <w:b/>
        <w:spacing w:val="-2"/>
      </w:rPr>
      <w:t xml:space="preserve">             </w:t>
    </w:r>
    <w:r>
      <w:rPr>
        <w:b/>
        <w:spacing w:val="-2"/>
      </w:rPr>
      <w:t xml:space="preserve">DA </w:t>
    </w:r>
    <w:r w:rsidR="008F22BB">
      <w:rPr>
        <w:b/>
        <w:spacing w:val="-2"/>
      </w:rPr>
      <w:t>14</w:t>
    </w:r>
    <w:r w:rsidR="00635AC0">
      <w:rPr>
        <w:b/>
        <w:spacing w:val="-2"/>
      </w:rPr>
      <w:t>-</w:t>
    </w:r>
    <w:r w:rsidR="009B6F7A">
      <w:rPr>
        <w:b/>
        <w:spacing w:val="-2"/>
      </w:rPr>
      <w:t>1837</w:t>
    </w:r>
  </w:p>
  <w:p w:rsidR="00C84EA6" w:rsidRDefault="00C84EA6" w:rsidP="00F632D6">
    <w:pPr>
      <w:tabs>
        <w:tab w:val="center" w:pos="4680"/>
        <w:tab w:val="right" w:pos="9360"/>
      </w:tabs>
      <w:suppressAutoHyphens/>
      <w:spacing w:line="227" w:lineRule="auto"/>
      <w:rPr>
        <w:sz w:val="10"/>
      </w:rPr>
    </w:pPr>
    <w:r>
      <w:rPr>
        <w:b/>
        <w:spacing w:val="-2"/>
      </w:rPr>
      <w:t xml:space="preserve">                                                       </w:t>
    </w:r>
    <w:r>
      <w:rPr>
        <w:spacing w:val="-2"/>
      </w:rPr>
      <w:t xml:space="preserve">                         </w:t>
    </w:r>
    <w:r w:rsidR="00ED67B6">
      <w:rPr>
        <w:noProof/>
        <w:snapToGrid/>
      </w:rPr>
      <mc:AlternateContent>
        <mc:Choice Requires="wps">
          <w:drawing>
            <wp:anchor distT="0" distB="0" distL="114300" distR="114300" simplePos="0" relativeHeight="251657728" behindDoc="1" locked="0" layoutInCell="0" allowOverlap="1" wp14:anchorId="5D55FA8B" wp14:editId="46799FBB">
              <wp:simplePos x="0" y="0"/>
              <wp:positionH relativeFrom="margin">
                <wp:posOffset>0</wp:posOffset>
              </wp:positionH>
              <wp:positionV relativeFrom="paragraph">
                <wp:posOffset>0</wp:posOffset>
              </wp:positionV>
              <wp:extent cx="5943600" cy="120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p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gtPpq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C84EA6" w:rsidRPr="00F632D6" w:rsidRDefault="00C84EA6" w:rsidP="00F632D6">
    <w:pPr>
      <w:pStyle w:val="Header"/>
    </w:pPr>
  </w:p>
  <w:p w:rsidR="00C84EA6" w:rsidRPr="00F632D6" w:rsidRDefault="00C84EA6" w:rsidP="00F63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A6" w:rsidRDefault="00C84EA6">
    <w:pPr>
      <w:pStyle w:val="Header"/>
      <w:pBdr>
        <w:bottom w:val="single" w:sz="12" w:space="1" w:color="auto"/>
      </w:pBdr>
      <w:rPr>
        <w:b w:val="0"/>
      </w:rPr>
    </w:pPr>
    <w:r>
      <w:tab/>
      <w:t xml:space="preserve">                                                  Federal Communications Commission </w:t>
    </w:r>
    <w:r w:rsidR="002E3C0E">
      <w:t xml:space="preserve">                             </w:t>
    </w:r>
    <w:r>
      <w:t xml:space="preserve">DA </w:t>
    </w:r>
    <w:r w:rsidR="002E3C0E">
      <w:t>1</w:t>
    </w:r>
    <w:r w:rsidR="00001834">
      <w:t>4</w:t>
    </w:r>
    <w:r w:rsidR="002E3C0E">
      <w:t>-</w:t>
    </w:r>
    <w:r w:rsidR="009B6F7A">
      <w:t>1837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15C25516"/>
    <w:multiLevelType w:val="hybridMultilevel"/>
    <w:tmpl w:val="582286F6"/>
    <w:lvl w:ilvl="0" w:tplc="6B308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5A107E"/>
    <w:multiLevelType w:val="hybridMultilevel"/>
    <w:tmpl w:val="25801B2E"/>
    <w:lvl w:ilvl="0" w:tplc="C3BC974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A658E1"/>
    <w:multiLevelType w:val="hybridMultilevel"/>
    <w:tmpl w:val="7986A6CA"/>
    <w:lvl w:ilvl="0" w:tplc="24AC5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6026E"/>
    <w:multiLevelType w:val="hybridMultilevel"/>
    <w:tmpl w:val="C29ED79A"/>
    <w:lvl w:ilvl="0" w:tplc="28E66352">
      <w:start w:val="9"/>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56A1495"/>
    <w:multiLevelType w:val="hybridMultilevel"/>
    <w:tmpl w:val="DB468EB8"/>
    <w:lvl w:ilvl="0" w:tplc="26561EC6">
      <w:start w:val="1"/>
      <w:numFmt w:val="decimal"/>
      <w:lvlText w:val="%1."/>
      <w:lvlJc w:val="left"/>
      <w:pPr>
        <w:ind w:left="1725" w:hanging="1005"/>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EC1EC3"/>
    <w:multiLevelType w:val="hybridMultilevel"/>
    <w:tmpl w:val="CF9AFA8E"/>
    <w:lvl w:ilvl="0" w:tplc="3ADC9BFE">
      <w:start w:val="1"/>
      <w:numFmt w:val="decimal"/>
      <w:lvlText w:val="%1."/>
      <w:lvlJc w:val="left"/>
      <w:pPr>
        <w:ind w:left="1725" w:hanging="10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F83B34"/>
    <w:multiLevelType w:val="hybridMultilevel"/>
    <w:tmpl w:val="BEA8B64A"/>
    <w:lvl w:ilvl="0" w:tplc="DDEA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6"/>
  </w:num>
  <w:num w:numId="5">
    <w:abstractNumId w:val="8"/>
  </w:num>
  <w:num w:numId="6">
    <w:abstractNumId w:val="5"/>
  </w:num>
  <w:num w:numId="7">
    <w:abstractNumId w:val="1"/>
  </w:num>
  <w:num w:numId="8">
    <w:abstractNumId w:val="7"/>
  </w:num>
  <w:num w:numId="9">
    <w:abstractNumId w:val="4"/>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8"/>
    <w:rsid w:val="00001834"/>
    <w:rsid w:val="00001EA7"/>
    <w:rsid w:val="00004689"/>
    <w:rsid w:val="000118B7"/>
    <w:rsid w:val="00016ED5"/>
    <w:rsid w:val="00023394"/>
    <w:rsid w:val="00025601"/>
    <w:rsid w:val="000349CB"/>
    <w:rsid w:val="00045174"/>
    <w:rsid w:val="0004570E"/>
    <w:rsid w:val="00045B86"/>
    <w:rsid w:val="000509A3"/>
    <w:rsid w:val="000603D3"/>
    <w:rsid w:val="00067C92"/>
    <w:rsid w:val="0007039F"/>
    <w:rsid w:val="00071D19"/>
    <w:rsid w:val="00072661"/>
    <w:rsid w:val="000735D1"/>
    <w:rsid w:val="00073928"/>
    <w:rsid w:val="0009029C"/>
    <w:rsid w:val="00095FBC"/>
    <w:rsid w:val="000D07A8"/>
    <w:rsid w:val="000D6A05"/>
    <w:rsid w:val="000F627C"/>
    <w:rsid w:val="0011030E"/>
    <w:rsid w:val="00113014"/>
    <w:rsid w:val="00115D98"/>
    <w:rsid w:val="001212C4"/>
    <w:rsid w:val="00122472"/>
    <w:rsid w:val="00151216"/>
    <w:rsid w:val="00154AAB"/>
    <w:rsid w:val="00162BCC"/>
    <w:rsid w:val="00165C78"/>
    <w:rsid w:val="00174F0F"/>
    <w:rsid w:val="00191D02"/>
    <w:rsid w:val="00191D4A"/>
    <w:rsid w:val="00195BD3"/>
    <w:rsid w:val="00196A27"/>
    <w:rsid w:val="00196BC2"/>
    <w:rsid w:val="001A33B5"/>
    <w:rsid w:val="001D0CCE"/>
    <w:rsid w:val="001D26B4"/>
    <w:rsid w:val="001E17BF"/>
    <w:rsid w:val="001F2B46"/>
    <w:rsid w:val="001F567C"/>
    <w:rsid w:val="001F59B5"/>
    <w:rsid w:val="00200638"/>
    <w:rsid w:val="002118CE"/>
    <w:rsid w:val="00221B60"/>
    <w:rsid w:val="0023647E"/>
    <w:rsid w:val="00240D71"/>
    <w:rsid w:val="00244895"/>
    <w:rsid w:val="002450F7"/>
    <w:rsid w:val="0025240D"/>
    <w:rsid w:val="00260BF5"/>
    <w:rsid w:val="00263078"/>
    <w:rsid w:val="00267953"/>
    <w:rsid w:val="00267ABC"/>
    <w:rsid w:val="00274E43"/>
    <w:rsid w:val="0028190A"/>
    <w:rsid w:val="00287C64"/>
    <w:rsid w:val="00290709"/>
    <w:rsid w:val="00290F6A"/>
    <w:rsid w:val="002941FA"/>
    <w:rsid w:val="002A0F69"/>
    <w:rsid w:val="002A4FD1"/>
    <w:rsid w:val="002B7C96"/>
    <w:rsid w:val="002C1444"/>
    <w:rsid w:val="002C153E"/>
    <w:rsid w:val="002C3C4B"/>
    <w:rsid w:val="002C470F"/>
    <w:rsid w:val="002C5B5B"/>
    <w:rsid w:val="002C66ED"/>
    <w:rsid w:val="002C6F35"/>
    <w:rsid w:val="002D03F2"/>
    <w:rsid w:val="002D656F"/>
    <w:rsid w:val="002E331B"/>
    <w:rsid w:val="002E3C0E"/>
    <w:rsid w:val="002E668F"/>
    <w:rsid w:val="002F093C"/>
    <w:rsid w:val="002F2492"/>
    <w:rsid w:val="00303BCF"/>
    <w:rsid w:val="0030426D"/>
    <w:rsid w:val="00304833"/>
    <w:rsid w:val="00304858"/>
    <w:rsid w:val="003120D2"/>
    <w:rsid w:val="00313D92"/>
    <w:rsid w:val="00317732"/>
    <w:rsid w:val="0032692C"/>
    <w:rsid w:val="00326F6B"/>
    <w:rsid w:val="003403A5"/>
    <w:rsid w:val="00342E7A"/>
    <w:rsid w:val="003431D4"/>
    <w:rsid w:val="003460EC"/>
    <w:rsid w:val="00346A50"/>
    <w:rsid w:val="00350E0F"/>
    <w:rsid w:val="003606F3"/>
    <w:rsid w:val="00362594"/>
    <w:rsid w:val="0036744C"/>
    <w:rsid w:val="00370485"/>
    <w:rsid w:val="0037096A"/>
    <w:rsid w:val="003764CE"/>
    <w:rsid w:val="00393C6A"/>
    <w:rsid w:val="003B6BDF"/>
    <w:rsid w:val="003C2EB5"/>
    <w:rsid w:val="003C7F88"/>
    <w:rsid w:val="003D15A6"/>
    <w:rsid w:val="003E18F2"/>
    <w:rsid w:val="003E6E6B"/>
    <w:rsid w:val="003E77A0"/>
    <w:rsid w:val="003F0534"/>
    <w:rsid w:val="003F05EB"/>
    <w:rsid w:val="003F1233"/>
    <w:rsid w:val="00400431"/>
    <w:rsid w:val="00405B2D"/>
    <w:rsid w:val="00405E4A"/>
    <w:rsid w:val="00410C9D"/>
    <w:rsid w:val="00431BDA"/>
    <w:rsid w:val="00433774"/>
    <w:rsid w:val="00434CD7"/>
    <w:rsid w:val="00436651"/>
    <w:rsid w:val="00437535"/>
    <w:rsid w:val="00445716"/>
    <w:rsid w:val="00447907"/>
    <w:rsid w:val="00451665"/>
    <w:rsid w:val="004516AD"/>
    <w:rsid w:val="00452027"/>
    <w:rsid w:val="00460CD1"/>
    <w:rsid w:val="004613B5"/>
    <w:rsid w:val="004667FE"/>
    <w:rsid w:val="0047675C"/>
    <w:rsid w:val="0048683F"/>
    <w:rsid w:val="004A3A04"/>
    <w:rsid w:val="004A668D"/>
    <w:rsid w:val="004B0FBA"/>
    <w:rsid w:val="004B509B"/>
    <w:rsid w:val="004C288B"/>
    <w:rsid w:val="004E0B33"/>
    <w:rsid w:val="004E66B9"/>
    <w:rsid w:val="004F0A41"/>
    <w:rsid w:val="004F3A47"/>
    <w:rsid w:val="004F62E9"/>
    <w:rsid w:val="00506CC1"/>
    <w:rsid w:val="005118E8"/>
    <w:rsid w:val="00524241"/>
    <w:rsid w:val="00524FB8"/>
    <w:rsid w:val="00531863"/>
    <w:rsid w:val="00543B5A"/>
    <w:rsid w:val="00554FAD"/>
    <w:rsid w:val="00555E9B"/>
    <w:rsid w:val="00567AAF"/>
    <w:rsid w:val="0057124D"/>
    <w:rsid w:val="00574EE2"/>
    <w:rsid w:val="005835B4"/>
    <w:rsid w:val="005A240F"/>
    <w:rsid w:val="005A28D9"/>
    <w:rsid w:val="005A3655"/>
    <w:rsid w:val="005B0053"/>
    <w:rsid w:val="005B39AB"/>
    <w:rsid w:val="005B6E94"/>
    <w:rsid w:val="005B77BE"/>
    <w:rsid w:val="005C40C7"/>
    <w:rsid w:val="005D0B61"/>
    <w:rsid w:val="005F00DF"/>
    <w:rsid w:val="005F0D22"/>
    <w:rsid w:val="005F679C"/>
    <w:rsid w:val="006111E7"/>
    <w:rsid w:val="00613E45"/>
    <w:rsid w:val="006164DE"/>
    <w:rsid w:val="0062411B"/>
    <w:rsid w:val="006259FA"/>
    <w:rsid w:val="00632BC6"/>
    <w:rsid w:val="00633994"/>
    <w:rsid w:val="00634911"/>
    <w:rsid w:val="00635AC0"/>
    <w:rsid w:val="00642117"/>
    <w:rsid w:val="00651495"/>
    <w:rsid w:val="00654455"/>
    <w:rsid w:val="00660798"/>
    <w:rsid w:val="00660B9D"/>
    <w:rsid w:val="0067188E"/>
    <w:rsid w:val="00677154"/>
    <w:rsid w:val="00677526"/>
    <w:rsid w:val="00682390"/>
    <w:rsid w:val="00693C15"/>
    <w:rsid w:val="00695902"/>
    <w:rsid w:val="006A5FE2"/>
    <w:rsid w:val="006A7A10"/>
    <w:rsid w:val="006B78BE"/>
    <w:rsid w:val="006D6804"/>
    <w:rsid w:val="00704E18"/>
    <w:rsid w:val="0070640C"/>
    <w:rsid w:val="00713FC5"/>
    <w:rsid w:val="00715A1D"/>
    <w:rsid w:val="00716576"/>
    <w:rsid w:val="0072037D"/>
    <w:rsid w:val="0072088F"/>
    <w:rsid w:val="00725506"/>
    <w:rsid w:val="007336CA"/>
    <w:rsid w:val="00733F51"/>
    <w:rsid w:val="00734457"/>
    <w:rsid w:val="007344CB"/>
    <w:rsid w:val="007356DC"/>
    <w:rsid w:val="00736612"/>
    <w:rsid w:val="0075560A"/>
    <w:rsid w:val="00755A22"/>
    <w:rsid w:val="00757A0B"/>
    <w:rsid w:val="0076555E"/>
    <w:rsid w:val="00766404"/>
    <w:rsid w:val="007665DC"/>
    <w:rsid w:val="007719E0"/>
    <w:rsid w:val="00775713"/>
    <w:rsid w:val="0078479F"/>
    <w:rsid w:val="00785444"/>
    <w:rsid w:val="0079191B"/>
    <w:rsid w:val="007932E7"/>
    <w:rsid w:val="00795A5D"/>
    <w:rsid w:val="007B16AB"/>
    <w:rsid w:val="007B71B5"/>
    <w:rsid w:val="007D0C00"/>
    <w:rsid w:val="007D688E"/>
    <w:rsid w:val="007E3B4F"/>
    <w:rsid w:val="007E4153"/>
    <w:rsid w:val="007F147C"/>
    <w:rsid w:val="007F3C4B"/>
    <w:rsid w:val="007F3E5E"/>
    <w:rsid w:val="00804110"/>
    <w:rsid w:val="00811883"/>
    <w:rsid w:val="008119CB"/>
    <w:rsid w:val="00814A66"/>
    <w:rsid w:val="00821830"/>
    <w:rsid w:val="00830EB2"/>
    <w:rsid w:val="00834EBF"/>
    <w:rsid w:val="00836B03"/>
    <w:rsid w:val="0083716E"/>
    <w:rsid w:val="008449F0"/>
    <w:rsid w:val="00855D42"/>
    <w:rsid w:val="00870708"/>
    <w:rsid w:val="00871389"/>
    <w:rsid w:val="0087781D"/>
    <w:rsid w:val="00880C0F"/>
    <w:rsid w:val="008818EB"/>
    <w:rsid w:val="00884A56"/>
    <w:rsid w:val="00885796"/>
    <w:rsid w:val="008B07C9"/>
    <w:rsid w:val="008B179C"/>
    <w:rsid w:val="008B2CED"/>
    <w:rsid w:val="008C0072"/>
    <w:rsid w:val="008D2E2E"/>
    <w:rsid w:val="008D4D28"/>
    <w:rsid w:val="008F22BB"/>
    <w:rsid w:val="00907F54"/>
    <w:rsid w:val="009135DE"/>
    <w:rsid w:val="00914511"/>
    <w:rsid w:val="00916AB4"/>
    <w:rsid w:val="00932977"/>
    <w:rsid w:val="00936531"/>
    <w:rsid w:val="00940D4A"/>
    <w:rsid w:val="009541A3"/>
    <w:rsid w:val="00954B3C"/>
    <w:rsid w:val="00963526"/>
    <w:rsid w:val="00966FC2"/>
    <w:rsid w:val="00987A9E"/>
    <w:rsid w:val="00993F09"/>
    <w:rsid w:val="00995AC1"/>
    <w:rsid w:val="009960D2"/>
    <w:rsid w:val="009978A1"/>
    <w:rsid w:val="009A10EE"/>
    <w:rsid w:val="009A27F8"/>
    <w:rsid w:val="009A2C90"/>
    <w:rsid w:val="009A72EE"/>
    <w:rsid w:val="009B6F7A"/>
    <w:rsid w:val="009C5A7E"/>
    <w:rsid w:val="009D396D"/>
    <w:rsid w:val="009E466D"/>
    <w:rsid w:val="009E46F5"/>
    <w:rsid w:val="009F341E"/>
    <w:rsid w:val="00A01EF5"/>
    <w:rsid w:val="00A0280D"/>
    <w:rsid w:val="00A1079A"/>
    <w:rsid w:val="00A10999"/>
    <w:rsid w:val="00A14C3D"/>
    <w:rsid w:val="00A151E7"/>
    <w:rsid w:val="00A16F1A"/>
    <w:rsid w:val="00A17986"/>
    <w:rsid w:val="00A24190"/>
    <w:rsid w:val="00A24D06"/>
    <w:rsid w:val="00A37DBF"/>
    <w:rsid w:val="00A520FE"/>
    <w:rsid w:val="00A5435E"/>
    <w:rsid w:val="00A57745"/>
    <w:rsid w:val="00A65D13"/>
    <w:rsid w:val="00A731B5"/>
    <w:rsid w:val="00A737E0"/>
    <w:rsid w:val="00A75FC9"/>
    <w:rsid w:val="00A81811"/>
    <w:rsid w:val="00A92C04"/>
    <w:rsid w:val="00A96E18"/>
    <w:rsid w:val="00AA1FAC"/>
    <w:rsid w:val="00AA36C4"/>
    <w:rsid w:val="00AA3E8D"/>
    <w:rsid w:val="00AA4E63"/>
    <w:rsid w:val="00AA6C7C"/>
    <w:rsid w:val="00AB2363"/>
    <w:rsid w:val="00AB4DCE"/>
    <w:rsid w:val="00AC0ABB"/>
    <w:rsid w:val="00AC7D7B"/>
    <w:rsid w:val="00AD2EDE"/>
    <w:rsid w:val="00AD4CAF"/>
    <w:rsid w:val="00AF30B7"/>
    <w:rsid w:val="00AF6C36"/>
    <w:rsid w:val="00B03BCE"/>
    <w:rsid w:val="00B1419B"/>
    <w:rsid w:val="00B153A9"/>
    <w:rsid w:val="00B20E57"/>
    <w:rsid w:val="00B371D5"/>
    <w:rsid w:val="00B4381D"/>
    <w:rsid w:val="00B45446"/>
    <w:rsid w:val="00B556F3"/>
    <w:rsid w:val="00B57E07"/>
    <w:rsid w:val="00B70AD2"/>
    <w:rsid w:val="00B74E01"/>
    <w:rsid w:val="00B91B7F"/>
    <w:rsid w:val="00B933D0"/>
    <w:rsid w:val="00B9554A"/>
    <w:rsid w:val="00B969AF"/>
    <w:rsid w:val="00BA0DAC"/>
    <w:rsid w:val="00BA2C06"/>
    <w:rsid w:val="00BB6A1B"/>
    <w:rsid w:val="00BC0052"/>
    <w:rsid w:val="00BC0832"/>
    <w:rsid w:val="00BC2F82"/>
    <w:rsid w:val="00BD1821"/>
    <w:rsid w:val="00BD4EDE"/>
    <w:rsid w:val="00BE0349"/>
    <w:rsid w:val="00BE508A"/>
    <w:rsid w:val="00BE56BD"/>
    <w:rsid w:val="00BE5BA9"/>
    <w:rsid w:val="00BE6121"/>
    <w:rsid w:val="00BF6BB1"/>
    <w:rsid w:val="00C04D0E"/>
    <w:rsid w:val="00C136DF"/>
    <w:rsid w:val="00C20888"/>
    <w:rsid w:val="00C23E1F"/>
    <w:rsid w:val="00C26038"/>
    <w:rsid w:val="00C32A82"/>
    <w:rsid w:val="00C33CFB"/>
    <w:rsid w:val="00C41C3A"/>
    <w:rsid w:val="00C41F0D"/>
    <w:rsid w:val="00C4201F"/>
    <w:rsid w:val="00C441B2"/>
    <w:rsid w:val="00C623F3"/>
    <w:rsid w:val="00C626B2"/>
    <w:rsid w:val="00C71148"/>
    <w:rsid w:val="00C73515"/>
    <w:rsid w:val="00C80063"/>
    <w:rsid w:val="00C80E68"/>
    <w:rsid w:val="00C83BE4"/>
    <w:rsid w:val="00C84EA6"/>
    <w:rsid w:val="00C86EB4"/>
    <w:rsid w:val="00C90ACF"/>
    <w:rsid w:val="00CA70D1"/>
    <w:rsid w:val="00CB211A"/>
    <w:rsid w:val="00CC5B54"/>
    <w:rsid w:val="00CE018C"/>
    <w:rsid w:val="00CE2A14"/>
    <w:rsid w:val="00CE39A7"/>
    <w:rsid w:val="00CE5326"/>
    <w:rsid w:val="00CF3FC9"/>
    <w:rsid w:val="00D10993"/>
    <w:rsid w:val="00D16B0A"/>
    <w:rsid w:val="00D230D7"/>
    <w:rsid w:val="00D25FDD"/>
    <w:rsid w:val="00D3424C"/>
    <w:rsid w:val="00D44EBB"/>
    <w:rsid w:val="00D463ED"/>
    <w:rsid w:val="00D60F5A"/>
    <w:rsid w:val="00D6176B"/>
    <w:rsid w:val="00D6329A"/>
    <w:rsid w:val="00D71101"/>
    <w:rsid w:val="00D72AB3"/>
    <w:rsid w:val="00D765E9"/>
    <w:rsid w:val="00D87DE0"/>
    <w:rsid w:val="00D901AB"/>
    <w:rsid w:val="00D91525"/>
    <w:rsid w:val="00DA3A72"/>
    <w:rsid w:val="00DA62F5"/>
    <w:rsid w:val="00DB726D"/>
    <w:rsid w:val="00DD69DD"/>
    <w:rsid w:val="00DE568E"/>
    <w:rsid w:val="00DE75D9"/>
    <w:rsid w:val="00DE7A4A"/>
    <w:rsid w:val="00E011A1"/>
    <w:rsid w:val="00E03296"/>
    <w:rsid w:val="00E23563"/>
    <w:rsid w:val="00E44E6E"/>
    <w:rsid w:val="00E45027"/>
    <w:rsid w:val="00E5060F"/>
    <w:rsid w:val="00E53495"/>
    <w:rsid w:val="00E633A6"/>
    <w:rsid w:val="00E65559"/>
    <w:rsid w:val="00E6653D"/>
    <w:rsid w:val="00E679FB"/>
    <w:rsid w:val="00E708B0"/>
    <w:rsid w:val="00E71A39"/>
    <w:rsid w:val="00E85B3B"/>
    <w:rsid w:val="00EC2864"/>
    <w:rsid w:val="00EC39A0"/>
    <w:rsid w:val="00EC5FD7"/>
    <w:rsid w:val="00ED37D4"/>
    <w:rsid w:val="00ED399A"/>
    <w:rsid w:val="00ED67B6"/>
    <w:rsid w:val="00EE2F99"/>
    <w:rsid w:val="00EF5DA8"/>
    <w:rsid w:val="00F03A62"/>
    <w:rsid w:val="00F10514"/>
    <w:rsid w:val="00F170A3"/>
    <w:rsid w:val="00F22AAA"/>
    <w:rsid w:val="00F25CBC"/>
    <w:rsid w:val="00F27BD4"/>
    <w:rsid w:val="00F34A56"/>
    <w:rsid w:val="00F4013D"/>
    <w:rsid w:val="00F45AB6"/>
    <w:rsid w:val="00F53AAD"/>
    <w:rsid w:val="00F55402"/>
    <w:rsid w:val="00F632D6"/>
    <w:rsid w:val="00F6602C"/>
    <w:rsid w:val="00F662AC"/>
    <w:rsid w:val="00F67932"/>
    <w:rsid w:val="00F748CA"/>
    <w:rsid w:val="00F7682D"/>
    <w:rsid w:val="00F769E7"/>
    <w:rsid w:val="00F80BEF"/>
    <w:rsid w:val="00FA2383"/>
    <w:rsid w:val="00FA6FD0"/>
    <w:rsid w:val="00FB367D"/>
    <w:rsid w:val="00FB4735"/>
    <w:rsid w:val="00FB7D84"/>
    <w:rsid w:val="00FD722D"/>
    <w:rsid w:val="00FE07D1"/>
    <w:rsid w:val="00FE2FAC"/>
    <w:rsid w:val="00FE6817"/>
    <w:rsid w:val="00FF2BAE"/>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link w:val="FootnoteTextChar"/>
    <w:semiHidden/>
    <w:pPr>
      <w:tabs>
        <w:tab w:val="left" w:pos="720"/>
        <w:tab w:val="left" w:pos="1440"/>
      </w:tabs>
      <w:spacing w:after="200"/>
      <w:ind w:right="144"/>
    </w:pPr>
  </w:style>
  <w:style w:type="character" w:styleId="FootnoteReference">
    <w:name w:val="footnote reference"/>
    <w:basedOn w:val="DefaultParagraphFont"/>
    <w:semiHidden/>
    <w:rPr>
      <w:rFonts w:ascii="Times New Roman" w:hAnsi="Times New Roman"/>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Title">
    <w:name w:val="Title"/>
    <w:basedOn w:val="Normal"/>
    <w:qFormat/>
    <w:pPr>
      <w:jc w:val="center"/>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DocumentMap">
    <w:name w:val="Document Map"/>
    <w:basedOn w:val="Normal"/>
    <w:semiHidden/>
    <w:rsid w:val="00A5435E"/>
    <w:pPr>
      <w:shd w:val="clear" w:color="auto" w:fill="000080"/>
    </w:pPr>
    <w:rPr>
      <w:rFonts w:ascii="Tahoma" w:hAnsi="Tahoma" w:cs="Tahoma"/>
    </w:rPr>
  </w:style>
  <w:style w:type="paragraph" w:styleId="BalloonText">
    <w:name w:val="Balloon Text"/>
    <w:basedOn w:val="Normal"/>
    <w:semiHidden/>
    <w:rsid w:val="00E011A1"/>
    <w:rPr>
      <w:rFonts w:ascii="Tahoma" w:hAnsi="Tahoma" w:cs="Tahoma"/>
      <w:sz w:val="16"/>
      <w:szCs w:val="16"/>
    </w:rPr>
  </w:style>
  <w:style w:type="character" w:customStyle="1" w:styleId="apple-converted-space">
    <w:name w:val="apple-converted-space"/>
    <w:basedOn w:val="DefaultParagraphFont"/>
    <w:rsid w:val="001212C4"/>
  </w:style>
  <w:style w:type="paragraph" w:styleId="ListParagraph">
    <w:name w:val="List Paragraph"/>
    <w:basedOn w:val="Normal"/>
    <w:uiPriority w:val="34"/>
    <w:qFormat/>
    <w:rsid w:val="00260BF5"/>
    <w:pPr>
      <w:ind w:left="720"/>
      <w:contextualSpacing/>
    </w:pPr>
  </w:style>
  <w:style w:type="character" w:customStyle="1" w:styleId="searchterm">
    <w:name w:val="searchterm"/>
    <w:basedOn w:val="DefaultParagraphFont"/>
    <w:rsid w:val="00F22AAA"/>
  </w:style>
  <w:style w:type="character" w:styleId="Strong">
    <w:name w:val="Strong"/>
    <w:basedOn w:val="DefaultParagraphFont"/>
    <w:uiPriority w:val="22"/>
    <w:qFormat/>
    <w:rsid w:val="00F22AAA"/>
    <w:rPr>
      <w:b/>
      <w:bCs/>
    </w:rPr>
  </w:style>
  <w:style w:type="character" w:customStyle="1" w:styleId="FootnoteTextChar">
    <w:name w:val="Footnote Text Char"/>
    <w:basedOn w:val="DefaultParagraphFont"/>
    <w:link w:val="FootnoteText"/>
    <w:semiHidden/>
    <w:rsid w:val="00431BDA"/>
  </w:style>
  <w:style w:type="character" w:styleId="CommentReference">
    <w:name w:val="annotation reference"/>
    <w:basedOn w:val="DefaultParagraphFont"/>
    <w:rsid w:val="00437535"/>
    <w:rPr>
      <w:sz w:val="16"/>
      <w:szCs w:val="16"/>
    </w:rPr>
  </w:style>
  <w:style w:type="paragraph" w:styleId="CommentText">
    <w:name w:val="annotation text"/>
    <w:basedOn w:val="Normal"/>
    <w:link w:val="CommentTextChar"/>
    <w:rsid w:val="00437535"/>
    <w:rPr>
      <w:sz w:val="20"/>
    </w:rPr>
  </w:style>
  <w:style w:type="character" w:customStyle="1" w:styleId="CommentTextChar">
    <w:name w:val="Comment Text Char"/>
    <w:basedOn w:val="DefaultParagraphFont"/>
    <w:link w:val="CommentText"/>
    <w:rsid w:val="00437535"/>
    <w:rPr>
      <w:snapToGrid w:val="0"/>
      <w:kern w:val="28"/>
    </w:rPr>
  </w:style>
  <w:style w:type="paragraph" w:styleId="CommentSubject">
    <w:name w:val="annotation subject"/>
    <w:basedOn w:val="CommentText"/>
    <w:next w:val="CommentText"/>
    <w:link w:val="CommentSubjectChar"/>
    <w:rsid w:val="00437535"/>
    <w:rPr>
      <w:b/>
      <w:bCs/>
    </w:rPr>
  </w:style>
  <w:style w:type="character" w:customStyle="1" w:styleId="CommentSubjectChar">
    <w:name w:val="Comment Subject Char"/>
    <w:basedOn w:val="CommentTextChar"/>
    <w:link w:val="CommentSubject"/>
    <w:rsid w:val="0043753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link w:val="FootnoteTextChar"/>
    <w:semiHidden/>
    <w:pPr>
      <w:tabs>
        <w:tab w:val="left" w:pos="720"/>
        <w:tab w:val="left" w:pos="1440"/>
      </w:tabs>
      <w:spacing w:after="200"/>
      <w:ind w:right="144"/>
    </w:pPr>
  </w:style>
  <w:style w:type="character" w:styleId="FootnoteReference">
    <w:name w:val="footnote reference"/>
    <w:basedOn w:val="DefaultParagraphFont"/>
    <w:semiHidden/>
    <w:rPr>
      <w:rFonts w:ascii="Times New Roman" w:hAnsi="Times New Roman"/>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Title">
    <w:name w:val="Title"/>
    <w:basedOn w:val="Normal"/>
    <w:qFormat/>
    <w:pPr>
      <w:jc w:val="center"/>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DocumentMap">
    <w:name w:val="Document Map"/>
    <w:basedOn w:val="Normal"/>
    <w:semiHidden/>
    <w:rsid w:val="00A5435E"/>
    <w:pPr>
      <w:shd w:val="clear" w:color="auto" w:fill="000080"/>
    </w:pPr>
    <w:rPr>
      <w:rFonts w:ascii="Tahoma" w:hAnsi="Tahoma" w:cs="Tahoma"/>
    </w:rPr>
  </w:style>
  <w:style w:type="paragraph" w:styleId="BalloonText">
    <w:name w:val="Balloon Text"/>
    <w:basedOn w:val="Normal"/>
    <w:semiHidden/>
    <w:rsid w:val="00E011A1"/>
    <w:rPr>
      <w:rFonts w:ascii="Tahoma" w:hAnsi="Tahoma" w:cs="Tahoma"/>
      <w:sz w:val="16"/>
      <w:szCs w:val="16"/>
    </w:rPr>
  </w:style>
  <w:style w:type="character" w:customStyle="1" w:styleId="apple-converted-space">
    <w:name w:val="apple-converted-space"/>
    <w:basedOn w:val="DefaultParagraphFont"/>
    <w:rsid w:val="001212C4"/>
  </w:style>
  <w:style w:type="paragraph" w:styleId="ListParagraph">
    <w:name w:val="List Paragraph"/>
    <w:basedOn w:val="Normal"/>
    <w:uiPriority w:val="34"/>
    <w:qFormat/>
    <w:rsid w:val="00260BF5"/>
    <w:pPr>
      <w:ind w:left="720"/>
      <w:contextualSpacing/>
    </w:pPr>
  </w:style>
  <w:style w:type="character" w:customStyle="1" w:styleId="searchterm">
    <w:name w:val="searchterm"/>
    <w:basedOn w:val="DefaultParagraphFont"/>
    <w:rsid w:val="00F22AAA"/>
  </w:style>
  <w:style w:type="character" w:styleId="Strong">
    <w:name w:val="Strong"/>
    <w:basedOn w:val="DefaultParagraphFont"/>
    <w:uiPriority w:val="22"/>
    <w:qFormat/>
    <w:rsid w:val="00F22AAA"/>
    <w:rPr>
      <w:b/>
      <w:bCs/>
    </w:rPr>
  </w:style>
  <w:style w:type="character" w:customStyle="1" w:styleId="FootnoteTextChar">
    <w:name w:val="Footnote Text Char"/>
    <w:basedOn w:val="DefaultParagraphFont"/>
    <w:link w:val="FootnoteText"/>
    <w:semiHidden/>
    <w:rsid w:val="00431BDA"/>
  </w:style>
  <w:style w:type="character" w:styleId="CommentReference">
    <w:name w:val="annotation reference"/>
    <w:basedOn w:val="DefaultParagraphFont"/>
    <w:rsid w:val="00437535"/>
    <w:rPr>
      <w:sz w:val="16"/>
      <w:szCs w:val="16"/>
    </w:rPr>
  </w:style>
  <w:style w:type="paragraph" w:styleId="CommentText">
    <w:name w:val="annotation text"/>
    <w:basedOn w:val="Normal"/>
    <w:link w:val="CommentTextChar"/>
    <w:rsid w:val="00437535"/>
    <w:rPr>
      <w:sz w:val="20"/>
    </w:rPr>
  </w:style>
  <w:style w:type="character" w:customStyle="1" w:styleId="CommentTextChar">
    <w:name w:val="Comment Text Char"/>
    <w:basedOn w:val="DefaultParagraphFont"/>
    <w:link w:val="CommentText"/>
    <w:rsid w:val="00437535"/>
    <w:rPr>
      <w:snapToGrid w:val="0"/>
      <w:kern w:val="28"/>
    </w:rPr>
  </w:style>
  <w:style w:type="paragraph" w:styleId="CommentSubject">
    <w:name w:val="annotation subject"/>
    <w:basedOn w:val="CommentText"/>
    <w:next w:val="CommentText"/>
    <w:link w:val="CommentSubjectChar"/>
    <w:rsid w:val="00437535"/>
    <w:rPr>
      <w:b/>
      <w:bCs/>
    </w:rPr>
  </w:style>
  <w:style w:type="character" w:customStyle="1" w:styleId="CommentSubjectChar">
    <w:name w:val="Comment Subject Char"/>
    <w:basedOn w:val="CommentTextChar"/>
    <w:link w:val="CommentSubject"/>
    <w:rsid w:val="0043753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76415">
      <w:bodyDiv w:val="1"/>
      <w:marLeft w:val="0"/>
      <w:marRight w:val="0"/>
      <w:marTop w:val="0"/>
      <w:marBottom w:val="0"/>
      <w:divBdr>
        <w:top w:val="none" w:sz="0" w:space="0" w:color="auto"/>
        <w:left w:val="none" w:sz="0" w:space="0" w:color="auto"/>
        <w:bottom w:val="none" w:sz="0" w:space="0" w:color="auto"/>
        <w:right w:val="none" w:sz="0" w:space="0" w:color="auto"/>
      </w:divBdr>
    </w:div>
    <w:div w:id="18283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dfa1.0&amp;vr=2.0&amp;DB=1000547&amp;DocName=47CFRS1.429&amp;FindType=L&amp;ReferencePositionType=T&amp;ReferencePosition=SP_3cd1000064020" TargetMode="External"/><Relationship Id="rId3" Type="http://schemas.openxmlformats.org/officeDocument/2006/relationships/hyperlink" Target="http://www.westlaw.com/Find/Default.wl?rs=dfa1.0&amp;vr=2.0&amp;DB=0004493&amp;FindType=Y&amp;SerialNum=2024540184" TargetMode="External"/><Relationship Id="rId7" Type="http://schemas.openxmlformats.org/officeDocument/2006/relationships/hyperlink" Target="http://www.westlaw.com/Find/Default.wl?rs=dfa1.0&amp;vr=2.0&amp;DB=1000547&amp;DocName=47CFRS1.429&amp;FindType=L&amp;ReferencePositionType=T&amp;ReferencePosition=SP_3cd1000064020" TargetMode="External"/><Relationship Id="rId2" Type="http://schemas.openxmlformats.org/officeDocument/2006/relationships/hyperlink" Target="http://www.westlaw.com/Find/Default.wl?rs=dfa1.0&amp;vr=2.0&amp;DB=0004493&amp;FindType=Y&amp;SerialNum=2024540184" TargetMode="External"/><Relationship Id="rId1" Type="http://schemas.openxmlformats.org/officeDocument/2006/relationships/hyperlink" Target="http://www.westlaw.com/Find/Default.wl?rs=dfa1.0&amp;vr=2.0&amp;DB=0004493&amp;FindType=Y&amp;SerialNum=2024540184" TargetMode="External"/><Relationship Id="rId6" Type="http://schemas.openxmlformats.org/officeDocument/2006/relationships/hyperlink" Target="http://www.westlaw.com/Find/Default.wl?rs=dfa1.0&amp;vr=2.0&amp;DB=1000547&amp;DocName=47CFRS1.429&amp;FindType=L&amp;ReferencePositionType=T&amp;ReferencePosition=SP_3cd1000064020" TargetMode="External"/><Relationship Id="rId5" Type="http://schemas.openxmlformats.org/officeDocument/2006/relationships/hyperlink" Target="http://www.westlaw.com/Find/Default.wl?rs=dfa1.0&amp;vr=2.0&amp;DB=1000547&amp;DocName=47CFRS1.429&amp;FindType=L&amp;ReferencePositionType=T&amp;ReferencePosition=SP_3cd1000064020" TargetMode="External"/><Relationship Id="rId10" Type="http://schemas.openxmlformats.org/officeDocument/2006/relationships/hyperlink" Target="http://www.westlaw.com/Find/Default.wl?rs=dfa1.0&amp;vr=2.0&amp;DB=1000547&amp;DocName=47CFRS1.429&amp;FindType=L&amp;ReferencePositionType=T&amp;ReferencePosition=SP_3cd1000064020" TargetMode="External"/><Relationship Id="rId4" Type="http://schemas.openxmlformats.org/officeDocument/2006/relationships/hyperlink" Target="http://www.westlaw.com/Find/Default.wl?rs=dfa1.0&amp;vr=2.0&amp;DB=1000547&amp;DocName=47CFRS1.429&amp;FindType=L&amp;ReferencePositionType=T&amp;ReferencePosition=SP_3cd1000064020" TargetMode="External"/><Relationship Id="rId9" Type="http://schemas.openxmlformats.org/officeDocument/2006/relationships/hyperlink" Target="http://www.westlaw.com/Find/Default.wl?rs=dfa1.0&amp;vr=2.0&amp;DB=1000547&amp;DocName=47CFRS1.429&amp;FindType=L&amp;ReferencePositionType=T&amp;ReferencePosition=SP_3cd1000064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llocations%20R&amp;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Allocations R&amp;O</Template>
  <TotalTime>0</TotalTime>
  <Pages>3</Pages>
  <Words>713</Words>
  <Characters>4141</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4872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2014-12-12T19:41:00Z</cp:lastPrinted>
  <dcterms:created xsi:type="dcterms:W3CDTF">2014-12-16T15:00:00Z</dcterms:created>
  <dcterms:modified xsi:type="dcterms:W3CDTF">2014-12-16T15:00:00Z</dcterms:modified>
  <cp:category> </cp:category>
  <cp:contentStatus> </cp:contentStatus>
</cp:coreProperties>
</file>