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14</w:t>
      </w:r>
      <w:r w:rsidR="00D55EBA">
        <w:rPr>
          <w:b/>
          <w:spacing w:val="-2"/>
          <w:szCs w:val="22"/>
        </w:rPr>
        <w:t>-</w:t>
      </w:r>
      <w:r w:rsidR="00716B50">
        <w:rPr>
          <w:b/>
          <w:spacing w:val="-2"/>
          <w:szCs w:val="22"/>
        </w:rPr>
        <w:t>1838</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FF2DC0">
        <w:rPr>
          <w:b/>
          <w:spacing w:val="-2"/>
          <w:szCs w:val="22"/>
        </w:rPr>
        <w:t xml:space="preserve">December </w:t>
      </w:r>
      <w:r w:rsidR="00716B50">
        <w:rPr>
          <w:b/>
          <w:spacing w:val="-2"/>
          <w:szCs w:val="22"/>
        </w:rPr>
        <w:t>16</w:t>
      </w:r>
      <w:r w:rsidR="00584FD6">
        <w:rPr>
          <w:b/>
          <w:spacing w:val="-2"/>
          <w:szCs w:val="22"/>
        </w:rPr>
        <w:t>, 2014</w:t>
      </w:r>
    </w:p>
    <w:p w:rsidR="00DE53FC" w:rsidRDefault="00DE53FC">
      <w:pPr>
        <w:spacing w:before="60"/>
        <w:jc w:val="right"/>
        <w:rPr>
          <w:b/>
          <w:szCs w:val="22"/>
        </w:rPr>
      </w:pPr>
    </w:p>
    <w:p w:rsidR="00400D01" w:rsidRDefault="00400D01">
      <w:pPr>
        <w:spacing w:before="60"/>
        <w:jc w:val="right"/>
        <w:rPr>
          <w:b/>
          <w:szCs w:val="22"/>
        </w:rPr>
      </w:pPr>
    </w:p>
    <w:p w:rsidR="008D7064" w:rsidRDefault="008D7064">
      <w:pPr>
        <w:jc w:val="center"/>
        <w:rPr>
          <w:b/>
          <w:szCs w:val="22"/>
        </w:rPr>
      </w:pPr>
      <w:r w:rsidRPr="00113A9E">
        <w:rPr>
          <w:b/>
          <w:szCs w:val="22"/>
        </w:rPr>
        <w:t>I</w:t>
      </w:r>
      <w:r w:rsidR="00400D01" w:rsidRPr="00113A9E">
        <w:rPr>
          <w:b/>
          <w:szCs w:val="22"/>
        </w:rPr>
        <w:t>NTERNATIONAL BUREAU REMINDS INTERESTED PARTIES THAT SECTION</w:t>
      </w:r>
      <w:r w:rsidRPr="00113A9E">
        <w:rPr>
          <w:b/>
          <w:szCs w:val="22"/>
        </w:rPr>
        <w:t xml:space="preserve"> 325(c) </w:t>
      </w:r>
      <w:r w:rsidR="00400D01" w:rsidRPr="00113A9E">
        <w:rPr>
          <w:b/>
          <w:szCs w:val="22"/>
        </w:rPr>
        <w:t xml:space="preserve">APPLICATIONS </w:t>
      </w:r>
      <w:r w:rsidR="00113A9E">
        <w:rPr>
          <w:b/>
          <w:szCs w:val="22"/>
        </w:rPr>
        <w:t>FOR PERMIT TO DELIVER PROGRAMS TO FOREIGN STATIONS AND INTERNATIONAL HIGH FREQUENCY APPLICATIONS CAN BE SUBMITTED ELECTRONICALLY AS NON-DOCKETED FILINGS</w:t>
      </w:r>
    </w:p>
    <w:p w:rsidR="00113A9E" w:rsidRDefault="00113A9E">
      <w:pPr>
        <w:jc w:val="center"/>
        <w:rPr>
          <w:b/>
          <w:szCs w:val="22"/>
        </w:rPr>
      </w:pPr>
    </w:p>
    <w:p w:rsidR="00DE53FC" w:rsidRDefault="008D7064" w:rsidP="001B4273">
      <w:pPr>
        <w:ind w:firstLine="720"/>
        <w:rPr>
          <w:szCs w:val="22"/>
        </w:rPr>
      </w:pPr>
      <w:r w:rsidRPr="008D7064">
        <w:rPr>
          <w:szCs w:val="22"/>
        </w:rPr>
        <w:t>On December 2, 2014, the Commission announced that several types of filings that previously could only be filed on paper may now be filed online via the Commission’s Electronic Comment Filing System (ECFS).</w:t>
      </w:r>
      <w:r w:rsidRPr="008D7064">
        <w:rPr>
          <w:szCs w:val="22"/>
          <w:vertAlign w:val="superscript"/>
        </w:rPr>
        <w:footnoteReference w:id="1"/>
      </w:r>
      <w:r w:rsidRPr="008D7064">
        <w:rPr>
          <w:szCs w:val="22"/>
        </w:rPr>
        <w:t xml:space="preserve">  Section 325(c) applications for permit to deliver programs to foreign stations</w:t>
      </w:r>
      <w:r w:rsidRPr="008D7064">
        <w:rPr>
          <w:szCs w:val="22"/>
          <w:vertAlign w:val="superscript"/>
        </w:rPr>
        <w:footnoteReference w:id="2"/>
      </w:r>
      <w:r w:rsidRPr="008D7064">
        <w:rPr>
          <w:szCs w:val="22"/>
        </w:rPr>
        <w:t xml:space="preserve"> and international high frequency applications</w:t>
      </w:r>
      <w:r w:rsidRPr="008D7064">
        <w:rPr>
          <w:szCs w:val="22"/>
          <w:vertAlign w:val="superscript"/>
        </w:rPr>
        <w:footnoteReference w:id="3"/>
      </w:r>
      <w:r w:rsidRPr="008D7064">
        <w:rPr>
          <w:szCs w:val="22"/>
        </w:rPr>
        <w:t xml:space="preserve"> are among those applications that may now be submitted </w:t>
      </w:r>
      <w:r w:rsidR="00400D01">
        <w:rPr>
          <w:szCs w:val="22"/>
        </w:rPr>
        <w:t xml:space="preserve">electronically </w:t>
      </w:r>
      <w:r w:rsidRPr="008D7064">
        <w:rPr>
          <w:szCs w:val="22"/>
        </w:rPr>
        <w:t>through the Non-Docketed Filing Module of ECFS.  Paper filings of these applications will still be accepted.</w:t>
      </w:r>
    </w:p>
    <w:p w:rsidR="00DE53FC" w:rsidRDefault="00DE53FC">
      <w:pPr>
        <w:ind w:firstLine="720"/>
        <w:rPr>
          <w:szCs w:val="22"/>
        </w:rPr>
      </w:pPr>
    </w:p>
    <w:p w:rsidR="00DE53FC" w:rsidRDefault="008D7064">
      <w:pPr>
        <w:spacing w:after="120"/>
        <w:ind w:firstLine="720"/>
      </w:pPr>
      <w:r w:rsidRPr="008D7064">
        <w:t xml:space="preserve">To access the new Non-Docketed Filing Module, go to the ECFS Home Page at </w:t>
      </w:r>
      <w:hyperlink r:id="rId8" w:history="1">
        <w:r w:rsidRPr="008D7064">
          <w:rPr>
            <w:rStyle w:val="Hyperlink"/>
          </w:rPr>
          <w:t>http://apps.fcc.gov/ecfs</w:t>
        </w:r>
      </w:hyperlink>
      <w:r w:rsidRPr="008D7064">
        <w:t xml:space="preserve"> and choose “Submit a Non-Docketed Filing.”</w:t>
      </w:r>
    </w:p>
    <w:p w:rsidR="000F34B3" w:rsidRDefault="008D7064" w:rsidP="000F34B3">
      <w:pPr>
        <w:numPr>
          <w:ilvl w:val="0"/>
          <w:numId w:val="17"/>
        </w:numPr>
        <w:tabs>
          <w:tab w:val="clear" w:pos="576"/>
          <w:tab w:val="num" w:pos="720"/>
        </w:tabs>
        <w:spacing w:after="120"/>
        <w:ind w:left="720" w:hanging="360"/>
      </w:pPr>
      <w:r w:rsidRPr="008D7064">
        <w:t>Select the appropriate “inbox”</w:t>
      </w:r>
    </w:p>
    <w:p w:rsidR="000F34B3" w:rsidRDefault="008D7064" w:rsidP="000F34B3">
      <w:pPr>
        <w:numPr>
          <w:ilvl w:val="1"/>
          <w:numId w:val="17"/>
        </w:numPr>
        <w:tabs>
          <w:tab w:val="clear" w:pos="1728"/>
        </w:tabs>
        <w:spacing w:after="120"/>
        <w:ind w:left="1080"/>
      </w:pPr>
      <w:r w:rsidRPr="008D7064">
        <w:t>Section 325(c) Application for Permit to Deliver Programs to Foreign Stations or</w:t>
      </w:r>
    </w:p>
    <w:p w:rsidR="008D7064" w:rsidRDefault="008D7064" w:rsidP="000F34B3">
      <w:pPr>
        <w:numPr>
          <w:ilvl w:val="1"/>
          <w:numId w:val="17"/>
        </w:numPr>
        <w:tabs>
          <w:tab w:val="clear" w:pos="1728"/>
        </w:tabs>
        <w:spacing w:after="120"/>
        <w:ind w:left="1080"/>
      </w:pPr>
      <w:r w:rsidRPr="008D7064">
        <w:t>International High Frequency Application</w:t>
      </w:r>
    </w:p>
    <w:p w:rsidR="00DE53FC" w:rsidRDefault="008D7064" w:rsidP="00B33FD2">
      <w:pPr>
        <w:numPr>
          <w:ilvl w:val="0"/>
          <w:numId w:val="17"/>
        </w:numPr>
        <w:tabs>
          <w:tab w:val="clear" w:pos="576"/>
          <w:tab w:val="num" w:pos="720"/>
        </w:tabs>
        <w:spacing w:after="120"/>
        <w:ind w:left="720" w:hanging="360"/>
      </w:pPr>
      <w:r w:rsidRPr="008D7064">
        <w:t>Fill in the Contact Information</w:t>
      </w:r>
    </w:p>
    <w:p w:rsidR="00DE53FC" w:rsidRDefault="008D7064" w:rsidP="008D7064">
      <w:pPr>
        <w:numPr>
          <w:ilvl w:val="0"/>
          <w:numId w:val="17"/>
        </w:numPr>
        <w:tabs>
          <w:tab w:val="clear" w:pos="576"/>
          <w:tab w:val="num" w:pos="720"/>
        </w:tabs>
        <w:spacing w:after="120"/>
        <w:ind w:left="720" w:hanging="360"/>
      </w:pPr>
      <w:r w:rsidRPr="008D7064">
        <w:t>Select “Application” under Filing Type</w:t>
      </w:r>
    </w:p>
    <w:p w:rsidR="008D7064" w:rsidRDefault="008D7064" w:rsidP="008D7064">
      <w:pPr>
        <w:numPr>
          <w:ilvl w:val="0"/>
          <w:numId w:val="17"/>
        </w:numPr>
        <w:tabs>
          <w:tab w:val="clear" w:pos="576"/>
          <w:tab w:val="num" w:pos="720"/>
        </w:tabs>
        <w:spacing w:after="120"/>
        <w:ind w:left="720" w:hanging="360"/>
      </w:pPr>
      <w:r w:rsidRPr="008D7064">
        <w:t>Fill in the Address Information</w:t>
      </w:r>
    </w:p>
    <w:p w:rsidR="008D7064" w:rsidRDefault="00720F98" w:rsidP="008D7064">
      <w:pPr>
        <w:numPr>
          <w:ilvl w:val="0"/>
          <w:numId w:val="17"/>
        </w:numPr>
        <w:tabs>
          <w:tab w:val="clear" w:pos="576"/>
          <w:tab w:val="num" w:pos="720"/>
        </w:tabs>
        <w:spacing w:after="120"/>
        <w:ind w:left="720" w:hanging="360"/>
      </w:pPr>
      <w:r>
        <w:t xml:space="preserve">Attach </w:t>
      </w:r>
      <w:r w:rsidR="00400D01">
        <w:t>the</w:t>
      </w:r>
      <w:r w:rsidR="008D7064" w:rsidRPr="008D7064">
        <w:t xml:space="preserve"> application and select “Continue”</w:t>
      </w:r>
    </w:p>
    <w:p w:rsidR="00400D01" w:rsidRDefault="00400D01" w:rsidP="00B33FD2">
      <w:pPr>
        <w:ind w:firstLine="720"/>
      </w:pPr>
    </w:p>
    <w:p w:rsidR="00DE53FC" w:rsidRDefault="008D7064" w:rsidP="00B33FD2">
      <w:pPr>
        <w:ind w:firstLine="720"/>
      </w:pPr>
      <w:r w:rsidRPr="008D7064">
        <w:t>Upon filing, users will see a confirmation page indicating that the submission has been accepted along with a confirmation number for their records.  The filing will be available to Commission staff and to the public usually within one business day.</w:t>
      </w:r>
    </w:p>
    <w:p w:rsidR="00DE53FC" w:rsidRDefault="00DE53FC"/>
    <w:p w:rsidR="00400D01" w:rsidRDefault="008D7064">
      <w:pPr>
        <w:ind w:firstLine="720"/>
      </w:pPr>
      <w:r w:rsidRPr="008D7064">
        <w:t xml:space="preserve">Any fees that are required to accompany such filings may be paid using the Commission’s online Fee Filer app at </w:t>
      </w:r>
      <w:hyperlink r:id="rId9" w:history="1">
        <w:r w:rsidRPr="008D7064">
          <w:rPr>
            <w:rStyle w:val="Hyperlink"/>
          </w:rPr>
          <w:t>https://apps.fcc.gov/FeeFiler</w:t>
        </w:r>
      </w:hyperlink>
      <w:r w:rsidRPr="008D7064">
        <w:t>.  A link to the Fee Filer app is available on the ECFS Non-Docketed Filing Module website as well.</w:t>
      </w:r>
      <w:r w:rsidR="00720F98">
        <w:t xml:space="preserve">  </w:t>
      </w:r>
    </w:p>
    <w:p w:rsidR="008B07E8" w:rsidRDefault="008B07E8">
      <w:pPr>
        <w:ind w:firstLine="720"/>
      </w:pPr>
    </w:p>
    <w:p w:rsidR="00DE53FC" w:rsidRDefault="008D7064">
      <w:pPr>
        <w:ind w:firstLine="720"/>
      </w:pPr>
      <w:r w:rsidRPr="008D7064">
        <w:t xml:space="preserve">For further information concerning ECFS please contact </w:t>
      </w:r>
      <w:hyperlink r:id="rId10" w:history="1">
        <w:r w:rsidRPr="008D7064">
          <w:rPr>
            <w:rStyle w:val="Hyperlink"/>
          </w:rPr>
          <w:t>ecfshelp@fcc.gov</w:t>
        </w:r>
      </w:hyperlink>
      <w:r w:rsidRPr="008D7064">
        <w:t xml:space="preserve"> or 202-418-0193</w:t>
      </w:r>
      <w:r w:rsidR="00720F98">
        <w:t>.  F</w:t>
      </w:r>
      <w:r w:rsidRPr="008D7064">
        <w:t>or information on this Public Notice contact Janice Shields at 202-418-2153</w:t>
      </w:r>
      <w:r w:rsidR="00720F98">
        <w:t xml:space="preserve"> or</w:t>
      </w:r>
      <w:r w:rsidRPr="008D7064">
        <w:t xml:space="preserve"> </w:t>
      </w:r>
      <w:hyperlink r:id="rId11" w:history="1">
        <w:r w:rsidRPr="008D7064">
          <w:rPr>
            <w:rStyle w:val="Hyperlink"/>
          </w:rPr>
          <w:t>Janice.Shields@fcc.gov</w:t>
        </w:r>
      </w:hyperlink>
      <w:r w:rsidR="00D55EBA">
        <w:t>.</w:t>
      </w:r>
    </w:p>
    <w:p w:rsidR="00DE53FC" w:rsidRDefault="00DE53FC"/>
    <w:p w:rsidR="00DE53FC" w:rsidRDefault="00DE53FC" w:rsidP="008D7064">
      <w:pPr>
        <w:rPr>
          <w:rStyle w:val="Normal1"/>
          <w:szCs w:val="22"/>
        </w:rPr>
      </w:pPr>
    </w:p>
    <w:p w:rsidR="00DE53FC" w:rsidRDefault="00D55EBA">
      <w:pPr>
        <w:spacing w:after="240"/>
        <w:jc w:val="center"/>
        <w:rPr>
          <w:b/>
          <w:szCs w:val="22"/>
        </w:rPr>
      </w:pPr>
      <w:r>
        <w:rPr>
          <w:b/>
          <w:szCs w:val="22"/>
        </w:rPr>
        <w:t>-FCC-</w:t>
      </w:r>
    </w:p>
    <w:sectPr w:rsidR="00DE53F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81" w:rsidRDefault="00203181">
      <w:r>
        <w:separator/>
      </w:r>
    </w:p>
  </w:endnote>
  <w:endnote w:type="continuationSeparator" w:id="0">
    <w:p w:rsidR="00203181" w:rsidRDefault="0020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0E5">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8D" w:rsidRDefault="00013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81" w:rsidRDefault="00203181">
      <w:r>
        <w:separator/>
      </w:r>
    </w:p>
  </w:footnote>
  <w:footnote w:type="continuationSeparator" w:id="0">
    <w:p w:rsidR="00203181" w:rsidRDefault="00203181">
      <w:r>
        <w:continuationSeparator/>
      </w:r>
    </w:p>
  </w:footnote>
  <w:footnote w:id="1">
    <w:p w:rsidR="008D7064" w:rsidRPr="00AF225D" w:rsidRDefault="008D7064" w:rsidP="008D7064">
      <w:pPr>
        <w:pStyle w:val="FootnoteText"/>
        <w:rPr>
          <w:rFonts w:eastAsia="Calibri"/>
          <w:szCs w:val="22"/>
        </w:rPr>
      </w:pPr>
      <w:r w:rsidRPr="00AF225D">
        <w:rPr>
          <w:rStyle w:val="FootnoteReference"/>
          <w:szCs w:val="22"/>
        </w:rPr>
        <w:footnoteRef/>
      </w:r>
      <w:r w:rsidRPr="00AF225D">
        <w:rPr>
          <w:szCs w:val="22"/>
        </w:rPr>
        <w:t xml:space="preserve"> </w:t>
      </w:r>
      <w:r w:rsidRPr="00AF225D">
        <w:rPr>
          <w:i/>
          <w:szCs w:val="22"/>
        </w:rPr>
        <w:t>Commission Announces that Certain Non-Docketed Filings May Be Submitted Online</w:t>
      </w:r>
      <w:r w:rsidRPr="00AF225D">
        <w:rPr>
          <w:szCs w:val="22"/>
        </w:rPr>
        <w:t xml:space="preserve">, Public Notice, </w:t>
      </w:r>
      <w:r w:rsidRPr="00AF225D">
        <w:rPr>
          <w:rFonts w:eastAsia="Calibri"/>
          <w:szCs w:val="22"/>
        </w:rPr>
        <w:t>DA 14-1738 (rel. Dec. 2, 2014).</w:t>
      </w:r>
    </w:p>
  </w:footnote>
  <w:footnote w:id="2">
    <w:p w:rsidR="008D7064" w:rsidRPr="00205DAD" w:rsidRDefault="008D7064" w:rsidP="008D7064">
      <w:pPr>
        <w:pStyle w:val="FootnoteText"/>
        <w:rPr>
          <w:i/>
        </w:rPr>
      </w:pPr>
      <w:r>
        <w:rPr>
          <w:rStyle w:val="FootnoteReference"/>
        </w:rPr>
        <w:footnoteRef/>
      </w:r>
      <w:r>
        <w:t xml:space="preserve"> </w:t>
      </w:r>
      <w:r w:rsidRPr="00205DAD">
        <w:rPr>
          <w:i/>
        </w:rPr>
        <w:t xml:space="preserve">See </w:t>
      </w:r>
      <w:r w:rsidRPr="00205DAD">
        <w:t xml:space="preserve">47 U.S.C. </w:t>
      </w:r>
      <w:r w:rsidR="00720F98">
        <w:t>§ </w:t>
      </w:r>
      <w:r w:rsidRPr="00205DAD">
        <w:t xml:space="preserve">325(c); </w:t>
      </w:r>
      <w:r w:rsidRPr="00205DAD">
        <w:rPr>
          <w:rFonts w:eastAsia="Calibri"/>
        </w:rPr>
        <w:t>47 C.F.R. § 73.3545.</w:t>
      </w:r>
    </w:p>
  </w:footnote>
  <w:footnote w:id="3">
    <w:p w:rsidR="008D7064" w:rsidRDefault="008D7064" w:rsidP="008D7064">
      <w:pPr>
        <w:pStyle w:val="FootnoteText"/>
      </w:pPr>
      <w:r>
        <w:rPr>
          <w:rStyle w:val="FootnoteReference"/>
        </w:rPr>
        <w:footnoteRef/>
      </w:r>
      <w:r>
        <w:t xml:space="preserve"> </w:t>
      </w:r>
      <w:r w:rsidRPr="00205DAD">
        <w:rPr>
          <w:i/>
        </w:rPr>
        <w:t xml:space="preserve">See </w:t>
      </w:r>
      <w:r w:rsidRPr="00205DAD">
        <w:rPr>
          <w:rFonts w:eastAsia="Calibri"/>
        </w:rPr>
        <w:t>47 C.F.R. § 73.702.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8D" w:rsidRDefault="00013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8D" w:rsidRDefault="00013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1358D"/>
    <w:rsid w:val="000311D6"/>
    <w:rsid w:val="000538D0"/>
    <w:rsid w:val="000673B7"/>
    <w:rsid w:val="00085D36"/>
    <w:rsid w:val="000A4D1E"/>
    <w:rsid w:val="000D55AB"/>
    <w:rsid w:val="000E52C7"/>
    <w:rsid w:val="000E64EF"/>
    <w:rsid w:val="000F34B3"/>
    <w:rsid w:val="00113A9E"/>
    <w:rsid w:val="001151AE"/>
    <w:rsid w:val="00116B0A"/>
    <w:rsid w:val="00162CBF"/>
    <w:rsid w:val="001B1E13"/>
    <w:rsid w:val="001B4273"/>
    <w:rsid w:val="00203181"/>
    <w:rsid w:val="00205DAD"/>
    <w:rsid w:val="00212E17"/>
    <w:rsid w:val="00223038"/>
    <w:rsid w:val="00281877"/>
    <w:rsid w:val="002A187B"/>
    <w:rsid w:val="002B5726"/>
    <w:rsid w:val="002D3659"/>
    <w:rsid w:val="002F6CBC"/>
    <w:rsid w:val="00301A9A"/>
    <w:rsid w:val="00333D51"/>
    <w:rsid w:val="00334B32"/>
    <w:rsid w:val="0037340D"/>
    <w:rsid w:val="00385149"/>
    <w:rsid w:val="003B46B8"/>
    <w:rsid w:val="003B6464"/>
    <w:rsid w:val="003C0DF0"/>
    <w:rsid w:val="003E0808"/>
    <w:rsid w:val="003E317B"/>
    <w:rsid w:val="003E3CAC"/>
    <w:rsid w:val="003E7324"/>
    <w:rsid w:val="00400D01"/>
    <w:rsid w:val="00415BE9"/>
    <w:rsid w:val="004A24F2"/>
    <w:rsid w:val="00513DCA"/>
    <w:rsid w:val="005377E5"/>
    <w:rsid w:val="0056192E"/>
    <w:rsid w:val="00573195"/>
    <w:rsid w:val="00584FD6"/>
    <w:rsid w:val="005854BB"/>
    <w:rsid w:val="005869A5"/>
    <w:rsid w:val="005872BB"/>
    <w:rsid w:val="0059652D"/>
    <w:rsid w:val="005F1BE4"/>
    <w:rsid w:val="00603A33"/>
    <w:rsid w:val="00632D6D"/>
    <w:rsid w:val="0065499B"/>
    <w:rsid w:val="00682C2D"/>
    <w:rsid w:val="00687CBA"/>
    <w:rsid w:val="00696C42"/>
    <w:rsid w:val="006A0A76"/>
    <w:rsid w:val="006E07AD"/>
    <w:rsid w:val="006F65C3"/>
    <w:rsid w:val="006F7DA0"/>
    <w:rsid w:val="00716B50"/>
    <w:rsid w:val="00720F98"/>
    <w:rsid w:val="007344E2"/>
    <w:rsid w:val="00735825"/>
    <w:rsid w:val="00774EEE"/>
    <w:rsid w:val="00782AFF"/>
    <w:rsid w:val="007B3550"/>
    <w:rsid w:val="007B5C7B"/>
    <w:rsid w:val="007D045D"/>
    <w:rsid w:val="007E76CC"/>
    <w:rsid w:val="007F2C9E"/>
    <w:rsid w:val="008006E2"/>
    <w:rsid w:val="00814205"/>
    <w:rsid w:val="00817B5C"/>
    <w:rsid w:val="00820D6F"/>
    <w:rsid w:val="00825306"/>
    <w:rsid w:val="0085107D"/>
    <w:rsid w:val="00853B8A"/>
    <w:rsid w:val="008B07E8"/>
    <w:rsid w:val="008B3F31"/>
    <w:rsid w:val="008D7064"/>
    <w:rsid w:val="008D7C95"/>
    <w:rsid w:val="009019D5"/>
    <w:rsid w:val="00912EBA"/>
    <w:rsid w:val="009560E5"/>
    <w:rsid w:val="009627E7"/>
    <w:rsid w:val="009636E7"/>
    <w:rsid w:val="00990680"/>
    <w:rsid w:val="009A2D37"/>
    <w:rsid w:val="009A51D8"/>
    <w:rsid w:val="009C279E"/>
    <w:rsid w:val="009D0CC7"/>
    <w:rsid w:val="00A0638E"/>
    <w:rsid w:val="00A436EB"/>
    <w:rsid w:val="00A806EA"/>
    <w:rsid w:val="00A81374"/>
    <w:rsid w:val="00A83E58"/>
    <w:rsid w:val="00A8766E"/>
    <w:rsid w:val="00A9441C"/>
    <w:rsid w:val="00AA192A"/>
    <w:rsid w:val="00AE14BC"/>
    <w:rsid w:val="00AF10A9"/>
    <w:rsid w:val="00B03696"/>
    <w:rsid w:val="00B26394"/>
    <w:rsid w:val="00B33FD2"/>
    <w:rsid w:val="00B57948"/>
    <w:rsid w:val="00B72E25"/>
    <w:rsid w:val="00BC44E1"/>
    <w:rsid w:val="00C45392"/>
    <w:rsid w:val="00C81C63"/>
    <w:rsid w:val="00C91BDE"/>
    <w:rsid w:val="00CA6F74"/>
    <w:rsid w:val="00CD023F"/>
    <w:rsid w:val="00CF5297"/>
    <w:rsid w:val="00D23F5C"/>
    <w:rsid w:val="00D27ABB"/>
    <w:rsid w:val="00D33EE3"/>
    <w:rsid w:val="00D53141"/>
    <w:rsid w:val="00D55EBA"/>
    <w:rsid w:val="00D7448D"/>
    <w:rsid w:val="00D777DF"/>
    <w:rsid w:val="00D941D1"/>
    <w:rsid w:val="00DC0A1A"/>
    <w:rsid w:val="00DE236F"/>
    <w:rsid w:val="00DE53FC"/>
    <w:rsid w:val="00DE5E6D"/>
    <w:rsid w:val="00E26DD6"/>
    <w:rsid w:val="00E40316"/>
    <w:rsid w:val="00E85688"/>
    <w:rsid w:val="00E936F1"/>
    <w:rsid w:val="00EE6053"/>
    <w:rsid w:val="00F66FDD"/>
    <w:rsid w:val="00F878CD"/>
    <w:rsid w:val="00FE329E"/>
    <w:rsid w:val="00FF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ice.Shield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cfshelp@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fcc.gov/FeeFile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1649</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2014-12-16T15:32:00Z</dcterms:created>
  <dcterms:modified xsi:type="dcterms:W3CDTF">2014-12-16T15:32:00Z</dcterms:modified>
  <cp:category> </cp:category>
  <cp:contentStatus> </cp:contentStatus>
</cp:coreProperties>
</file>