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9C3F1"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75EED90" w14:textId="77777777" w:rsidR="00921803" w:rsidRDefault="00921803" w:rsidP="00921803">
      <w:pPr>
        <w:pStyle w:val="StyleBoldCentered"/>
      </w:pPr>
      <w:r>
        <w:t>F</w:t>
      </w:r>
      <w:r>
        <w:rPr>
          <w:caps w:val="0"/>
        </w:rPr>
        <w:t>ederal Communications Commission</w:t>
      </w:r>
    </w:p>
    <w:p w14:paraId="2FCC6E34" w14:textId="77777777" w:rsidR="004C2EE3" w:rsidRDefault="00810B6F" w:rsidP="00096D8C">
      <w:pPr>
        <w:pStyle w:val="StyleBoldCentered"/>
      </w:pPr>
      <w:r>
        <w:rPr>
          <w:caps w:val="0"/>
        </w:rPr>
        <w:t>Washington, D.C. 20554</w:t>
      </w:r>
    </w:p>
    <w:p w14:paraId="04B3B7E8"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0A48FEC6" w14:textId="77777777">
        <w:tc>
          <w:tcPr>
            <w:tcW w:w="4698" w:type="dxa"/>
          </w:tcPr>
          <w:p w14:paraId="7DA303D6" w14:textId="77777777" w:rsidR="004C2EE3" w:rsidRDefault="004C2EE3">
            <w:pPr>
              <w:tabs>
                <w:tab w:val="center" w:pos="4680"/>
              </w:tabs>
              <w:suppressAutoHyphens/>
              <w:rPr>
                <w:spacing w:val="-2"/>
              </w:rPr>
            </w:pPr>
            <w:r>
              <w:rPr>
                <w:spacing w:val="-2"/>
              </w:rPr>
              <w:t>In the Matter</w:t>
            </w:r>
            <w:r w:rsidR="00C67EBF">
              <w:rPr>
                <w:spacing w:val="-2"/>
              </w:rPr>
              <w:t>s</w:t>
            </w:r>
            <w:r>
              <w:rPr>
                <w:spacing w:val="-2"/>
              </w:rPr>
              <w:t xml:space="preserve"> of</w:t>
            </w:r>
          </w:p>
          <w:p w14:paraId="71D730A9" w14:textId="77777777" w:rsidR="004C2EE3" w:rsidRDefault="004C2EE3">
            <w:pPr>
              <w:tabs>
                <w:tab w:val="center" w:pos="4680"/>
              </w:tabs>
              <w:suppressAutoHyphens/>
              <w:rPr>
                <w:spacing w:val="-2"/>
              </w:rPr>
            </w:pPr>
          </w:p>
          <w:p w14:paraId="6772B06A" w14:textId="5665A0BB" w:rsidR="004C2EE3" w:rsidRDefault="00564EEC" w:rsidP="007115F7">
            <w:pPr>
              <w:tabs>
                <w:tab w:val="center" w:pos="4680"/>
              </w:tabs>
              <w:suppressAutoHyphens/>
              <w:rPr>
                <w:spacing w:val="-2"/>
              </w:rPr>
            </w:pPr>
            <w:r>
              <w:rPr>
                <w:spacing w:val="-2"/>
              </w:rPr>
              <w:t>DIGIS</w:t>
            </w:r>
            <w:r w:rsidR="00C67EBF">
              <w:rPr>
                <w:spacing w:val="-2"/>
              </w:rPr>
              <w:t>,</w:t>
            </w:r>
            <w:r w:rsidR="00AF2E86">
              <w:rPr>
                <w:spacing w:val="-2"/>
              </w:rPr>
              <w:t xml:space="preserve"> LLC</w:t>
            </w:r>
          </w:p>
          <w:p w14:paraId="35E6B770" w14:textId="77777777" w:rsidR="00153BA5" w:rsidRDefault="00153BA5" w:rsidP="007115F7">
            <w:pPr>
              <w:tabs>
                <w:tab w:val="center" w:pos="4680"/>
              </w:tabs>
              <w:suppressAutoHyphens/>
              <w:rPr>
                <w:spacing w:val="-2"/>
              </w:rPr>
            </w:pPr>
          </w:p>
          <w:p w14:paraId="6F1810DC" w14:textId="1C894921" w:rsidR="00153BA5" w:rsidRDefault="00242171" w:rsidP="007115F7">
            <w:pPr>
              <w:tabs>
                <w:tab w:val="center" w:pos="4680"/>
              </w:tabs>
              <w:suppressAutoHyphens/>
              <w:rPr>
                <w:spacing w:val="-2"/>
              </w:rPr>
            </w:pPr>
            <w:r>
              <w:rPr>
                <w:spacing w:val="-2"/>
              </w:rPr>
              <w:t>Application</w:t>
            </w:r>
            <w:r w:rsidR="00682C05">
              <w:rPr>
                <w:spacing w:val="-2"/>
              </w:rPr>
              <w:t>s</w:t>
            </w:r>
            <w:r>
              <w:rPr>
                <w:spacing w:val="-2"/>
              </w:rPr>
              <w:t xml:space="preserve"> for </w:t>
            </w:r>
            <w:r w:rsidR="00564EEC">
              <w:rPr>
                <w:spacing w:val="-2"/>
              </w:rPr>
              <w:t>Modification</w:t>
            </w:r>
            <w:r w:rsidR="00682C05">
              <w:rPr>
                <w:spacing w:val="-2"/>
              </w:rPr>
              <w:t>s</w:t>
            </w:r>
            <w:r w:rsidR="00564EEC">
              <w:rPr>
                <w:spacing w:val="-2"/>
              </w:rPr>
              <w:t xml:space="preserve"> of </w:t>
            </w:r>
            <w:r w:rsidR="00153BA5" w:rsidRPr="00153BA5">
              <w:rPr>
                <w:spacing w:val="-2"/>
              </w:rPr>
              <w:t xml:space="preserve">Fixed </w:t>
            </w:r>
            <w:r w:rsidR="00FF4C35">
              <w:rPr>
                <w:spacing w:val="-2"/>
              </w:rPr>
              <w:t>Point-</w:t>
            </w:r>
            <w:r w:rsidR="00153BA5" w:rsidRPr="00153BA5">
              <w:rPr>
                <w:spacing w:val="-2"/>
              </w:rPr>
              <w:t>to</w:t>
            </w:r>
            <w:r w:rsidR="00FF4C35">
              <w:rPr>
                <w:spacing w:val="-2"/>
              </w:rPr>
              <w:t>-</w:t>
            </w:r>
            <w:r w:rsidR="00153BA5" w:rsidRPr="00153BA5">
              <w:rPr>
                <w:spacing w:val="-2"/>
              </w:rPr>
              <w:t>Point Microwave</w:t>
            </w:r>
            <w:r>
              <w:rPr>
                <w:spacing w:val="-2"/>
              </w:rPr>
              <w:t xml:space="preserve"> License</w:t>
            </w:r>
            <w:r w:rsidR="00682C05">
              <w:rPr>
                <w:spacing w:val="-2"/>
              </w:rPr>
              <w:t>s, Call Signs WQJL989 and WQJL990</w:t>
            </w:r>
            <w:r>
              <w:rPr>
                <w:spacing w:val="-2"/>
              </w:rPr>
              <w:t xml:space="preserve"> at </w:t>
            </w:r>
            <w:r w:rsidR="00E57085">
              <w:rPr>
                <w:spacing w:val="-2"/>
              </w:rPr>
              <w:t>Ogden, UT</w:t>
            </w:r>
          </w:p>
          <w:p w14:paraId="094BCB93" w14:textId="77777777" w:rsidR="00153BA5" w:rsidRDefault="00153BA5" w:rsidP="007115F7">
            <w:pPr>
              <w:tabs>
                <w:tab w:val="center" w:pos="4680"/>
              </w:tabs>
              <w:suppressAutoHyphens/>
              <w:rPr>
                <w:spacing w:val="-2"/>
              </w:rPr>
            </w:pPr>
          </w:p>
          <w:p w14:paraId="3BCD7F6C" w14:textId="29A1043F" w:rsidR="00153BA5" w:rsidRDefault="00E57085" w:rsidP="007115F7">
            <w:pPr>
              <w:tabs>
                <w:tab w:val="center" w:pos="4680"/>
              </w:tabs>
              <w:suppressAutoHyphens/>
              <w:rPr>
                <w:spacing w:val="-2"/>
              </w:rPr>
            </w:pPr>
            <w:r>
              <w:rPr>
                <w:spacing w:val="-2"/>
              </w:rPr>
              <w:t>TXOX C</w:t>
            </w:r>
            <w:r w:rsidR="0082300B">
              <w:rPr>
                <w:spacing w:val="-2"/>
              </w:rPr>
              <w:t>OMMUNICATIONS</w:t>
            </w:r>
            <w:r w:rsidR="00F56D4D">
              <w:rPr>
                <w:spacing w:val="-2"/>
              </w:rPr>
              <w:t>, LLC</w:t>
            </w:r>
          </w:p>
          <w:p w14:paraId="559E34D7" w14:textId="77777777" w:rsidR="00C67EBF" w:rsidRDefault="00C67EBF" w:rsidP="007115F7">
            <w:pPr>
              <w:tabs>
                <w:tab w:val="center" w:pos="4680"/>
              </w:tabs>
              <w:suppressAutoHyphens/>
              <w:rPr>
                <w:spacing w:val="-2"/>
              </w:rPr>
            </w:pPr>
          </w:p>
          <w:p w14:paraId="05945D76" w14:textId="18D875E8" w:rsidR="00C67EBF" w:rsidRPr="007115F7" w:rsidRDefault="00682C05" w:rsidP="002C597A">
            <w:pPr>
              <w:tabs>
                <w:tab w:val="center" w:pos="4680"/>
              </w:tabs>
              <w:suppressAutoHyphens/>
              <w:rPr>
                <w:spacing w:val="-2"/>
              </w:rPr>
            </w:pPr>
            <w:r>
              <w:rPr>
                <w:spacing w:val="-2"/>
              </w:rPr>
              <w:t>Application</w:t>
            </w:r>
            <w:r w:rsidR="002C597A">
              <w:rPr>
                <w:spacing w:val="-2"/>
              </w:rPr>
              <w:t>s</w:t>
            </w:r>
            <w:r>
              <w:rPr>
                <w:spacing w:val="-2"/>
              </w:rPr>
              <w:t xml:space="preserve"> for Modification</w:t>
            </w:r>
            <w:r w:rsidR="002C597A">
              <w:rPr>
                <w:spacing w:val="-2"/>
              </w:rPr>
              <w:t>s</w:t>
            </w:r>
            <w:r>
              <w:rPr>
                <w:spacing w:val="-2"/>
              </w:rPr>
              <w:t xml:space="preserve"> of a Fixed Point-to-Point Microwave License</w:t>
            </w:r>
            <w:r w:rsidR="002C597A">
              <w:rPr>
                <w:spacing w:val="-2"/>
              </w:rPr>
              <w:t>s</w:t>
            </w:r>
            <w:r>
              <w:rPr>
                <w:spacing w:val="-2"/>
              </w:rPr>
              <w:t xml:space="preserve"> </w:t>
            </w:r>
            <w:r w:rsidR="00E57085">
              <w:rPr>
                <w:spacing w:val="-2"/>
              </w:rPr>
              <w:t>Call Sign</w:t>
            </w:r>
            <w:r w:rsidR="002C597A">
              <w:rPr>
                <w:spacing w:val="-2"/>
              </w:rPr>
              <w:t>s</w:t>
            </w:r>
            <w:r w:rsidR="00E57085">
              <w:rPr>
                <w:spacing w:val="-2"/>
              </w:rPr>
              <w:t xml:space="preserve"> WQJF811</w:t>
            </w:r>
            <w:r w:rsidR="002C597A">
              <w:rPr>
                <w:spacing w:val="-2"/>
              </w:rPr>
              <w:t>, WQJY924 and WQJY925</w:t>
            </w:r>
            <w:r>
              <w:rPr>
                <w:spacing w:val="-2"/>
              </w:rPr>
              <w:t xml:space="preserve"> at Ogden, UT</w:t>
            </w:r>
          </w:p>
        </w:tc>
        <w:tc>
          <w:tcPr>
            <w:tcW w:w="630" w:type="dxa"/>
          </w:tcPr>
          <w:p w14:paraId="27D22A85" w14:textId="77777777" w:rsidR="004C2EE3" w:rsidRDefault="004C2EE3">
            <w:pPr>
              <w:tabs>
                <w:tab w:val="center" w:pos="4680"/>
              </w:tabs>
              <w:suppressAutoHyphens/>
              <w:rPr>
                <w:b/>
                <w:spacing w:val="-2"/>
              </w:rPr>
            </w:pPr>
            <w:r>
              <w:rPr>
                <w:b/>
                <w:spacing w:val="-2"/>
              </w:rPr>
              <w:t>)</w:t>
            </w:r>
          </w:p>
          <w:p w14:paraId="44B60210" w14:textId="77777777" w:rsidR="004C2EE3" w:rsidRDefault="004C2EE3">
            <w:pPr>
              <w:tabs>
                <w:tab w:val="center" w:pos="4680"/>
              </w:tabs>
              <w:suppressAutoHyphens/>
              <w:rPr>
                <w:b/>
                <w:spacing w:val="-2"/>
              </w:rPr>
            </w:pPr>
            <w:r>
              <w:rPr>
                <w:b/>
                <w:spacing w:val="-2"/>
              </w:rPr>
              <w:t>)</w:t>
            </w:r>
          </w:p>
          <w:p w14:paraId="157A002C" w14:textId="77777777" w:rsidR="004C2EE3" w:rsidRDefault="004C2EE3">
            <w:pPr>
              <w:tabs>
                <w:tab w:val="center" w:pos="4680"/>
              </w:tabs>
              <w:suppressAutoHyphens/>
              <w:rPr>
                <w:b/>
                <w:spacing w:val="-2"/>
              </w:rPr>
            </w:pPr>
            <w:r>
              <w:rPr>
                <w:b/>
                <w:spacing w:val="-2"/>
              </w:rPr>
              <w:t>)</w:t>
            </w:r>
          </w:p>
          <w:p w14:paraId="04656218" w14:textId="77777777" w:rsidR="004C2EE3" w:rsidRDefault="004C2EE3">
            <w:pPr>
              <w:tabs>
                <w:tab w:val="center" w:pos="4680"/>
              </w:tabs>
              <w:suppressAutoHyphens/>
              <w:rPr>
                <w:b/>
                <w:spacing w:val="-2"/>
              </w:rPr>
            </w:pPr>
            <w:r>
              <w:rPr>
                <w:b/>
                <w:spacing w:val="-2"/>
              </w:rPr>
              <w:t>)</w:t>
            </w:r>
          </w:p>
          <w:p w14:paraId="4070D87C" w14:textId="77777777" w:rsidR="004C2EE3" w:rsidRDefault="004C2EE3">
            <w:pPr>
              <w:tabs>
                <w:tab w:val="center" w:pos="4680"/>
              </w:tabs>
              <w:suppressAutoHyphens/>
              <w:rPr>
                <w:b/>
                <w:spacing w:val="-2"/>
              </w:rPr>
            </w:pPr>
            <w:r>
              <w:rPr>
                <w:b/>
                <w:spacing w:val="-2"/>
              </w:rPr>
              <w:t>)</w:t>
            </w:r>
          </w:p>
          <w:p w14:paraId="442DD581" w14:textId="77777777" w:rsidR="004C2EE3" w:rsidRDefault="004C2EE3">
            <w:pPr>
              <w:tabs>
                <w:tab w:val="center" w:pos="4680"/>
              </w:tabs>
              <w:suppressAutoHyphens/>
              <w:rPr>
                <w:b/>
                <w:spacing w:val="-2"/>
              </w:rPr>
            </w:pPr>
            <w:r>
              <w:rPr>
                <w:b/>
                <w:spacing w:val="-2"/>
              </w:rPr>
              <w:t>)</w:t>
            </w:r>
          </w:p>
          <w:p w14:paraId="2D648224" w14:textId="77777777" w:rsidR="004C2EE3" w:rsidRDefault="004C2EE3">
            <w:pPr>
              <w:tabs>
                <w:tab w:val="center" w:pos="4680"/>
              </w:tabs>
              <w:suppressAutoHyphens/>
              <w:rPr>
                <w:b/>
                <w:spacing w:val="-2"/>
              </w:rPr>
            </w:pPr>
            <w:r>
              <w:rPr>
                <w:b/>
                <w:spacing w:val="-2"/>
              </w:rPr>
              <w:t>)</w:t>
            </w:r>
          </w:p>
          <w:p w14:paraId="03E17579" w14:textId="77777777" w:rsidR="004C2EE3" w:rsidRDefault="004C2EE3">
            <w:pPr>
              <w:tabs>
                <w:tab w:val="center" w:pos="4680"/>
              </w:tabs>
              <w:suppressAutoHyphens/>
              <w:rPr>
                <w:b/>
                <w:spacing w:val="-2"/>
              </w:rPr>
            </w:pPr>
            <w:r>
              <w:rPr>
                <w:b/>
                <w:spacing w:val="-2"/>
              </w:rPr>
              <w:t>)</w:t>
            </w:r>
            <w:r w:rsidR="00C67EBF">
              <w:rPr>
                <w:b/>
                <w:spacing w:val="-2"/>
              </w:rPr>
              <w:t xml:space="preserve">          </w:t>
            </w:r>
          </w:p>
          <w:p w14:paraId="7B6466FD" w14:textId="77777777" w:rsidR="004C2EE3" w:rsidRDefault="004C2EE3">
            <w:pPr>
              <w:tabs>
                <w:tab w:val="center" w:pos="4680"/>
              </w:tabs>
              <w:suppressAutoHyphens/>
              <w:rPr>
                <w:b/>
                <w:spacing w:val="-2"/>
              </w:rPr>
            </w:pPr>
            <w:r>
              <w:rPr>
                <w:b/>
                <w:spacing w:val="-2"/>
              </w:rPr>
              <w:t>)</w:t>
            </w:r>
          </w:p>
          <w:p w14:paraId="55CFF56A" w14:textId="77777777" w:rsidR="00153BA5" w:rsidRDefault="00153BA5">
            <w:pPr>
              <w:tabs>
                <w:tab w:val="center" w:pos="4680"/>
              </w:tabs>
              <w:suppressAutoHyphens/>
              <w:rPr>
                <w:b/>
                <w:spacing w:val="-2"/>
              </w:rPr>
            </w:pPr>
            <w:r>
              <w:rPr>
                <w:b/>
                <w:spacing w:val="-2"/>
              </w:rPr>
              <w:t>)</w:t>
            </w:r>
          </w:p>
          <w:p w14:paraId="2606C6F1" w14:textId="77777777" w:rsidR="00153BA5" w:rsidRDefault="00153BA5">
            <w:pPr>
              <w:tabs>
                <w:tab w:val="center" w:pos="4680"/>
              </w:tabs>
              <w:suppressAutoHyphens/>
              <w:rPr>
                <w:b/>
                <w:spacing w:val="-2"/>
              </w:rPr>
            </w:pPr>
            <w:r>
              <w:rPr>
                <w:b/>
                <w:spacing w:val="-2"/>
              </w:rPr>
              <w:t>)</w:t>
            </w:r>
          </w:p>
          <w:p w14:paraId="68B237B1" w14:textId="77777777" w:rsidR="00C67EBF" w:rsidRDefault="00A531F0" w:rsidP="00C67EBF">
            <w:pPr>
              <w:tabs>
                <w:tab w:val="center" w:pos="4680"/>
              </w:tabs>
              <w:suppressAutoHyphens/>
              <w:rPr>
                <w:b/>
                <w:spacing w:val="-2"/>
              </w:rPr>
            </w:pPr>
            <w:r>
              <w:rPr>
                <w:b/>
                <w:spacing w:val="-2"/>
              </w:rPr>
              <w:t>)</w:t>
            </w:r>
          </w:p>
          <w:p w14:paraId="180F5D9D" w14:textId="77777777" w:rsidR="00EB655D" w:rsidRDefault="00EB655D" w:rsidP="00C67EBF">
            <w:pPr>
              <w:tabs>
                <w:tab w:val="center" w:pos="4680"/>
              </w:tabs>
              <w:suppressAutoHyphens/>
              <w:rPr>
                <w:b/>
                <w:spacing w:val="-2"/>
              </w:rPr>
            </w:pPr>
            <w:r>
              <w:rPr>
                <w:b/>
                <w:spacing w:val="-2"/>
              </w:rPr>
              <w:t>)</w:t>
            </w:r>
          </w:p>
          <w:p w14:paraId="3ABF905E" w14:textId="7B1C5687" w:rsidR="00EB655D" w:rsidRPr="00A531F0" w:rsidRDefault="00EB655D" w:rsidP="00C67EBF">
            <w:pPr>
              <w:tabs>
                <w:tab w:val="center" w:pos="4680"/>
              </w:tabs>
              <w:suppressAutoHyphens/>
              <w:rPr>
                <w:b/>
                <w:spacing w:val="-2"/>
              </w:rPr>
            </w:pPr>
            <w:r>
              <w:rPr>
                <w:b/>
                <w:spacing w:val="-2"/>
              </w:rPr>
              <w:t>)</w:t>
            </w:r>
          </w:p>
        </w:tc>
        <w:tc>
          <w:tcPr>
            <w:tcW w:w="4248" w:type="dxa"/>
          </w:tcPr>
          <w:p w14:paraId="62124275" w14:textId="77777777" w:rsidR="004C2EE3" w:rsidRDefault="004C2EE3">
            <w:pPr>
              <w:tabs>
                <w:tab w:val="center" w:pos="4680"/>
              </w:tabs>
              <w:suppressAutoHyphens/>
              <w:rPr>
                <w:spacing w:val="-2"/>
              </w:rPr>
            </w:pPr>
          </w:p>
          <w:p w14:paraId="718C7A50" w14:textId="77777777" w:rsidR="004C2EE3" w:rsidRDefault="004C2EE3">
            <w:pPr>
              <w:pStyle w:val="TOAHeading"/>
              <w:tabs>
                <w:tab w:val="clear" w:pos="9360"/>
                <w:tab w:val="center" w:pos="4680"/>
              </w:tabs>
              <w:rPr>
                <w:spacing w:val="-2"/>
              </w:rPr>
            </w:pPr>
          </w:p>
          <w:p w14:paraId="353D39E9" w14:textId="4E59420C" w:rsidR="00C67EBF" w:rsidRDefault="00153BA5" w:rsidP="00C67EBF">
            <w:pPr>
              <w:tabs>
                <w:tab w:val="center" w:pos="4680"/>
              </w:tabs>
              <w:suppressAutoHyphens/>
              <w:rPr>
                <w:spacing w:val="-2"/>
              </w:rPr>
            </w:pPr>
            <w:r>
              <w:rPr>
                <w:spacing w:val="-2"/>
              </w:rPr>
              <w:t>File No</w:t>
            </w:r>
            <w:r w:rsidR="00564EEC">
              <w:rPr>
                <w:spacing w:val="-2"/>
              </w:rPr>
              <w:t>s</w:t>
            </w:r>
            <w:r>
              <w:rPr>
                <w:spacing w:val="-2"/>
              </w:rPr>
              <w:t>.</w:t>
            </w:r>
            <w:r w:rsidR="00564EEC">
              <w:rPr>
                <w:spacing w:val="-2"/>
              </w:rPr>
              <w:t xml:space="preserve"> </w:t>
            </w:r>
            <w:r w:rsidR="00F91039">
              <w:rPr>
                <w:spacing w:val="-2"/>
              </w:rPr>
              <w:t xml:space="preserve">0006242860, </w:t>
            </w:r>
            <w:r w:rsidR="00564EEC">
              <w:rPr>
                <w:spacing w:val="-2"/>
              </w:rPr>
              <w:t>0006242783</w:t>
            </w:r>
          </w:p>
          <w:p w14:paraId="08E37A63" w14:textId="77777777" w:rsidR="00C67EBF" w:rsidRDefault="00C67EBF" w:rsidP="00C67EBF">
            <w:pPr>
              <w:tabs>
                <w:tab w:val="center" w:pos="4680"/>
              </w:tabs>
              <w:suppressAutoHyphens/>
              <w:rPr>
                <w:spacing w:val="-2"/>
              </w:rPr>
            </w:pPr>
          </w:p>
          <w:p w14:paraId="19DADA2B" w14:textId="77777777" w:rsidR="00C67EBF" w:rsidRDefault="00C67EBF" w:rsidP="00C67EBF">
            <w:pPr>
              <w:tabs>
                <w:tab w:val="center" w:pos="4680"/>
              </w:tabs>
              <w:suppressAutoHyphens/>
              <w:rPr>
                <w:spacing w:val="-2"/>
              </w:rPr>
            </w:pPr>
          </w:p>
          <w:p w14:paraId="7BF071EB" w14:textId="77777777" w:rsidR="00C67EBF" w:rsidRDefault="00C67EBF" w:rsidP="00C67EBF">
            <w:pPr>
              <w:tabs>
                <w:tab w:val="center" w:pos="4680"/>
              </w:tabs>
              <w:suppressAutoHyphens/>
              <w:rPr>
                <w:spacing w:val="-2"/>
              </w:rPr>
            </w:pPr>
          </w:p>
          <w:p w14:paraId="524F3D74" w14:textId="77777777" w:rsidR="00C67EBF" w:rsidRDefault="00C67EBF" w:rsidP="00C67EBF">
            <w:pPr>
              <w:tabs>
                <w:tab w:val="center" w:pos="4680"/>
              </w:tabs>
              <w:suppressAutoHyphens/>
              <w:rPr>
                <w:spacing w:val="-2"/>
              </w:rPr>
            </w:pPr>
          </w:p>
          <w:p w14:paraId="3D25A831" w14:textId="77777777" w:rsidR="00EB655D" w:rsidRDefault="00EB655D" w:rsidP="00682C05">
            <w:pPr>
              <w:tabs>
                <w:tab w:val="center" w:pos="4680"/>
              </w:tabs>
              <w:suppressAutoHyphens/>
              <w:rPr>
                <w:spacing w:val="-2"/>
              </w:rPr>
            </w:pPr>
          </w:p>
          <w:p w14:paraId="34F3DBEE" w14:textId="0448EE4B" w:rsidR="004C2EE3" w:rsidRDefault="00C67EBF" w:rsidP="00682C05">
            <w:pPr>
              <w:tabs>
                <w:tab w:val="center" w:pos="4680"/>
              </w:tabs>
              <w:suppressAutoHyphens/>
              <w:rPr>
                <w:spacing w:val="-2"/>
              </w:rPr>
            </w:pPr>
            <w:r>
              <w:rPr>
                <w:spacing w:val="-2"/>
              </w:rPr>
              <w:t>File No</w:t>
            </w:r>
            <w:r w:rsidR="002C597A">
              <w:rPr>
                <w:spacing w:val="-2"/>
              </w:rPr>
              <w:t>s</w:t>
            </w:r>
            <w:r>
              <w:rPr>
                <w:spacing w:val="-2"/>
              </w:rPr>
              <w:t xml:space="preserve">. </w:t>
            </w:r>
            <w:r w:rsidR="00682C05">
              <w:rPr>
                <w:spacing w:val="-2"/>
              </w:rPr>
              <w:t>0006321177</w:t>
            </w:r>
            <w:r w:rsidR="002C597A">
              <w:rPr>
                <w:spacing w:val="-2"/>
              </w:rPr>
              <w:t>, 0006321179, 0006321186</w:t>
            </w:r>
          </w:p>
        </w:tc>
      </w:tr>
    </w:tbl>
    <w:p w14:paraId="2D62A615" w14:textId="2087217C" w:rsidR="00C67EBF" w:rsidRDefault="00C67EBF" w:rsidP="00C67EBF">
      <w:pPr>
        <w:tabs>
          <w:tab w:val="center" w:pos="4680"/>
        </w:tabs>
        <w:suppressAutoHyphens/>
        <w:rPr>
          <w:spacing w:val="-2"/>
        </w:rPr>
      </w:pPr>
    </w:p>
    <w:p w14:paraId="1D77EC8C" w14:textId="21E8DDDE" w:rsidR="00841AB1" w:rsidRDefault="00153BA5" w:rsidP="00F021FA">
      <w:pPr>
        <w:pStyle w:val="StyleBoldCentered"/>
      </w:pPr>
      <w:r>
        <w:t>MEMORANDUM OPINION AND ORDER</w:t>
      </w:r>
      <w:r w:rsidR="00A531F0">
        <w:t xml:space="preserve"> </w:t>
      </w:r>
    </w:p>
    <w:p w14:paraId="1CBA8875" w14:textId="77777777" w:rsidR="004C2EE3" w:rsidRDefault="004C2EE3">
      <w:pPr>
        <w:tabs>
          <w:tab w:val="left" w:pos="-720"/>
        </w:tabs>
        <w:suppressAutoHyphens/>
        <w:spacing w:line="227" w:lineRule="auto"/>
        <w:rPr>
          <w:spacing w:val="-2"/>
        </w:rPr>
      </w:pPr>
    </w:p>
    <w:p w14:paraId="3B11C2ED" w14:textId="04FE1211" w:rsidR="004C2EE3" w:rsidRDefault="004C2EE3" w:rsidP="00133F79">
      <w:pPr>
        <w:tabs>
          <w:tab w:val="left" w:pos="720"/>
          <w:tab w:val="right" w:pos="9360"/>
        </w:tabs>
        <w:suppressAutoHyphens/>
        <w:spacing w:line="227" w:lineRule="auto"/>
        <w:rPr>
          <w:spacing w:val="-2"/>
        </w:rPr>
      </w:pPr>
      <w:r>
        <w:rPr>
          <w:b/>
          <w:spacing w:val="-2"/>
        </w:rPr>
        <w:t xml:space="preserve">Adopted:  </w:t>
      </w:r>
      <w:r w:rsidR="00F862F0">
        <w:rPr>
          <w:b/>
          <w:spacing w:val="-2"/>
        </w:rPr>
        <w:t>December 17</w:t>
      </w:r>
      <w:r w:rsidR="00153BA5">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862F0">
        <w:rPr>
          <w:b/>
          <w:spacing w:val="-2"/>
        </w:rPr>
        <w:t>December 18</w:t>
      </w:r>
      <w:r w:rsidR="00153BA5">
        <w:rPr>
          <w:b/>
          <w:spacing w:val="-2"/>
        </w:rPr>
        <w:t>, 2014</w:t>
      </w:r>
    </w:p>
    <w:p w14:paraId="336FD072" w14:textId="77777777" w:rsidR="00822CE0" w:rsidRDefault="00822CE0"/>
    <w:p w14:paraId="639C70CA" w14:textId="77777777" w:rsidR="004C2EE3" w:rsidRDefault="004C2EE3">
      <w:pPr>
        <w:rPr>
          <w:spacing w:val="-2"/>
        </w:rPr>
      </w:pPr>
      <w:r>
        <w:t xml:space="preserve">By </w:t>
      </w:r>
      <w:r w:rsidR="004E4A22">
        <w:t>the</w:t>
      </w:r>
      <w:r w:rsidR="00153BA5">
        <w:t xml:space="preserve"> Deputy Chief, Broadband Division, Wireless Telecommunications Bureau</w:t>
      </w:r>
      <w:r>
        <w:rPr>
          <w:spacing w:val="-2"/>
        </w:rPr>
        <w:t>:</w:t>
      </w:r>
    </w:p>
    <w:p w14:paraId="7DB108BB" w14:textId="77777777" w:rsidR="002C00E8" w:rsidRDefault="00153BA5" w:rsidP="009E1DDF">
      <w:pPr>
        <w:pStyle w:val="Heading1"/>
        <w:spacing w:before="240" w:after="240"/>
      </w:pPr>
      <w:r>
        <w:t>INTRODUCTION</w:t>
      </w:r>
    </w:p>
    <w:p w14:paraId="347461CC" w14:textId="2EF40D9D" w:rsidR="001C3F6B" w:rsidRDefault="00A531F0" w:rsidP="009E1DDF">
      <w:pPr>
        <w:pStyle w:val="ParaNum"/>
        <w:tabs>
          <w:tab w:val="num" w:pos="1440"/>
          <w:tab w:val="num" w:pos="2880"/>
        </w:tabs>
        <w:spacing w:after="0"/>
        <w:ind w:left="0"/>
      </w:pPr>
      <w:r>
        <w:t xml:space="preserve">In this </w:t>
      </w:r>
      <w:r>
        <w:rPr>
          <w:i/>
        </w:rPr>
        <w:t>Memorandum Opinion and Order</w:t>
      </w:r>
      <w:r>
        <w:t xml:space="preserve">, we address a microwave frequency coordination dispute between </w:t>
      </w:r>
      <w:r w:rsidR="003D52CC">
        <w:t>Digis</w:t>
      </w:r>
      <w:r w:rsidR="00EE6C75">
        <w:t xml:space="preserve">, LLC </w:t>
      </w:r>
      <w:r w:rsidR="005C75B0">
        <w:t xml:space="preserve">(“Digis”) </w:t>
      </w:r>
      <w:r>
        <w:t xml:space="preserve">and </w:t>
      </w:r>
      <w:r w:rsidR="003D52CC">
        <w:t>TXOX Communications</w:t>
      </w:r>
      <w:r>
        <w:t>, LLC</w:t>
      </w:r>
      <w:r w:rsidR="005C75B0">
        <w:t xml:space="preserve"> (“TXOX”)</w:t>
      </w:r>
      <w:r>
        <w:t xml:space="preserve">.  Specifically, </w:t>
      </w:r>
      <w:r w:rsidR="00D9107D">
        <w:t xml:space="preserve">we </w:t>
      </w:r>
      <w:r w:rsidR="00EB655D">
        <w:t xml:space="preserve">conclude that TXOX’s Private Operational Fixed Microwave Service (POFS) Point-to-Point license Station WQJF811 was automatically forfeited on June 3, 2013 because TXOX removed its facilities from its authorized location for more than 30 days.  Accordingly, we </w:t>
      </w:r>
      <w:r w:rsidR="00D9107D">
        <w:t xml:space="preserve">grant </w:t>
      </w:r>
      <w:r w:rsidR="00EB655D">
        <w:t>a</w:t>
      </w:r>
      <w:r w:rsidR="00A90F34">
        <w:t>n objection</w:t>
      </w:r>
      <w:r w:rsidR="00EB655D">
        <w:t xml:space="preserve"> </w:t>
      </w:r>
      <w:r w:rsidR="00D9107D">
        <w:t>Digis</w:t>
      </w:r>
      <w:r w:rsidR="00EB655D">
        <w:t xml:space="preserve"> filed against applications filed by TXOX to modify its POFS licenses for Stations WQJF811, WQJY924 and WQJY925.  We also deny </w:t>
      </w:r>
      <w:r w:rsidR="00D9107D">
        <w:t xml:space="preserve">TXOX’s </w:t>
      </w:r>
      <w:r w:rsidR="00EB655D">
        <w:t>p</w:t>
      </w:r>
      <w:r w:rsidR="00D9107D">
        <w:t xml:space="preserve">etition to </w:t>
      </w:r>
      <w:r w:rsidR="00EB655D">
        <w:t>d</w:t>
      </w:r>
      <w:r w:rsidR="00D9107D">
        <w:t>eny Digis’ applications to modif</w:t>
      </w:r>
      <w:r w:rsidR="008E7E2E">
        <w:t xml:space="preserve">y </w:t>
      </w:r>
      <w:r w:rsidR="00EB655D">
        <w:t>POFS S</w:t>
      </w:r>
      <w:r w:rsidR="008E7E2E">
        <w:t>tations WQJL990 and WQJL989</w:t>
      </w:r>
      <w:r w:rsidR="00EB655D">
        <w:t xml:space="preserve"> because </w:t>
      </w:r>
      <w:r w:rsidR="00843A68">
        <w:t>the TXOX petition assumes the validity of its license for Station WQJF811, and we direct processing of Digis’ applications</w:t>
      </w:r>
      <w:r w:rsidR="008E7E2E">
        <w:t xml:space="preserve">.  </w:t>
      </w:r>
    </w:p>
    <w:p w14:paraId="6CC70F63" w14:textId="77777777" w:rsidR="00AF378A" w:rsidRDefault="00AF378A" w:rsidP="009E1DDF">
      <w:pPr>
        <w:pStyle w:val="Heading1"/>
        <w:spacing w:before="240" w:after="240"/>
      </w:pPr>
      <w:r>
        <w:t>background</w:t>
      </w:r>
    </w:p>
    <w:p w14:paraId="2F70FD72" w14:textId="2C7E2B20" w:rsidR="009E1DDF" w:rsidRPr="009E1DDF" w:rsidRDefault="00F4159E" w:rsidP="009E1DDF">
      <w:pPr>
        <w:pStyle w:val="ParaNum"/>
        <w:tabs>
          <w:tab w:val="num" w:pos="1440"/>
          <w:tab w:val="num" w:pos="2880"/>
        </w:tabs>
        <w:ind w:left="0"/>
      </w:pPr>
      <w:r>
        <w:t>Part 101 includes the P</w:t>
      </w:r>
      <w:r w:rsidR="00E3566E">
        <w:t xml:space="preserve">rivate </w:t>
      </w:r>
      <w:r>
        <w:t>O</w:t>
      </w:r>
      <w:r w:rsidR="00E3566E">
        <w:t xml:space="preserve">perational </w:t>
      </w:r>
      <w:r>
        <w:t>F</w:t>
      </w:r>
      <w:r w:rsidR="00E3566E">
        <w:t xml:space="preserve">ixed </w:t>
      </w:r>
      <w:r>
        <w:t>S</w:t>
      </w:r>
      <w:r w:rsidR="00E3566E">
        <w:t>ervice (POFS)</w:t>
      </w:r>
      <w:r>
        <w:rPr>
          <w:rStyle w:val="FootnoteReference"/>
        </w:rPr>
        <w:footnoteReference w:id="2"/>
      </w:r>
      <w:r>
        <w:t xml:space="preserve"> and the Common Carrier Operational Fixed Service.</w:t>
      </w:r>
      <w:r>
        <w:rPr>
          <w:rStyle w:val="FootnoteReference"/>
        </w:rPr>
        <w:footnoteReference w:id="3"/>
      </w:r>
      <w:r>
        <w:t xml:space="preserve">  </w:t>
      </w:r>
      <w:r w:rsidR="00E67016">
        <w:t>T</w:t>
      </w:r>
      <w:r w:rsidR="00E67016">
        <w:rPr>
          <w:spacing w:val="-2"/>
        </w:rPr>
        <w:t>he Commission established part 101 to unify the Commission’s rules governing all microwave services.</w:t>
      </w:r>
      <w:r w:rsidR="000B7EAA">
        <w:rPr>
          <w:rStyle w:val="FootnoteReference"/>
          <w:spacing w:val="-2"/>
        </w:rPr>
        <w:footnoteReference w:id="4"/>
      </w:r>
      <w:r w:rsidR="00E67016">
        <w:rPr>
          <w:spacing w:val="-2"/>
        </w:rPr>
        <w:t xml:space="preserve">  Section 101.65(a) of the Commission’s rules regarding non-operation of facilities for more than 30 days applies to both </w:t>
      </w:r>
      <w:r w:rsidR="00E67016">
        <w:t>POFS and the Common Carrier Operational Fixed Service.</w:t>
      </w:r>
      <w:r w:rsidR="005F35CD">
        <w:rPr>
          <w:rStyle w:val="FootnoteReference"/>
        </w:rPr>
        <w:footnoteReference w:id="5"/>
      </w:r>
      <w:r w:rsidR="00E67016">
        <w:t xml:space="preserve"> </w:t>
      </w:r>
    </w:p>
    <w:p w14:paraId="4387FA4E" w14:textId="103E8BBA" w:rsidR="002B4458" w:rsidRDefault="005F35CD" w:rsidP="009E1DDF">
      <w:pPr>
        <w:pStyle w:val="ParaNum"/>
        <w:tabs>
          <w:tab w:val="num" w:pos="1440"/>
          <w:tab w:val="num" w:pos="2880"/>
        </w:tabs>
        <w:ind w:left="0"/>
      </w:pPr>
      <w:r w:rsidRPr="009E1DDF">
        <w:rPr>
          <w:spacing w:val="-2"/>
        </w:rPr>
        <w:lastRenderedPageBreak/>
        <w:t>T</w:t>
      </w:r>
      <w:r w:rsidR="00F4159E">
        <w:t xml:space="preserve">he Commission’s licensing regime for these two services </w:t>
      </w:r>
      <w:r>
        <w:t xml:space="preserve">also </w:t>
      </w:r>
      <w:r w:rsidR="00F4159E">
        <w:t>requires frequency coordination and the filing of an application for each microwave link or path containing detailed information concerning the proposed operation.</w:t>
      </w:r>
      <w:r w:rsidR="00F4159E">
        <w:rPr>
          <w:rStyle w:val="FootnoteReference"/>
        </w:rPr>
        <w:footnoteReference w:id="6"/>
      </w:r>
      <w:r w:rsidR="00F4159E">
        <w:t xml:space="preserve">  In order to complete frequency coordination, an applicant must give prior notice to nearby licensees and other applicants for licenses of the proposed applicant’s operations, make reasonable efforts to avoid interference and resolve conflicts, and certify to the Commission that the proposed operation has been coordinated.</w:t>
      </w:r>
      <w:r w:rsidR="00F4159E">
        <w:rPr>
          <w:rStyle w:val="FootnoteReference"/>
        </w:rPr>
        <w:footnoteReference w:id="7"/>
      </w:r>
      <w:r w:rsidR="00F4159E">
        <w:t xml:space="preserve">  Once the applicant has completed frequency coordination, the applicant must file an application for authorization with the Commission, specifying the latitude and longitude of the transmitter to be used to an accuracy of one second.</w:t>
      </w:r>
      <w:r w:rsidR="00F4159E">
        <w:rPr>
          <w:rStyle w:val="FootnoteReference"/>
        </w:rPr>
        <w:footnoteReference w:id="8"/>
      </w:r>
      <w:r w:rsidR="002B4458">
        <w:t xml:space="preserve"> </w:t>
      </w:r>
    </w:p>
    <w:p w14:paraId="7DE1A116" w14:textId="7ADA2704" w:rsidR="00493B20" w:rsidRDefault="00493B20" w:rsidP="0082300B">
      <w:pPr>
        <w:pStyle w:val="ParaNum"/>
        <w:tabs>
          <w:tab w:val="clear" w:pos="3600"/>
          <w:tab w:val="num" w:pos="1440"/>
        </w:tabs>
        <w:ind w:left="0"/>
      </w:pPr>
      <w:r>
        <w:t>On August 22, 2008, the Wireless Telecommunications Bureau (“Bureau”) issued TXOX a license to operate POFS Station WQJF811 from the Commerce Building in Ogden, Utah (coordinates 41-11-16.1 North Latitude</w:t>
      </w:r>
      <w:r w:rsidR="00F91039">
        <w:t xml:space="preserve">, </w:t>
      </w:r>
      <w:r>
        <w:t>111-57-08.7 West Longitude).</w:t>
      </w:r>
      <w:r>
        <w:rPr>
          <w:rStyle w:val="FootnoteReference"/>
        </w:rPr>
        <w:footnoteReference w:id="9"/>
      </w:r>
      <w:r>
        <w:t xml:space="preserve">  The license for Station </w:t>
      </w:r>
      <w:r w:rsidR="002D7ABD">
        <w:t xml:space="preserve">WQJF811 was modified </w:t>
      </w:r>
      <w:r w:rsidR="006850B0">
        <w:t xml:space="preserve">four </w:t>
      </w:r>
      <w:r w:rsidR="002D7ABD">
        <w:t>times to add additional paths</w:t>
      </w:r>
      <w:r w:rsidR="006850B0">
        <w:t xml:space="preserve"> or modify existing paths</w:t>
      </w:r>
      <w:r w:rsidR="002D7ABD" w:rsidRPr="00AD2DE2">
        <w:t>.</w:t>
      </w:r>
      <w:r w:rsidR="002D7ABD" w:rsidRPr="006850B0">
        <w:rPr>
          <w:rStyle w:val="FootnoteReference"/>
        </w:rPr>
        <w:footnoteReference w:id="10"/>
      </w:r>
      <w:r w:rsidR="009D26C1" w:rsidRPr="006850B0">
        <w:t xml:space="preserve">  On January 31, 2011, the Bureau modified Digis’ license for </w:t>
      </w:r>
      <w:r w:rsidR="00DE4C59" w:rsidRPr="006850B0">
        <w:t xml:space="preserve">Common Carrier Fixed Point to Point Microwave </w:t>
      </w:r>
      <w:r w:rsidR="009D26C1" w:rsidRPr="006850B0">
        <w:t>Station WQJL990 to authorize operation from the Commerce Building (coordinates 41-11-15.9 North Latitude</w:t>
      </w:r>
      <w:r w:rsidR="00F91039" w:rsidRPr="006850B0">
        <w:t xml:space="preserve">, </w:t>
      </w:r>
      <w:r w:rsidR="009D26C1" w:rsidRPr="006850B0">
        <w:t>111-57-09.7 West Longitude).</w:t>
      </w:r>
      <w:r w:rsidR="009D26C1" w:rsidRPr="006850B0">
        <w:rPr>
          <w:rStyle w:val="FootnoteReference"/>
        </w:rPr>
        <w:footnoteReference w:id="11"/>
      </w:r>
      <w:r w:rsidR="009D26C1" w:rsidRPr="006850B0">
        <w:t xml:space="preserve">  That license was subsequently modified </w:t>
      </w:r>
      <w:r w:rsidR="006850B0">
        <w:t xml:space="preserve">ten </w:t>
      </w:r>
      <w:r w:rsidR="009D26C1" w:rsidRPr="006850B0">
        <w:t>times to add additional paths</w:t>
      </w:r>
      <w:r w:rsidR="00C13B8A" w:rsidRPr="006850B0">
        <w:t>, delete existing paths,</w:t>
      </w:r>
      <w:r w:rsidR="001F5F47" w:rsidRPr="006850B0">
        <w:t xml:space="preserve"> or</w:t>
      </w:r>
      <w:r w:rsidR="001F5F47">
        <w:t xml:space="preserve"> modify existing paths</w:t>
      </w:r>
      <w:r w:rsidR="009D26C1">
        <w:t>.</w:t>
      </w:r>
      <w:r w:rsidR="009D26C1">
        <w:rPr>
          <w:rStyle w:val="FootnoteReference"/>
        </w:rPr>
        <w:footnoteReference w:id="12"/>
      </w:r>
    </w:p>
    <w:p w14:paraId="2037F5C9" w14:textId="1E17CB2D" w:rsidR="00A76C73" w:rsidRDefault="002B4458" w:rsidP="009E1DDF">
      <w:pPr>
        <w:pStyle w:val="ParaNum"/>
        <w:tabs>
          <w:tab w:val="num" w:pos="1440"/>
          <w:tab w:val="num" w:pos="2880"/>
        </w:tabs>
        <w:ind w:left="0"/>
      </w:pPr>
      <w:r>
        <w:t>The microwave frequency coordination dispute between TXOX and Digis stems from a series of events beginning in early 2013</w:t>
      </w:r>
      <w:r w:rsidR="001079ED">
        <w:t>.  TXOX and Digis offer different versions of the facts.  According to TXOX</w:t>
      </w:r>
      <w:r>
        <w:t xml:space="preserve">, </w:t>
      </w:r>
      <w:r w:rsidR="001079ED">
        <w:t xml:space="preserve">in early 2013, </w:t>
      </w:r>
      <w:r w:rsidR="006164EE">
        <w:t xml:space="preserve">TXOX and Digis both </w:t>
      </w:r>
      <w:r w:rsidR="00EE22E4">
        <w:t xml:space="preserve">were </w:t>
      </w:r>
      <w:r>
        <w:t>operat</w:t>
      </w:r>
      <w:r w:rsidR="00EE22E4">
        <w:t>ing</w:t>
      </w:r>
      <w:r>
        <w:t xml:space="preserve"> their equipment from the rooftop of the Commerce Building</w:t>
      </w:r>
      <w:r w:rsidR="00EE22E4">
        <w:t xml:space="preserve"> on a month-to-month basis</w:t>
      </w:r>
      <w:r w:rsidR="0035286D">
        <w:t>.</w:t>
      </w:r>
      <w:r>
        <w:rPr>
          <w:rStyle w:val="FootnoteReference"/>
        </w:rPr>
        <w:footnoteReference w:id="13"/>
      </w:r>
      <w:r>
        <w:t xml:space="preserve">  </w:t>
      </w:r>
      <w:r w:rsidR="001079ED">
        <w:t xml:space="preserve">Digis claims it had a </w:t>
      </w:r>
      <w:r w:rsidR="006164EE">
        <w:t xml:space="preserve">longer-term </w:t>
      </w:r>
      <w:r w:rsidR="001079ED">
        <w:t xml:space="preserve">lease </w:t>
      </w:r>
      <w:r w:rsidR="00C451EE">
        <w:t>because a company it bought had a lease for the Commerce Building.</w:t>
      </w:r>
      <w:r w:rsidR="00C451EE">
        <w:rPr>
          <w:rStyle w:val="FootnoteReference"/>
        </w:rPr>
        <w:footnoteReference w:id="14"/>
      </w:r>
      <w:r w:rsidR="00C451EE">
        <w:t xml:space="preserve">  </w:t>
      </w:r>
      <w:r>
        <w:t>According to TXOX’s President, Douglas J. Clark, in February 2013, the Commerce Building’s new owner informed TXOX that because it did not have a current lease, it would need to remove all of its equipment from the building’s rooftop, where TXOX was licensed to operate.</w:t>
      </w:r>
      <w:r>
        <w:rPr>
          <w:rStyle w:val="FootnoteReference"/>
          <w:spacing w:val="-2"/>
        </w:rPr>
        <w:footnoteReference w:id="15"/>
      </w:r>
      <w:r w:rsidRPr="009E1DDF">
        <w:rPr>
          <w:spacing w:val="-2"/>
        </w:rPr>
        <w:t xml:space="preserve">  </w:t>
      </w:r>
      <w:r w:rsidR="00C451EE">
        <w:rPr>
          <w:spacing w:val="-2"/>
        </w:rPr>
        <w:t xml:space="preserve">According to Digis, it was told that the owner of the Commerce Building approached </w:t>
      </w:r>
      <w:r w:rsidRPr="009E1DDF">
        <w:rPr>
          <w:spacing w:val="-2"/>
        </w:rPr>
        <w:t xml:space="preserve">TXOX </w:t>
      </w:r>
      <w:r w:rsidR="00C451EE">
        <w:rPr>
          <w:spacing w:val="-2"/>
        </w:rPr>
        <w:t>about negotiating a lease, but TXOX refused to pay the requested rent and decided to leave the building.</w:t>
      </w:r>
      <w:r w:rsidR="00C451EE">
        <w:rPr>
          <w:rStyle w:val="FootnoteReference"/>
          <w:spacing w:val="-2"/>
        </w:rPr>
        <w:footnoteReference w:id="16"/>
      </w:r>
      <w:r w:rsidR="00C451EE">
        <w:rPr>
          <w:spacing w:val="-2"/>
        </w:rPr>
        <w:t xml:space="preserve">  </w:t>
      </w:r>
      <w:r w:rsidR="00A76C73">
        <w:rPr>
          <w:spacing w:val="-2"/>
        </w:rPr>
        <w:t xml:space="preserve">TXOX </w:t>
      </w:r>
      <w:r w:rsidRPr="009E1DDF">
        <w:rPr>
          <w:spacing w:val="-2"/>
        </w:rPr>
        <w:t>subsequently negotiated a long term lease with the owner of the Executive Building, a building “less than 500 feet apart” from its licensed location.</w:t>
      </w:r>
      <w:r>
        <w:rPr>
          <w:rStyle w:val="FootnoteReference"/>
          <w:spacing w:val="-2"/>
        </w:rPr>
        <w:footnoteReference w:id="17"/>
      </w:r>
      <w:r w:rsidRPr="009E1DDF">
        <w:rPr>
          <w:spacing w:val="-2"/>
        </w:rPr>
        <w:t xml:space="preserve">  </w:t>
      </w:r>
      <w:r w:rsidR="00A76C73">
        <w:rPr>
          <w:spacing w:val="-2"/>
        </w:rPr>
        <w:t xml:space="preserve">In its application to </w:t>
      </w:r>
      <w:r w:rsidR="00A76C73">
        <w:rPr>
          <w:spacing w:val="-2"/>
        </w:rPr>
        <w:lastRenderedPageBreak/>
        <w:t xml:space="preserve">modify the license for Station WQJL811 to move to the Executive Building, the coordinates of the new location are listed as </w:t>
      </w:r>
      <w:r w:rsidR="006876E4">
        <w:t>41-11-16.4</w:t>
      </w:r>
      <w:r w:rsidR="00A76C73">
        <w:t xml:space="preserve"> </w:t>
      </w:r>
      <w:r w:rsidR="006876E4">
        <w:t>N</w:t>
      </w:r>
      <w:r w:rsidR="00A76C73">
        <w:t xml:space="preserve">orth </w:t>
      </w:r>
      <w:r w:rsidR="006876E4">
        <w:t>L</w:t>
      </w:r>
      <w:r w:rsidR="00A76C73">
        <w:t>atitude</w:t>
      </w:r>
      <w:r w:rsidR="00343AF6">
        <w:t>,</w:t>
      </w:r>
      <w:r w:rsidR="006876E4">
        <w:t>1</w:t>
      </w:r>
      <w:r w:rsidR="00945227">
        <w:t>1</w:t>
      </w:r>
      <w:r w:rsidR="006876E4">
        <w:t>1-57-02.9</w:t>
      </w:r>
      <w:r w:rsidR="00A76C73">
        <w:t xml:space="preserve"> </w:t>
      </w:r>
      <w:r w:rsidR="006876E4">
        <w:t>W</w:t>
      </w:r>
      <w:r w:rsidR="00A76C73">
        <w:t xml:space="preserve">est </w:t>
      </w:r>
      <w:r w:rsidR="006876E4">
        <w:t>L</w:t>
      </w:r>
      <w:r w:rsidR="00A76C73">
        <w:t>ongitude</w:t>
      </w:r>
      <w:r w:rsidR="006876E4">
        <w:t>.</w:t>
      </w:r>
      <w:r w:rsidR="006876E4">
        <w:rPr>
          <w:rStyle w:val="FootnoteReference"/>
        </w:rPr>
        <w:footnoteReference w:id="18"/>
      </w:r>
    </w:p>
    <w:p w14:paraId="1633341B" w14:textId="158B60C3" w:rsidR="00EA1BFE" w:rsidRDefault="00A76C73" w:rsidP="009E1DDF">
      <w:pPr>
        <w:pStyle w:val="ParaNum"/>
        <w:tabs>
          <w:tab w:val="num" w:pos="1440"/>
          <w:tab w:val="num" w:pos="2880"/>
        </w:tabs>
        <w:ind w:left="0"/>
      </w:pPr>
      <w:r>
        <w:t xml:space="preserve">At the time of the move, TXOX did not file an application to modify the license for Station WQJL811 to authorize operation at the Executive Building.  </w:t>
      </w:r>
      <w:r w:rsidR="002B4458" w:rsidRPr="009E1DDF">
        <w:rPr>
          <w:spacing w:val="-2"/>
        </w:rPr>
        <w:t>Mr. Clark reports that TXOX relied on advice from its frequency coordinator, Brad Youngblood of Micronet Communications, Inc. (“Micronet”) that “you get 1000 feet variance from the coordination that is specified” on the license.</w:t>
      </w:r>
      <w:r w:rsidR="002B4458">
        <w:rPr>
          <w:rStyle w:val="FootnoteReference"/>
          <w:spacing w:val="-2"/>
        </w:rPr>
        <w:footnoteReference w:id="19"/>
      </w:r>
      <w:r w:rsidR="002B4458" w:rsidRPr="009E1DDF">
        <w:rPr>
          <w:spacing w:val="-2"/>
        </w:rPr>
        <w:t xml:space="preserve">  </w:t>
      </w:r>
      <w:r>
        <w:rPr>
          <w:spacing w:val="-2"/>
        </w:rPr>
        <w:t xml:space="preserve">Mr. Youngblood denies </w:t>
      </w:r>
      <w:r w:rsidR="00B96978">
        <w:rPr>
          <w:spacing w:val="-2"/>
        </w:rPr>
        <w:t>having any conversation with Mr. Clark in 2013.</w:t>
      </w:r>
      <w:r w:rsidR="00B96978">
        <w:rPr>
          <w:rStyle w:val="FootnoteReference"/>
          <w:spacing w:val="-2"/>
        </w:rPr>
        <w:footnoteReference w:id="20"/>
      </w:r>
      <w:r w:rsidR="00B96978">
        <w:rPr>
          <w:spacing w:val="-2"/>
        </w:rPr>
        <w:t xml:space="preserve">  </w:t>
      </w:r>
      <w:r w:rsidR="002B4458" w:rsidRPr="00692F98">
        <w:t xml:space="preserve">On May 3, </w:t>
      </w:r>
      <w:r w:rsidR="002B4458">
        <w:t xml:space="preserve">2013, TXOX </w:t>
      </w:r>
      <w:r w:rsidR="002B4458" w:rsidRPr="00692F98">
        <w:t xml:space="preserve">moved </w:t>
      </w:r>
      <w:r w:rsidR="002B4458">
        <w:t>its</w:t>
      </w:r>
      <w:r w:rsidR="002B4458" w:rsidRPr="00692F98">
        <w:t xml:space="preserve"> licensed links to the </w:t>
      </w:r>
      <w:r w:rsidR="002B4458">
        <w:t>rooftop of the Executive B</w:t>
      </w:r>
      <w:r w:rsidR="002B4458" w:rsidRPr="00692F98">
        <w:t>uilding, leaving the</w:t>
      </w:r>
      <w:r w:rsidR="002B4458">
        <w:t xml:space="preserve"> links</w:t>
      </w:r>
      <w:r w:rsidR="002B4458" w:rsidRPr="00692F98">
        <w:t xml:space="preserve"> out of service for</w:t>
      </w:r>
      <w:r w:rsidR="002B4458">
        <w:t>, at most,</w:t>
      </w:r>
      <w:r w:rsidR="002B4458" w:rsidRPr="00692F98">
        <w:t xml:space="preserve"> 4 hours.</w:t>
      </w:r>
      <w:r w:rsidR="002B4458">
        <w:rPr>
          <w:rStyle w:val="FootnoteReference"/>
        </w:rPr>
        <w:footnoteReference w:id="21"/>
      </w:r>
      <w:r w:rsidR="002B4458" w:rsidRPr="00692F98">
        <w:t xml:space="preserve">  </w:t>
      </w:r>
      <w:r w:rsidR="002B4458">
        <w:t>According to Mr. Clark, the</w:t>
      </w:r>
      <w:r w:rsidR="002B4458" w:rsidRPr="00692F98">
        <w:t xml:space="preserve"> links have been in constant operation</w:t>
      </w:r>
      <w:r w:rsidR="002B4458">
        <w:t xml:space="preserve"> since</w:t>
      </w:r>
      <w:r w:rsidR="002B4458" w:rsidRPr="00692F98">
        <w:t>.</w:t>
      </w:r>
      <w:r w:rsidR="002B4458">
        <w:rPr>
          <w:rStyle w:val="FootnoteReference"/>
        </w:rPr>
        <w:footnoteReference w:id="22"/>
      </w:r>
    </w:p>
    <w:p w14:paraId="6183B557" w14:textId="3670E0E5" w:rsidR="00985C29" w:rsidRPr="00985C29" w:rsidRDefault="00B96978" w:rsidP="009E1DDF">
      <w:pPr>
        <w:pStyle w:val="ParaNum"/>
        <w:tabs>
          <w:tab w:val="num" w:pos="1440"/>
          <w:tab w:val="num" w:pos="2880"/>
        </w:tabs>
        <w:ind w:left="0"/>
      </w:pPr>
      <w:r>
        <w:t xml:space="preserve">On </w:t>
      </w:r>
      <w:r w:rsidR="00DB7842">
        <w:t xml:space="preserve">March </w:t>
      </w:r>
      <w:r>
        <w:t xml:space="preserve">10 </w:t>
      </w:r>
      <w:r w:rsidR="00DB7842">
        <w:t>2014, Digis</w:t>
      </w:r>
      <w:r w:rsidR="002D4415">
        <w:t>, through its frequency coordinator, Micronet,</w:t>
      </w:r>
      <w:r w:rsidR="00DB7842">
        <w:t xml:space="preserve"> </w:t>
      </w:r>
      <w:r w:rsidR="007E418D">
        <w:t xml:space="preserve">issued a </w:t>
      </w:r>
      <w:r w:rsidR="008D5608">
        <w:t>prior coordination notice (</w:t>
      </w:r>
      <w:r w:rsidR="007E418D">
        <w:t>PCN</w:t>
      </w:r>
      <w:r w:rsidR="008D5608">
        <w:t>)</w:t>
      </w:r>
      <w:r w:rsidR="007E418D">
        <w:t xml:space="preserve"> for a path</w:t>
      </w:r>
      <w:r w:rsidR="00B0239A">
        <w:t>.</w:t>
      </w:r>
      <w:r w:rsidR="00B0239A">
        <w:rPr>
          <w:rStyle w:val="FootnoteReference"/>
        </w:rPr>
        <w:footnoteReference w:id="23"/>
      </w:r>
      <w:r w:rsidR="007E418D">
        <w:t xml:space="preserve"> </w:t>
      </w:r>
      <w:r w:rsidR="00B0239A">
        <w:t xml:space="preserve"> Both TXOX and Digis agree </w:t>
      </w:r>
      <w:r w:rsidR="007E418D">
        <w:t xml:space="preserve">that </w:t>
      </w:r>
      <w:r w:rsidR="00B0239A">
        <w:t xml:space="preserve">the new path </w:t>
      </w:r>
      <w:r w:rsidR="007E418D">
        <w:t xml:space="preserve">would directly interfere with </w:t>
      </w:r>
      <w:r w:rsidR="00B0239A">
        <w:t>TXOX’s operations under Station WQJL811</w:t>
      </w:r>
      <w:r w:rsidR="00C979E0">
        <w:t>.</w:t>
      </w:r>
      <w:r w:rsidR="007E418D">
        <w:rPr>
          <w:rStyle w:val="FootnoteReference"/>
        </w:rPr>
        <w:footnoteReference w:id="24"/>
      </w:r>
      <w:r w:rsidR="00C979E0">
        <w:t xml:space="preserve">  </w:t>
      </w:r>
      <w:r w:rsidR="00985C29" w:rsidRPr="00985C29">
        <w:t>In a series of letters exchanged between Comsearch and Micronet between March 31, 2014 and April 9, 2014</w:t>
      </w:r>
      <w:r w:rsidR="00352873">
        <w:t>,</w:t>
      </w:r>
      <w:r w:rsidR="00985C29" w:rsidRPr="00985C29">
        <w:t xml:space="preserve"> Comsearch </w:t>
      </w:r>
      <w:r w:rsidR="00352873">
        <w:t>asserted</w:t>
      </w:r>
      <w:r w:rsidR="00985C29" w:rsidRPr="00985C29">
        <w:t xml:space="preserve"> that TXOX’s paths were still operational, its </w:t>
      </w:r>
      <w:r w:rsidR="00904D43">
        <w:t>interference objection</w:t>
      </w:r>
      <w:r w:rsidR="00352873">
        <w:t xml:space="preserve"> </w:t>
      </w:r>
      <w:r w:rsidR="0022714B">
        <w:t xml:space="preserve">to </w:t>
      </w:r>
      <w:r w:rsidR="003A47C5">
        <w:t>Digis’</w:t>
      </w:r>
      <w:r w:rsidR="0022714B">
        <w:t xml:space="preserve"> PCN </w:t>
      </w:r>
      <w:r w:rsidR="00904D43">
        <w:t>unresolved a</w:t>
      </w:r>
      <w:r w:rsidR="00985C29" w:rsidRPr="00985C29">
        <w:t xml:space="preserve">nd TXOX would object to any FCC filing that did not resolve its </w:t>
      </w:r>
      <w:r w:rsidR="00904D43">
        <w:t>interference concerns</w:t>
      </w:r>
      <w:r w:rsidR="00985C29" w:rsidRPr="00985C29">
        <w:t>.</w:t>
      </w:r>
      <w:r w:rsidR="001A4236">
        <w:rPr>
          <w:rStyle w:val="FootnoteReference"/>
        </w:rPr>
        <w:footnoteReference w:id="25"/>
      </w:r>
      <w:r w:rsidR="00985C29" w:rsidRPr="00985C29">
        <w:t xml:space="preserve">  Micronet </w:t>
      </w:r>
      <w:r w:rsidR="00352873">
        <w:t xml:space="preserve">argued </w:t>
      </w:r>
      <w:r w:rsidR="00985C29" w:rsidRPr="00985C29">
        <w:t xml:space="preserve">that TXOX had forfeited </w:t>
      </w:r>
      <w:r w:rsidR="00352873">
        <w:t xml:space="preserve">its </w:t>
      </w:r>
      <w:r w:rsidR="0023608C">
        <w:t xml:space="preserve">license </w:t>
      </w:r>
      <w:r w:rsidR="007D5065" w:rsidRPr="00985C29">
        <w:t>by removing</w:t>
      </w:r>
      <w:r w:rsidR="00985C29" w:rsidRPr="00985C29">
        <w:t xml:space="preserve"> its equipment from the licensed site.</w:t>
      </w:r>
      <w:r w:rsidR="00904D43">
        <w:rPr>
          <w:rStyle w:val="FootnoteReference"/>
        </w:rPr>
        <w:footnoteReference w:id="26"/>
      </w:r>
    </w:p>
    <w:p w14:paraId="10F145C0" w14:textId="1F926E9C" w:rsidR="00154F4D" w:rsidRPr="00154F4D" w:rsidRDefault="0082300B" w:rsidP="009E1DDF">
      <w:pPr>
        <w:pStyle w:val="ParaNum"/>
        <w:tabs>
          <w:tab w:val="num" w:pos="1440"/>
          <w:tab w:val="num" w:pos="2880"/>
        </w:tabs>
        <w:ind w:left="0"/>
        <w:rPr>
          <w:spacing w:val="-2"/>
        </w:rPr>
      </w:pPr>
      <w:r>
        <w:t xml:space="preserve">Mr. Clark states that his new frequency coordinator, Comsearch, subsequently </w:t>
      </w:r>
      <w:r w:rsidRPr="00692F98">
        <w:t xml:space="preserve">informed </w:t>
      </w:r>
      <w:r>
        <w:t>him that TXOX would need to re-coordinate all of its licensed links as a result of moving its equipment from the Commerce Building to the Executive Building, in order to comply with Commission rules, contradicting the advice Mr. Clark claims he received from Micronet.</w:t>
      </w:r>
      <w:r>
        <w:rPr>
          <w:rStyle w:val="FootnoteReference"/>
        </w:rPr>
        <w:footnoteReference w:id="27"/>
      </w:r>
      <w:r>
        <w:t xml:space="preserve">  </w:t>
      </w:r>
      <w:r w:rsidR="00985C29" w:rsidRPr="00985C29">
        <w:t xml:space="preserve">On April 10, 2014, Comsearch </w:t>
      </w:r>
      <w:r w:rsidR="00037A2B">
        <w:t>issued a PCN</w:t>
      </w:r>
      <w:r w:rsidR="00352873">
        <w:t>, on TXOX’s behalf,</w:t>
      </w:r>
      <w:r w:rsidR="00037A2B">
        <w:t xml:space="preserve"> </w:t>
      </w:r>
      <w:r w:rsidR="00603D05">
        <w:t xml:space="preserve">to relocate the </w:t>
      </w:r>
      <w:r w:rsidR="00985C29" w:rsidRPr="00985C29">
        <w:t>WQJF811</w:t>
      </w:r>
      <w:r w:rsidR="00603D05">
        <w:t xml:space="preserve"> transmitter to the Executive Building site</w:t>
      </w:r>
      <w:r w:rsidR="00985C29" w:rsidRPr="00985C29">
        <w:t>.</w:t>
      </w:r>
      <w:r w:rsidR="00037A2B">
        <w:rPr>
          <w:rStyle w:val="FootnoteReference"/>
        </w:rPr>
        <w:footnoteReference w:id="28"/>
      </w:r>
      <w:r w:rsidR="00985C29" w:rsidRPr="00985C29">
        <w:t xml:space="preserve">  </w:t>
      </w:r>
      <w:r w:rsidR="007D5065" w:rsidRPr="007D5065">
        <w:t xml:space="preserve">  </w:t>
      </w:r>
      <w:r w:rsidR="00044AE5" w:rsidRPr="00044AE5">
        <w:t>On April 15, 2014, Micronet</w:t>
      </w:r>
      <w:r w:rsidR="008D371F">
        <w:t>, on Digis’ behalf,</w:t>
      </w:r>
      <w:r w:rsidR="00044AE5" w:rsidRPr="00044AE5">
        <w:t xml:space="preserve"> forwarded potential</w:t>
      </w:r>
      <w:r w:rsidR="00044AE5">
        <w:t xml:space="preserve"> interference cases to Comsearch</w:t>
      </w:r>
      <w:r w:rsidR="00044AE5" w:rsidRPr="00044AE5">
        <w:t>.</w:t>
      </w:r>
      <w:r w:rsidR="00037A2B">
        <w:rPr>
          <w:rStyle w:val="FootnoteReference"/>
        </w:rPr>
        <w:footnoteReference w:id="29"/>
      </w:r>
      <w:r w:rsidR="00044AE5" w:rsidRPr="00044AE5">
        <w:t xml:space="preserve">  </w:t>
      </w:r>
      <w:r w:rsidR="00154F4D" w:rsidRPr="00154F4D">
        <w:rPr>
          <w:spacing w:val="-2"/>
        </w:rPr>
        <w:t xml:space="preserve">Comsearch </w:t>
      </w:r>
      <w:r w:rsidR="00E07AB4">
        <w:rPr>
          <w:spacing w:val="-2"/>
        </w:rPr>
        <w:t>replied</w:t>
      </w:r>
      <w:r w:rsidR="00154F4D" w:rsidRPr="00154F4D">
        <w:rPr>
          <w:spacing w:val="-2"/>
        </w:rPr>
        <w:t xml:space="preserve"> on April 18</w:t>
      </w:r>
      <w:r w:rsidR="00E07AB4">
        <w:rPr>
          <w:spacing w:val="-2"/>
        </w:rPr>
        <w:t>, 2014 stating that its “PCN was to make minor changes to the existing TXOX system that moved across the parking lot</w:t>
      </w:r>
      <w:r w:rsidR="008D371F">
        <w:rPr>
          <w:spacing w:val="-2"/>
        </w:rPr>
        <w:t>.</w:t>
      </w:r>
      <w:r w:rsidR="00E07AB4">
        <w:rPr>
          <w:spacing w:val="-2"/>
        </w:rPr>
        <w:t>”</w:t>
      </w:r>
      <w:r w:rsidR="00E07AB4">
        <w:rPr>
          <w:rStyle w:val="FootnoteReference"/>
          <w:spacing w:val="-2"/>
        </w:rPr>
        <w:footnoteReference w:id="30"/>
      </w:r>
      <w:r w:rsidR="00E07AB4">
        <w:rPr>
          <w:spacing w:val="-2"/>
        </w:rPr>
        <w:t xml:space="preserve">  </w:t>
      </w:r>
      <w:r w:rsidR="00154F4D" w:rsidRPr="00154F4D">
        <w:rPr>
          <w:spacing w:val="-2"/>
        </w:rPr>
        <w:t xml:space="preserve"> Micronet responded on April 24</w:t>
      </w:r>
      <w:r w:rsidR="008D371F">
        <w:rPr>
          <w:spacing w:val="-2"/>
        </w:rPr>
        <w:t xml:space="preserve">, 2014 </w:t>
      </w:r>
      <w:r w:rsidR="004078B1">
        <w:rPr>
          <w:spacing w:val="-2"/>
        </w:rPr>
        <w:t>arguing “</w:t>
      </w:r>
      <w:r w:rsidR="00154F4D" w:rsidRPr="00154F4D">
        <w:rPr>
          <w:spacing w:val="-2"/>
        </w:rPr>
        <w:t xml:space="preserve">this coordination would be a major change from the previously licensed data and that the PCN was issued approximately 11 months after the TXOX equipment and antennas were </w:t>
      </w:r>
      <w:r w:rsidR="00F172A6">
        <w:rPr>
          <w:spacing w:val="-2"/>
        </w:rPr>
        <w:t xml:space="preserve">physically </w:t>
      </w:r>
      <w:r w:rsidR="00154F4D" w:rsidRPr="00154F4D">
        <w:rPr>
          <w:spacing w:val="-2"/>
        </w:rPr>
        <w:t>removed</w:t>
      </w:r>
      <w:r w:rsidR="00603D05">
        <w:rPr>
          <w:spacing w:val="-2"/>
        </w:rPr>
        <w:t>”</w:t>
      </w:r>
      <w:r w:rsidR="00154F4D" w:rsidRPr="00154F4D">
        <w:rPr>
          <w:spacing w:val="-2"/>
        </w:rPr>
        <w:t xml:space="preserve"> from the</w:t>
      </w:r>
      <w:r w:rsidR="00603D05">
        <w:rPr>
          <w:spacing w:val="-2"/>
        </w:rPr>
        <w:t xml:space="preserve"> licensed site.</w:t>
      </w:r>
      <w:r w:rsidR="004078B1">
        <w:rPr>
          <w:rStyle w:val="FootnoteReference"/>
          <w:spacing w:val="-2"/>
        </w:rPr>
        <w:footnoteReference w:id="31"/>
      </w:r>
      <w:r w:rsidR="00154F4D" w:rsidRPr="00154F4D">
        <w:rPr>
          <w:spacing w:val="-2"/>
        </w:rPr>
        <w:t xml:space="preserve">  </w:t>
      </w:r>
    </w:p>
    <w:p w14:paraId="2A80C7AC" w14:textId="4552E2B1" w:rsidR="00044AE5" w:rsidRDefault="00985C29" w:rsidP="009E1DDF">
      <w:pPr>
        <w:pStyle w:val="ParaNum"/>
        <w:tabs>
          <w:tab w:val="num" w:pos="1440"/>
          <w:tab w:val="num" w:pos="2880"/>
        </w:tabs>
        <w:ind w:left="0"/>
      </w:pPr>
      <w:r w:rsidRPr="00985C29">
        <w:t>On April 16, 2014</w:t>
      </w:r>
      <w:r w:rsidR="00945227">
        <w:t>,</w:t>
      </w:r>
      <w:r w:rsidRPr="00985C29">
        <w:t xml:space="preserve"> </w:t>
      </w:r>
      <w:r w:rsidR="00015C87" w:rsidRPr="009E1DDF">
        <w:t xml:space="preserve">Digis filed applications to modify </w:t>
      </w:r>
      <w:r w:rsidR="00945227">
        <w:t>Common Carrier p</w:t>
      </w:r>
      <w:r w:rsidR="00015C87" w:rsidRPr="009E1DDF">
        <w:t>oint-to-</w:t>
      </w:r>
      <w:r w:rsidR="00945227">
        <w:t>p</w:t>
      </w:r>
      <w:r w:rsidR="00015C87" w:rsidRPr="009E1DDF">
        <w:t xml:space="preserve">oint licenses for stations </w:t>
      </w:r>
      <w:r w:rsidR="005128AE">
        <w:t>W</w:t>
      </w:r>
      <w:r w:rsidR="00015C87">
        <w:t>QJL990 and WQJL989</w:t>
      </w:r>
      <w:r w:rsidR="005128AE">
        <w:t xml:space="preserve"> in accordance with its PCN</w:t>
      </w:r>
      <w:r w:rsidR="00CC09DE">
        <w:t>.</w:t>
      </w:r>
      <w:r w:rsidR="00015C87">
        <w:rPr>
          <w:rStyle w:val="FootnoteReference"/>
        </w:rPr>
        <w:footnoteReference w:id="32"/>
      </w:r>
      <w:r w:rsidR="00015C87">
        <w:t xml:space="preserve">  In a</w:t>
      </w:r>
      <w:r w:rsidR="008D371F">
        <w:t>n “Unresolved Interference Explanation”</w:t>
      </w:r>
      <w:r w:rsidR="00015C87">
        <w:t xml:space="preserve"> appended to its application</w:t>
      </w:r>
      <w:r w:rsidR="004078B1">
        <w:t>s</w:t>
      </w:r>
      <w:r w:rsidR="00015C87">
        <w:t>, Digis stated that it had been unable to resolve its frequency coordination conflict with Comsearch, TXOX’s frequency coordinator.</w:t>
      </w:r>
      <w:r w:rsidR="004078B1">
        <w:rPr>
          <w:rStyle w:val="FootnoteReference"/>
        </w:rPr>
        <w:footnoteReference w:id="33"/>
      </w:r>
      <w:r w:rsidR="00015C87">
        <w:t xml:space="preserve">  Digis argued that TXOX voluntarily removed its antennas and equipment from its licensed site for </w:t>
      </w:r>
      <w:r w:rsidR="00E0610E">
        <w:t>s</w:t>
      </w:r>
      <w:r w:rsidR="00015C87">
        <w:t xml:space="preserve">tation WQJF811 on May 20, 2013 and had not attempted to re-coordinate or re-license any of the paths at the time of </w:t>
      </w:r>
      <w:r w:rsidR="003A47C5">
        <w:t>Digis’</w:t>
      </w:r>
      <w:r w:rsidR="00015C87">
        <w:t xml:space="preserve"> </w:t>
      </w:r>
      <w:r w:rsidR="008D371F">
        <w:t xml:space="preserve">March 10, 2014 </w:t>
      </w:r>
      <w:r w:rsidR="00015C87">
        <w:t>PCN</w:t>
      </w:r>
      <w:r w:rsidR="008D371F">
        <w:t>.</w:t>
      </w:r>
      <w:r w:rsidR="00EF16FA">
        <w:rPr>
          <w:rStyle w:val="FootnoteReference"/>
        </w:rPr>
        <w:footnoteReference w:id="34"/>
      </w:r>
      <w:r w:rsidR="00015C87">
        <w:t xml:space="preserve">  </w:t>
      </w:r>
    </w:p>
    <w:p w14:paraId="5F1CC104" w14:textId="511FCCA6" w:rsidR="00972537" w:rsidRDefault="00972537" w:rsidP="009E1DDF">
      <w:pPr>
        <w:pStyle w:val="ParaNum"/>
        <w:tabs>
          <w:tab w:val="num" w:pos="1440"/>
          <w:tab w:val="num" w:pos="2880"/>
        </w:tabs>
        <w:ind w:left="0"/>
      </w:pPr>
      <w:r>
        <w:t xml:space="preserve">On May 22, 2014, Comsearch filed, on behalf of TXOX, a Petition to Deny against </w:t>
      </w:r>
      <w:r w:rsidR="003A47C5">
        <w:t>Digis’</w:t>
      </w:r>
      <w:r>
        <w:t xml:space="preserve"> applications, arguing that TXOX’s system was still operational, albeit at a slightly different location, and that TXOX’s move “across the parking lot from the original site” was minor in nature and had not required a license update.</w:t>
      </w:r>
      <w:r>
        <w:rPr>
          <w:rStyle w:val="FootnoteReference"/>
        </w:rPr>
        <w:footnoteReference w:id="35"/>
      </w:r>
      <w:r>
        <w:t xml:space="preserve">  Comsearch stated that it informed Micronet that the paths had not been forfeited and were still operational after the minor change.</w:t>
      </w:r>
      <w:r>
        <w:rPr>
          <w:rStyle w:val="FootnoteReference"/>
        </w:rPr>
        <w:footnoteReference w:id="36"/>
      </w:r>
      <w:r>
        <w:t xml:space="preserve">  Comsearch argued that </w:t>
      </w:r>
      <w:r w:rsidR="003A47C5">
        <w:t>Digis’</w:t>
      </w:r>
      <w:r>
        <w:t xml:space="preserve"> path was not properly prior coordinated in violation of </w:t>
      </w:r>
      <w:r w:rsidR="00041ABE">
        <w:t xml:space="preserve">Section </w:t>
      </w:r>
      <w:r>
        <w:t xml:space="preserve">101.103(d) </w:t>
      </w:r>
      <w:r w:rsidR="00041ABE">
        <w:t xml:space="preserve">of the Commission’s rules </w:t>
      </w:r>
      <w:r>
        <w:t xml:space="preserve">and </w:t>
      </w:r>
      <w:r w:rsidR="003A47C5">
        <w:t>Digis’</w:t>
      </w:r>
      <w:r>
        <w:t xml:space="preserve"> applications should be dismissed or immediately amended to remove the conflicting frequencies.</w:t>
      </w:r>
      <w:r>
        <w:rPr>
          <w:rStyle w:val="FootnoteReference"/>
        </w:rPr>
        <w:footnoteReference w:id="37"/>
      </w:r>
    </w:p>
    <w:p w14:paraId="6D25AEB6" w14:textId="5EDEA1D7" w:rsidR="00972537" w:rsidRDefault="00972537" w:rsidP="009E1DDF">
      <w:pPr>
        <w:pStyle w:val="ParaNum"/>
        <w:tabs>
          <w:tab w:val="num" w:pos="1440"/>
          <w:tab w:val="num" w:pos="2880"/>
        </w:tabs>
        <w:ind w:left="0"/>
      </w:pPr>
      <w:r>
        <w:t>On May 30, 2014, Micronet replied on behalf of Digis.</w:t>
      </w:r>
      <w:r>
        <w:rPr>
          <w:rStyle w:val="FootnoteReference"/>
        </w:rPr>
        <w:footnoteReference w:id="38"/>
      </w:r>
      <w:r>
        <w:t xml:space="preserve">  Micronet stated that Comsearch’s objection to </w:t>
      </w:r>
      <w:r w:rsidR="003A47C5">
        <w:t>Digis’</w:t>
      </w:r>
      <w:r>
        <w:t xml:space="preserve"> application to modify its call signs was based upon interference at TXOX’s </w:t>
      </w:r>
      <w:r w:rsidRPr="00340112">
        <w:t>licensed</w:t>
      </w:r>
      <w:r>
        <w:t xml:space="preserve"> coordinates on the rooftop of the Commerce Building</w:t>
      </w:r>
      <w:r w:rsidR="00340112">
        <w:t xml:space="preserve"> and that TXOX had ceased operation at that location on or before June 30, 2013</w:t>
      </w:r>
      <w:r>
        <w:t>.</w:t>
      </w:r>
      <w:r>
        <w:rPr>
          <w:rStyle w:val="FootnoteReference"/>
        </w:rPr>
        <w:footnoteReference w:id="39"/>
      </w:r>
      <w:r>
        <w:t xml:space="preserve">  Further, based on </w:t>
      </w:r>
      <w:r w:rsidR="003A47C5">
        <w:t>Digis’</w:t>
      </w:r>
      <w:r>
        <w:t xml:space="preserve"> observations of the Executive B</w:t>
      </w:r>
      <w:r w:rsidR="00340112">
        <w:t>uilding site, Micronet questioned</w:t>
      </w:r>
      <w:r>
        <w:t xml:space="preserve"> whether station WQJF811 has been fully constructed at the Executive Building location.</w:t>
      </w:r>
      <w:r>
        <w:rPr>
          <w:rStyle w:val="FootnoteReference"/>
        </w:rPr>
        <w:footnoteReference w:id="40"/>
      </w:r>
      <w:r>
        <w:t xml:space="preserve">   Micronet also argued that it followed proper coordination procedures in filing the applications on </w:t>
      </w:r>
      <w:r w:rsidR="003A47C5">
        <w:t>Digis’</w:t>
      </w:r>
      <w:r>
        <w:t xml:space="preserve"> behalf; </w:t>
      </w:r>
      <w:r w:rsidR="00945227">
        <w:t xml:space="preserve">it alleged that </w:t>
      </w:r>
      <w:r>
        <w:t>both notification and response had been completed.</w:t>
      </w:r>
      <w:r>
        <w:rPr>
          <w:rStyle w:val="FootnoteReference"/>
        </w:rPr>
        <w:footnoteReference w:id="41"/>
      </w:r>
    </w:p>
    <w:p w14:paraId="1302D8BE" w14:textId="151D3F95" w:rsidR="00972537" w:rsidRDefault="00972537" w:rsidP="00966AF7">
      <w:pPr>
        <w:pStyle w:val="ParaNum"/>
        <w:widowControl/>
        <w:tabs>
          <w:tab w:val="num" w:pos="1440"/>
          <w:tab w:val="num" w:pos="2880"/>
        </w:tabs>
        <w:ind w:left="0"/>
      </w:pPr>
      <w:r>
        <w:t xml:space="preserve">On June 10, 2014, TXOX filed applications to modify the licenses for </w:t>
      </w:r>
      <w:r w:rsidR="00011743">
        <w:t xml:space="preserve">Stations WQJL811, </w:t>
      </w:r>
      <w:r w:rsidR="00011743">
        <w:rPr>
          <w:spacing w:val="-2"/>
        </w:rPr>
        <w:t>WQJY924 and WQJY925 to authorize operation at the Executive Building site</w:t>
      </w:r>
      <w:r>
        <w:t>.</w:t>
      </w:r>
      <w:r>
        <w:rPr>
          <w:rStyle w:val="FootnoteReference"/>
        </w:rPr>
        <w:footnoteReference w:id="42"/>
      </w:r>
      <w:r>
        <w:t xml:space="preserve">  On June 25, 2014, Micronet, on </w:t>
      </w:r>
      <w:r w:rsidR="003A47C5">
        <w:t>Digis’</w:t>
      </w:r>
      <w:r>
        <w:t xml:space="preserve"> behalf, filed a </w:t>
      </w:r>
      <w:r w:rsidR="00011743">
        <w:t>p</w:t>
      </w:r>
      <w:r>
        <w:t xml:space="preserve">etition to </w:t>
      </w:r>
      <w:r w:rsidR="00011743">
        <w:t>d</w:t>
      </w:r>
      <w:r>
        <w:t xml:space="preserve">eny the aforementioned applications, arguing that the paths were not properly coordinated in violation of </w:t>
      </w:r>
      <w:r w:rsidR="00B17D6F">
        <w:t>S</w:t>
      </w:r>
      <w:r>
        <w:t>ection 101.103(d) of the Commission’s rules.</w:t>
      </w:r>
      <w:r>
        <w:rPr>
          <w:rStyle w:val="FootnoteReference"/>
        </w:rPr>
        <w:footnoteReference w:id="43"/>
      </w:r>
      <w:r>
        <w:t xml:space="preserve">  Micronet disputes TXOX’s claim in its application that there were no unresolved interference issues.</w:t>
      </w:r>
      <w:r>
        <w:rPr>
          <w:rStyle w:val="FootnoteReference"/>
        </w:rPr>
        <w:footnoteReference w:id="44"/>
      </w:r>
    </w:p>
    <w:p w14:paraId="1E12D7CE" w14:textId="36DE3E68" w:rsidR="00F770EB" w:rsidRPr="00F770EB" w:rsidRDefault="00972537" w:rsidP="007972FB">
      <w:pPr>
        <w:pStyle w:val="ParaNum"/>
        <w:tabs>
          <w:tab w:val="num" w:pos="1440"/>
          <w:tab w:val="num" w:pos="2880"/>
        </w:tabs>
        <w:ind w:left="0"/>
      </w:pPr>
      <w:r>
        <w:t xml:space="preserve">On August 6, 2014, the </w:t>
      </w:r>
      <w:r w:rsidR="00011743">
        <w:t xml:space="preserve">Bureau’s </w:t>
      </w:r>
      <w:r>
        <w:t xml:space="preserve">Broadband Division </w:t>
      </w:r>
      <w:r w:rsidR="00945227">
        <w:t xml:space="preserve">(Division) </w:t>
      </w:r>
      <w:r w:rsidR="00011743">
        <w:t xml:space="preserve">sent </w:t>
      </w:r>
      <w:r>
        <w:t>a letter to TXOX inquiring about the operational status of station WQJF81</w:t>
      </w:r>
      <w:r w:rsidR="00011743">
        <w:t>1</w:t>
      </w:r>
      <w:r w:rsidR="00945227">
        <w:t>.</w:t>
      </w:r>
      <w:r w:rsidR="00097BCA">
        <w:rPr>
          <w:rStyle w:val="FootnoteReference"/>
        </w:rPr>
        <w:footnoteReference w:id="45"/>
      </w:r>
      <w:r w:rsidR="00945227">
        <w:t xml:space="preserve">  The Division</w:t>
      </w:r>
      <w:r>
        <w:t xml:space="preserve"> request</w:t>
      </w:r>
      <w:r w:rsidR="00945227">
        <w:t>ed</w:t>
      </w:r>
      <w:r>
        <w:t xml:space="preserve"> that TXOX respond to the allegations made by Digis that the station is inoperable and provide documentation on the operational status of WQJF811.</w:t>
      </w:r>
      <w:r>
        <w:rPr>
          <w:rStyle w:val="FootnoteReference"/>
        </w:rPr>
        <w:footnoteReference w:id="46"/>
      </w:r>
      <w:r>
        <w:t xml:space="preserve">  </w:t>
      </w:r>
      <w:r w:rsidRPr="00154F4D">
        <w:t xml:space="preserve">In its September 10, 2014 </w:t>
      </w:r>
      <w:r>
        <w:t>response</w:t>
      </w:r>
      <w:r w:rsidRPr="00154F4D">
        <w:t>, TXOX</w:t>
      </w:r>
      <w:r>
        <w:t>’s President, Mr. Clark,</w:t>
      </w:r>
      <w:r w:rsidRPr="00154F4D">
        <w:t xml:space="preserve"> </w:t>
      </w:r>
      <w:r>
        <w:t>accused Micronet and Digis of unethical conduct in forcing TXOX off of the Commerce Building rooftop.</w:t>
      </w:r>
      <w:r>
        <w:rPr>
          <w:rStyle w:val="FootnoteReference"/>
        </w:rPr>
        <w:footnoteReference w:id="47"/>
      </w:r>
      <w:r w:rsidR="00D948FB">
        <w:t xml:space="preserve">  </w:t>
      </w:r>
      <w:r>
        <w:t>Mr. Clark alleged</w:t>
      </w:r>
      <w:r w:rsidRPr="008D5608">
        <w:t xml:space="preserve"> that Micronet was the frequency coordinator for both TXOX and Digis</w:t>
      </w:r>
      <w:r>
        <w:t xml:space="preserve"> at the time TXOX’s and </w:t>
      </w:r>
      <w:r w:rsidR="003A47C5">
        <w:t>Digis’</w:t>
      </w:r>
      <w:r>
        <w:t xml:space="preserve"> leases expired, </w:t>
      </w:r>
      <w:r w:rsidRPr="008D5608">
        <w:t xml:space="preserve">yet Micronet only protected the interests of Digis, by surreptitiously facilitating an exclusive agreement that allowed Digis to stay at the Commerce </w:t>
      </w:r>
      <w:r>
        <w:t>B</w:t>
      </w:r>
      <w:r w:rsidRPr="008D5608">
        <w:t>uilding while forcing TXOX to find a new location for its equipment.</w:t>
      </w:r>
      <w:r>
        <w:rPr>
          <w:rStyle w:val="FootnoteReference"/>
        </w:rPr>
        <w:footnoteReference w:id="48"/>
      </w:r>
      <w:r>
        <w:t xml:space="preserve">  </w:t>
      </w:r>
      <w:r w:rsidRPr="00A04F4D">
        <w:t>Upon learning of the “huge conflict of interest,” Mr. Clark says TXOX fired Micronet as its frequency coordinator.</w:t>
      </w:r>
      <w:r>
        <w:rPr>
          <w:rStyle w:val="FootnoteReference"/>
        </w:rPr>
        <w:footnoteReference w:id="49"/>
      </w:r>
      <w:r>
        <w:t xml:space="preserve">  TXOX </w:t>
      </w:r>
      <w:r w:rsidRPr="00154F4D">
        <w:t xml:space="preserve">asks the Commission to </w:t>
      </w:r>
      <w:r>
        <w:t xml:space="preserve">impose penalties </w:t>
      </w:r>
      <w:r w:rsidRPr="00154F4D">
        <w:t>against Digis and Micronet for their conduct.</w:t>
      </w:r>
      <w:r>
        <w:rPr>
          <w:rStyle w:val="FootnoteReference"/>
        </w:rPr>
        <w:footnoteReference w:id="50"/>
      </w:r>
      <w:r w:rsidR="007972FB">
        <w:t xml:space="preserve">  </w:t>
      </w:r>
      <w:r w:rsidR="00084FB8" w:rsidRPr="00154F4D">
        <w:t>Digis</w:t>
      </w:r>
      <w:r w:rsidR="00084FB8">
        <w:t xml:space="preserve"> denie</w:t>
      </w:r>
      <w:r w:rsidR="007972FB">
        <w:t>s</w:t>
      </w:r>
      <w:r w:rsidR="00084FB8">
        <w:t xml:space="preserve"> Mr. Clark’s “conspiracy theory” and state</w:t>
      </w:r>
      <w:r w:rsidR="007972FB">
        <w:t>s</w:t>
      </w:r>
      <w:r w:rsidR="00084FB8">
        <w:t xml:space="preserve"> t</w:t>
      </w:r>
      <w:r w:rsidR="00084FB8" w:rsidRPr="00154F4D">
        <w:t xml:space="preserve">hat TXOX moved </w:t>
      </w:r>
      <w:r w:rsidR="00084FB8">
        <w:t xml:space="preserve">its equipment </w:t>
      </w:r>
      <w:r w:rsidR="00084FB8" w:rsidRPr="00154F4D">
        <w:t xml:space="preserve">voluntarily because it did not want to pay the increased lease </w:t>
      </w:r>
      <w:r w:rsidR="007972FB">
        <w:t xml:space="preserve">rent </w:t>
      </w:r>
      <w:r w:rsidR="00084FB8">
        <w:t>for the Commerce Building rooftop</w:t>
      </w:r>
      <w:r w:rsidR="00084FB8" w:rsidRPr="00154F4D">
        <w:t>.</w:t>
      </w:r>
      <w:r w:rsidR="00084FB8">
        <w:rPr>
          <w:rStyle w:val="FootnoteReference"/>
        </w:rPr>
        <w:footnoteReference w:id="51"/>
      </w:r>
    </w:p>
    <w:p w14:paraId="3A0DC0CB" w14:textId="77777777" w:rsidR="00B11617" w:rsidRDefault="00B11617" w:rsidP="009E1DDF">
      <w:pPr>
        <w:pStyle w:val="Heading1"/>
        <w:spacing w:before="240" w:after="240"/>
      </w:pPr>
      <w:r>
        <w:t>DISCUSSION</w:t>
      </w:r>
    </w:p>
    <w:p w14:paraId="0B00FF89" w14:textId="612D96DF" w:rsidR="00826EAD" w:rsidRPr="009E1DDF" w:rsidRDefault="005E0E41" w:rsidP="009E1DDF">
      <w:pPr>
        <w:pStyle w:val="ParaNum"/>
        <w:tabs>
          <w:tab w:val="num" w:pos="1440"/>
          <w:tab w:val="num" w:pos="2880"/>
        </w:tabs>
        <w:ind w:left="0"/>
        <w:rPr>
          <w:snapToGrid/>
          <w:kern w:val="0"/>
        </w:rPr>
      </w:pPr>
      <w:r w:rsidRPr="005E0E41">
        <w:t xml:space="preserve">While </w:t>
      </w:r>
      <w:r w:rsidR="00A90F34" w:rsidRPr="005E0E41">
        <w:t>TXOX’s and Digis’ pleadings raise</w:t>
      </w:r>
      <w:r>
        <w:t xml:space="preserve"> </w:t>
      </w:r>
      <w:r w:rsidR="00376639">
        <w:t xml:space="preserve">a series of </w:t>
      </w:r>
      <w:r>
        <w:t>issues, t</w:t>
      </w:r>
      <w:r w:rsidR="00D9431F">
        <w:t xml:space="preserve">he </w:t>
      </w:r>
      <w:r w:rsidR="00376639">
        <w:t xml:space="preserve">dispositive issue </w:t>
      </w:r>
      <w:r w:rsidR="00D9431F">
        <w:t xml:space="preserve">is </w:t>
      </w:r>
      <w:r w:rsidR="00376639">
        <w:t xml:space="preserve">the validity </w:t>
      </w:r>
      <w:r w:rsidR="00D9431F">
        <w:t xml:space="preserve">of TXOX’s </w:t>
      </w:r>
      <w:r w:rsidR="00376639">
        <w:t>license for S</w:t>
      </w:r>
      <w:r w:rsidR="00D9431F">
        <w:t xml:space="preserve">tation WQJF811.  </w:t>
      </w:r>
      <w:r w:rsidR="00C77DD0">
        <w:t>Section 101.65(a) of the Commission’s rules states:</w:t>
      </w:r>
      <w:r w:rsidR="00D60B69">
        <w:rPr>
          <w:rStyle w:val="FootnoteReference"/>
        </w:rPr>
        <w:footnoteReference w:id="52"/>
      </w:r>
      <w:r w:rsidR="00C77DD0">
        <w:t xml:space="preserve"> </w:t>
      </w:r>
    </w:p>
    <w:p w14:paraId="74145DB6" w14:textId="6C32CECB" w:rsidR="00C77DD0" w:rsidRPr="009E1DDF" w:rsidRDefault="00C77DD0" w:rsidP="009E1DDF">
      <w:pPr>
        <w:pStyle w:val="ParaNum"/>
        <w:numPr>
          <w:ilvl w:val="0"/>
          <w:numId w:val="0"/>
        </w:numPr>
        <w:ind w:left="720" w:right="720"/>
        <w:rPr>
          <w:snapToGrid/>
          <w:kern w:val="0"/>
        </w:rPr>
      </w:pPr>
      <w:r w:rsidRPr="009E1DDF">
        <w:rPr>
          <w:snapToGrid/>
          <w:kern w:val="0"/>
        </w:rPr>
        <w:t>In addition to the provisions of § 1.955 of this chapter, a license will be automatically forfeited in whole or in part without further notice to the licensee upon the voluntary removal or alternation of the facilities, so as to render the station not operational for a period of 30 days or more.</w:t>
      </w:r>
    </w:p>
    <w:p w14:paraId="10730B76" w14:textId="290453E4" w:rsidR="00C77DD0" w:rsidRDefault="00376639" w:rsidP="009E1DDF">
      <w:pPr>
        <w:pStyle w:val="ParaNum"/>
        <w:tabs>
          <w:tab w:val="num" w:pos="1440"/>
          <w:tab w:val="num" w:pos="2880"/>
        </w:tabs>
        <w:ind w:left="0"/>
      </w:pPr>
      <w:r>
        <w:t>O</w:t>
      </w:r>
      <w:r w:rsidR="005C246E">
        <w:t>n May 3, 2013</w:t>
      </w:r>
      <w:r w:rsidR="003C7499">
        <w:t>,</w:t>
      </w:r>
      <w:r w:rsidR="005C246E">
        <w:t xml:space="preserve"> TXOX moved its “licensed links and the sleds they were attached to across the parkin</w:t>
      </w:r>
      <w:r w:rsidR="00D9431F">
        <w:t>g lot to the Executive building,” approximately 500 feet from the licensed location.</w:t>
      </w:r>
      <w:r w:rsidR="00D60B69">
        <w:rPr>
          <w:rStyle w:val="FootnoteReference"/>
        </w:rPr>
        <w:footnoteReference w:id="53"/>
      </w:r>
      <w:r w:rsidR="00D9431F">
        <w:t xml:space="preserve">  </w:t>
      </w:r>
      <w:r w:rsidR="005C246E">
        <w:t>TXOX</w:t>
      </w:r>
      <w:r w:rsidR="00D9431F">
        <w:t xml:space="preserve"> states that its</w:t>
      </w:r>
      <w:r w:rsidR="005C246E">
        <w:t xml:space="preserve"> licensed links were only out of operation for approximately four hours, and have been in “constant operation” since, “in compliance with FCC rules.”</w:t>
      </w:r>
      <w:r w:rsidR="00D60B69">
        <w:rPr>
          <w:rStyle w:val="FootnoteReference"/>
        </w:rPr>
        <w:footnoteReference w:id="54"/>
      </w:r>
      <w:r w:rsidR="005C246E">
        <w:t xml:space="preserve">   </w:t>
      </w:r>
    </w:p>
    <w:p w14:paraId="14924FF8" w14:textId="0287D28E" w:rsidR="005C246E" w:rsidRDefault="00D14BF8" w:rsidP="009E1DDF">
      <w:pPr>
        <w:pStyle w:val="ParaNum"/>
        <w:tabs>
          <w:tab w:val="num" w:pos="1440"/>
          <w:tab w:val="num" w:pos="2880"/>
        </w:tabs>
        <w:ind w:left="0"/>
      </w:pPr>
      <w:r>
        <w:t>W</w:t>
      </w:r>
      <w:r w:rsidR="00D9431F">
        <w:t>e find</w:t>
      </w:r>
      <w:r>
        <w:t>, in accordance with Section 101.65(a) of the Commission’s rules,</w:t>
      </w:r>
      <w:r w:rsidR="00C618A8">
        <w:rPr>
          <w:rStyle w:val="FootnoteReference"/>
        </w:rPr>
        <w:footnoteReference w:id="55"/>
      </w:r>
      <w:r>
        <w:t xml:space="preserve"> that</w:t>
      </w:r>
      <w:r w:rsidR="00D9431F">
        <w:t xml:space="preserve"> TXOX</w:t>
      </w:r>
      <w:r w:rsidR="008778F0">
        <w:t>’s</w:t>
      </w:r>
      <w:r w:rsidR="00D9431F">
        <w:t xml:space="preserve"> </w:t>
      </w:r>
      <w:r w:rsidR="00F30E15">
        <w:t>license</w:t>
      </w:r>
      <w:r w:rsidR="00D9431F">
        <w:t xml:space="preserve"> </w:t>
      </w:r>
      <w:r w:rsidR="008778F0">
        <w:t xml:space="preserve">for Station WQJL811 automatically terminated because it </w:t>
      </w:r>
      <w:r w:rsidR="00D9431F">
        <w:t>voluntarily mov</w:t>
      </w:r>
      <w:r w:rsidR="008778F0">
        <w:t>ed</w:t>
      </w:r>
      <w:r w:rsidR="00D9431F">
        <w:t xml:space="preserve"> its equipment from its licensed location.   </w:t>
      </w:r>
      <w:r w:rsidR="00376639">
        <w:t>By the Commission’s calculation, the difference between station WQJF811’s  licensed location and the location requested in TXOX’s modification application is 0.3 seconds in Latitude and 5.8 seconds in longitude, or .084 miles (443 feet).</w:t>
      </w:r>
      <w:r w:rsidR="00376639">
        <w:rPr>
          <w:rStyle w:val="FootnoteReference"/>
        </w:rPr>
        <w:footnoteReference w:id="56"/>
      </w:r>
      <w:r w:rsidR="00376639">
        <w:t xml:space="preserve">  </w:t>
      </w:r>
      <w:r w:rsidR="00376639" w:rsidRPr="00A81134">
        <w:t>According to the Commission’s rules for microwave services, only a change from the authorized coordinates of less than five seconds of latitude or longitude is considered a minor change</w:t>
      </w:r>
      <w:r w:rsidR="008778F0">
        <w:t xml:space="preserve"> which can be made without prior Commission approval</w:t>
      </w:r>
      <w:r w:rsidR="00376639" w:rsidRPr="00A81134">
        <w:t>.</w:t>
      </w:r>
      <w:r w:rsidR="00376639">
        <w:rPr>
          <w:rStyle w:val="FootnoteReference"/>
        </w:rPr>
        <w:footnoteReference w:id="57"/>
      </w:r>
      <w:r w:rsidR="00376639">
        <w:t xml:space="preserve">  T</w:t>
      </w:r>
      <w:r w:rsidR="00376639" w:rsidRPr="00A81134">
        <w:t xml:space="preserve">o be in compliance with the Commission’s rules, TXOX should have filed its application for a major modification </w:t>
      </w:r>
      <w:r w:rsidR="008778F0">
        <w:t xml:space="preserve">of its license </w:t>
      </w:r>
      <w:r w:rsidR="00376639" w:rsidRPr="00A81134">
        <w:t>prior to moving its facilities on May 3, 2013.</w:t>
      </w:r>
      <w:r w:rsidR="00376639">
        <w:t xml:space="preserve"> </w:t>
      </w:r>
      <w:r w:rsidR="00376639" w:rsidRPr="005E0E41">
        <w:t>We therefore</w:t>
      </w:r>
      <w:r w:rsidR="008778F0">
        <w:t xml:space="preserve"> must conclude that </w:t>
      </w:r>
      <w:r w:rsidR="00376639">
        <w:t xml:space="preserve">TXOX’s license for </w:t>
      </w:r>
      <w:r w:rsidR="008778F0">
        <w:t>S</w:t>
      </w:r>
      <w:r w:rsidR="00376639">
        <w:t>tation</w:t>
      </w:r>
      <w:r w:rsidR="00376639" w:rsidRPr="005E0E41">
        <w:t xml:space="preserve"> WQJF811</w:t>
      </w:r>
      <w:r w:rsidR="008778F0">
        <w:t xml:space="preserve"> automatically terminated on June 3, 2013, which is the first business day after thirty days after TXOX removed the </w:t>
      </w:r>
      <w:r w:rsidR="00F8076F">
        <w:t>equipment from the Commerce Building</w:t>
      </w:r>
      <w:r w:rsidR="00376639">
        <w:t>.</w:t>
      </w:r>
    </w:p>
    <w:p w14:paraId="2FA543DD" w14:textId="497A54C6" w:rsidR="00F8076F" w:rsidRDefault="00F8076F" w:rsidP="009E1DDF">
      <w:pPr>
        <w:pStyle w:val="ParaNum"/>
        <w:tabs>
          <w:tab w:val="num" w:pos="1440"/>
          <w:tab w:val="num" w:pos="2880"/>
        </w:tabs>
        <w:ind w:left="0"/>
      </w:pPr>
      <w:r>
        <w:t xml:space="preserve">We emphasize that </w:t>
      </w:r>
      <w:r w:rsidR="008A70C1">
        <w:t xml:space="preserve">this result is legally required regardless of whether TXOX’s or Digis’ version of the facts is accurate.  Under Commission precedent, </w:t>
      </w:r>
      <w:r w:rsidR="007E2D9C">
        <w:t>the non-renewal of a lease is not an involuntary action.</w:t>
      </w:r>
      <w:r w:rsidR="007E2D9C">
        <w:rPr>
          <w:rStyle w:val="FootnoteReference"/>
        </w:rPr>
        <w:footnoteReference w:id="58"/>
      </w:r>
      <w:r w:rsidR="00E3566E">
        <w:t xml:space="preserve">  Accordingly, even if it was the owner of the Commerce Building who required TXOX to remove its equipment, TXOX’s move would be considered voluntary.  Furthermore, even if TXOX received erroneous advice from Micronet</w:t>
      </w:r>
      <w:r w:rsidR="00F0314D">
        <w:t>, an applicant is responsible for and bound by the actions of its agents.</w:t>
      </w:r>
      <w:r w:rsidR="00F0314D">
        <w:rPr>
          <w:rStyle w:val="FootnoteReference"/>
        </w:rPr>
        <w:footnoteReference w:id="59"/>
      </w:r>
      <w:r w:rsidR="00F0314D">
        <w:t xml:space="preserve">  We do not make any finding as to whether TXOX or Digis have accurately set forth the circumstances under which TXOX moved its equipment off the Commerce Building.  Furthermore, our action today is without prejudice to any </w:t>
      </w:r>
      <w:r w:rsidR="00E81876">
        <w:t xml:space="preserve">civil </w:t>
      </w:r>
      <w:r w:rsidR="00F0314D">
        <w:t>legal remedy which TXOX or another party believes it may have as a result</w:t>
      </w:r>
      <w:r w:rsidR="00BE47E4">
        <w:t xml:space="preserve"> of these facts.</w:t>
      </w:r>
    </w:p>
    <w:p w14:paraId="5FD169C3" w14:textId="384327E0" w:rsidR="00B76EF2" w:rsidRDefault="00F90E24" w:rsidP="009E1DDF">
      <w:pPr>
        <w:pStyle w:val="ParaNum"/>
        <w:tabs>
          <w:tab w:val="num" w:pos="1440"/>
          <w:tab w:val="num" w:pos="2880"/>
        </w:tabs>
        <w:ind w:left="0"/>
      </w:pPr>
      <w:r>
        <w:t>TXOX argues that as soon as it became aware that it would need to re-coordinate all of its licensed links following the move of its transmitter</w:t>
      </w:r>
      <w:r w:rsidR="001A2DD2">
        <w:t>, TXOX filed with the Commission to “correct all of [its] licensed links that had been moved from the Commerce building to the Executive building.”</w:t>
      </w:r>
      <w:r w:rsidR="009778E1">
        <w:rPr>
          <w:rStyle w:val="FootnoteReference"/>
        </w:rPr>
        <w:footnoteReference w:id="60"/>
      </w:r>
      <w:r w:rsidR="001A2DD2">
        <w:t xml:space="preserve">  Although TXOX moved its facilities on May 3, 2013,</w:t>
      </w:r>
      <w:r w:rsidR="009778E1">
        <w:rPr>
          <w:rStyle w:val="FootnoteReference"/>
        </w:rPr>
        <w:footnoteReference w:id="61"/>
      </w:r>
      <w:r w:rsidR="001A2DD2">
        <w:t xml:space="preserve"> TXOX did not file its modification application</w:t>
      </w:r>
      <w:r w:rsidR="00D21E0E">
        <w:t xml:space="preserve"> </w:t>
      </w:r>
      <w:r w:rsidR="008E316C">
        <w:t xml:space="preserve">with the Commission </w:t>
      </w:r>
      <w:r w:rsidR="00D21E0E">
        <w:t xml:space="preserve">for </w:t>
      </w:r>
      <w:r w:rsidR="00BE47E4">
        <w:t>S</w:t>
      </w:r>
      <w:r w:rsidR="00D21E0E">
        <w:t>tation WQJF811</w:t>
      </w:r>
      <w:r w:rsidR="008E316C">
        <w:t xml:space="preserve"> </w:t>
      </w:r>
      <w:r w:rsidR="001A2DD2">
        <w:t>until June</w:t>
      </w:r>
      <w:r w:rsidR="00826EAD">
        <w:t xml:space="preserve"> 10, 2014.</w:t>
      </w:r>
      <w:r w:rsidR="009778E1">
        <w:rPr>
          <w:rStyle w:val="FootnoteReference"/>
        </w:rPr>
        <w:footnoteReference w:id="62"/>
      </w:r>
      <w:r w:rsidR="00826EAD">
        <w:t xml:space="preserve">  By the time TXOX filed its application for modification, </w:t>
      </w:r>
      <w:r w:rsidR="00B70F09">
        <w:t>its license had automatically</w:t>
      </w:r>
      <w:r w:rsidR="00E3566E">
        <w:t xml:space="preserve"> cancelled</w:t>
      </w:r>
      <w:r w:rsidR="00B70F09">
        <w:t>, in accordance with Section 101.65(a) of the Commission’</w:t>
      </w:r>
      <w:r w:rsidR="00A81134">
        <w:t>s rules.</w:t>
      </w:r>
      <w:r w:rsidR="009778E1">
        <w:rPr>
          <w:rStyle w:val="FootnoteReference"/>
        </w:rPr>
        <w:footnoteReference w:id="63"/>
      </w:r>
      <w:r w:rsidR="00A81134">
        <w:t xml:space="preserve">  </w:t>
      </w:r>
    </w:p>
    <w:p w14:paraId="5F7DD46D" w14:textId="0F4606A6" w:rsidR="00F90E24" w:rsidRDefault="00864B27" w:rsidP="009E1DDF">
      <w:pPr>
        <w:pStyle w:val="ParaNum"/>
        <w:tabs>
          <w:tab w:val="num" w:pos="1440"/>
          <w:tab w:val="num" w:pos="2880"/>
        </w:tabs>
        <w:ind w:left="0"/>
      </w:pPr>
      <w:r>
        <w:t xml:space="preserve">Because the license for Station WQJL811 automatically cancelled as of </w:t>
      </w:r>
      <w:r w:rsidR="006164EE">
        <w:t>June 3</w:t>
      </w:r>
      <w:r>
        <w:t>, 2013, we must dismiss the application to modify that license.</w:t>
      </w:r>
      <w:r w:rsidR="00646B7C">
        <w:rPr>
          <w:rStyle w:val="FootnoteReference"/>
        </w:rPr>
        <w:footnoteReference w:id="64"/>
      </w:r>
      <w:r>
        <w:t xml:space="preserve">  We will also dismiss </w:t>
      </w:r>
      <w:r w:rsidR="00257985">
        <w:t xml:space="preserve">the </w:t>
      </w:r>
      <w:r w:rsidR="00646B7C">
        <w:t xml:space="preserve">applications to modify Stations </w:t>
      </w:r>
      <w:r w:rsidR="00646B7C">
        <w:rPr>
          <w:spacing w:val="-2"/>
        </w:rPr>
        <w:t xml:space="preserve">WQJY924 and WQJY925 because </w:t>
      </w:r>
      <w:r w:rsidR="0051266A">
        <w:rPr>
          <w:spacing w:val="-2"/>
        </w:rPr>
        <w:t>the</w:t>
      </w:r>
      <w:r w:rsidR="00E66DB8">
        <w:rPr>
          <w:spacing w:val="-2"/>
        </w:rPr>
        <w:t>re is an unresolved interference conflict</w:t>
      </w:r>
      <w:r w:rsidR="00E81876">
        <w:rPr>
          <w:spacing w:val="-2"/>
        </w:rPr>
        <w:t xml:space="preserve"> with </w:t>
      </w:r>
      <w:r w:rsidR="0051266A">
        <w:rPr>
          <w:spacing w:val="-2"/>
        </w:rPr>
        <w:t>earlier-coordinated and earlier-filed applications.</w:t>
      </w:r>
      <w:r w:rsidR="00F862F0">
        <w:rPr>
          <w:rStyle w:val="FootnoteReference"/>
          <w:spacing w:val="-2"/>
        </w:rPr>
        <w:footnoteReference w:id="65"/>
      </w:r>
      <w:r w:rsidR="00F862F0">
        <w:rPr>
          <w:spacing w:val="-2"/>
        </w:rPr>
        <w:t xml:space="preserve"> </w:t>
      </w:r>
      <w:r w:rsidR="0051266A">
        <w:rPr>
          <w:spacing w:val="-2"/>
        </w:rPr>
        <w:t xml:space="preserve"> While POFS applications are not subject to petitions to deny,</w:t>
      </w:r>
      <w:r w:rsidR="0051266A">
        <w:rPr>
          <w:rStyle w:val="FootnoteReference"/>
          <w:spacing w:val="-2"/>
        </w:rPr>
        <w:footnoteReference w:id="66"/>
      </w:r>
      <w:r w:rsidR="0051266A">
        <w:rPr>
          <w:spacing w:val="-2"/>
        </w:rPr>
        <w:t xml:space="preserve"> </w:t>
      </w:r>
      <w:r w:rsidR="006B7759">
        <w:rPr>
          <w:spacing w:val="-2"/>
        </w:rPr>
        <w:t>and we must therefore dismiss the Micronet pleading as a petition to deny, we will treat the pleading as an informal objection pursuant to Section 1.41 of the Commission’s rules,</w:t>
      </w:r>
      <w:r w:rsidR="006B7759">
        <w:rPr>
          <w:rStyle w:val="FootnoteReference"/>
          <w:spacing w:val="-2"/>
        </w:rPr>
        <w:footnoteReference w:id="67"/>
      </w:r>
      <w:r w:rsidR="006B7759">
        <w:rPr>
          <w:spacing w:val="-2"/>
        </w:rPr>
        <w:t xml:space="preserve"> and grant the informal objection.</w:t>
      </w:r>
    </w:p>
    <w:p w14:paraId="168DE22A" w14:textId="7CE35501" w:rsidR="005E0E41" w:rsidRDefault="0051266A" w:rsidP="009E1DDF">
      <w:pPr>
        <w:pStyle w:val="ParaNum"/>
        <w:tabs>
          <w:tab w:val="num" w:pos="1440"/>
          <w:tab w:val="num" w:pos="2880"/>
        </w:tabs>
        <w:ind w:left="0"/>
      </w:pPr>
      <w:r>
        <w:t>We also</w:t>
      </w:r>
      <w:r w:rsidR="006B7759">
        <w:t xml:space="preserve"> conclude that </w:t>
      </w:r>
      <w:r w:rsidR="003A47C5">
        <w:t>Digis’</w:t>
      </w:r>
      <w:r w:rsidR="00084FB8">
        <w:t xml:space="preserve"> applications to modify its </w:t>
      </w:r>
      <w:r w:rsidR="0098410D">
        <w:t xml:space="preserve">Common Carrier </w:t>
      </w:r>
      <w:r w:rsidR="00084FB8">
        <w:t xml:space="preserve">licenses for </w:t>
      </w:r>
      <w:r w:rsidR="0098410D">
        <w:t>S</w:t>
      </w:r>
      <w:r w:rsidR="00084FB8">
        <w:t>tations WQJL990 and WQJL989</w:t>
      </w:r>
      <w:r w:rsidR="0098410D">
        <w:t xml:space="preserve"> were properly coordinated and filed</w:t>
      </w:r>
      <w:r w:rsidR="00084FB8">
        <w:t xml:space="preserve">.  </w:t>
      </w:r>
      <w:r w:rsidR="0098410D">
        <w:t>Because TXOX’s license for Station WQJL811 automatically cancelled in June 2013, Digis was not required to take that license into account in coordinating the modifications to its stations.  We therefore deny TXOX’s petition to deny and direct processing of Digis’ applications</w:t>
      </w:r>
      <w:r w:rsidR="009C2027">
        <w:t>.</w:t>
      </w:r>
    </w:p>
    <w:p w14:paraId="01AF2294" w14:textId="77777777" w:rsidR="00A32517" w:rsidRDefault="00A32517" w:rsidP="009E1DDF">
      <w:pPr>
        <w:pStyle w:val="Heading1"/>
        <w:spacing w:before="240" w:after="240"/>
      </w:pPr>
      <w:r>
        <w:t>CONCLUSION AND ORDERING CLAUSES</w:t>
      </w:r>
    </w:p>
    <w:p w14:paraId="7BDC6F0D" w14:textId="7E971EDF" w:rsidR="00247482" w:rsidRDefault="001D6626" w:rsidP="009E1DDF">
      <w:pPr>
        <w:pStyle w:val="ParaNum"/>
        <w:tabs>
          <w:tab w:val="num" w:pos="1440"/>
          <w:tab w:val="num" w:pos="2880"/>
        </w:tabs>
        <w:ind w:left="0"/>
      </w:pPr>
      <w:r>
        <w:t>In accordance with Section 101.65(a) of the Commission’s rules, TXOX</w:t>
      </w:r>
      <w:r w:rsidR="0098410D">
        <w:t xml:space="preserve">’s license </w:t>
      </w:r>
      <w:r>
        <w:t xml:space="preserve">for </w:t>
      </w:r>
      <w:r w:rsidR="0098410D">
        <w:t>S</w:t>
      </w:r>
      <w:r>
        <w:t xml:space="preserve">tation WQJF811 </w:t>
      </w:r>
      <w:r w:rsidR="0098410D">
        <w:t xml:space="preserve">automatically cancelled on </w:t>
      </w:r>
      <w:r w:rsidR="006164EE">
        <w:t>June 3</w:t>
      </w:r>
      <w:r w:rsidR="0098410D">
        <w:t xml:space="preserve">, 2013 because TXOX </w:t>
      </w:r>
      <w:r>
        <w:t>voluntarily mov</w:t>
      </w:r>
      <w:r w:rsidR="0098410D">
        <w:t>ed</w:t>
      </w:r>
      <w:r>
        <w:t xml:space="preserve"> its equipment from its licensed location.</w:t>
      </w:r>
      <w:r w:rsidR="00247482">
        <w:t xml:space="preserve">  T</w:t>
      </w:r>
      <w:r w:rsidR="00247482" w:rsidRPr="005E0E41">
        <w:t xml:space="preserve">herefore, </w:t>
      </w:r>
      <w:r w:rsidR="00247482">
        <w:t xml:space="preserve">we </w:t>
      </w:r>
      <w:r w:rsidR="00247482" w:rsidRPr="005E0E41">
        <w:t xml:space="preserve">direct </w:t>
      </w:r>
      <w:r w:rsidR="0098410D">
        <w:t>that the Universal Licensing System be updated to reflect that fact</w:t>
      </w:r>
      <w:r w:rsidR="00247482">
        <w:t xml:space="preserve">.  We </w:t>
      </w:r>
      <w:r w:rsidR="0098410D">
        <w:t xml:space="preserve">treat </w:t>
      </w:r>
      <w:r w:rsidR="003A47C5">
        <w:t>Digis’</w:t>
      </w:r>
      <w:r w:rsidR="00247482">
        <w:t xml:space="preserve"> Petition to Deny </w:t>
      </w:r>
      <w:r w:rsidR="0098410D">
        <w:t xml:space="preserve">as an informal objection, grant the informal objection, </w:t>
      </w:r>
      <w:r w:rsidR="00247482">
        <w:t xml:space="preserve">and dismiss TXOX’s applications to modify the licenses for stations WQJF811, WQJY924 and </w:t>
      </w:r>
      <w:r w:rsidR="00247482" w:rsidRPr="005E0E41">
        <w:t>WQJY925</w:t>
      </w:r>
      <w:r w:rsidR="00247482">
        <w:t>.</w:t>
      </w:r>
      <w:r w:rsidR="0098410D">
        <w:t xml:space="preserve">  We</w:t>
      </w:r>
      <w:r w:rsidR="00247482">
        <w:t xml:space="preserve"> also </w:t>
      </w:r>
      <w:r w:rsidR="0098410D">
        <w:t xml:space="preserve">deny Comsearch’s </w:t>
      </w:r>
      <w:r w:rsidR="00247482">
        <w:t xml:space="preserve">Petition to Deny </w:t>
      </w:r>
      <w:r w:rsidR="003A47C5">
        <w:t>Digis’</w:t>
      </w:r>
      <w:r w:rsidR="00247482">
        <w:t xml:space="preserve"> applications </w:t>
      </w:r>
      <w:r w:rsidR="0098410D">
        <w:t xml:space="preserve">because Digis was not required to take into account the former license for Station WQJL811 and direct processing of the applications </w:t>
      </w:r>
      <w:r w:rsidR="00247482">
        <w:t xml:space="preserve">to modify </w:t>
      </w:r>
      <w:r w:rsidR="0098410D">
        <w:t>the licenses for S</w:t>
      </w:r>
      <w:r w:rsidR="00247482">
        <w:t xml:space="preserve">tations WQJL990 and WQJL989. </w:t>
      </w:r>
    </w:p>
    <w:p w14:paraId="2A375CA8" w14:textId="332564D2" w:rsidR="00B37AD7" w:rsidRDefault="00744CD8" w:rsidP="00B37AD7">
      <w:pPr>
        <w:pStyle w:val="ParaNum"/>
        <w:tabs>
          <w:tab w:val="num" w:pos="1440"/>
          <w:tab w:val="num" w:pos="2880"/>
        </w:tabs>
        <w:ind w:left="0"/>
      </w:pPr>
      <w:r>
        <w:t xml:space="preserve">Accordingly, IT IS ORDERED </w:t>
      </w:r>
      <w:r w:rsidR="00B37AD7">
        <w:t xml:space="preserve">that pursuant to Sections 4(i) and 309 of the Communications Act of 1934, as amended, 47 U.S.C. §§ 154(i), 309, and Section 1.955(a)(3) and 101.65(a) of the Commission's rules, 47 C.F.R. §§ 1.955(a)(3), 101.65(a), that that the licensing staff of the Broadband Division SHALL UPDATE the Universal Licensing System to reflect that the authorization for Station WQJF811 automatically terminated on </w:t>
      </w:r>
      <w:r w:rsidR="006164EE">
        <w:t>June 3</w:t>
      </w:r>
      <w:r w:rsidR="00B37AD7">
        <w:t xml:space="preserve">, 2013. </w:t>
      </w:r>
    </w:p>
    <w:p w14:paraId="49F3F9EF" w14:textId="4CE63874" w:rsidR="00B37AD7" w:rsidRDefault="00DD254F">
      <w:pPr>
        <w:pStyle w:val="ParaNum"/>
        <w:tabs>
          <w:tab w:val="num" w:pos="1440"/>
          <w:tab w:val="num" w:pos="2880"/>
        </w:tabs>
        <w:ind w:left="0"/>
      </w:pPr>
      <w:r>
        <w:t>IT IS FURTHER ORDERED that pursuant to Sections 4(i) and 309 of the Communications Act of 1934, as amended, 47 U.S.C. §§ 154(i), 309, and Sections 1.41 and 1.939 of the Commission's rules, 47 C.F.R. §§ 1.41, 1.939, that the Petition to Deny filed by Micronet Communications, Inc. on behalf of Digis LLC on June 25, 2014 IS DISMISSED as a petition to deny and IS GRANTED as an informal objection.</w:t>
      </w:r>
    </w:p>
    <w:p w14:paraId="77B012F5" w14:textId="1DD7B456" w:rsidR="00CE1A9E" w:rsidRDefault="00CE1A9E" w:rsidP="00DD254F">
      <w:pPr>
        <w:pStyle w:val="ParaNum"/>
        <w:tabs>
          <w:tab w:val="clear" w:pos="3600"/>
          <w:tab w:val="num" w:pos="1440"/>
          <w:tab w:val="num" w:pos="2880"/>
        </w:tabs>
        <w:ind w:left="0"/>
      </w:pPr>
      <w:r>
        <w:t>IT IS FURTHER ORDERED</w:t>
      </w:r>
      <w:r w:rsidR="00DD254F" w:rsidRPr="00DD254F">
        <w:t xml:space="preserve"> </w:t>
      </w:r>
      <w:r w:rsidR="00DD254F">
        <w:t>that, pursuant to Sections 4(i) and 309</w:t>
      </w:r>
      <w:r w:rsidR="00DD254F" w:rsidRPr="00DD254F">
        <w:rPr>
          <w:b/>
        </w:rPr>
        <w:t xml:space="preserve"> </w:t>
      </w:r>
      <w:r w:rsidR="00DD254F">
        <w:t>of the Communications Act of 1934, as amended, 47 U.S.C. §§ 154(i), 309, and Section 1.934 of the Commission’s Rules, 47 C.F.R. § 1.946, that the licensing staff of the Broadband Division SHALL DISMISS</w:t>
      </w:r>
      <w:r>
        <w:t xml:space="preserve"> the applications for modification filed by TXOX Communications LLC on June 10, 2014 </w:t>
      </w:r>
      <w:r w:rsidR="008665CC">
        <w:t>(File Nos. 0006321177, 0006321179 and 0006321186).</w:t>
      </w:r>
    </w:p>
    <w:p w14:paraId="5CA70CE1" w14:textId="566BB3F3" w:rsidR="00F547E0" w:rsidRDefault="001409D4" w:rsidP="009E1DDF">
      <w:pPr>
        <w:pStyle w:val="ParaNum"/>
        <w:tabs>
          <w:tab w:val="num" w:pos="1440"/>
          <w:tab w:val="num" w:pos="2880"/>
        </w:tabs>
        <w:ind w:left="0"/>
      </w:pPr>
      <w:r>
        <w:t xml:space="preserve">IT IS FURTHER ORDERED that pursuant to Sections 4(i) and 309 of the Communications Act of 1934, as amended, 47 U.S.C. §§ 154(i), 309, and Sections 1.41 and 1.939 of the Commission's rules, 47 C.F.R. §§ 1.41, 1.939, that the Petition to Deny filed </w:t>
      </w:r>
      <w:r w:rsidR="00DD254F">
        <w:t xml:space="preserve">by Comsearch on behalf of TXOX Communications LLC on May 22, 2014 </w:t>
      </w:r>
      <w:r>
        <w:t>IS</w:t>
      </w:r>
      <w:r w:rsidR="00DD254F">
        <w:t xml:space="preserve"> DENIED</w:t>
      </w:r>
      <w:r w:rsidR="00DE307D">
        <w:t xml:space="preserve">. </w:t>
      </w:r>
    </w:p>
    <w:p w14:paraId="1183F389" w14:textId="1DE057F0" w:rsidR="00084FB8" w:rsidRDefault="00084FB8" w:rsidP="009E1DDF">
      <w:pPr>
        <w:pStyle w:val="ParaNum"/>
        <w:tabs>
          <w:tab w:val="num" w:pos="1440"/>
          <w:tab w:val="num" w:pos="2880"/>
        </w:tabs>
        <w:ind w:left="0"/>
      </w:pPr>
      <w:r>
        <w:t>IT IS FURTHER ORDERED that, pursuant to Sections 4(i) and 309</w:t>
      </w:r>
      <w:r w:rsidRPr="00D92D8D">
        <w:rPr>
          <w:b/>
        </w:rPr>
        <w:t xml:space="preserve"> </w:t>
      </w:r>
      <w:r>
        <w:t xml:space="preserve">of the Communications Act of 1934, as amended, 47 U.S.C. §§ 154(i), 309, and Section 1.934 of the Commission’s Rules, 47 C.F.R. § 1.946, that the licensing staff of the Broadband Division SHALL </w:t>
      </w:r>
      <w:r w:rsidR="008665CC">
        <w:t xml:space="preserve">PROCESS </w:t>
      </w:r>
      <w:r>
        <w:t xml:space="preserve">the applications filed by </w:t>
      </w:r>
      <w:r w:rsidR="008665CC">
        <w:t>Digis LLC</w:t>
      </w:r>
      <w:r>
        <w:t xml:space="preserve"> on April </w:t>
      </w:r>
      <w:r w:rsidR="008665CC">
        <w:t>16</w:t>
      </w:r>
      <w:r>
        <w:t xml:space="preserve">, 2014 (File Nos. </w:t>
      </w:r>
      <w:r w:rsidR="008665CC">
        <w:t>0006242783 and 0006242860</w:t>
      </w:r>
      <w:r>
        <w:t>).</w:t>
      </w:r>
    </w:p>
    <w:p w14:paraId="773C2602" w14:textId="6F4B71D9" w:rsidR="00084FB8" w:rsidRDefault="00084FB8" w:rsidP="009E1DDF">
      <w:pPr>
        <w:pStyle w:val="ParaNum"/>
        <w:tabs>
          <w:tab w:val="num" w:pos="1440"/>
          <w:tab w:val="num" w:pos="2880"/>
        </w:tabs>
        <w:ind w:left="0"/>
      </w:pPr>
      <w:r>
        <w:t>These actions are taken pursuant to the authority delegated by Sections 0.131 and 0.331 of the Commission's Rules, 47 C.F.R. §§ 0.131, 0.331.</w:t>
      </w:r>
    </w:p>
    <w:p w14:paraId="30BFA639" w14:textId="77777777" w:rsidR="00E65ADF" w:rsidRDefault="00E65ADF" w:rsidP="00E65ADF">
      <w:pPr>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t>FEDERAL COMMUNICATIONS COMMISSION</w:t>
      </w:r>
    </w:p>
    <w:p w14:paraId="4358AFC6" w14:textId="77777777" w:rsidR="00E65ADF" w:rsidRDefault="00E65ADF" w:rsidP="00E65ADF">
      <w:pPr>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r>
    </w:p>
    <w:p w14:paraId="3C5C1B51" w14:textId="77777777" w:rsidR="00E65ADF" w:rsidRDefault="00E65ADF" w:rsidP="00E65ADF">
      <w:pPr>
        <w:tabs>
          <w:tab w:val="left" w:pos="0"/>
        </w:tabs>
        <w:suppressAutoHyphens/>
        <w:spacing w:line="240" w:lineRule="atLeast"/>
        <w:rPr>
          <w:szCs w:val="22"/>
        </w:rPr>
      </w:pPr>
    </w:p>
    <w:p w14:paraId="3490CAD8" w14:textId="77777777" w:rsidR="00E65ADF" w:rsidRDefault="00E65ADF" w:rsidP="00E65ADF">
      <w:pPr>
        <w:tabs>
          <w:tab w:val="left" w:pos="0"/>
        </w:tabs>
        <w:suppressAutoHyphens/>
        <w:spacing w:line="240" w:lineRule="atLeast"/>
        <w:rPr>
          <w:szCs w:val="22"/>
        </w:rPr>
      </w:pPr>
    </w:p>
    <w:p w14:paraId="31C280D5" w14:textId="77777777" w:rsidR="00E65ADF" w:rsidRDefault="00E65ADF" w:rsidP="00E65ADF">
      <w:pPr>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t>John J. Schauble</w:t>
      </w:r>
    </w:p>
    <w:p w14:paraId="0DD54658" w14:textId="77777777" w:rsidR="00E65ADF" w:rsidRDefault="00E65ADF" w:rsidP="00E65ADF">
      <w:pPr>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t xml:space="preserve">Deputy Chief, Broadband Division </w:t>
      </w:r>
    </w:p>
    <w:p w14:paraId="594A7234" w14:textId="5A248302" w:rsidR="00E65ADF" w:rsidRPr="00A32517" w:rsidRDefault="00E65ADF" w:rsidP="00097BCA">
      <w:pPr>
        <w:tabs>
          <w:tab w:val="left" w:pos="0"/>
        </w:tabs>
        <w:suppressAutoHyphens/>
        <w:spacing w:line="240" w:lineRule="atLeast"/>
      </w:pPr>
      <w:r>
        <w:tab/>
      </w:r>
      <w:r>
        <w:tab/>
      </w:r>
      <w:r>
        <w:tab/>
      </w:r>
      <w:r>
        <w:tab/>
      </w:r>
      <w:r>
        <w:tab/>
        <w:t>Wireless Telecommunications Bureau</w:t>
      </w:r>
    </w:p>
    <w:sectPr w:rsidR="00E65ADF" w:rsidRPr="00A3251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B7362" w14:textId="77777777" w:rsidR="00E01DF9" w:rsidRDefault="00E01DF9">
      <w:pPr>
        <w:spacing w:line="20" w:lineRule="exact"/>
      </w:pPr>
    </w:p>
  </w:endnote>
  <w:endnote w:type="continuationSeparator" w:id="0">
    <w:p w14:paraId="22558F6E" w14:textId="77777777" w:rsidR="00E01DF9" w:rsidRDefault="00E01DF9">
      <w:r>
        <w:t xml:space="preserve"> </w:t>
      </w:r>
    </w:p>
  </w:endnote>
  <w:endnote w:type="continuationNotice" w:id="1">
    <w:p w14:paraId="1FB337D6" w14:textId="77777777" w:rsidR="00E01DF9" w:rsidRDefault="00E01D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51F7C" w14:textId="77777777" w:rsidR="00D948FB" w:rsidRDefault="00D948FB" w:rsidP="0055614C">
    <w:pPr>
      <w:pStyle w:val="Footer"/>
      <w:framePr w:wrap="around" w:vAnchor="text" w:hAnchor="margin" w:xAlign="center" w:y="1"/>
    </w:pPr>
    <w:r>
      <w:fldChar w:fldCharType="begin"/>
    </w:r>
    <w:r>
      <w:instrText xml:space="preserve">PAGE  </w:instrText>
    </w:r>
    <w:r>
      <w:fldChar w:fldCharType="end"/>
    </w:r>
  </w:p>
  <w:p w14:paraId="33B5A6F3" w14:textId="77777777" w:rsidR="00D948FB" w:rsidRDefault="00D94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66B11" w14:textId="77777777" w:rsidR="00D948FB" w:rsidRDefault="00D948FB" w:rsidP="0055614C">
    <w:pPr>
      <w:pStyle w:val="Footer"/>
      <w:framePr w:wrap="around" w:vAnchor="text" w:hAnchor="margin" w:xAlign="center" w:y="1"/>
    </w:pPr>
    <w:r>
      <w:fldChar w:fldCharType="begin"/>
    </w:r>
    <w:r>
      <w:instrText xml:space="preserve">PAGE  </w:instrText>
    </w:r>
    <w:r>
      <w:fldChar w:fldCharType="separate"/>
    </w:r>
    <w:r w:rsidR="00EE048C">
      <w:rPr>
        <w:noProof/>
      </w:rPr>
      <w:t>2</w:t>
    </w:r>
    <w:r>
      <w:fldChar w:fldCharType="end"/>
    </w:r>
  </w:p>
  <w:p w14:paraId="2C464F6E" w14:textId="77777777" w:rsidR="00D948FB" w:rsidRDefault="00D948FB">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3355" w14:textId="77777777" w:rsidR="00D948FB" w:rsidRDefault="00D948F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F2401" w14:textId="77777777" w:rsidR="00E01DF9" w:rsidRDefault="00E01DF9">
      <w:r>
        <w:separator/>
      </w:r>
    </w:p>
  </w:footnote>
  <w:footnote w:type="continuationSeparator" w:id="0">
    <w:p w14:paraId="4FB20CFE" w14:textId="77777777" w:rsidR="00E01DF9" w:rsidRDefault="00E01DF9" w:rsidP="00C721AC">
      <w:pPr>
        <w:spacing w:before="120"/>
        <w:rPr>
          <w:sz w:val="20"/>
        </w:rPr>
      </w:pPr>
      <w:r>
        <w:rPr>
          <w:sz w:val="20"/>
        </w:rPr>
        <w:t xml:space="preserve">(Continued from previous page)  </w:t>
      </w:r>
      <w:r>
        <w:rPr>
          <w:sz w:val="20"/>
        </w:rPr>
        <w:separator/>
      </w:r>
    </w:p>
  </w:footnote>
  <w:footnote w:type="continuationNotice" w:id="1">
    <w:p w14:paraId="07B0F8A8" w14:textId="77777777" w:rsidR="00E01DF9" w:rsidRDefault="00E01DF9" w:rsidP="00C721AC">
      <w:pPr>
        <w:jc w:val="right"/>
        <w:rPr>
          <w:sz w:val="20"/>
        </w:rPr>
      </w:pPr>
      <w:r>
        <w:rPr>
          <w:sz w:val="20"/>
        </w:rPr>
        <w:t>(continued….)</w:t>
      </w:r>
    </w:p>
  </w:footnote>
  <w:footnote w:id="2">
    <w:p w14:paraId="7502E9F6" w14:textId="77777777" w:rsidR="00D948FB" w:rsidRDefault="00D948FB" w:rsidP="00F4159E">
      <w:pPr>
        <w:pStyle w:val="FootnoteText"/>
      </w:pPr>
      <w:r>
        <w:rPr>
          <w:rStyle w:val="FootnoteReference"/>
        </w:rPr>
        <w:footnoteRef/>
      </w:r>
      <w:r>
        <w:t xml:space="preserve"> </w:t>
      </w:r>
      <w:r>
        <w:rPr>
          <w:i/>
        </w:rPr>
        <w:t>See</w:t>
      </w:r>
      <w:r>
        <w:t xml:space="preserve"> Part 101, Subpart H.</w:t>
      </w:r>
    </w:p>
  </w:footnote>
  <w:footnote w:id="3">
    <w:p w14:paraId="0BD689D7" w14:textId="77777777" w:rsidR="00D948FB" w:rsidRDefault="00D948FB" w:rsidP="00F4159E">
      <w:pPr>
        <w:pStyle w:val="FootnoteText"/>
      </w:pPr>
      <w:r>
        <w:rPr>
          <w:rStyle w:val="FootnoteReference"/>
        </w:rPr>
        <w:footnoteRef/>
      </w:r>
      <w:r>
        <w:t xml:space="preserve"> </w:t>
      </w:r>
      <w:r>
        <w:rPr>
          <w:i/>
        </w:rPr>
        <w:t>See</w:t>
      </w:r>
      <w:r>
        <w:t xml:space="preserve"> Part 101, Subpart I.  </w:t>
      </w:r>
    </w:p>
  </w:footnote>
  <w:footnote w:id="4">
    <w:p w14:paraId="3E9990FE" w14:textId="6F20833E" w:rsidR="00867985" w:rsidRPr="00F862F0" w:rsidRDefault="00D948FB" w:rsidP="00867985">
      <w:pPr>
        <w:widowControl/>
        <w:autoSpaceDE w:val="0"/>
        <w:autoSpaceDN w:val="0"/>
        <w:adjustRightInd w:val="0"/>
        <w:rPr>
          <w:rFonts w:eastAsia="TimesNewRoman"/>
          <w:snapToGrid/>
          <w:color w:val="010101"/>
          <w:kern w:val="0"/>
          <w:sz w:val="20"/>
        </w:rPr>
      </w:pPr>
      <w:r w:rsidRPr="00F862F0">
        <w:rPr>
          <w:rStyle w:val="FootnoteReference"/>
        </w:rPr>
        <w:footnoteRef/>
      </w:r>
      <w:r w:rsidRPr="00F862F0">
        <w:t xml:space="preserve"> </w:t>
      </w:r>
      <w:r w:rsidR="00F862F0">
        <w:rPr>
          <w:i/>
        </w:rPr>
        <w:t>See</w:t>
      </w:r>
      <w:r w:rsidR="00F862F0">
        <w:t xml:space="preserve"> </w:t>
      </w:r>
      <w:r w:rsidR="00867985" w:rsidRPr="00F862F0">
        <w:rPr>
          <w:rFonts w:eastAsia="TimesNewRoman"/>
          <w:snapToGrid/>
          <w:color w:val="010101"/>
          <w:kern w:val="0"/>
          <w:sz w:val="20"/>
        </w:rPr>
        <w:t>Reorganization and Revision of Parts 1, 2, 21, and 94 of the Rules to Establish a New Part 101 Governing</w:t>
      </w:r>
    </w:p>
    <w:p w14:paraId="245C425B" w14:textId="77777777" w:rsidR="00867985" w:rsidRPr="00F862F0" w:rsidRDefault="00867985" w:rsidP="00867985">
      <w:pPr>
        <w:widowControl/>
        <w:autoSpaceDE w:val="0"/>
        <w:autoSpaceDN w:val="0"/>
        <w:adjustRightInd w:val="0"/>
        <w:rPr>
          <w:rFonts w:eastAsia="TimesNewRoman"/>
          <w:snapToGrid/>
          <w:color w:val="010101"/>
          <w:kern w:val="0"/>
          <w:sz w:val="20"/>
        </w:rPr>
      </w:pPr>
      <w:r w:rsidRPr="00F862F0">
        <w:rPr>
          <w:rFonts w:eastAsia="TimesNewRoman"/>
          <w:snapToGrid/>
          <w:color w:val="010101"/>
          <w:kern w:val="0"/>
          <w:sz w:val="20"/>
        </w:rPr>
        <w:t xml:space="preserve">Terrestrial Microwave Fixed Radio Services, WT Docket No. 94-148, </w:t>
      </w:r>
      <w:r w:rsidRPr="00F862F0">
        <w:rPr>
          <w:rFonts w:eastAsia="TimesNewRoman"/>
          <w:i/>
          <w:iCs/>
          <w:snapToGrid/>
          <w:color w:val="010101"/>
          <w:kern w:val="0"/>
          <w:sz w:val="20"/>
        </w:rPr>
        <w:t>Report and Order</w:t>
      </w:r>
      <w:r w:rsidRPr="00F862F0">
        <w:rPr>
          <w:rFonts w:eastAsia="TimesNewRoman"/>
          <w:snapToGrid/>
          <w:color w:val="010101"/>
          <w:kern w:val="0"/>
          <w:sz w:val="20"/>
        </w:rPr>
        <w:t>, 11 FCC Rcd 13449</w:t>
      </w:r>
    </w:p>
    <w:p w14:paraId="561DCD66" w14:textId="3FC47DE0" w:rsidR="00D948FB" w:rsidRDefault="00867985" w:rsidP="00867985">
      <w:pPr>
        <w:pStyle w:val="FootnoteText"/>
      </w:pPr>
      <w:r w:rsidRPr="00F862F0">
        <w:rPr>
          <w:rFonts w:eastAsia="TimesNewRoman"/>
          <w:color w:val="010101"/>
        </w:rPr>
        <w:t>(1996).</w:t>
      </w:r>
    </w:p>
  </w:footnote>
  <w:footnote w:id="5">
    <w:p w14:paraId="752327C2" w14:textId="3CA1923F" w:rsidR="00D948FB" w:rsidRDefault="00D948FB">
      <w:pPr>
        <w:pStyle w:val="FootnoteText"/>
      </w:pPr>
      <w:r>
        <w:rPr>
          <w:rStyle w:val="FootnoteReference"/>
        </w:rPr>
        <w:footnoteRef/>
      </w:r>
      <w:r>
        <w:t xml:space="preserve"> </w:t>
      </w:r>
      <w:r>
        <w:rPr>
          <w:i/>
        </w:rPr>
        <w:t>See</w:t>
      </w:r>
      <w:r>
        <w:t xml:space="preserve"> 47 C.F.R. § 101.65(a</w:t>
      </w:r>
      <w:r w:rsidRPr="008D38E1">
        <w:t>)</w:t>
      </w:r>
      <w:r w:rsidRPr="00F862F0">
        <w:t>; Orange Crush Recycle, LP,</w:t>
      </w:r>
      <w:r w:rsidR="00F862F0" w:rsidRPr="00F862F0">
        <w:t xml:space="preserve"> </w:t>
      </w:r>
      <w:r w:rsidR="00F862F0" w:rsidRPr="007E2D9C">
        <w:rPr>
          <w:i/>
        </w:rPr>
        <w:t>Order</w:t>
      </w:r>
      <w:r w:rsidR="00F862F0">
        <w:t>, 24 FCC Rcd 10987, 10990-10991 ¶ 11 (WTB BD 2009).</w:t>
      </w:r>
      <w:r>
        <w:t xml:space="preserve"> </w:t>
      </w:r>
    </w:p>
  </w:footnote>
  <w:footnote w:id="6">
    <w:p w14:paraId="4072C02B" w14:textId="77777777" w:rsidR="00D948FB" w:rsidRDefault="00D948FB" w:rsidP="00F4159E">
      <w:pPr>
        <w:pStyle w:val="FootnoteText"/>
        <w:rPr>
          <w:b/>
        </w:rPr>
      </w:pPr>
      <w:r>
        <w:rPr>
          <w:rStyle w:val="FootnoteReference"/>
        </w:rPr>
        <w:footnoteRef/>
      </w:r>
      <w:r>
        <w:t xml:space="preserve"> </w:t>
      </w:r>
      <w:r>
        <w:rPr>
          <w:i/>
        </w:rPr>
        <w:t>See</w:t>
      </w:r>
      <w:r>
        <w:t xml:space="preserve"> 47 C.F.R. §§ 101.21(f), 101.103.</w:t>
      </w:r>
    </w:p>
  </w:footnote>
  <w:footnote w:id="7">
    <w:p w14:paraId="0D42FAE8" w14:textId="77777777" w:rsidR="00D948FB" w:rsidRDefault="00D948FB" w:rsidP="00F4159E">
      <w:pPr>
        <w:pStyle w:val="FootnoteText"/>
      </w:pPr>
      <w:r>
        <w:rPr>
          <w:rStyle w:val="FootnoteReference"/>
        </w:rPr>
        <w:footnoteRef/>
      </w:r>
      <w:r>
        <w:t xml:space="preserve"> </w:t>
      </w:r>
      <w:r>
        <w:rPr>
          <w:i/>
        </w:rPr>
        <w:t>See</w:t>
      </w:r>
      <w:r>
        <w:t xml:space="preserve"> 47 C.F.R. § 101.21(f).</w:t>
      </w:r>
    </w:p>
  </w:footnote>
  <w:footnote w:id="8">
    <w:p w14:paraId="5DA03C1E" w14:textId="77777777" w:rsidR="00D948FB" w:rsidRDefault="00D948FB" w:rsidP="00F4159E">
      <w:pPr>
        <w:pStyle w:val="FootnoteText"/>
      </w:pPr>
      <w:r>
        <w:rPr>
          <w:rStyle w:val="FootnoteReference"/>
        </w:rPr>
        <w:footnoteRef/>
      </w:r>
      <w:r>
        <w:t xml:space="preserve"> 47 C.F.R. § 101.103(d)(2)(ii). </w:t>
      </w:r>
    </w:p>
  </w:footnote>
  <w:footnote w:id="9">
    <w:p w14:paraId="1590E0FE" w14:textId="44B7998A" w:rsidR="00493B20" w:rsidRPr="00493B20" w:rsidRDefault="00493B20">
      <w:pPr>
        <w:pStyle w:val="FootnoteText"/>
      </w:pPr>
      <w:r>
        <w:rPr>
          <w:rStyle w:val="FootnoteReference"/>
        </w:rPr>
        <w:footnoteRef/>
      </w:r>
      <w:r>
        <w:t xml:space="preserve"> </w:t>
      </w:r>
      <w:r>
        <w:rPr>
          <w:i/>
        </w:rPr>
        <w:t>See</w:t>
      </w:r>
      <w:r>
        <w:t xml:space="preserve"> File No. </w:t>
      </w:r>
      <w:r w:rsidRPr="00493B20">
        <w:t>0003494607</w:t>
      </w:r>
      <w:r>
        <w:t xml:space="preserve"> (filed July 7, 2008, granted Aug. 22, 2008).</w:t>
      </w:r>
    </w:p>
  </w:footnote>
  <w:footnote w:id="10">
    <w:p w14:paraId="301DC37E" w14:textId="7AED2594" w:rsidR="002D7ABD" w:rsidRPr="002D7ABD" w:rsidRDefault="002D7ABD">
      <w:pPr>
        <w:pStyle w:val="FootnoteText"/>
      </w:pPr>
      <w:r>
        <w:rPr>
          <w:rStyle w:val="FootnoteReference"/>
        </w:rPr>
        <w:footnoteRef/>
      </w:r>
      <w:r>
        <w:t xml:space="preserve"> </w:t>
      </w:r>
      <w:r>
        <w:rPr>
          <w:i/>
        </w:rPr>
        <w:t>See</w:t>
      </w:r>
      <w:r>
        <w:t xml:space="preserve"> File Nos. 0003709280 (filed Jan. 20, 2009, </w:t>
      </w:r>
      <w:r w:rsidRPr="006850B0">
        <w:t xml:space="preserve">granted Feb. 24, 2009), </w:t>
      </w:r>
      <w:r w:rsidR="006850B0" w:rsidRPr="00F862F0">
        <w:t>0003968676</w:t>
      </w:r>
      <w:r w:rsidR="006850B0" w:rsidRPr="006850B0">
        <w:t xml:space="preserve"> (filed Sep</w:t>
      </w:r>
      <w:r w:rsidR="006850B0">
        <w:t xml:space="preserve">. 18, 2009, granted Oct. 23, 2009), </w:t>
      </w:r>
      <w:r w:rsidRPr="002D7ABD">
        <w:t>0005077323</w:t>
      </w:r>
      <w:r>
        <w:t xml:space="preserve"> (filed Feb. 15, 2012, granted Apr. 17, 2012)</w:t>
      </w:r>
      <w:r w:rsidR="001F5F47">
        <w:t>,</w:t>
      </w:r>
      <w:r>
        <w:t xml:space="preserve"> </w:t>
      </w:r>
      <w:r w:rsidRPr="002D7ABD">
        <w:t>0005705667</w:t>
      </w:r>
      <w:r>
        <w:t xml:space="preserve"> (filed Mar. 25, 2013, granted June 3, 2013).</w:t>
      </w:r>
    </w:p>
  </w:footnote>
  <w:footnote w:id="11">
    <w:p w14:paraId="32F15D2F" w14:textId="7790B893" w:rsidR="009D26C1" w:rsidRPr="00493B20" w:rsidRDefault="009D26C1" w:rsidP="009D26C1">
      <w:pPr>
        <w:pStyle w:val="FootnoteText"/>
      </w:pPr>
      <w:r>
        <w:rPr>
          <w:rStyle w:val="FootnoteReference"/>
        </w:rPr>
        <w:footnoteRef/>
      </w:r>
      <w:r>
        <w:t xml:space="preserve"> </w:t>
      </w:r>
      <w:r>
        <w:rPr>
          <w:i/>
        </w:rPr>
        <w:t>See</w:t>
      </w:r>
      <w:r>
        <w:t xml:space="preserve"> File No. </w:t>
      </w:r>
      <w:r w:rsidR="009B07C5">
        <w:t>00036552321</w:t>
      </w:r>
      <w:r w:rsidR="009B07C5" w:rsidRPr="009D26C1">
        <w:t xml:space="preserve"> </w:t>
      </w:r>
      <w:r>
        <w:t xml:space="preserve">(filed Nov. </w:t>
      </w:r>
      <w:r w:rsidR="009B07C5">
        <w:t>19</w:t>
      </w:r>
      <w:r>
        <w:t xml:space="preserve">, </w:t>
      </w:r>
      <w:r w:rsidR="009B07C5">
        <w:t>2008</w:t>
      </w:r>
      <w:r>
        <w:t xml:space="preserve">, granted Jan. </w:t>
      </w:r>
      <w:r w:rsidR="009B07C5">
        <w:t>12</w:t>
      </w:r>
      <w:r>
        <w:t xml:space="preserve">, </w:t>
      </w:r>
      <w:r w:rsidR="009B07C5">
        <w:t>2009</w:t>
      </w:r>
      <w:r>
        <w:t>).</w:t>
      </w:r>
    </w:p>
  </w:footnote>
  <w:footnote w:id="12">
    <w:p w14:paraId="1261E259" w14:textId="0605E17B" w:rsidR="009D26C1" w:rsidRDefault="009D26C1">
      <w:pPr>
        <w:pStyle w:val="FootnoteText"/>
      </w:pPr>
      <w:r>
        <w:rPr>
          <w:rStyle w:val="FootnoteReference"/>
        </w:rPr>
        <w:footnoteRef/>
      </w:r>
      <w:r>
        <w:t xml:space="preserve"> </w:t>
      </w:r>
      <w:r>
        <w:rPr>
          <w:i/>
        </w:rPr>
        <w:t>See</w:t>
      </w:r>
      <w:r>
        <w:t xml:space="preserve"> File Nos. </w:t>
      </w:r>
      <w:r w:rsidR="006850B0">
        <w:t xml:space="preserve">0004012061 (filed Oct 29, 2009, granted Jan. 13, 2010), </w:t>
      </w:r>
      <w:r w:rsidR="009B07C5">
        <w:t>000499080 (filed Nov. 18, 2008, granted Jan. 31, 2011), .</w:t>
      </w:r>
      <w:r w:rsidR="001F5F47" w:rsidRPr="001F5F47">
        <w:t xml:space="preserve">0004687742 </w:t>
      </w:r>
      <w:r>
        <w:t xml:space="preserve">(filed </w:t>
      </w:r>
      <w:r w:rsidR="001F5F47">
        <w:t>Apr</w:t>
      </w:r>
      <w:r>
        <w:t xml:space="preserve">. </w:t>
      </w:r>
      <w:r w:rsidR="001F5F47">
        <w:t>12</w:t>
      </w:r>
      <w:r>
        <w:t>, 20</w:t>
      </w:r>
      <w:r w:rsidR="001F5F47">
        <w:t>11</w:t>
      </w:r>
      <w:r>
        <w:t xml:space="preserve">, granted </w:t>
      </w:r>
      <w:r w:rsidR="001F5F47">
        <w:t>June 10</w:t>
      </w:r>
      <w:r>
        <w:t>, 20</w:t>
      </w:r>
      <w:r w:rsidR="001F5F47">
        <w:t>11</w:t>
      </w:r>
      <w:r>
        <w:t xml:space="preserve">), </w:t>
      </w:r>
      <w:r w:rsidR="001F5F47" w:rsidRPr="001F5F47">
        <w:t xml:space="preserve">0004775248 </w:t>
      </w:r>
      <w:r>
        <w:t xml:space="preserve">(filed </w:t>
      </w:r>
      <w:r w:rsidR="001F5F47">
        <w:t>June 21</w:t>
      </w:r>
      <w:r>
        <w:t>, 201</w:t>
      </w:r>
      <w:r w:rsidR="001F5F47">
        <w:t>1</w:t>
      </w:r>
      <w:r>
        <w:t>, granted A</w:t>
      </w:r>
      <w:r w:rsidR="001F5F47">
        <w:t>ug</w:t>
      </w:r>
      <w:r>
        <w:t>. 1</w:t>
      </w:r>
      <w:r w:rsidR="001F5F47">
        <w:t>6</w:t>
      </w:r>
      <w:r>
        <w:t>, 201</w:t>
      </w:r>
      <w:r w:rsidR="001F5F47">
        <w:t>1</w:t>
      </w:r>
      <w:r>
        <w:t>)</w:t>
      </w:r>
      <w:r w:rsidR="001F5F47">
        <w:t>,</w:t>
      </w:r>
      <w:r>
        <w:t xml:space="preserve"> </w:t>
      </w:r>
      <w:r w:rsidR="001F5F47" w:rsidRPr="001F5F47">
        <w:t xml:space="preserve">0004838920 </w:t>
      </w:r>
      <w:r w:rsidR="00C13B8A">
        <w:t>(filed Aug. 15</w:t>
      </w:r>
      <w:r>
        <w:t>, 201</w:t>
      </w:r>
      <w:r w:rsidR="00C13B8A">
        <w:t>1</w:t>
      </w:r>
      <w:r>
        <w:t xml:space="preserve">, granted </w:t>
      </w:r>
      <w:r w:rsidR="00C13B8A">
        <w:t>Oct. 12</w:t>
      </w:r>
      <w:r>
        <w:t>, 201</w:t>
      </w:r>
      <w:r w:rsidR="00C13B8A">
        <w:t>1</w:t>
      </w:r>
      <w:r>
        <w:t>)</w:t>
      </w:r>
      <w:r w:rsidR="00C13B8A">
        <w:t xml:space="preserve">, </w:t>
      </w:r>
      <w:r w:rsidR="00C13B8A" w:rsidRPr="009B07C5">
        <w:t>0005365936 (filed Aug. 24, 2012, granted Mar. 14, 2013), 0005855239 (filed July 11, 2013, granted Sep. 5</w:t>
      </w:r>
      <w:r w:rsidR="00C13B8A" w:rsidRPr="00AD2DE2">
        <w:t xml:space="preserve">, 2013), </w:t>
      </w:r>
      <w:r w:rsidR="00C13B8A" w:rsidRPr="006850B0">
        <w:t xml:space="preserve">0005982775 (filed Oct. 24, 2013, granted Jan. </w:t>
      </w:r>
      <w:r w:rsidR="009B07C5" w:rsidRPr="00F862F0">
        <w:t>2</w:t>
      </w:r>
      <w:r w:rsidR="00C13B8A" w:rsidRPr="00AD2DE2">
        <w:t xml:space="preserve">, 2014), 0006188143 </w:t>
      </w:r>
      <w:r w:rsidR="00C13B8A" w:rsidRPr="006850B0">
        <w:t>(filed Mar. 6, 2014,</w:t>
      </w:r>
      <w:r w:rsidR="00C13B8A">
        <w:t xml:space="preserve"> granted May 2, 2014), </w:t>
      </w:r>
      <w:r w:rsidR="00C13B8A" w:rsidRPr="00C13B8A">
        <w:t xml:space="preserve">0006272369 </w:t>
      </w:r>
      <w:r w:rsidR="00C13B8A">
        <w:t>(filed May 6, 2014, granted June 30, 2014).</w:t>
      </w:r>
    </w:p>
  </w:footnote>
  <w:footnote w:id="13">
    <w:p w14:paraId="3FED1DE4" w14:textId="3F324619" w:rsidR="00D948FB" w:rsidRDefault="00D948FB" w:rsidP="002B4458">
      <w:pPr>
        <w:pStyle w:val="FootnoteText"/>
      </w:pPr>
      <w:r>
        <w:rPr>
          <w:rStyle w:val="FootnoteReference"/>
        </w:rPr>
        <w:footnoteRef/>
      </w:r>
      <w:r>
        <w:t xml:space="preserve"> Letter from Douglas J. Clark, President TXOX Communications, Inc. (</w:t>
      </w:r>
      <w:r w:rsidR="00832EDA">
        <w:t xml:space="preserve">filed </w:t>
      </w:r>
      <w:r>
        <w:t>Sep</w:t>
      </w:r>
      <w:r w:rsidR="00832EDA">
        <w:t>.</w:t>
      </w:r>
      <w:r>
        <w:t xml:space="preserve"> 1</w:t>
      </w:r>
      <w:r w:rsidR="00832EDA">
        <w:t>1</w:t>
      </w:r>
      <w:r>
        <w:t xml:space="preserve">, 2014) </w:t>
      </w:r>
      <w:r w:rsidR="00832EDA">
        <w:t xml:space="preserve">(Clark Letter) </w:t>
      </w:r>
      <w:r>
        <w:t>at 1.</w:t>
      </w:r>
    </w:p>
  </w:footnote>
  <w:footnote w:id="14">
    <w:p w14:paraId="70BEB45D" w14:textId="7200BCEB" w:rsidR="00C451EE" w:rsidRPr="00C451EE" w:rsidRDefault="00C451EE">
      <w:pPr>
        <w:pStyle w:val="FootnoteText"/>
      </w:pPr>
      <w:r>
        <w:rPr>
          <w:rStyle w:val="FootnoteReference"/>
        </w:rPr>
        <w:footnoteRef/>
      </w:r>
      <w:r>
        <w:t xml:space="preserve"> </w:t>
      </w:r>
      <w:r>
        <w:rPr>
          <w:i/>
        </w:rPr>
        <w:t>See</w:t>
      </w:r>
      <w:r>
        <w:t xml:space="preserve"> Letter from Troy Blair, Network Infrastructure Manager, Digis LLC Utah Division to Office of the Secretary, Federal Communications Commission (filed Oct. 1, 2014) (Blair Letter) at 1.</w:t>
      </w:r>
    </w:p>
  </w:footnote>
  <w:footnote w:id="15">
    <w:p w14:paraId="06A0977D" w14:textId="16846926" w:rsidR="00D948FB" w:rsidRDefault="00D948FB" w:rsidP="002B4458">
      <w:pPr>
        <w:pStyle w:val="FootnoteText"/>
      </w:pPr>
      <w:r>
        <w:rPr>
          <w:rStyle w:val="FootnoteReference"/>
        </w:rPr>
        <w:footnoteRef/>
      </w:r>
      <w:r>
        <w:t xml:space="preserve"> </w:t>
      </w:r>
      <w:r w:rsidR="00832EDA">
        <w:t xml:space="preserve">Clark </w:t>
      </w:r>
      <w:r>
        <w:t>Letter</w:t>
      </w:r>
      <w:r w:rsidR="00832EDA">
        <w:t xml:space="preserve"> </w:t>
      </w:r>
      <w:r>
        <w:t xml:space="preserve">at 1-2. </w:t>
      </w:r>
    </w:p>
  </w:footnote>
  <w:footnote w:id="16">
    <w:p w14:paraId="697655ED" w14:textId="1963DF29" w:rsidR="00C451EE" w:rsidRDefault="00C451EE">
      <w:pPr>
        <w:pStyle w:val="FootnoteText"/>
      </w:pPr>
      <w:r>
        <w:rPr>
          <w:rStyle w:val="FootnoteReference"/>
        </w:rPr>
        <w:footnoteRef/>
      </w:r>
      <w:r>
        <w:t xml:space="preserve"> Blair Letter at 1-2.</w:t>
      </w:r>
    </w:p>
  </w:footnote>
  <w:footnote w:id="17">
    <w:p w14:paraId="59E039DA" w14:textId="58BD5520" w:rsidR="00D948FB" w:rsidRDefault="00D948FB" w:rsidP="002B4458">
      <w:pPr>
        <w:pStyle w:val="FootnoteText"/>
      </w:pPr>
      <w:r>
        <w:rPr>
          <w:rStyle w:val="FootnoteReference"/>
        </w:rPr>
        <w:footnoteRef/>
      </w:r>
      <w:r>
        <w:t xml:space="preserve"> </w:t>
      </w:r>
      <w:r w:rsidR="00B96978">
        <w:t xml:space="preserve">Clark </w:t>
      </w:r>
      <w:r>
        <w:t>Letter</w:t>
      </w:r>
      <w:r w:rsidR="00B96978">
        <w:t xml:space="preserve"> </w:t>
      </w:r>
      <w:r>
        <w:t>at 2.</w:t>
      </w:r>
    </w:p>
  </w:footnote>
  <w:footnote w:id="18">
    <w:p w14:paraId="640C2B5B" w14:textId="2AA7EBC0" w:rsidR="006876E4" w:rsidRDefault="006876E4">
      <w:pPr>
        <w:pStyle w:val="FootnoteText"/>
      </w:pPr>
      <w:r>
        <w:rPr>
          <w:rStyle w:val="FootnoteReference"/>
        </w:rPr>
        <w:footnoteRef/>
      </w:r>
      <w:r>
        <w:t xml:space="preserve"> For the purposes of this order, we are relying </w:t>
      </w:r>
      <w:r w:rsidR="00A76C73">
        <w:t xml:space="preserve">on </w:t>
      </w:r>
      <w:r>
        <w:t xml:space="preserve">TXOX’s FCC license and its modification application for the coordinates of </w:t>
      </w:r>
      <w:r w:rsidR="004A4BD6">
        <w:t>S</w:t>
      </w:r>
      <w:r>
        <w:t xml:space="preserve">tation </w:t>
      </w:r>
      <w:r w:rsidRPr="006876E4">
        <w:t>WQJF811</w:t>
      </w:r>
      <w:r>
        <w:t xml:space="preserve">.  We note that in Mr. Clark’s September 10, 2014 letter, he stated that the licensed location at the Commerce Building of TXOX’s equipment was 41.187628, -111952312 and the location at the Executive Building requested in the </w:t>
      </w:r>
      <w:r w:rsidR="00AC3DE4">
        <w:t xml:space="preserve">modification </w:t>
      </w:r>
      <w:r>
        <w:t>application was 41.187861, -111.</w:t>
      </w:r>
      <w:r w:rsidR="00343AF6">
        <w:t>950891</w:t>
      </w:r>
      <w:r w:rsidR="00AC3DE4">
        <w:t xml:space="preserve">. </w:t>
      </w:r>
    </w:p>
  </w:footnote>
  <w:footnote w:id="19">
    <w:p w14:paraId="0A1836D1" w14:textId="26552FA6" w:rsidR="00D948FB" w:rsidRDefault="00D948FB" w:rsidP="002B4458">
      <w:pPr>
        <w:pStyle w:val="FootnoteText"/>
      </w:pPr>
      <w:r>
        <w:rPr>
          <w:rStyle w:val="FootnoteReference"/>
        </w:rPr>
        <w:footnoteRef/>
      </w:r>
      <w:r>
        <w:t xml:space="preserve"> </w:t>
      </w:r>
      <w:r w:rsidR="00A76C73">
        <w:t xml:space="preserve">Clark </w:t>
      </w:r>
      <w:r>
        <w:t>Letter at 2.</w:t>
      </w:r>
    </w:p>
  </w:footnote>
  <w:footnote w:id="20">
    <w:p w14:paraId="1F0BCFB1" w14:textId="6790F2AD" w:rsidR="00B96978" w:rsidRPr="00B96978" w:rsidRDefault="00B96978">
      <w:pPr>
        <w:pStyle w:val="FootnoteText"/>
      </w:pPr>
      <w:r>
        <w:rPr>
          <w:rStyle w:val="FootnoteReference"/>
        </w:rPr>
        <w:footnoteRef/>
      </w:r>
      <w:r>
        <w:t xml:space="preserve"> </w:t>
      </w:r>
      <w:r>
        <w:rPr>
          <w:i/>
        </w:rPr>
        <w:t>See</w:t>
      </w:r>
      <w:r>
        <w:t xml:space="preserve"> Letter from Brad Youngblood, Micronet Communications, Inc. to Office of the Secretary, Federal Communications Commission (filed Oct. 1, 2014) (Youngblood Letter) at 1.</w:t>
      </w:r>
    </w:p>
  </w:footnote>
  <w:footnote w:id="21">
    <w:p w14:paraId="5DFBA280" w14:textId="0EF83105" w:rsidR="00D948FB" w:rsidRDefault="00D948FB" w:rsidP="002B4458">
      <w:pPr>
        <w:pStyle w:val="FootnoteText"/>
      </w:pPr>
      <w:r>
        <w:rPr>
          <w:rStyle w:val="FootnoteReference"/>
        </w:rPr>
        <w:footnoteRef/>
      </w:r>
      <w:r>
        <w:t xml:space="preserve"> </w:t>
      </w:r>
      <w:r w:rsidR="00B96978">
        <w:t xml:space="preserve">Clark </w:t>
      </w:r>
      <w:r w:rsidRPr="00464F69">
        <w:t>Letter at 2.</w:t>
      </w:r>
    </w:p>
  </w:footnote>
  <w:footnote w:id="22">
    <w:p w14:paraId="1995F9A5" w14:textId="354F66E2" w:rsidR="00D948FB" w:rsidRDefault="00D948FB" w:rsidP="002B4458">
      <w:pPr>
        <w:pStyle w:val="FootnoteText"/>
      </w:pPr>
      <w:r>
        <w:rPr>
          <w:rStyle w:val="FootnoteReference"/>
        </w:rPr>
        <w:footnoteRef/>
      </w:r>
      <w:r>
        <w:t xml:space="preserve"> </w:t>
      </w:r>
      <w:r w:rsidR="00B96978">
        <w:t xml:space="preserve">Clark </w:t>
      </w:r>
      <w:r w:rsidRPr="00464F69">
        <w:t>Letter</w:t>
      </w:r>
      <w:r w:rsidR="00B96978">
        <w:t xml:space="preserve"> </w:t>
      </w:r>
      <w:r w:rsidRPr="00464F69">
        <w:t>at 2.</w:t>
      </w:r>
    </w:p>
  </w:footnote>
  <w:footnote w:id="23">
    <w:p w14:paraId="0E981F32" w14:textId="4F810D02" w:rsidR="00B0239A" w:rsidRDefault="00B0239A">
      <w:pPr>
        <w:pStyle w:val="FootnoteText"/>
      </w:pPr>
      <w:r>
        <w:rPr>
          <w:rStyle w:val="FootnoteReference"/>
        </w:rPr>
        <w:footnoteRef/>
      </w:r>
      <w:r>
        <w:t xml:space="preserve"> Micronet Communications, Inc., File Number M1406608 (Mar. 10, 2014).</w:t>
      </w:r>
    </w:p>
  </w:footnote>
  <w:footnote w:id="24">
    <w:p w14:paraId="1D3DDFFE" w14:textId="76CF8BFC" w:rsidR="00D948FB" w:rsidRDefault="00D948FB">
      <w:pPr>
        <w:pStyle w:val="FootnoteText"/>
      </w:pPr>
      <w:r>
        <w:rPr>
          <w:rStyle w:val="FootnoteReference"/>
        </w:rPr>
        <w:footnoteRef/>
      </w:r>
      <w:r>
        <w:t xml:space="preserve"> </w:t>
      </w:r>
      <w:r w:rsidR="00B0239A">
        <w:rPr>
          <w:i/>
        </w:rPr>
        <w:t xml:space="preserve">Compare </w:t>
      </w:r>
      <w:r w:rsidR="00B0239A">
        <w:t xml:space="preserve">Clark </w:t>
      </w:r>
      <w:r w:rsidRPr="007E418D">
        <w:t>Letter at 2</w:t>
      </w:r>
      <w:r w:rsidR="00B0239A">
        <w:t xml:space="preserve"> and </w:t>
      </w:r>
      <w:r w:rsidR="0023608C">
        <w:t>Micronet Communications, Inc. Petition to Deny (filed June 26, 2014) (Micronet Petition</w:t>
      </w:r>
      <w:r w:rsidR="00971442">
        <w:t xml:space="preserve"> to Deny TXOX</w:t>
      </w:r>
      <w:r w:rsidR="0023608C">
        <w:t xml:space="preserve">) at 1. </w:t>
      </w:r>
    </w:p>
  </w:footnote>
  <w:footnote w:id="25">
    <w:p w14:paraId="7B46422D" w14:textId="299AEA17" w:rsidR="00D948FB" w:rsidRDefault="00D948FB">
      <w:pPr>
        <w:pStyle w:val="FootnoteText"/>
      </w:pPr>
      <w:r>
        <w:rPr>
          <w:rStyle w:val="FootnoteReference"/>
        </w:rPr>
        <w:footnoteRef/>
      </w:r>
      <w:r>
        <w:t xml:space="preserve"> Comsearch Petition to Deny (filed May 22, 2014) </w:t>
      </w:r>
      <w:r w:rsidR="00F82C5C">
        <w:t xml:space="preserve">(Comsearch Petition to Deny Digis) </w:t>
      </w:r>
      <w:r>
        <w:t>at 1-2.</w:t>
      </w:r>
    </w:p>
  </w:footnote>
  <w:footnote w:id="26">
    <w:p w14:paraId="0A9BD215" w14:textId="2187FFE1" w:rsidR="00D948FB" w:rsidRDefault="00D948FB">
      <w:pPr>
        <w:pStyle w:val="FootnoteText"/>
      </w:pPr>
      <w:r>
        <w:rPr>
          <w:rStyle w:val="FootnoteReference"/>
        </w:rPr>
        <w:footnoteRef/>
      </w:r>
      <w:r>
        <w:t xml:space="preserve"> Micronet Response to Petition to Deny </w:t>
      </w:r>
      <w:r w:rsidR="003A47C5">
        <w:t>Digis’</w:t>
      </w:r>
      <w:r>
        <w:t xml:space="preserve"> </w:t>
      </w:r>
      <w:r w:rsidRPr="003060F6">
        <w:t>Application Numbers 0006242</w:t>
      </w:r>
      <w:r>
        <w:t xml:space="preserve">783 and 0006242860 (filed May 30, 2014) </w:t>
      </w:r>
      <w:r w:rsidR="00F82C5C" w:rsidRPr="00316DE6">
        <w:t>(Micronet Response)</w:t>
      </w:r>
      <w:r>
        <w:t xml:space="preserve"> at 1, Exhibits E and G.</w:t>
      </w:r>
    </w:p>
  </w:footnote>
  <w:footnote w:id="27">
    <w:p w14:paraId="716DA2C5" w14:textId="77777777" w:rsidR="0082300B" w:rsidRDefault="0082300B" w:rsidP="0082300B">
      <w:pPr>
        <w:pStyle w:val="FootnoteText"/>
      </w:pPr>
      <w:r>
        <w:rPr>
          <w:rStyle w:val="FootnoteReference"/>
        </w:rPr>
        <w:footnoteRef/>
      </w:r>
      <w:r>
        <w:t xml:space="preserve"> Clark </w:t>
      </w:r>
      <w:r w:rsidRPr="00654090">
        <w:t>Letter at 2.</w:t>
      </w:r>
    </w:p>
  </w:footnote>
  <w:footnote w:id="28">
    <w:p w14:paraId="60652EC5" w14:textId="19C43912" w:rsidR="00D948FB" w:rsidRDefault="00D948FB">
      <w:pPr>
        <w:pStyle w:val="FootnoteText"/>
      </w:pPr>
      <w:r>
        <w:rPr>
          <w:rStyle w:val="FootnoteReference"/>
        </w:rPr>
        <w:footnoteRef/>
      </w:r>
      <w:r>
        <w:t xml:space="preserve"> Comsearch Petition to Deny at 2; Micronet Response at Exhibit L. </w:t>
      </w:r>
    </w:p>
  </w:footnote>
  <w:footnote w:id="29">
    <w:p w14:paraId="47927D3A" w14:textId="66E83F41" w:rsidR="00D948FB" w:rsidRDefault="00D948FB">
      <w:pPr>
        <w:pStyle w:val="FootnoteText"/>
      </w:pPr>
      <w:r>
        <w:rPr>
          <w:rStyle w:val="FootnoteReference"/>
        </w:rPr>
        <w:footnoteRef/>
      </w:r>
      <w:r>
        <w:t xml:space="preserve"> Micronet Petition to Deny </w:t>
      </w:r>
      <w:r w:rsidR="00971442">
        <w:t xml:space="preserve">TXOX </w:t>
      </w:r>
      <w:r>
        <w:t>at 1, Exhibit B.</w:t>
      </w:r>
    </w:p>
  </w:footnote>
  <w:footnote w:id="30">
    <w:p w14:paraId="3EA2A3CF" w14:textId="4FD8F44A" w:rsidR="00D948FB" w:rsidRDefault="00D948FB">
      <w:pPr>
        <w:pStyle w:val="FootnoteText"/>
      </w:pPr>
      <w:r>
        <w:rPr>
          <w:rStyle w:val="FootnoteReference"/>
        </w:rPr>
        <w:footnoteRef/>
      </w:r>
      <w:r>
        <w:t xml:space="preserve"> Micronet Petition to Deny TXOX at Exhibit C. </w:t>
      </w:r>
    </w:p>
  </w:footnote>
  <w:footnote w:id="31">
    <w:p w14:paraId="05748D06" w14:textId="77FF849D" w:rsidR="00D948FB" w:rsidRDefault="00D948FB">
      <w:pPr>
        <w:pStyle w:val="FootnoteText"/>
      </w:pPr>
      <w:r>
        <w:rPr>
          <w:rStyle w:val="FootnoteReference"/>
        </w:rPr>
        <w:footnoteRef/>
      </w:r>
      <w:r>
        <w:t xml:space="preserve"> </w:t>
      </w:r>
      <w:r w:rsidR="00971442">
        <w:t xml:space="preserve">Micronet Petition to Deny TXOX </w:t>
      </w:r>
      <w:r>
        <w:t xml:space="preserve">at 1, Exhibit D. </w:t>
      </w:r>
    </w:p>
  </w:footnote>
  <w:footnote w:id="32">
    <w:p w14:paraId="4B798688" w14:textId="515BDA19" w:rsidR="00D948FB" w:rsidRDefault="00D948FB" w:rsidP="00015C87">
      <w:pPr>
        <w:pStyle w:val="FootnoteText"/>
      </w:pPr>
      <w:r>
        <w:rPr>
          <w:rStyle w:val="FootnoteReference"/>
        </w:rPr>
        <w:footnoteRef/>
      </w:r>
      <w:r>
        <w:t xml:space="preserve"> </w:t>
      </w:r>
      <w:r w:rsidRPr="00157EB1">
        <w:rPr>
          <w:i/>
        </w:rPr>
        <w:t>See</w:t>
      </w:r>
      <w:r>
        <w:t xml:space="preserve"> File N</w:t>
      </w:r>
      <w:r w:rsidR="00F82C5C">
        <w:t>o</w:t>
      </w:r>
      <w:r>
        <w:t>s</w:t>
      </w:r>
      <w:r w:rsidR="00F82C5C">
        <w:t>.</w:t>
      </w:r>
      <w:r>
        <w:t xml:space="preserve"> 0006242783 and 0006242860 </w:t>
      </w:r>
      <w:r w:rsidR="00FA350B">
        <w:t>(</w:t>
      </w:r>
      <w:r>
        <w:t>filed Apr</w:t>
      </w:r>
      <w:r w:rsidR="00FA350B">
        <w:t>.</w:t>
      </w:r>
      <w:r>
        <w:t xml:space="preserve"> 16, 2014</w:t>
      </w:r>
      <w:r w:rsidR="00FA350B">
        <w:t>)</w:t>
      </w:r>
      <w:r>
        <w:t>.  The applications were amended on June 23, 2014</w:t>
      </w:r>
      <w:r w:rsidR="004F3FF3">
        <w:t>,</w:t>
      </w:r>
      <w:r>
        <w:t xml:space="preserve"> June 24, 2014</w:t>
      </w:r>
      <w:r w:rsidR="004F3FF3">
        <w:t>, November 12, 2014, and November 13, 2014</w:t>
      </w:r>
      <w:r>
        <w:t xml:space="preserve">.  </w:t>
      </w:r>
    </w:p>
  </w:footnote>
  <w:footnote w:id="33">
    <w:p w14:paraId="050BDBAB" w14:textId="5639C659" w:rsidR="00D948FB" w:rsidRDefault="00D948FB">
      <w:pPr>
        <w:pStyle w:val="FootnoteText"/>
      </w:pPr>
      <w:r>
        <w:rPr>
          <w:rStyle w:val="FootnoteReference"/>
        </w:rPr>
        <w:footnoteRef/>
      </w:r>
      <w:r>
        <w:t xml:space="preserve"> </w:t>
      </w:r>
      <w:r w:rsidR="00FA350B" w:rsidRPr="00F172A6">
        <w:t>See File N</w:t>
      </w:r>
      <w:r w:rsidR="00F82C5C">
        <w:t>o</w:t>
      </w:r>
      <w:r w:rsidR="00FA350B" w:rsidRPr="00F172A6">
        <w:t>s</w:t>
      </w:r>
      <w:r w:rsidR="00F82C5C">
        <w:t>.</w:t>
      </w:r>
      <w:r w:rsidR="00FA350B" w:rsidRPr="00F172A6">
        <w:t xml:space="preserve"> 0006242783 and 0006242860 </w:t>
      </w:r>
      <w:r w:rsidR="00FA350B">
        <w:t>(</w:t>
      </w:r>
      <w:r w:rsidR="00FA350B" w:rsidRPr="00F172A6">
        <w:t>filed Apr</w:t>
      </w:r>
      <w:r w:rsidR="00FA350B">
        <w:t>.</w:t>
      </w:r>
      <w:r w:rsidR="00FA350B" w:rsidRPr="00F172A6">
        <w:t xml:space="preserve"> 16, 2014</w:t>
      </w:r>
      <w:r w:rsidR="00FA350B">
        <w:t>).</w:t>
      </w:r>
    </w:p>
  </w:footnote>
  <w:footnote w:id="34">
    <w:p w14:paraId="46C32C4C" w14:textId="3BFD2086" w:rsidR="00D948FB" w:rsidRDefault="00D948FB">
      <w:pPr>
        <w:pStyle w:val="FootnoteText"/>
      </w:pPr>
      <w:r>
        <w:rPr>
          <w:rStyle w:val="FootnoteReference"/>
        </w:rPr>
        <w:footnoteRef/>
      </w:r>
      <w:r>
        <w:t xml:space="preserve"> </w:t>
      </w:r>
      <w:r w:rsidR="00FA350B" w:rsidRPr="00157EB1">
        <w:rPr>
          <w:i/>
        </w:rPr>
        <w:t>See</w:t>
      </w:r>
      <w:r w:rsidR="00FA350B">
        <w:t xml:space="preserve"> </w:t>
      </w:r>
      <w:r w:rsidR="00FA350B" w:rsidRPr="00F172A6">
        <w:t>File N</w:t>
      </w:r>
      <w:r w:rsidR="00FA350B">
        <w:t>o</w:t>
      </w:r>
      <w:r w:rsidR="00FA350B" w:rsidRPr="00F172A6">
        <w:t>s</w:t>
      </w:r>
      <w:r w:rsidR="00FA350B">
        <w:t>.</w:t>
      </w:r>
      <w:r w:rsidR="00FA350B" w:rsidRPr="00F172A6">
        <w:t xml:space="preserve"> 0006242783 and 0006242860</w:t>
      </w:r>
      <w:r w:rsidR="00FA350B">
        <w:t xml:space="preserve">, amendment, </w:t>
      </w:r>
      <w:r w:rsidR="00FA350B" w:rsidRPr="00F172A6">
        <w:t xml:space="preserve">“Unresolved </w:t>
      </w:r>
      <w:r w:rsidR="004F3FF3">
        <w:t xml:space="preserve">Case </w:t>
      </w:r>
      <w:r w:rsidR="00FA350B" w:rsidRPr="00F172A6">
        <w:t>Explanation”</w:t>
      </w:r>
      <w:r w:rsidR="00FA350B">
        <w:t xml:space="preserve"> (filed June 23, 2014)</w:t>
      </w:r>
      <w:r w:rsidR="00FA350B" w:rsidRPr="00F172A6">
        <w:t>.</w:t>
      </w:r>
    </w:p>
  </w:footnote>
  <w:footnote w:id="35">
    <w:p w14:paraId="7F8EA46E" w14:textId="0675EB6F" w:rsidR="00D948FB" w:rsidRDefault="00D948FB" w:rsidP="00972537">
      <w:pPr>
        <w:pStyle w:val="FootnoteText"/>
      </w:pPr>
      <w:r>
        <w:rPr>
          <w:rStyle w:val="FootnoteReference"/>
        </w:rPr>
        <w:footnoteRef/>
      </w:r>
      <w:r w:rsidR="004F3FF3">
        <w:t xml:space="preserve"> </w:t>
      </w:r>
      <w:r>
        <w:t>Comsearch Petition to Deny Digis at 1.</w:t>
      </w:r>
    </w:p>
  </w:footnote>
  <w:footnote w:id="36">
    <w:p w14:paraId="1E471BC8" w14:textId="13B5C828" w:rsidR="00D948FB" w:rsidRDefault="00D948FB" w:rsidP="00972537">
      <w:pPr>
        <w:pStyle w:val="FootnoteText"/>
      </w:pPr>
      <w:r>
        <w:rPr>
          <w:rStyle w:val="FootnoteReference"/>
        </w:rPr>
        <w:footnoteRef/>
      </w:r>
      <w:r>
        <w:t xml:space="preserve"> Comsearch Petition to Deny Digis at 1.</w:t>
      </w:r>
    </w:p>
  </w:footnote>
  <w:footnote w:id="37">
    <w:p w14:paraId="290178E3" w14:textId="20F8AA1F" w:rsidR="00D948FB" w:rsidRDefault="00D948FB" w:rsidP="00972537">
      <w:pPr>
        <w:pStyle w:val="FootnoteText"/>
      </w:pPr>
      <w:r>
        <w:rPr>
          <w:rStyle w:val="FootnoteReference"/>
        </w:rPr>
        <w:footnoteRef/>
      </w:r>
      <w:r>
        <w:t xml:space="preserve"> Comsearch Petition to Deny Digis at 2.</w:t>
      </w:r>
    </w:p>
  </w:footnote>
  <w:footnote w:id="38">
    <w:p w14:paraId="16858C1C" w14:textId="75AD19A9" w:rsidR="00D948FB" w:rsidRDefault="00D948FB" w:rsidP="00972537">
      <w:pPr>
        <w:pStyle w:val="FootnoteText"/>
      </w:pPr>
      <w:r>
        <w:rPr>
          <w:rStyle w:val="FootnoteReference"/>
        </w:rPr>
        <w:footnoteRef/>
      </w:r>
      <w:r>
        <w:t xml:space="preserve"> </w:t>
      </w:r>
      <w:r w:rsidR="00340112">
        <w:t xml:space="preserve">Micronet </w:t>
      </w:r>
      <w:r w:rsidR="00F82C5C">
        <w:t>Response</w:t>
      </w:r>
      <w:r>
        <w:t>.</w:t>
      </w:r>
    </w:p>
  </w:footnote>
  <w:footnote w:id="39">
    <w:p w14:paraId="1C5CC672" w14:textId="14B1F008" w:rsidR="00D948FB" w:rsidRDefault="00D948FB" w:rsidP="00972537">
      <w:pPr>
        <w:pStyle w:val="FootnoteText"/>
      </w:pPr>
      <w:r>
        <w:rPr>
          <w:rStyle w:val="FootnoteReference"/>
        </w:rPr>
        <w:footnoteRef/>
      </w:r>
      <w:r>
        <w:t xml:space="preserve"> Micronet Response at 1.    </w:t>
      </w:r>
    </w:p>
  </w:footnote>
  <w:footnote w:id="40">
    <w:p w14:paraId="2E35C6B3" w14:textId="33772CD1" w:rsidR="00D948FB" w:rsidRDefault="00D948FB" w:rsidP="00972537">
      <w:pPr>
        <w:pStyle w:val="FootnoteText"/>
      </w:pPr>
      <w:r>
        <w:rPr>
          <w:rStyle w:val="FootnoteReference"/>
        </w:rPr>
        <w:footnoteRef/>
      </w:r>
      <w:r>
        <w:t xml:space="preserve"> Micronet Response at 2.  </w:t>
      </w:r>
    </w:p>
  </w:footnote>
  <w:footnote w:id="41">
    <w:p w14:paraId="60149F36" w14:textId="146DF1D7" w:rsidR="00D948FB" w:rsidRDefault="00D948FB" w:rsidP="00972537">
      <w:pPr>
        <w:pStyle w:val="FootnoteText"/>
      </w:pPr>
      <w:r>
        <w:rPr>
          <w:rStyle w:val="FootnoteReference"/>
        </w:rPr>
        <w:footnoteRef/>
      </w:r>
      <w:r>
        <w:t xml:space="preserve"> Micronet Response at 2.</w:t>
      </w:r>
    </w:p>
  </w:footnote>
  <w:footnote w:id="42">
    <w:p w14:paraId="310A825A" w14:textId="51137857" w:rsidR="00D948FB" w:rsidRDefault="00D948FB" w:rsidP="00972537">
      <w:pPr>
        <w:pStyle w:val="FootnoteText"/>
      </w:pPr>
      <w:r>
        <w:rPr>
          <w:rStyle w:val="FootnoteReference"/>
        </w:rPr>
        <w:footnoteRef/>
      </w:r>
      <w:r>
        <w:t xml:space="preserve"> File N</w:t>
      </w:r>
      <w:r w:rsidR="00A5298F">
        <w:t>o</w:t>
      </w:r>
      <w:r>
        <w:t>s</w:t>
      </w:r>
      <w:r w:rsidR="00A5298F">
        <w:t>.</w:t>
      </w:r>
      <w:r>
        <w:t xml:space="preserve"> 0006321177, 0006321179 and 0006321186 </w:t>
      </w:r>
      <w:r w:rsidR="00A5298F">
        <w:t>(</w:t>
      </w:r>
      <w:r>
        <w:t>filed June 10, 2014</w:t>
      </w:r>
      <w:r w:rsidR="00A5298F">
        <w:t>)</w:t>
      </w:r>
      <w:r>
        <w:t>.</w:t>
      </w:r>
    </w:p>
  </w:footnote>
  <w:footnote w:id="43">
    <w:p w14:paraId="7B379481" w14:textId="6DE3E541" w:rsidR="00D948FB" w:rsidRDefault="00D948FB" w:rsidP="00972537">
      <w:pPr>
        <w:pStyle w:val="FootnoteText"/>
      </w:pPr>
      <w:r>
        <w:rPr>
          <w:rStyle w:val="FootnoteReference"/>
        </w:rPr>
        <w:footnoteRef/>
      </w:r>
      <w:r w:rsidR="003A55AD">
        <w:t xml:space="preserve"> </w:t>
      </w:r>
      <w:r>
        <w:t xml:space="preserve">Micronet Petition to Deny TXOX. </w:t>
      </w:r>
    </w:p>
  </w:footnote>
  <w:footnote w:id="44">
    <w:p w14:paraId="1E490297" w14:textId="1AF1A02A" w:rsidR="00D948FB" w:rsidRDefault="00D948FB" w:rsidP="00972537">
      <w:pPr>
        <w:pStyle w:val="FootnoteText"/>
      </w:pPr>
      <w:r>
        <w:rPr>
          <w:rStyle w:val="FootnoteReference"/>
        </w:rPr>
        <w:footnoteRef/>
      </w:r>
      <w:r>
        <w:t xml:space="preserve"> Micronet </w:t>
      </w:r>
      <w:r w:rsidRPr="00FC5726">
        <w:t xml:space="preserve">Petition to Deny TXOX </w:t>
      </w:r>
      <w:r>
        <w:t>at 1.</w:t>
      </w:r>
    </w:p>
  </w:footnote>
  <w:footnote w:id="45">
    <w:p w14:paraId="070CE48A" w14:textId="6F5DF88C" w:rsidR="00097BCA" w:rsidRDefault="00097BCA">
      <w:pPr>
        <w:pStyle w:val="FootnoteText"/>
      </w:pPr>
      <w:r>
        <w:rPr>
          <w:rStyle w:val="FootnoteReference"/>
        </w:rPr>
        <w:footnoteRef/>
      </w:r>
      <w:r>
        <w:t xml:space="preserve"> </w:t>
      </w:r>
      <w:r w:rsidRPr="00FC5726">
        <w:t xml:space="preserve">Letter from </w:t>
      </w:r>
      <w:r>
        <w:t>Stephen Buenzow, Deputy Chief, Broadband Division, Wireless Telecommunications Bureau to Doug Clark, TXOX Communications  LLC. (dated Aug. 6, 2014) (Operational Status Letter).</w:t>
      </w:r>
    </w:p>
  </w:footnote>
  <w:footnote w:id="46">
    <w:p w14:paraId="1A19E692" w14:textId="03151071" w:rsidR="00D948FB" w:rsidRDefault="00D948FB" w:rsidP="00972537">
      <w:pPr>
        <w:pStyle w:val="FootnoteText"/>
      </w:pPr>
      <w:r>
        <w:rPr>
          <w:rStyle w:val="FootnoteReference"/>
        </w:rPr>
        <w:footnoteRef/>
      </w:r>
      <w:r>
        <w:t xml:space="preserve"> </w:t>
      </w:r>
      <w:r w:rsidR="00097BCA">
        <w:t>Operational Status Letter at 1.</w:t>
      </w:r>
    </w:p>
  </w:footnote>
  <w:footnote w:id="47">
    <w:p w14:paraId="35EE1E0E" w14:textId="3CF21334" w:rsidR="00D948FB" w:rsidRDefault="00D948FB" w:rsidP="00972537">
      <w:pPr>
        <w:pStyle w:val="FootnoteText"/>
      </w:pPr>
      <w:r>
        <w:rPr>
          <w:rStyle w:val="FootnoteReference"/>
        </w:rPr>
        <w:footnoteRef/>
      </w:r>
      <w:r>
        <w:t xml:space="preserve"> </w:t>
      </w:r>
      <w:r w:rsidR="008778F0">
        <w:t xml:space="preserve">Clark </w:t>
      </w:r>
      <w:r w:rsidRPr="00D948FB">
        <w:t>Letter</w:t>
      </w:r>
      <w:r>
        <w:t>.</w:t>
      </w:r>
    </w:p>
  </w:footnote>
  <w:footnote w:id="48">
    <w:p w14:paraId="0B03D170" w14:textId="777E8481" w:rsidR="00D948FB" w:rsidRDefault="00D948FB" w:rsidP="00972537">
      <w:pPr>
        <w:pStyle w:val="FootnoteText"/>
      </w:pPr>
      <w:r>
        <w:rPr>
          <w:rStyle w:val="FootnoteReference"/>
        </w:rPr>
        <w:footnoteRef/>
      </w:r>
      <w:r>
        <w:t xml:space="preserve"> </w:t>
      </w:r>
      <w:r w:rsidR="008778F0">
        <w:t xml:space="preserve">Clark </w:t>
      </w:r>
      <w:r w:rsidRPr="00654090">
        <w:t>Letter</w:t>
      </w:r>
      <w:r>
        <w:t xml:space="preserve"> at 1-2</w:t>
      </w:r>
      <w:r w:rsidRPr="00654090">
        <w:t>.</w:t>
      </w:r>
    </w:p>
  </w:footnote>
  <w:footnote w:id="49">
    <w:p w14:paraId="2C865AB4" w14:textId="34F3E85E" w:rsidR="00D948FB" w:rsidRDefault="00D948FB" w:rsidP="00972537">
      <w:pPr>
        <w:pStyle w:val="FootnoteText"/>
      </w:pPr>
      <w:r>
        <w:rPr>
          <w:rStyle w:val="FootnoteReference"/>
        </w:rPr>
        <w:footnoteRef/>
      </w:r>
      <w:r>
        <w:t xml:space="preserve"> </w:t>
      </w:r>
      <w:r w:rsidR="008778F0">
        <w:t xml:space="preserve">Clark </w:t>
      </w:r>
      <w:r w:rsidRPr="00654090">
        <w:t>Letter</w:t>
      </w:r>
      <w:r w:rsidR="008778F0">
        <w:t xml:space="preserve"> </w:t>
      </w:r>
      <w:r>
        <w:t>at 2</w:t>
      </w:r>
      <w:r w:rsidRPr="00654090">
        <w:t>.</w:t>
      </w:r>
    </w:p>
  </w:footnote>
  <w:footnote w:id="50">
    <w:p w14:paraId="2C414BF4" w14:textId="36A1DBED" w:rsidR="00D948FB" w:rsidRDefault="00D948FB" w:rsidP="00972537">
      <w:pPr>
        <w:pStyle w:val="FootnoteText"/>
      </w:pPr>
      <w:r>
        <w:rPr>
          <w:rStyle w:val="FootnoteReference"/>
        </w:rPr>
        <w:footnoteRef/>
      </w:r>
      <w:r>
        <w:t xml:space="preserve"> </w:t>
      </w:r>
      <w:r w:rsidR="008778F0">
        <w:t xml:space="preserve">Clark </w:t>
      </w:r>
      <w:r w:rsidR="00B6181B" w:rsidRPr="00B6181B">
        <w:t>Letter</w:t>
      </w:r>
      <w:r w:rsidR="008778F0">
        <w:t xml:space="preserve"> </w:t>
      </w:r>
      <w:r w:rsidR="00B6181B" w:rsidRPr="00B6181B">
        <w:t>at 2.</w:t>
      </w:r>
    </w:p>
  </w:footnote>
  <w:footnote w:id="51">
    <w:p w14:paraId="5E849C6F" w14:textId="48E59A0C" w:rsidR="00D948FB" w:rsidRDefault="00D948FB" w:rsidP="00084FB8">
      <w:pPr>
        <w:pStyle w:val="FootnoteText"/>
      </w:pPr>
      <w:r>
        <w:rPr>
          <w:rStyle w:val="FootnoteReference"/>
        </w:rPr>
        <w:footnoteRef/>
      </w:r>
      <w:r>
        <w:t xml:space="preserve"> </w:t>
      </w:r>
      <w:r w:rsidR="008778F0">
        <w:t xml:space="preserve">Blair </w:t>
      </w:r>
      <w:r w:rsidR="0035286D">
        <w:t xml:space="preserve">Letter </w:t>
      </w:r>
      <w:r>
        <w:t xml:space="preserve"> at 2. </w:t>
      </w:r>
    </w:p>
  </w:footnote>
  <w:footnote w:id="52">
    <w:p w14:paraId="4B308327" w14:textId="77777777" w:rsidR="00D948FB" w:rsidRDefault="00D948FB" w:rsidP="00D60B69">
      <w:pPr>
        <w:pStyle w:val="FootnoteText"/>
      </w:pPr>
      <w:r>
        <w:rPr>
          <w:rStyle w:val="FootnoteReference"/>
        </w:rPr>
        <w:footnoteRef/>
      </w:r>
      <w:r>
        <w:t xml:space="preserve"> 47 C.F.R. § 101.65(a). </w:t>
      </w:r>
    </w:p>
  </w:footnote>
  <w:footnote w:id="53">
    <w:p w14:paraId="46135228" w14:textId="22291A5C" w:rsidR="00D948FB" w:rsidRDefault="00D948FB">
      <w:pPr>
        <w:pStyle w:val="FootnoteText"/>
      </w:pPr>
      <w:r>
        <w:rPr>
          <w:rStyle w:val="FootnoteReference"/>
        </w:rPr>
        <w:footnoteRef/>
      </w:r>
      <w:r>
        <w:t xml:space="preserve"> </w:t>
      </w:r>
      <w:r w:rsidR="008778F0">
        <w:t xml:space="preserve">Clark </w:t>
      </w:r>
      <w:r w:rsidR="00166C75" w:rsidRPr="00166C75">
        <w:t>Letter at 2.</w:t>
      </w:r>
    </w:p>
  </w:footnote>
  <w:footnote w:id="54">
    <w:p w14:paraId="5B8538D4" w14:textId="4536A846" w:rsidR="00D948FB" w:rsidRDefault="00D948FB">
      <w:pPr>
        <w:pStyle w:val="FootnoteText"/>
      </w:pPr>
      <w:r>
        <w:rPr>
          <w:rStyle w:val="FootnoteReference"/>
        </w:rPr>
        <w:footnoteRef/>
      </w:r>
      <w:r>
        <w:t xml:space="preserve"> </w:t>
      </w:r>
      <w:r w:rsidR="008778F0">
        <w:t xml:space="preserve">Clark </w:t>
      </w:r>
      <w:r w:rsidR="00166C75" w:rsidRPr="00166C75">
        <w:t>Letter at 2.</w:t>
      </w:r>
    </w:p>
  </w:footnote>
  <w:footnote w:id="55">
    <w:p w14:paraId="49ED8124" w14:textId="5D2281AA" w:rsidR="00D948FB" w:rsidRDefault="00D948FB">
      <w:pPr>
        <w:pStyle w:val="FootnoteText"/>
      </w:pPr>
      <w:r>
        <w:rPr>
          <w:rStyle w:val="FootnoteReference"/>
        </w:rPr>
        <w:footnoteRef/>
      </w:r>
      <w:r>
        <w:t xml:space="preserve"> 47 C.F.R. § 101.65(a).</w:t>
      </w:r>
    </w:p>
  </w:footnote>
  <w:footnote w:id="56">
    <w:p w14:paraId="69A0E806" w14:textId="1169D29F" w:rsidR="00376639" w:rsidRDefault="00376639" w:rsidP="00376639">
      <w:pPr>
        <w:pStyle w:val="FootnoteText"/>
      </w:pPr>
      <w:r>
        <w:rPr>
          <w:rStyle w:val="FootnoteReference"/>
        </w:rPr>
        <w:footnoteRef/>
      </w:r>
      <w:r>
        <w:t xml:space="preserve"> </w:t>
      </w:r>
      <w:r w:rsidRPr="00A81134">
        <w:t xml:space="preserve">Section 1.947(a) of the Commission’s rules requires that all major modifications, as defined in Section 1.929 of the </w:t>
      </w:r>
      <w:r w:rsidR="00D652EA">
        <w:t>r</w:t>
      </w:r>
      <w:r w:rsidRPr="00A81134">
        <w:t xml:space="preserve">ules, require prior Commission approval. </w:t>
      </w:r>
      <w:r>
        <w:t xml:space="preserve"> </w:t>
      </w:r>
      <w:r w:rsidRPr="00A81134">
        <w:t>47 C</w:t>
      </w:r>
      <w:r>
        <w:t>.</w:t>
      </w:r>
      <w:r w:rsidRPr="00A81134">
        <w:t>F</w:t>
      </w:r>
      <w:r>
        <w:t>.</w:t>
      </w:r>
      <w:r w:rsidRPr="00A81134">
        <w:t>R</w:t>
      </w:r>
      <w:r>
        <w:t>.</w:t>
      </w:r>
      <w:r w:rsidRPr="00A81134">
        <w:t xml:space="preserve"> </w:t>
      </w:r>
      <w:r>
        <w:t>§ 1.947(a)</w:t>
      </w:r>
      <w:r w:rsidRPr="00A81134">
        <w:t>.</w:t>
      </w:r>
      <w:r>
        <w:t xml:space="preserve">  </w:t>
      </w:r>
    </w:p>
  </w:footnote>
  <w:footnote w:id="57">
    <w:p w14:paraId="5CF226D0" w14:textId="77777777" w:rsidR="00376639" w:rsidRDefault="00376639" w:rsidP="00376639">
      <w:pPr>
        <w:pStyle w:val="FootnoteText"/>
      </w:pPr>
      <w:r>
        <w:rPr>
          <w:rStyle w:val="FootnoteReference"/>
        </w:rPr>
        <w:footnoteRef/>
      </w:r>
      <w:r>
        <w:t xml:space="preserve"> </w:t>
      </w:r>
      <w:r w:rsidRPr="00A81134">
        <w:t>47 C</w:t>
      </w:r>
      <w:r>
        <w:t>.</w:t>
      </w:r>
      <w:r w:rsidRPr="00A81134">
        <w:t>F</w:t>
      </w:r>
      <w:r>
        <w:t>.</w:t>
      </w:r>
      <w:r w:rsidRPr="00A81134">
        <w:t>R</w:t>
      </w:r>
      <w:r>
        <w:t>.</w:t>
      </w:r>
      <w:r w:rsidRPr="00A81134">
        <w:t xml:space="preserve"> </w:t>
      </w:r>
      <w:r>
        <w:t>§ 1.929(d)(1)(i)</w:t>
      </w:r>
      <w:r w:rsidRPr="00A81134">
        <w:t>.</w:t>
      </w:r>
    </w:p>
  </w:footnote>
  <w:footnote w:id="58">
    <w:p w14:paraId="2873C2F6" w14:textId="2E2CD9CE" w:rsidR="007E2D9C" w:rsidRPr="007E2D9C" w:rsidRDefault="007E2D9C">
      <w:pPr>
        <w:pStyle w:val="FootnoteText"/>
      </w:pPr>
      <w:r>
        <w:rPr>
          <w:rStyle w:val="FootnoteReference"/>
        </w:rPr>
        <w:footnoteRef/>
      </w:r>
      <w:r>
        <w:t xml:space="preserve"> </w:t>
      </w:r>
      <w:r>
        <w:rPr>
          <w:i/>
        </w:rPr>
        <w:t>See</w:t>
      </w:r>
      <w:r>
        <w:t xml:space="preserve"> Orange Crush Recycle, L.P., </w:t>
      </w:r>
      <w:r>
        <w:rPr>
          <w:i/>
        </w:rPr>
        <w:t>supra</w:t>
      </w:r>
      <w:r>
        <w:t>, 24 FCC Rcd at 10990 ¶ 9.</w:t>
      </w:r>
    </w:p>
  </w:footnote>
  <w:footnote w:id="59">
    <w:p w14:paraId="433CE16F" w14:textId="2D585D71" w:rsidR="00F0314D" w:rsidRPr="00F0314D" w:rsidRDefault="00F0314D">
      <w:pPr>
        <w:pStyle w:val="FootnoteText"/>
      </w:pPr>
      <w:r>
        <w:rPr>
          <w:rStyle w:val="FootnoteReference"/>
        </w:rPr>
        <w:footnoteRef/>
      </w:r>
      <w:r>
        <w:t xml:space="preserve"> </w:t>
      </w:r>
      <w:r>
        <w:rPr>
          <w:i/>
        </w:rPr>
        <w:t>See</w:t>
      </w:r>
      <w:r>
        <w:t xml:space="preserve"> Hillebrand Broadcasting, Inc., </w:t>
      </w:r>
      <w:r w:rsidR="006A75B7">
        <w:t xml:space="preserve">MM Docket No. 85-13, </w:t>
      </w:r>
      <w:r>
        <w:rPr>
          <w:i/>
        </w:rPr>
        <w:t>Order</w:t>
      </w:r>
      <w:r>
        <w:t>, 1 FCC Rcd 419, 420 n.6 (1986).</w:t>
      </w:r>
    </w:p>
  </w:footnote>
  <w:footnote w:id="60">
    <w:p w14:paraId="267EEBF8" w14:textId="27DD2D34" w:rsidR="00D948FB" w:rsidRDefault="00D948FB">
      <w:pPr>
        <w:pStyle w:val="FootnoteText"/>
      </w:pPr>
      <w:r>
        <w:rPr>
          <w:rStyle w:val="FootnoteReference"/>
        </w:rPr>
        <w:footnoteRef/>
      </w:r>
      <w:r>
        <w:t xml:space="preserve"> </w:t>
      </w:r>
      <w:r w:rsidR="00DD254F">
        <w:t xml:space="preserve">Clark </w:t>
      </w:r>
      <w:r w:rsidR="00B76EF2" w:rsidRPr="00B76EF2">
        <w:t>Letter</w:t>
      </w:r>
      <w:r w:rsidR="00DD254F">
        <w:t xml:space="preserve"> </w:t>
      </w:r>
      <w:r w:rsidR="00B76EF2">
        <w:t>at 3.</w:t>
      </w:r>
    </w:p>
  </w:footnote>
  <w:footnote w:id="61">
    <w:p w14:paraId="2BE51406" w14:textId="28B86545" w:rsidR="00D948FB" w:rsidRDefault="00D948FB">
      <w:pPr>
        <w:pStyle w:val="FootnoteText"/>
      </w:pPr>
      <w:r>
        <w:rPr>
          <w:rStyle w:val="FootnoteReference"/>
        </w:rPr>
        <w:footnoteRef/>
      </w:r>
      <w:r>
        <w:t xml:space="preserve"> </w:t>
      </w:r>
      <w:r w:rsidR="00DD254F">
        <w:t xml:space="preserve">Clark </w:t>
      </w:r>
      <w:r w:rsidR="00B76EF2" w:rsidRPr="00B76EF2">
        <w:t>Letter at 2.</w:t>
      </w:r>
    </w:p>
  </w:footnote>
  <w:footnote w:id="62">
    <w:p w14:paraId="5E69339D" w14:textId="48DFBA04" w:rsidR="00D948FB" w:rsidRDefault="00D948FB">
      <w:pPr>
        <w:pStyle w:val="FootnoteText"/>
      </w:pPr>
      <w:r>
        <w:rPr>
          <w:rStyle w:val="FootnoteReference"/>
        </w:rPr>
        <w:footnoteRef/>
      </w:r>
      <w:r>
        <w:t xml:space="preserve"> </w:t>
      </w:r>
      <w:r w:rsidRPr="00157EB1">
        <w:rPr>
          <w:i/>
        </w:rPr>
        <w:t>See</w:t>
      </w:r>
      <w:r>
        <w:t xml:space="preserve"> File N</w:t>
      </w:r>
      <w:r w:rsidR="00FA350B">
        <w:t>o.</w:t>
      </w:r>
      <w:r>
        <w:t xml:space="preserve"> 0006321177.</w:t>
      </w:r>
    </w:p>
  </w:footnote>
  <w:footnote w:id="63">
    <w:p w14:paraId="539C1946" w14:textId="61A96341" w:rsidR="00D948FB" w:rsidRDefault="00D948FB">
      <w:pPr>
        <w:pStyle w:val="FootnoteText"/>
      </w:pPr>
      <w:r>
        <w:rPr>
          <w:rStyle w:val="FootnoteReference"/>
        </w:rPr>
        <w:footnoteRef/>
      </w:r>
      <w:r>
        <w:t xml:space="preserve"> </w:t>
      </w:r>
      <w:r w:rsidRPr="009E1DDF">
        <w:rPr>
          <w:i/>
        </w:rPr>
        <w:t>See</w:t>
      </w:r>
      <w:r>
        <w:t xml:space="preserve"> 47 C.F.R. § 101.65(a).</w:t>
      </w:r>
    </w:p>
  </w:footnote>
  <w:footnote w:id="64">
    <w:p w14:paraId="0788BFE0" w14:textId="5CEC0917" w:rsidR="00646B7C" w:rsidRDefault="00646B7C">
      <w:pPr>
        <w:pStyle w:val="FootnoteText"/>
      </w:pPr>
      <w:r>
        <w:rPr>
          <w:rStyle w:val="FootnoteReference"/>
        </w:rPr>
        <w:footnoteRef/>
      </w:r>
      <w:r>
        <w:t xml:space="preserve"> File No. </w:t>
      </w:r>
      <w:r>
        <w:rPr>
          <w:spacing w:val="-2"/>
        </w:rPr>
        <w:t>0006321177.</w:t>
      </w:r>
    </w:p>
  </w:footnote>
  <w:footnote w:id="65">
    <w:p w14:paraId="0C79B7F8" w14:textId="4564C5A4" w:rsidR="00F862F0" w:rsidRPr="00F862F0" w:rsidRDefault="00F862F0">
      <w:pPr>
        <w:pStyle w:val="FootnoteText"/>
      </w:pPr>
      <w:r>
        <w:rPr>
          <w:rStyle w:val="FootnoteReference"/>
        </w:rPr>
        <w:footnoteRef/>
      </w:r>
      <w:r>
        <w:t xml:space="preserve"> </w:t>
      </w:r>
      <w:r>
        <w:rPr>
          <w:i/>
        </w:rPr>
        <w:t>See</w:t>
      </w:r>
      <w:r>
        <w:t xml:space="preserve"> 47 C.F.R. § 101.103(d)(1).</w:t>
      </w:r>
    </w:p>
  </w:footnote>
  <w:footnote w:id="66">
    <w:p w14:paraId="696A2A7A" w14:textId="7D52CFB6" w:rsidR="0051266A" w:rsidRDefault="0051266A">
      <w:pPr>
        <w:pStyle w:val="FootnoteText"/>
      </w:pPr>
      <w:r>
        <w:rPr>
          <w:rStyle w:val="FootnoteReference"/>
        </w:rPr>
        <w:footnoteRef/>
      </w:r>
      <w:r>
        <w:t xml:space="preserve"> </w:t>
      </w:r>
      <w:r w:rsidR="006B7759" w:rsidRPr="00202320">
        <w:rPr>
          <w:i/>
        </w:rPr>
        <w:t>See</w:t>
      </w:r>
      <w:r w:rsidR="006B7759">
        <w:t xml:space="preserve"> 47 C.F.R. § 1.933(d)(9).</w:t>
      </w:r>
    </w:p>
  </w:footnote>
  <w:footnote w:id="67">
    <w:p w14:paraId="11656A22" w14:textId="4511CB80" w:rsidR="006B7759" w:rsidRDefault="006B7759">
      <w:pPr>
        <w:pStyle w:val="FootnoteText"/>
      </w:pPr>
      <w:r>
        <w:rPr>
          <w:rStyle w:val="FootnoteReference"/>
        </w:rPr>
        <w:footnoteRef/>
      </w:r>
      <w:r>
        <w:t xml:space="preserve"> 47 C.F.R. § 1.41</w:t>
      </w:r>
      <w:r w:rsidR="00DD254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E1F57" w14:textId="77777777" w:rsidR="00E17F49" w:rsidRDefault="00E17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F353C" w14:textId="03216050" w:rsidR="00D948FB" w:rsidRDefault="00D948FB" w:rsidP="00810B6F">
    <w:pPr>
      <w:pStyle w:val="Header"/>
      <w:rPr>
        <w:b w:val="0"/>
      </w:rPr>
    </w:pPr>
    <w:r>
      <w:tab/>
      <w:t>Federal Comm</w:t>
    </w:r>
    <w:r w:rsidR="00C93EF1">
      <w:t>unications Commission</w:t>
    </w:r>
    <w:r w:rsidR="00C93EF1">
      <w:tab/>
      <w:t>DA 14-1851</w:t>
    </w:r>
  </w:p>
  <w:p w14:paraId="7D9A0740" w14:textId="77777777" w:rsidR="00D948FB" w:rsidRDefault="00D948F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415B125" wp14:editId="4F39796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191514E5" w14:textId="77777777" w:rsidR="00D948FB" w:rsidRDefault="00D948FB">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C2FD0" w14:textId="4ECCF1E5" w:rsidR="00D948FB" w:rsidRDefault="00D948FB"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6AF387FC" wp14:editId="1BB4BC65">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w:t>
    </w:r>
    <w:r w:rsidR="00C93EF1">
      <w:t>unications Commission</w:t>
    </w:r>
    <w:r w:rsidR="00C93EF1">
      <w:tab/>
      <w:t>DA 14-1851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3600"/>
        </w:tabs>
        <w:ind w:left="252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A5"/>
    <w:rsid w:val="00000631"/>
    <w:rsid w:val="0000506C"/>
    <w:rsid w:val="00005754"/>
    <w:rsid w:val="000059DD"/>
    <w:rsid w:val="00006EB5"/>
    <w:rsid w:val="00007065"/>
    <w:rsid w:val="0001050C"/>
    <w:rsid w:val="0001146C"/>
    <w:rsid w:val="00011743"/>
    <w:rsid w:val="00015C87"/>
    <w:rsid w:val="0002636B"/>
    <w:rsid w:val="00036039"/>
    <w:rsid w:val="00037A2B"/>
    <w:rsid w:val="00037F90"/>
    <w:rsid w:val="00041ABE"/>
    <w:rsid w:val="00044AE5"/>
    <w:rsid w:val="00045AEB"/>
    <w:rsid w:val="000546CA"/>
    <w:rsid w:val="00056583"/>
    <w:rsid w:val="00056CDE"/>
    <w:rsid w:val="0006585B"/>
    <w:rsid w:val="000667BD"/>
    <w:rsid w:val="00066BCC"/>
    <w:rsid w:val="00080394"/>
    <w:rsid w:val="00084218"/>
    <w:rsid w:val="00084FB8"/>
    <w:rsid w:val="000875BF"/>
    <w:rsid w:val="00090A36"/>
    <w:rsid w:val="00092539"/>
    <w:rsid w:val="00096D8C"/>
    <w:rsid w:val="00097BCA"/>
    <w:rsid w:val="000A6D7B"/>
    <w:rsid w:val="000B15B9"/>
    <w:rsid w:val="000B16B7"/>
    <w:rsid w:val="000B18D3"/>
    <w:rsid w:val="000B2F19"/>
    <w:rsid w:val="000B7D67"/>
    <w:rsid w:val="000B7EAA"/>
    <w:rsid w:val="000C0B65"/>
    <w:rsid w:val="000C1DFA"/>
    <w:rsid w:val="000C4ADD"/>
    <w:rsid w:val="000D2D06"/>
    <w:rsid w:val="000D399C"/>
    <w:rsid w:val="000D4392"/>
    <w:rsid w:val="000D630E"/>
    <w:rsid w:val="000E05C9"/>
    <w:rsid w:val="000E05FE"/>
    <w:rsid w:val="000E1A0E"/>
    <w:rsid w:val="000E3D42"/>
    <w:rsid w:val="000E3F6E"/>
    <w:rsid w:val="000E51AF"/>
    <w:rsid w:val="000E6137"/>
    <w:rsid w:val="000E76D8"/>
    <w:rsid w:val="000F16BD"/>
    <w:rsid w:val="000F6C0D"/>
    <w:rsid w:val="001079ED"/>
    <w:rsid w:val="001161CD"/>
    <w:rsid w:val="00122BD5"/>
    <w:rsid w:val="001235B4"/>
    <w:rsid w:val="00123701"/>
    <w:rsid w:val="00124A1A"/>
    <w:rsid w:val="00126A97"/>
    <w:rsid w:val="00133580"/>
    <w:rsid w:val="00133F79"/>
    <w:rsid w:val="001409D4"/>
    <w:rsid w:val="00142BCE"/>
    <w:rsid w:val="00142D8D"/>
    <w:rsid w:val="00150FE0"/>
    <w:rsid w:val="0015248C"/>
    <w:rsid w:val="00153BA5"/>
    <w:rsid w:val="00154F4D"/>
    <w:rsid w:val="00157EB1"/>
    <w:rsid w:val="00164033"/>
    <w:rsid w:val="00165DC5"/>
    <w:rsid w:val="00166C75"/>
    <w:rsid w:val="001731AC"/>
    <w:rsid w:val="00174CCC"/>
    <w:rsid w:val="00184DD7"/>
    <w:rsid w:val="001875E7"/>
    <w:rsid w:val="001924BF"/>
    <w:rsid w:val="00194A66"/>
    <w:rsid w:val="001A13CE"/>
    <w:rsid w:val="001A2DD2"/>
    <w:rsid w:val="001A4236"/>
    <w:rsid w:val="001B2C3D"/>
    <w:rsid w:val="001B6964"/>
    <w:rsid w:val="001C2041"/>
    <w:rsid w:val="001C3F6B"/>
    <w:rsid w:val="001D6626"/>
    <w:rsid w:val="001D6BCF"/>
    <w:rsid w:val="001E01CA"/>
    <w:rsid w:val="001E0787"/>
    <w:rsid w:val="001E6C5F"/>
    <w:rsid w:val="001F4E74"/>
    <w:rsid w:val="001F5B23"/>
    <w:rsid w:val="001F5E29"/>
    <w:rsid w:val="001F5F47"/>
    <w:rsid w:val="001F6CDE"/>
    <w:rsid w:val="00202320"/>
    <w:rsid w:val="00206762"/>
    <w:rsid w:val="00211059"/>
    <w:rsid w:val="002112FA"/>
    <w:rsid w:val="00220457"/>
    <w:rsid w:val="002212D9"/>
    <w:rsid w:val="0022263B"/>
    <w:rsid w:val="00224A3C"/>
    <w:rsid w:val="002269D5"/>
    <w:rsid w:val="0022714B"/>
    <w:rsid w:val="0023608C"/>
    <w:rsid w:val="00242171"/>
    <w:rsid w:val="002448D4"/>
    <w:rsid w:val="00246AB6"/>
    <w:rsid w:val="00247482"/>
    <w:rsid w:val="00250633"/>
    <w:rsid w:val="00251ECC"/>
    <w:rsid w:val="00256A7A"/>
    <w:rsid w:val="00257985"/>
    <w:rsid w:val="00262F38"/>
    <w:rsid w:val="00271F64"/>
    <w:rsid w:val="00272520"/>
    <w:rsid w:val="00275CF5"/>
    <w:rsid w:val="00277BD6"/>
    <w:rsid w:val="0028301F"/>
    <w:rsid w:val="00285017"/>
    <w:rsid w:val="00295988"/>
    <w:rsid w:val="002A2D2E"/>
    <w:rsid w:val="002A2EE2"/>
    <w:rsid w:val="002A455D"/>
    <w:rsid w:val="002B2B0B"/>
    <w:rsid w:val="002B4458"/>
    <w:rsid w:val="002B5358"/>
    <w:rsid w:val="002B6380"/>
    <w:rsid w:val="002B6BC5"/>
    <w:rsid w:val="002B7257"/>
    <w:rsid w:val="002C00E8"/>
    <w:rsid w:val="002C597A"/>
    <w:rsid w:val="002C64C9"/>
    <w:rsid w:val="002D4415"/>
    <w:rsid w:val="002D6CE8"/>
    <w:rsid w:val="002D713B"/>
    <w:rsid w:val="002D7ABD"/>
    <w:rsid w:val="002E1079"/>
    <w:rsid w:val="002F038B"/>
    <w:rsid w:val="002F171D"/>
    <w:rsid w:val="002F64C6"/>
    <w:rsid w:val="003027B8"/>
    <w:rsid w:val="003060F6"/>
    <w:rsid w:val="0031273A"/>
    <w:rsid w:val="00314396"/>
    <w:rsid w:val="00316DE6"/>
    <w:rsid w:val="00327BC7"/>
    <w:rsid w:val="00330738"/>
    <w:rsid w:val="003326FA"/>
    <w:rsid w:val="00337D1C"/>
    <w:rsid w:val="00340112"/>
    <w:rsid w:val="00343749"/>
    <w:rsid w:val="00343AF6"/>
    <w:rsid w:val="00351878"/>
    <w:rsid w:val="00351F38"/>
    <w:rsid w:val="003526B5"/>
    <w:rsid w:val="0035286D"/>
    <w:rsid w:val="00352873"/>
    <w:rsid w:val="0035333A"/>
    <w:rsid w:val="00360406"/>
    <w:rsid w:val="003630B5"/>
    <w:rsid w:val="003660ED"/>
    <w:rsid w:val="00367306"/>
    <w:rsid w:val="0036736D"/>
    <w:rsid w:val="00371976"/>
    <w:rsid w:val="00376639"/>
    <w:rsid w:val="0037706F"/>
    <w:rsid w:val="003828C1"/>
    <w:rsid w:val="00384345"/>
    <w:rsid w:val="0038603B"/>
    <w:rsid w:val="0039503B"/>
    <w:rsid w:val="003A33F1"/>
    <w:rsid w:val="003A47C5"/>
    <w:rsid w:val="003A55AD"/>
    <w:rsid w:val="003A7F46"/>
    <w:rsid w:val="003B0550"/>
    <w:rsid w:val="003B694F"/>
    <w:rsid w:val="003C011F"/>
    <w:rsid w:val="003C6247"/>
    <w:rsid w:val="003C7499"/>
    <w:rsid w:val="003D0266"/>
    <w:rsid w:val="003D3CBE"/>
    <w:rsid w:val="003D404C"/>
    <w:rsid w:val="003D4DD0"/>
    <w:rsid w:val="003D52CC"/>
    <w:rsid w:val="003D5623"/>
    <w:rsid w:val="003D63C3"/>
    <w:rsid w:val="003D6F68"/>
    <w:rsid w:val="003D76A6"/>
    <w:rsid w:val="003E07F3"/>
    <w:rsid w:val="003E1545"/>
    <w:rsid w:val="003E2347"/>
    <w:rsid w:val="003E2684"/>
    <w:rsid w:val="003E6522"/>
    <w:rsid w:val="003E7D70"/>
    <w:rsid w:val="003F171C"/>
    <w:rsid w:val="00401F33"/>
    <w:rsid w:val="004078B1"/>
    <w:rsid w:val="00412FC5"/>
    <w:rsid w:val="004204B0"/>
    <w:rsid w:val="00422276"/>
    <w:rsid w:val="004242F1"/>
    <w:rsid w:val="00436346"/>
    <w:rsid w:val="004406B9"/>
    <w:rsid w:val="00445A00"/>
    <w:rsid w:val="00446FCC"/>
    <w:rsid w:val="004476B1"/>
    <w:rsid w:val="00450838"/>
    <w:rsid w:val="004518B1"/>
    <w:rsid w:val="00451B0F"/>
    <w:rsid w:val="00453600"/>
    <w:rsid w:val="00462D28"/>
    <w:rsid w:val="00463B28"/>
    <w:rsid w:val="00464F69"/>
    <w:rsid w:val="00465488"/>
    <w:rsid w:val="00475C97"/>
    <w:rsid w:val="004838C1"/>
    <w:rsid w:val="00492265"/>
    <w:rsid w:val="00493B20"/>
    <w:rsid w:val="004961E3"/>
    <w:rsid w:val="00496406"/>
    <w:rsid w:val="004A4BD6"/>
    <w:rsid w:val="004A5446"/>
    <w:rsid w:val="004B2CAA"/>
    <w:rsid w:val="004B3C6B"/>
    <w:rsid w:val="004B449C"/>
    <w:rsid w:val="004C2592"/>
    <w:rsid w:val="004C2EE3"/>
    <w:rsid w:val="004D7266"/>
    <w:rsid w:val="004E4A22"/>
    <w:rsid w:val="004F0CC9"/>
    <w:rsid w:val="004F3C8A"/>
    <w:rsid w:val="004F3FF3"/>
    <w:rsid w:val="00503563"/>
    <w:rsid w:val="0050566B"/>
    <w:rsid w:val="00511968"/>
    <w:rsid w:val="0051266A"/>
    <w:rsid w:val="005128AE"/>
    <w:rsid w:val="005149CC"/>
    <w:rsid w:val="00520491"/>
    <w:rsid w:val="00520A8D"/>
    <w:rsid w:val="00522573"/>
    <w:rsid w:val="0052427C"/>
    <w:rsid w:val="005306EB"/>
    <w:rsid w:val="00532582"/>
    <w:rsid w:val="00533CB1"/>
    <w:rsid w:val="00533E61"/>
    <w:rsid w:val="005414B2"/>
    <w:rsid w:val="005415E0"/>
    <w:rsid w:val="0055614C"/>
    <w:rsid w:val="00556E24"/>
    <w:rsid w:val="0056111D"/>
    <w:rsid w:val="00564EEC"/>
    <w:rsid w:val="00566206"/>
    <w:rsid w:val="00567056"/>
    <w:rsid w:val="005705B2"/>
    <w:rsid w:val="00580D01"/>
    <w:rsid w:val="00586638"/>
    <w:rsid w:val="0059625C"/>
    <w:rsid w:val="005A1BE8"/>
    <w:rsid w:val="005A1C33"/>
    <w:rsid w:val="005A3FFF"/>
    <w:rsid w:val="005A79EA"/>
    <w:rsid w:val="005B07A1"/>
    <w:rsid w:val="005B0DE3"/>
    <w:rsid w:val="005B2EEC"/>
    <w:rsid w:val="005C0747"/>
    <w:rsid w:val="005C246E"/>
    <w:rsid w:val="005C5314"/>
    <w:rsid w:val="005C71D9"/>
    <w:rsid w:val="005C75B0"/>
    <w:rsid w:val="005C7BA0"/>
    <w:rsid w:val="005E0E41"/>
    <w:rsid w:val="005E14C2"/>
    <w:rsid w:val="005E686F"/>
    <w:rsid w:val="005F0CAD"/>
    <w:rsid w:val="005F189D"/>
    <w:rsid w:val="005F35CD"/>
    <w:rsid w:val="005F46DC"/>
    <w:rsid w:val="005F4D90"/>
    <w:rsid w:val="00602D7C"/>
    <w:rsid w:val="006032DF"/>
    <w:rsid w:val="00603D05"/>
    <w:rsid w:val="00607BA5"/>
    <w:rsid w:val="00607D01"/>
    <w:rsid w:val="00610ACB"/>
    <w:rsid w:val="0061180A"/>
    <w:rsid w:val="00613010"/>
    <w:rsid w:val="00614363"/>
    <w:rsid w:val="006164EE"/>
    <w:rsid w:val="00621258"/>
    <w:rsid w:val="006212FB"/>
    <w:rsid w:val="006228FF"/>
    <w:rsid w:val="006257F3"/>
    <w:rsid w:val="00626EB6"/>
    <w:rsid w:val="00630C4F"/>
    <w:rsid w:val="006401AE"/>
    <w:rsid w:val="00643290"/>
    <w:rsid w:val="00644E8B"/>
    <w:rsid w:val="00645565"/>
    <w:rsid w:val="0064588A"/>
    <w:rsid w:val="00646B7C"/>
    <w:rsid w:val="00647391"/>
    <w:rsid w:val="006511F9"/>
    <w:rsid w:val="00652575"/>
    <w:rsid w:val="00654090"/>
    <w:rsid w:val="00654C3B"/>
    <w:rsid w:val="00655D03"/>
    <w:rsid w:val="00656405"/>
    <w:rsid w:val="00656C7B"/>
    <w:rsid w:val="00667B56"/>
    <w:rsid w:val="0067039C"/>
    <w:rsid w:val="00670CAD"/>
    <w:rsid w:val="00674610"/>
    <w:rsid w:val="00681315"/>
    <w:rsid w:val="00681A36"/>
    <w:rsid w:val="00681CF3"/>
    <w:rsid w:val="00682C05"/>
    <w:rsid w:val="00683388"/>
    <w:rsid w:val="00683F84"/>
    <w:rsid w:val="006850B0"/>
    <w:rsid w:val="006876E4"/>
    <w:rsid w:val="006877C2"/>
    <w:rsid w:val="00690118"/>
    <w:rsid w:val="00692F98"/>
    <w:rsid w:val="00694A33"/>
    <w:rsid w:val="0069757F"/>
    <w:rsid w:val="006A6A81"/>
    <w:rsid w:val="006A75B7"/>
    <w:rsid w:val="006A78F0"/>
    <w:rsid w:val="006B7759"/>
    <w:rsid w:val="006B7944"/>
    <w:rsid w:val="006B7C11"/>
    <w:rsid w:val="006C659A"/>
    <w:rsid w:val="006D7B1B"/>
    <w:rsid w:val="006E0803"/>
    <w:rsid w:val="006E2C06"/>
    <w:rsid w:val="006E6C67"/>
    <w:rsid w:val="006F0B94"/>
    <w:rsid w:val="006F16AA"/>
    <w:rsid w:val="006F7393"/>
    <w:rsid w:val="00700918"/>
    <w:rsid w:val="0070224F"/>
    <w:rsid w:val="00703DF1"/>
    <w:rsid w:val="00704A75"/>
    <w:rsid w:val="007115F7"/>
    <w:rsid w:val="0071162C"/>
    <w:rsid w:val="00714D5E"/>
    <w:rsid w:val="0072012F"/>
    <w:rsid w:val="007246B6"/>
    <w:rsid w:val="00727C18"/>
    <w:rsid w:val="00732687"/>
    <w:rsid w:val="00742641"/>
    <w:rsid w:val="00744CD8"/>
    <w:rsid w:val="00753923"/>
    <w:rsid w:val="00754FB2"/>
    <w:rsid w:val="0076344D"/>
    <w:rsid w:val="00763699"/>
    <w:rsid w:val="0076440A"/>
    <w:rsid w:val="00766B8E"/>
    <w:rsid w:val="00772824"/>
    <w:rsid w:val="00781A13"/>
    <w:rsid w:val="00785689"/>
    <w:rsid w:val="0079076E"/>
    <w:rsid w:val="007936B1"/>
    <w:rsid w:val="0079521A"/>
    <w:rsid w:val="007972FB"/>
    <w:rsid w:val="0079754B"/>
    <w:rsid w:val="007A1E6D"/>
    <w:rsid w:val="007A3BF3"/>
    <w:rsid w:val="007B0EB2"/>
    <w:rsid w:val="007B4E09"/>
    <w:rsid w:val="007B73A9"/>
    <w:rsid w:val="007C619D"/>
    <w:rsid w:val="007C6D7A"/>
    <w:rsid w:val="007D5065"/>
    <w:rsid w:val="007D67DC"/>
    <w:rsid w:val="007E0C53"/>
    <w:rsid w:val="007E1746"/>
    <w:rsid w:val="007E2D9C"/>
    <w:rsid w:val="007E418D"/>
    <w:rsid w:val="007E595E"/>
    <w:rsid w:val="007F2225"/>
    <w:rsid w:val="00804B53"/>
    <w:rsid w:val="00807BD6"/>
    <w:rsid w:val="00810B6F"/>
    <w:rsid w:val="00811391"/>
    <w:rsid w:val="0082224D"/>
    <w:rsid w:val="00822CE0"/>
    <w:rsid w:val="0082300B"/>
    <w:rsid w:val="008244FA"/>
    <w:rsid w:val="00825844"/>
    <w:rsid w:val="00826EAD"/>
    <w:rsid w:val="00830D02"/>
    <w:rsid w:val="00831E0E"/>
    <w:rsid w:val="00832EDA"/>
    <w:rsid w:val="00833E7A"/>
    <w:rsid w:val="00834F34"/>
    <w:rsid w:val="008376B4"/>
    <w:rsid w:val="00841AB1"/>
    <w:rsid w:val="00842009"/>
    <w:rsid w:val="00843A68"/>
    <w:rsid w:val="0084586C"/>
    <w:rsid w:val="00846D44"/>
    <w:rsid w:val="00854758"/>
    <w:rsid w:val="00861FA2"/>
    <w:rsid w:val="008641DF"/>
    <w:rsid w:val="00864B27"/>
    <w:rsid w:val="00866219"/>
    <w:rsid w:val="008665CC"/>
    <w:rsid w:val="00867985"/>
    <w:rsid w:val="008716B3"/>
    <w:rsid w:val="00874AB1"/>
    <w:rsid w:val="008778F0"/>
    <w:rsid w:val="00886CE9"/>
    <w:rsid w:val="00895249"/>
    <w:rsid w:val="008974DB"/>
    <w:rsid w:val="008A0A2C"/>
    <w:rsid w:val="008A0B5D"/>
    <w:rsid w:val="008A6BC3"/>
    <w:rsid w:val="008A70C1"/>
    <w:rsid w:val="008B2273"/>
    <w:rsid w:val="008B42AB"/>
    <w:rsid w:val="008B7823"/>
    <w:rsid w:val="008C028B"/>
    <w:rsid w:val="008C1F8E"/>
    <w:rsid w:val="008C3F55"/>
    <w:rsid w:val="008C68F1"/>
    <w:rsid w:val="008D2E27"/>
    <w:rsid w:val="008D371F"/>
    <w:rsid w:val="008D38E1"/>
    <w:rsid w:val="008D3B26"/>
    <w:rsid w:val="008D5608"/>
    <w:rsid w:val="008E316C"/>
    <w:rsid w:val="008E7E2E"/>
    <w:rsid w:val="008F017C"/>
    <w:rsid w:val="008F156F"/>
    <w:rsid w:val="0090472C"/>
    <w:rsid w:val="009047B3"/>
    <w:rsid w:val="00904D43"/>
    <w:rsid w:val="00905807"/>
    <w:rsid w:val="009104AA"/>
    <w:rsid w:val="00912088"/>
    <w:rsid w:val="00917519"/>
    <w:rsid w:val="00921803"/>
    <w:rsid w:val="00924942"/>
    <w:rsid w:val="00925BEB"/>
    <w:rsid w:val="00925DEE"/>
    <w:rsid w:val="00926503"/>
    <w:rsid w:val="00936694"/>
    <w:rsid w:val="00944DFA"/>
    <w:rsid w:val="00945227"/>
    <w:rsid w:val="00945E98"/>
    <w:rsid w:val="00946D67"/>
    <w:rsid w:val="00950DF3"/>
    <w:rsid w:val="0096461D"/>
    <w:rsid w:val="009664AD"/>
    <w:rsid w:val="00966AF7"/>
    <w:rsid w:val="00971442"/>
    <w:rsid w:val="009716CE"/>
    <w:rsid w:val="00972537"/>
    <w:rsid w:val="009726D8"/>
    <w:rsid w:val="00975634"/>
    <w:rsid w:val="009778E1"/>
    <w:rsid w:val="0098410D"/>
    <w:rsid w:val="00985C29"/>
    <w:rsid w:val="009B07C5"/>
    <w:rsid w:val="009C2027"/>
    <w:rsid w:val="009D1123"/>
    <w:rsid w:val="009D26C1"/>
    <w:rsid w:val="009E10D1"/>
    <w:rsid w:val="009E1CCA"/>
    <w:rsid w:val="009E1DDF"/>
    <w:rsid w:val="009E2002"/>
    <w:rsid w:val="009E2174"/>
    <w:rsid w:val="009E2F14"/>
    <w:rsid w:val="009E6A52"/>
    <w:rsid w:val="009F0EB1"/>
    <w:rsid w:val="009F6F77"/>
    <w:rsid w:val="009F76DB"/>
    <w:rsid w:val="00A04F4D"/>
    <w:rsid w:val="00A1522F"/>
    <w:rsid w:val="00A16C32"/>
    <w:rsid w:val="00A24355"/>
    <w:rsid w:val="00A32517"/>
    <w:rsid w:val="00A32C3B"/>
    <w:rsid w:val="00A45F4F"/>
    <w:rsid w:val="00A461AA"/>
    <w:rsid w:val="00A47738"/>
    <w:rsid w:val="00A5298F"/>
    <w:rsid w:val="00A531F0"/>
    <w:rsid w:val="00A56A7E"/>
    <w:rsid w:val="00A57EF4"/>
    <w:rsid w:val="00A600A9"/>
    <w:rsid w:val="00A667CC"/>
    <w:rsid w:val="00A76C73"/>
    <w:rsid w:val="00A7749C"/>
    <w:rsid w:val="00A80003"/>
    <w:rsid w:val="00A8002D"/>
    <w:rsid w:val="00A81134"/>
    <w:rsid w:val="00A8397C"/>
    <w:rsid w:val="00A84C55"/>
    <w:rsid w:val="00A90BAB"/>
    <w:rsid w:val="00A90F34"/>
    <w:rsid w:val="00A919B8"/>
    <w:rsid w:val="00A9498C"/>
    <w:rsid w:val="00A97AF9"/>
    <w:rsid w:val="00A97FE4"/>
    <w:rsid w:val="00AA55B7"/>
    <w:rsid w:val="00AA5B9E"/>
    <w:rsid w:val="00AB0537"/>
    <w:rsid w:val="00AB2407"/>
    <w:rsid w:val="00AB479D"/>
    <w:rsid w:val="00AB53DF"/>
    <w:rsid w:val="00AC3DE4"/>
    <w:rsid w:val="00AC4D9B"/>
    <w:rsid w:val="00AC76E3"/>
    <w:rsid w:val="00AC7DC6"/>
    <w:rsid w:val="00AD2DE2"/>
    <w:rsid w:val="00AD632D"/>
    <w:rsid w:val="00AD6605"/>
    <w:rsid w:val="00AE02B7"/>
    <w:rsid w:val="00AE0447"/>
    <w:rsid w:val="00AF0790"/>
    <w:rsid w:val="00AF2E86"/>
    <w:rsid w:val="00AF378A"/>
    <w:rsid w:val="00B00448"/>
    <w:rsid w:val="00B0239A"/>
    <w:rsid w:val="00B0362B"/>
    <w:rsid w:val="00B05D54"/>
    <w:rsid w:val="00B069D6"/>
    <w:rsid w:val="00B07E5C"/>
    <w:rsid w:val="00B11617"/>
    <w:rsid w:val="00B1724D"/>
    <w:rsid w:val="00B17D6F"/>
    <w:rsid w:val="00B25D51"/>
    <w:rsid w:val="00B2785A"/>
    <w:rsid w:val="00B31429"/>
    <w:rsid w:val="00B318D9"/>
    <w:rsid w:val="00B32472"/>
    <w:rsid w:val="00B37AD7"/>
    <w:rsid w:val="00B46D42"/>
    <w:rsid w:val="00B5067D"/>
    <w:rsid w:val="00B51474"/>
    <w:rsid w:val="00B55611"/>
    <w:rsid w:val="00B6181B"/>
    <w:rsid w:val="00B6400B"/>
    <w:rsid w:val="00B650DE"/>
    <w:rsid w:val="00B70F09"/>
    <w:rsid w:val="00B75A20"/>
    <w:rsid w:val="00B75A96"/>
    <w:rsid w:val="00B76EF2"/>
    <w:rsid w:val="00B771CA"/>
    <w:rsid w:val="00B811F7"/>
    <w:rsid w:val="00B9172F"/>
    <w:rsid w:val="00B96978"/>
    <w:rsid w:val="00BA5623"/>
    <w:rsid w:val="00BA5DC6"/>
    <w:rsid w:val="00BA6196"/>
    <w:rsid w:val="00BB239A"/>
    <w:rsid w:val="00BB4244"/>
    <w:rsid w:val="00BB53D9"/>
    <w:rsid w:val="00BC1197"/>
    <w:rsid w:val="00BC6414"/>
    <w:rsid w:val="00BC6D8C"/>
    <w:rsid w:val="00BC7EBE"/>
    <w:rsid w:val="00BD26B2"/>
    <w:rsid w:val="00BD3A14"/>
    <w:rsid w:val="00BD41FC"/>
    <w:rsid w:val="00BD4DE1"/>
    <w:rsid w:val="00BE47E4"/>
    <w:rsid w:val="00BE70CA"/>
    <w:rsid w:val="00BF17A3"/>
    <w:rsid w:val="00BF438F"/>
    <w:rsid w:val="00BF757A"/>
    <w:rsid w:val="00C02D48"/>
    <w:rsid w:val="00C03BD9"/>
    <w:rsid w:val="00C074BA"/>
    <w:rsid w:val="00C109C8"/>
    <w:rsid w:val="00C125D4"/>
    <w:rsid w:val="00C13B8A"/>
    <w:rsid w:val="00C17453"/>
    <w:rsid w:val="00C22310"/>
    <w:rsid w:val="00C26B94"/>
    <w:rsid w:val="00C338D2"/>
    <w:rsid w:val="00C34006"/>
    <w:rsid w:val="00C35062"/>
    <w:rsid w:val="00C37090"/>
    <w:rsid w:val="00C4091C"/>
    <w:rsid w:val="00C41BED"/>
    <w:rsid w:val="00C426B1"/>
    <w:rsid w:val="00C43BDB"/>
    <w:rsid w:val="00C445AF"/>
    <w:rsid w:val="00C451EE"/>
    <w:rsid w:val="00C46D92"/>
    <w:rsid w:val="00C4758E"/>
    <w:rsid w:val="00C618A8"/>
    <w:rsid w:val="00C6356F"/>
    <w:rsid w:val="00C64D6F"/>
    <w:rsid w:val="00C65480"/>
    <w:rsid w:val="00C66160"/>
    <w:rsid w:val="00C67EBF"/>
    <w:rsid w:val="00C70C22"/>
    <w:rsid w:val="00C71627"/>
    <w:rsid w:val="00C721AC"/>
    <w:rsid w:val="00C77DD0"/>
    <w:rsid w:val="00C83348"/>
    <w:rsid w:val="00C90D6A"/>
    <w:rsid w:val="00C93EF1"/>
    <w:rsid w:val="00C9532F"/>
    <w:rsid w:val="00C979E0"/>
    <w:rsid w:val="00CA1352"/>
    <w:rsid w:val="00CA247E"/>
    <w:rsid w:val="00CA41D2"/>
    <w:rsid w:val="00CA770C"/>
    <w:rsid w:val="00CB7A23"/>
    <w:rsid w:val="00CC09DE"/>
    <w:rsid w:val="00CC72B6"/>
    <w:rsid w:val="00CC7EBE"/>
    <w:rsid w:val="00CE0D3A"/>
    <w:rsid w:val="00CE1A9E"/>
    <w:rsid w:val="00CE4DE9"/>
    <w:rsid w:val="00CE63B3"/>
    <w:rsid w:val="00CF039B"/>
    <w:rsid w:val="00CF0DF7"/>
    <w:rsid w:val="00D01327"/>
    <w:rsid w:val="00D0159E"/>
    <w:rsid w:val="00D01DDA"/>
    <w:rsid w:val="00D0218D"/>
    <w:rsid w:val="00D0431B"/>
    <w:rsid w:val="00D05F4B"/>
    <w:rsid w:val="00D14BF8"/>
    <w:rsid w:val="00D20E0F"/>
    <w:rsid w:val="00D21E0E"/>
    <w:rsid w:val="00D246C5"/>
    <w:rsid w:val="00D24F9F"/>
    <w:rsid w:val="00D25FB5"/>
    <w:rsid w:val="00D26840"/>
    <w:rsid w:val="00D27821"/>
    <w:rsid w:val="00D30683"/>
    <w:rsid w:val="00D3474B"/>
    <w:rsid w:val="00D37114"/>
    <w:rsid w:val="00D41479"/>
    <w:rsid w:val="00D426CF"/>
    <w:rsid w:val="00D44223"/>
    <w:rsid w:val="00D47516"/>
    <w:rsid w:val="00D531E8"/>
    <w:rsid w:val="00D60B69"/>
    <w:rsid w:val="00D614B6"/>
    <w:rsid w:val="00D63C36"/>
    <w:rsid w:val="00D652EA"/>
    <w:rsid w:val="00D66416"/>
    <w:rsid w:val="00D66743"/>
    <w:rsid w:val="00D722DD"/>
    <w:rsid w:val="00D9107D"/>
    <w:rsid w:val="00D9431F"/>
    <w:rsid w:val="00D948FB"/>
    <w:rsid w:val="00DA2529"/>
    <w:rsid w:val="00DB130A"/>
    <w:rsid w:val="00DB2EBB"/>
    <w:rsid w:val="00DB5C4E"/>
    <w:rsid w:val="00DB687E"/>
    <w:rsid w:val="00DB7842"/>
    <w:rsid w:val="00DC10A1"/>
    <w:rsid w:val="00DC4E66"/>
    <w:rsid w:val="00DC53CC"/>
    <w:rsid w:val="00DC655F"/>
    <w:rsid w:val="00DD0B59"/>
    <w:rsid w:val="00DD0FE4"/>
    <w:rsid w:val="00DD254F"/>
    <w:rsid w:val="00DD6381"/>
    <w:rsid w:val="00DD63EB"/>
    <w:rsid w:val="00DD7EBD"/>
    <w:rsid w:val="00DE307D"/>
    <w:rsid w:val="00DE4C59"/>
    <w:rsid w:val="00DE5EFC"/>
    <w:rsid w:val="00DF0D78"/>
    <w:rsid w:val="00DF62B6"/>
    <w:rsid w:val="00E009AA"/>
    <w:rsid w:val="00E01DF9"/>
    <w:rsid w:val="00E03A21"/>
    <w:rsid w:val="00E0610E"/>
    <w:rsid w:val="00E066CE"/>
    <w:rsid w:val="00E07225"/>
    <w:rsid w:val="00E07818"/>
    <w:rsid w:val="00E07AB4"/>
    <w:rsid w:val="00E10E13"/>
    <w:rsid w:val="00E17F49"/>
    <w:rsid w:val="00E20F0F"/>
    <w:rsid w:val="00E221DD"/>
    <w:rsid w:val="00E2563E"/>
    <w:rsid w:val="00E25F4C"/>
    <w:rsid w:val="00E26461"/>
    <w:rsid w:val="00E3566E"/>
    <w:rsid w:val="00E512E5"/>
    <w:rsid w:val="00E52C3B"/>
    <w:rsid w:val="00E5409F"/>
    <w:rsid w:val="00E57085"/>
    <w:rsid w:val="00E62BD7"/>
    <w:rsid w:val="00E65ADF"/>
    <w:rsid w:val="00E66DB8"/>
    <w:rsid w:val="00E67016"/>
    <w:rsid w:val="00E70061"/>
    <w:rsid w:val="00E707A9"/>
    <w:rsid w:val="00E74EA7"/>
    <w:rsid w:val="00E81876"/>
    <w:rsid w:val="00E858A4"/>
    <w:rsid w:val="00E9105C"/>
    <w:rsid w:val="00EA1BFE"/>
    <w:rsid w:val="00EA2C6A"/>
    <w:rsid w:val="00EA2CCB"/>
    <w:rsid w:val="00EA5F20"/>
    <w:rsid w:val="00EA69A5"/>
    <w:rsid w:val="00EB5D19"/>
    <w:rsid w:val="00EB655D"/>
    <w:rsid w:val="00EC04EB"/>
    <w:rsid w:val="00EC4524"/>
    <w:rsid w:val="00EC5EA5"/>
    <w:rsid w:val="00ED01C6"/>
    <w:rsid w:val="00ED0EF7"/>
    <w:rsid w:val="00ED31E2"/>
    <w:rsid w:val="00ED699C"/>
    <w:rsid w:val="00EE048C"/>
    <w:rsid w:val="00EE20A6"/>
    <w:rsid w:val="00EE22E4"/>
    <w:rsid w:val="00EE5CD1"/>
    <w:rsid w:val="00EE6488"/>
    <w:rsid w:val="00EE6C75"/>
    <w:rsid w:val="00EE78B2"/>
    <w:rsid w:val="00EF16FA"/>
    <w:rsid w:val="00EF2BB1"/>
    <w:rsid w:val="00F021FA"/>
    <w:rsid w:val="00F02CE5"/>
    <w:rsid w:val="00F0314D"/>
    <w:rsid w:val="00F15388"/>
    <w:rsid w:val="00F15C26"/>
    <w:rsid w:val="00F16DF8"/>
    <w:rsid w:val="00F172A6"/>
    <w:rsid w:val="00F20086"/>
    <w:rsid w:val="00F256F9"/>
    <w:rsid w:val="00F27AA1"/>
    <w:rsid w:val="00F30313"/>
    <w:rsid w:val="00F30D1D"/>
    <w:rsid w:val="00F30E08"/>
    <w:rsid w:val="00F30E15"/>
    <w:rsid w:val="00F333D4"/>
    <w:rsid w:val="00F338AC"/>
    <w:rsid w:val="00F33949"/>
    <w:rsid w:val="00F4159E"/>
    <w:rsid w:val="00F41F8B"/>
    <w:rsid w:val="00F43FD0"/>
    <w:rsid w:val="00F44322"/>
    <w:rsid w:val="00F449E0"/>
    <w:rsid w:val="00F470A8"/>
    <w:rsid w:val="00F478B8"/>
    <w:rsid w:val="00F53B4F"/>
    <w:rsid w:val="00F547E0"/>
    <w:rsid w:val="00F56D4D"/>
    <w:rsid w:val="00F60E50"/>
    <w:rsid w:val="00F62E97"/>
    <w:rsid w:val="00F64209"/>
    <w:rsid w:val="00F64988"/>
    <w:rsid w:val="00F657CD"/>
    <w:rsid w:val="00F71A60"/>
    <w:rsid w:val="00F770EB"/>
    <w:rsid w:val="00F80195"/>
    <w:rsid w:val="00F8076F"/>
    <w:rsid w:val="00F82C5C"/>
    <w:rsid w:val="00F850BA"/>
    <w:rsid w:val="00F862F0"/>
    <w:rsid w:val="00F862FC"/>
    <w:rsid w:val="00F9027D"/>
    <w:rsid w:val="00F90E24"/>
    <w:rsid w:val="00F91039"/>
    <w:rsid w:val="00F9264A"/>
    <w:rsid w:val="00F93BF5"/>
    <w:rsid w:val="00FA2E93"/>
    <w:rsid w:val="00FA32E6"/>
    <w:rsid w:val="00FA350B"/>
    <w:rsid w:val="00FA6C2A"/>
    <w:rsid w:val="00FC2C94"/>
    <w:rsid w:val="00FC5726"/>
    <w:rsid w:val="00FD0130"/>
    <w:rsid w:val="00FD03BD"/>
    <w:rsid w:val="00FD0FD3"/>
    <w:rsid w:val="00FD3C7F"/>
    <w:rsid w:val="00FD6A74"/>
    <w:rsid w:val="00FD7D40"/>
    <w:rsid w:val="00FE22C8"/>
    <w:rsid w:val="00FE5FB5"/>
    <w:rsid w:val="00FF4C35"/>
    <w:rsid w:val="00FF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6F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 Char Char,Footnote Text Char2 Char Char1 Char Char,Footnote Text Char1 Char Char Char1 Char Char,Footnote Text Char2,Footnote Text Char1 Char"/>
    <w:link w:val="FootnoteTextChar1"/>
    <w:rsid w:val="000E3D42"/>
    <w:pPr>
      <w:spacing w:after="120"/>
    </w:pPr>
  </w:style>
  <w:style w:type="character" w:styleId="FootnoteReference">
    <w:name w:val="footnote reference"/>
    <w:aliases w:val="Appel note de bas de p,Style 12,(NECG) Footnote Reference,Style 13,Style 124,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6511F9"/>
    <w:rPr>
      <w:sz w:val="16"/>
      <w:szCs w:val="16"/>
    </w:rPr>
  </w:style>
  <w:style w:type="paragraph" w:styleId="CommentText">
    <w:name w:val="annotation text"/>
    <w:basedOn w:val="Normal"/>
    <w:link w:val="CommentTextChar"/>
    <w:rsid w:val="006511F9"/>
    <w:rPr>
      <w:sz w:val="20"/>
    </w:rPr>
  </w:style>
  <w:style w:type="character" w:customStyle="1" w:styleId="CommentTextChar">
    <w:name w:val="Comment Text Char"/>
    <w:basedOn w:val="DefaultParagraphFont"/>
    <w:link w:val="CommentText"/>
    <w:rsid w:val="006511F9"/>
    <w:rPr>
      <w:snapToGrid w:val="0"/>
      <w:kern w:val="28"/>
    </w:rPr>
  </w:style>
  <w:style w:type="paragraph" w:styleId="CommentSubject">
    <w:name w:val="annotation subject"/>
    <w:basedOn w:val="CommentText"/>
    <w:next w:val="CommentText"/>
    <w:link w:val="CommentSubjectChar"/>
    <w:rsid w:val="006511F9"/>
    <w:rPr>
      <w:b/>
      <w:bCs/>
    </w:rPr>
  </w:style>
  <w:style w:type="character" w:customStyle="1" w:styleId="CommentSubjectChar">
    <w:name w:val="Comment Subject Char"/>
    <w:basedOn w:val="CommentTextChar"/>
    <w:link w:val="CommentSubject"/>
    <w:rsid w:val="006511F9"/>
    <w:rPr>
      <w:b/>
      <w:bCs/>
      <w:snapToGrid w:val="0"/>
      <w:kern w:val="28"/>
    </w:rPr>
  </w:style>
  <w:style w:type="paragraph" w:styleId="BalloonText">
    <w:name w:val="Balloon Text"/>
    <w:basedOn w:val="Normal"/>
    <w:link w:val="BalloonTextChar"/>
    <w:rsid w:val="006511F9"/>
    <w:rPr>
      <w:rFonts w:ascii="Tahoma" w:hAnsi="Tahoma" w:cs="Tahoma"/>
      <w:sz w:val="16"/>
      <w:szCs w:val="16"/>
    </w:rPr>
  </w:style>
  <w:style w:type="character" w:customStyle="1" w:styleId="BalloonTextChar">
    <w:name w:val="Balloon Text Char"/>
    <w:basedOn w:val="DefaultParagraphFont"/>
    <w:link w:val="BalloonText"/>
    <w:rsid w:val="006511F9"/>
    <w:rPr>
      <w:rFonts w:ascii="Tahoma" w:hAnsi="Tahoma" w:cs="Tahoma"/>
      <w:snapToGrid w:val="0"/>
      <w:kern w:val="28"/>
      <w:sz w:val="16"/>
      <w:szCs w:val="16"/>
    </w:rPr>
  </w:style>
  <w:style w:type="character" w:customStyle="1" w:styleId="ParaNumChar">
    <w:name w:val="ParaNum Char"/>
    <w:link w:val="ParaNum"/>
    <w:locked/>
    <w:rsid w:val="005306EB"/>
    <w:rPr>
      <w:snapToGrid w:val="0"/>
      <w:kern w:val="28"/>
      <w:sz w:val="22"/>
    </w:rPr>
  </w:style>
  <w:style w:type="character" w:customStyle="1" w:styleId="FootnoteTextChar1">
    <w:name w:val="Footnote Text Char1"/>
    <w:aliases w:val="Footnote Text Char Char,Footnote Text Char2 Char Char,Footnote Text Char1 Char Char Char,Footnote Text Char Char Char Char Char,Footnote Text Char2 Char Char1 Char Char Char,Footnote Text Char1 Char Char Char1 Char Char Char"/>
    <w:link w:val="FootnoteText"/>
    <w:rsid w:val="00530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 Char Char,Footnote Text Char2 Char Char1 Char Char,Footnote Text Char1 Char Char Char1 Char Char,Footnote Text Char2,Footnote Text Char1 Char"/>
    <w:link w:val="FootnoteTextChar1"/>
    <w:rsid w:val="000E3D42"/>
    <w:pPr>
      <w:spacing w:after="120"/>
    </w:pPr>
  </w:style>
  <w:style w:type="character" w:styleId="FootnoteReference">
    <w:name w:val="footnote reference"/>
    <w:aliases w:val="Appel note de bas de p,Style 12,(NECG) Footnote Reference,Style 13,Style 124,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6511F9"/>
    <w:rPr>
      <w:sz w:val="16"/>
      <w:szCs w:val="16"/>
    </w:rPr>
  </w:style>
  <w:style w:type="paragraph" w:styleId="CommentText">
    <w:name w:val="annotation text"/>
    <w:basedOn w:val="Normal"/>
    <w:link w:val="CommentTextChar"/>
    <w:rsid w:val="006511F9"/>
    <w:rPr>
      <w:sz w:val="20"/>
    </w:rPr>
  </w:style>
  <w:style w:type="character" w:customStyle="1" w:styleId="CommentTextChar">
    <w:name w:val="Comment Text Char"/>
    <w:basedOn w:val="DefaultParagraphFont"/>
    <w:link w:val="CommentText"/>
    <w:rsid w:val="006511F9"/>
    <w:rPr>
      <w:snapToGrid w:val="0"/>
      <w:kern w:val="28"/>
    </w:rPr>
  </w:style>
  <w:style w:type="paragraph" w:styleId="CommentSubject">
    <w:name w:val="annotation subject"/>
    <w:basedOn w:val="CommentText"/>
    <w:next w:val="CommentText"/>
    <w:link w:val="CommentSubjectChar"/>
    <w:rsid w:val="006511F9"/>
    <w:rPr>
      <w:b/>
      <w:bCs/>
    </w:rPr>
  </w:style>
  <w:style w:type="character" w:customStyle="1" w:styleId="CommentSubjectChar">
    <w:name w:val="Comment Subject Char"/>
    <w:basedOn w:val="CommentTextChar"/>
    <w:link w:val="CommentSubject"/>
    <w:rsid w:val="006511F9"/>
    <w:rPr>
      <w:b/>
      <w:bCs/>
      <w:snapToGrid w:val="0"/>
      <w:kern w:val="28"/>
    </w:rPr>
  </w:style>
  <w:style w:type="paragraph" w:styleId="BalloonText">
    <w:name w:val="Balloon Text"/>
    <w:basedOn w:val="Normal"/>
    <w:link w:val="BalloonTextChar"/>
    <w:rsid w:val="006511F9"/>
    <w:rPr>
      <w:rFonts w:ascii="Tahoma" w:hAnsi="Tahoma" w:cs="Tahoma"/>
      <w:sz w:val="16"/>
      <w:szCs w:val="16"/>
    </w:rPr>
  </w:style>
  <w:style w:type="character" w:customStyle="1" w:styleId="BalloonTextChar">
    <w:name w:val="Balloon Text Char"/>
    <w:basedOn w:val="DefaultParagraphFont"/>
    <w:link w:val="BalloonText"/>
    <w:rsid w:val="006511F9"/>
    <w:rPr>
      <w:rFonts w:ascii="Tahoma" w:hAnsi="Tahoma" w:cs="Tahoma"/>
      <w:snapToGrid w:val="0"/>
      <w:kern w:val="28"/>
      <w:sz w:val="16"/>
      <w:szCs w:val="16"/>
    </w:rPr>
  </w:style>
  <w:style w:type="character" w:customStyle="1" w:styleId="ParaNumChar">
    <w:name w:val="ParaNum Char"/>
    <w:link w:val="ParaNum"/>
    <w:locked/>
    <w:rsid w:val="005306EB"/>
    <w:rPr>
      <w:snapToGrid w:val="0"/>
      <w:kern w:val="28"/>
      <w:sz w:val="22"/>
    </w:rPr>
  </w:style>
  <w:style w:type="character" w:customStyle="1" w:styleId="FootnoteTextChar1">
    <w:name w:val="Footnote Text Char1"/>
    <w:aliases w:val="Footnote Text Char Char,Footnote Text Char2 Char Char,Footnote Text Char1 Char Char Char,Footnote Text Char Char Char Char Char,Footnote Text Char2 Char Char1 Char Char Char,Footnote Text Char1 Char Char Char1 Char Char Char"/>
    <w:link w:val="FootnoteText"/>
    <w:rsid w:val="00530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2815</Words>
  <Characters>15283</Characters>
  <Application>Microsoft Office Word</Application>
  <DocSecurity>0</DocSecurity>
  <Lines>247</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18159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2014-12-17T18:59:00Z</dcterms:created>
  <dcterms:modified xsi:type="dcterms:W3CDTF">2014-12-17T18:59:00Z</dcterms:modified>
  <cp:category> </cp:category>
  <cp:contentStatus> </cp:contentStatus>
</cp:coreProperties>
</file>