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9" w:rsidRPr="009F240F" w:rsidRDefault="009A5BC9" w:rsidP="009A5BC9">
      <w:pPr>
        <w:rPr>
          <w:sz w:val="22"/>
          <w:szCs w:val="22"/>
        </w:rPr>
      </w:pPr>
      <w:bookmarkStart w:id="0" w:name="_GoBack"/>
      <w:bookmarkEnd w:id="0"/>
    </w:p>
    <w:p w:rsidR="00D035EF" w:rsidRDefault="00D035EF" w:rsidP="00D035EF">
      <w:pPr>
        <w:jc w:val="right"/>
        <w:rPr>
          <w:sz w:val="22"/>
          <w:szCs w:val="22"/>
        </w:rPr>
      </w:pPr>
      <w:r>
        <w:rPr>
          <w:b/>
          <w:sz w:val="22"/>
          <w:szCs w:val="22"/>
        </w:rPr>
        <w:t>DA 14-</w:t>
      </w:r>
      <w:r w:rsidR="001A7E08">
        <w:rPr>
          <w:b/>
          <w:sz w:val="22"/>
          <w:szCs w:val="22"/>
        </w:rPr>
        <w:t>1856</w:t>
      </w:r>
    </w:p>
    <w:p w:rsidR="00D035EF" w:rsidRPr="009F240F" w:rsidRDefault="00D035EF" w:rsidP="009A5BC9">
      <w:pPr>
        <w:rPr>
          <w:sz w:val="22"/>
          <w:szCs w:val="22"/>
        </w:rPr>
      </w:pPr>
    </w:p>
    <w:p w:rsidR="009A5BC9" w:rsidRPr="009F240F" w:rsidRDefault="009A5BC9" w:rsidP="009A5BC9">
      <w:pPr>
        <w:pStyle w:val="Heading1"/>
        <w:rPr>
          <w:b/>
          <w:sz w:val="22"/>
          <w:szCs w:val="22"/>
        </w:rPr>
      </w:pPr>
      <w:r w:rsidRPr="009F240F">
        <w:rPr>
          <w:b/>
          <w:sz w:val="22"/>
          <w:szCs w:val="22"/>
          <w:u w:val="single"/>
        </w:rPr>
        <w:t>SENT</w:t>
      </w:r>
      <w:r w:rsidRPr="009F240F">
        <w:rPr>
          <w:sz w:val="22"/>
          <w:szCs w:val="22"/>
          <w:u w:val="single"/>
        </w:rPr>
        <w:t xml:space="preserve"> </w:t>
      </w:r>
      <w:r w:rsidRPr="009F240F">
        <w:rPr>
          <w:b/>
          <w:sz w:val="22"/>
          <w:szCs w:val="22"/>
          <w:u w:val="single"/>
        </w:rPr>
        <w:t>VIA CERTIFIED MAIL, RETURN RECEIPT REQUESTED</w:t>
      </w:r>
    </w:p>
    <w:p w:rsidR="009A5BC9" w:rsidRPr="009F240F" w:rsidRDefault="009A5BC9" w:rsidP="009A5BC9">
      <w:pPr>
        <w:pStyle w:val="Heading1"/>
        <w:rPr>
          <w:b/>
          <w:sz w:val="22"/>
          <w:szCs w:val="22"/>
          <w:u w:val="single"/>
        </w:rPr>
      </w:pPr>
      <w:r w:rsidRPr="009F240F">
        <w:rPr>
          <w:b/>
          <w:sz w:val="22"/>
          <w:szCs w:val="22"/>
          <w:u w:val="single"/>
        </w:rPr>
        <w:t>AND E</w:t>
      </w:r>
      <w:r>
        <w:rPr>
          <w:b/>
          <w:sz w:val="22"/>
          <w:szCs w:val="22"/>
          <w:u w:val="single"/>
        </w:rPr>
        <w:t>-</w:t>
      </w:r>
      <w:r w:rsidRPr="009F240F">
        <w:rPr>
          <w:b/>
          <w:sz w:val="22"/>
          <w:szCs w:val="22"/>
          <w:u w:val="single"/>
        </w:rPr>
        <w:t>MAIL</w:t>
      </w:r>
    </w:p>
    <w:p w:rsidR="009A5BC9" w:rsidRPr="009F240F" w:rsidRDefault="009A5BC9" w:rsidP="009A5BC9">
      <w:pPr>
        <w:rPr>
          <w:sz w:val="22"/>
          <w:szCs w:val="22"/>
        </w:rPr>
      </w:pPr>
    </w:p>
    <w:p w:rsidR="009A5BC9" w:rsidRDefault="009A6CC7" w:rsidP="009A5BC9">
      <w:pPr>
        <w:rPr>
          <w:sz w:val="22"/>
          <w:szCs w:val="22"/>
        </w:rPr>
      </w:pPr>
      <w:r>
        <w:rPr>
          <w:sz w:val="22"/>
          <w:szCs w:val="22"/>
        </w:rPr>
        <w:t>Ms. Donna P. English</w:t>
      </w:r>
    </w:p>
    <w:p w:rsidR="009A6CC7" w:rsidRDefault="009A6CC7" w:rsidP="009A5BC9">
      <w:pPr>
        <w:rPr>
          <w:sz w:val="22"/>
          <w:szCs w:val="22"/>
        </w:rPr>
      </w:pPr>
      <w:r>
        <w:rPr>
          <w:sz w:val="22"/>
          <w:szCs w:val="22"/>
        </w:rPr>
        <w:t>225 Warren Road</w:t>
      </w:r>
    </w:p>
    <w:p w:rsidR="009A6CC7" w:rsidRPr="009F240F" w:rsidRDefault="009A6CC7" w:rsidP="009A5BC9">
      <w:pPr>
        <w:rPr>
          <w:sz w:val="22"/>
          <w:szCs w:val="22"/>
        </w:rPr>
      </w:pPr>
      <w:r>
        <w:rPr>
          <w:sz w:val="22"/>
          <w:szCs w:val="22"/>
        </w:rPr>
        <w:t>Michigan City, IN 46360</w:t>
      </w:r>
    </w:p>
    <w:p w:rsidR="009A5BC9" w:rsidRPr="009F240F" w:rsidRDefault="009A5BC9" w:rsidP="009A5BC9">
      <w:pPr>
        <w:rPr>
          <w:sz w:val="22"/>
          <w:szCs w:val="22"/>
        </w:rPr>
      </w:pPr>
    </w:p>
    <w:p w:rsidR="009A5BC9" w:rsidRPr="009F240F" w:rsidRDefault="009A5BC9" w:rsidP="00260F41">
      <w:pPr>
        <w:ind w:right="720" w:firstLine="720"/>
        <w:rPr>
          <w:b/>
          <w:sz w:val="22"/>
          <w:szCs w:val="22"/>
        </w:rPr>
      </w:pPr>
      <w:r w:rsidRPr="003E4B58">
        <w:rPr>
          <w:sz w:val="22"/>
          <w:szCs w:val="22"/>
        </w:rPr>
        <w:t>Re:</w:t>
      </w:r>
      <w:r w:rsidR="007675DF" w:rsidRPr="0095347B">
        <w:rPr>
          <w:sz w:val="22"/>
          <w:szCs w:val="22"/>
        </w:rPr>
        <w:t xml:space="preserve">  </w:t>
      </w:r>
      <w:r w:rsidR="00A304E9" w:rsidRPr="009F240F">
        <w:rPr>
          <w:sz w:val="22"/>
          <w:szCs w:val="22"/>
        </w:rPr>
        <w:t xml:space="preserve">Debarment </w:t>
      </w:r>
      <w:r w:rsidR="00C631DA">
        <w:rPr>
          <w:sz w:val="22"/>
          <w:szCs w:val="22"/>
        </w:rPr>
        <w:t>Notice</w:t>
      </w:r>
      <w:r w:rsidRPr="009F240F">
        <w:rPr>
          <w:sz w:val="22"/>
          <w:szCs w:val="22"/>
        </w:rPr>
        <w:t xml:space="preserve">, FCC Case No. </w:t>
      </w:r>
      <w:r w:rsidR="009A6CC7">
        <w:rPr>
          <w:sz w:val="22"/>
          <w:szCs w:val="22"/>
        </w:rPr>
        <w:t>EB-IHD-14-00015686</w:t>
      </w:r>
    </w:p>
    <w:p w:rsidR="009A5BC9" w:rsidRPr="009F240F" w:rsidRDefault="009A5BC9" w:rsidP="009A5BC9">
      <w:pPr>
        <w:ind w:right="720" w:firstLine="720"/>
        <w:rPr>
          <w:sz w:val="22"/>
          <w:szCs w:val="22"/>
        </w:rPr>
      </w:pPr>
    </w:p>
    <w:p w:rsidR="009A5BC9" w:rsidRPr="009F240F" w:rsidRDefault="009A5BC9" w:rsidP="009A5BC9">
      <w:pPr>
        <w:rPr>
          <w:sz w:val="22"/>
          <w:szCs w:val="22"/>
        </w:rPr>
      </w:pPr>
      <w:r w:rsidRPr="009F240F">
        <w:rPr>
          <w:sz w:val="22"/>
          <w:szCs w:val="22"/>
        </w:rPr>
        <w:t xml:space="preserve">Dear </w:t>
      </w:r>
      <w:r w:rsidR="009A6CC7">
        <w:rPr>
          <w:sz w:val="22"/>
          <w:szCs w:val="22"/>
        </w:rPr>
        <w:t>Ms. English</w:t>
      </w:r>
      <w:r w:rsidRPr="009F240F">
        <w:rPr>
          <w:sz w:val="22"/>
          <w:szCs w:val="22"/>
        </w:rPr>
        <w:t>:</w:t>
      </w:r>
    </w:p>
    <w:p w:rsidR="009A5BC9" w:rsidRPr="009F240F" w:rsidRDefault="009A5BC9" w:rsidP="009A5BC9">
      <w:pPr>
        <w:rPr>
          <w:sz w:val="22"/>
          <w:szCs w:val="22"/>
        </w:rPr>
      </w:pPr>
    </w:p>
    <w:p w:rsidR="009A5BC9" w:rsidRPr="00C439D1" w:rsidRDefault="009A5BC9" w:rsidP="009A5BC9">
      <w:pPr>
        <w:ind w:firstLine="720"/>
        <w:rPr>
          <w:sz w:val="22"/>
          <w:szCs w:val="22"/>
        </w:rPr>
      </w:pPr>
      <w:r w:rsidRPr="009F240F">
        <w:rPr>
          <w:sz w:val="22"/>
          <w:szCs w:val="22"/>
        </w:rPr>
        <w:t xml:space="preserve">The Federal Communications Commission (Commission) hereby notifies you that, pursuant to Section 54.8 of its rules, you are prohibited from participating in activities associated with or relating to the schools and libraries universal service support mechanism (E-Rate program) for three years from either the date of your receipt of this </w:t>
      </w:r>
      <w:r w:rsidR="00A304E9" w:rsidRPr="009F240F">
        <w:rPr>
          <w:sz w:val="22"/>
          <w:szCs w:val="22"/>
        </w:rPr>
        <w:t xml:space="preserve">Debarment </w:t>
      </w:r>
      <w:r w:rsidRPr="009F240F">
        <w:rPr>
          <w:sz w:val="22"/>
          <w:szCs w:val="22"/>
        </w:rPr>
        <w:t>Notice or of its publication in the Federal Register, whichever is earlier in time (Debarment Date).</w:t>
      </w:r>
      <w:r w:rsidRPr="009F240F">
        <w:rPr>
          <w:rStyle w:val="FootnoteReference"/>
          <w:sz w:val="22"/>
          <w:szCs w:val="22"/>
        </w:rPr>
        <w:footnoteReference w:id="1"/>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On </w:t>
      </w:r>
      <w:r w:rsidR="009A6CC7">
        <w:rPr>
          <w:sz w:val="22"/>
          <w:szCs w:val="22"/>
        </w:rPr>
        <w:t>August 26, 2014</w:t>
      </w:r>
      <w:r w:rsidRPr="00C439D1">
        <w:rPr>
          <w:sz w:val="22"/>
          <w:szCs w:val="22"/>
        </w:rPr>
        <w:t>, the Commission’s Enforcement Bureau sent you a Notice of Suspension and Initiation of Debarment Proceeding</w:t>
      </w:r>
      <w:r w:rsidR="0084674E">
        <w:rPr>
          <w:sz w:val="22"/>
          <w:szCs w:val="22"/>
        </w:rPr>
        <w:t>s</w:t>
      </w:r>
      <w:r w:rsidRPr="00C439D1">
        <w:rPr>
          <w:sz w:val="22"/>
          <w:szCs w:val="22"/>
        </w:rPr>
        <w:t xml:space="preserve"> that was published in the Federal Register on </w:t>
      </w:r>
      <w:r w:rsidR="009A6CC7">
        <w:rPr>
          <w:sz w:val="22"/>
          <w:szCs w:val="22"/>
        </w:rPr>
        <w:t>September 16, 2014</w:t>
      </w:r>
      <w:r w:rsidRPr="00C439D1">
        <w:rPr>
          <w:sz w:val="22"/>
          <w:szCs w:val="22"/>
        </w:rPr>
        <w:t>.</w:t>
      </w:r>
      <w:r w:rsidRPr="00C439D1">
        <w:rPr>
          <w:rStyle w:val="FootnoteReference"/>
          <w:sz w:val="22"/>
          <w:szCs w:val="22"/>
        </w:rPr>
        <w:footnoteReference w:id="2"/>
      </w:r>
      <w:r w:rsidRPr="00C439D1">
        <w:rPr>
          <w:sz w:val="22"/>
          <w:szCs w:val="22"/>
        </w:rPr>
        <w:t xml:space="preserve">  Th</w:t>
      </w:r>
      <w:r w:rsidR="0095347B">
        <w:rPr>
          <w:sz w:val="22"/>
          <w:szCs w:val="22"/>
        </w:rPr>
        <w:t>at</w:t>
      </w:r>
      <w:r w:rsidRPr="00C439D1">
        <w:rPr>
          <w:sz w:val="22"/>
          <w:szCs w:val="22"/>
        </w:rPr>
        <w:t xml:space="preserve"> </w:t>
      </w:r>
      <w:r w:rsidR="00770187">
        <w:rPr>
          <w:i/>
          <w:sz w:val="22"/>
          <w:szCs w:val="22"/>
        </w:rPr>
        <w:t xml:space="preserve">Suspension Notice </w:t>
      </w:r>
      <w:r w:rsidRPr="00C439D1">
        <w:rPr>
          <w:sz w:val="22"/>
          <w:szCs w:val="22"/>
        </w:rPr>
        <w:t xml:space="preserve">suspended you from participating in activities associated with or relating to the </w:t>
      </w:r>
      <w:r w:rsidR="007C6F4D">
        <w:rPr>
          <w:sz w:val="22"/>
          <w:szCs w:val="22"/>
        </w:rPr>
        <w:t xml:space="preserve"> </w:t>
      </w:r>
      <w:r w:rsidRPr="00C439D1">
        <w:rPr>
          <w:sz w:val="22"/>
          <w:szCs w:val="22"/>
        </w:rPr>
        <w:t>E</w:t>
      </w:r>
      <w:r w:rsidR="007C6F4D">
        <w:rPr>
          <w:sz w:val="22"/>
          <w:szCs w:val="22"/>
        </w:rPr>
        <w:t>-</w:t>
      </w:r>
      <w:r w:rsidRPr="00C439D1">
        <w:rPr>
          <w:sz w:val="22"/>
          <w:szCs w:val="22"/>
        </w:rPr>
        <w:t>Rate program.  It also described the basis for initiating debarment proceedings against you, the applicable debarment procedures, and the effect of debarment.</w:t>
      </w:r>
    </w:p>
    <w:p w:rsidR="004805BA" w:rsidRDefault="004805BA" w:rsidP="008950D6">
      <w:pPr>
        <w:rPr>
          <w:sz w:val="22"/>
          <w:szCs w:val="22"/>
          <w:highlight w:val="yellow"/>
        </w:rPr>
      </w:pPr>
    </w:p>
    <w:p w:rsidR="009A5BC9" w:rsidRPr="00D849E5" w:rsidRDefault="009A5BC9" w:rsidP="00BA03B3">
      <w:pPr>
        <w:ind w:firstLine="720"/>
        <w:rPr>
          <w:rFonts w:eastAsia="Times New Roman"/>
          <w:szCs w:val="24"/>
        </w:rPr>
      </w:pPr>
      <w:r w:rsidRPr="004805BA">
        <w:rPr>
          <w:sz w:val="22"/>
          <w:szCs w:val="22"/>
        </w:rPr>
        <w:t xml:space="preserve">As discussed in the </w:t>
      </w:r>
      <w:r w:rsidR="00D86950" w:rsidRPr="004805BA">
        <w:rPr>
          <w:i/>
          <w:sz w:val="22"/>
          <w:szCs w:val="22"/>
        </w:rPr>
        <w:t>Suspension Notice</w:t>
      </w:r>
      <w:r w:rsidRPr="004805BA">
        <w:rPr>
          <w:sz w:val="22"/>
          <w:szCs w:val="22"/>
        </w:rPr>
        <w:t xml:space="preserve">, </w:t>
      </w:r>
      <w:r w:rsidRPr="007E226B">
        <w:rPr>
          <w:sz w:val="22"/>
          <w:szCs w:val="22"/>
        </w:rPr>
        <w:t xml:space="preserve">in </w:t>
      </w:r>
      <w:r w:rsidR="004805BA" w:rsidRPr="007E226B">
        <w:rPr>
          <w:sz w:val="22"/>
          <w:szCs w:val="22"/>
        </w:rPr>
        <w:t>October 2011</w:t>
      </w:r>
      <w:r w:rsidR="007675DF" w:rsidRPr="004805BA">
        <w:rPr>
          <w:sz w:val="22"/>
          <w:szCs w:val="22"/>
        </w:rPr>
        <w:t xml:space="preserve"> </w:t>
      </w:r>
      <w:r w:rsidRPr="004805BA">
        <w:rPr>
          <w:sz w:val="22"/>
          <w:szCs w:val="22"/>
        </w:rPr>
        <w:t xml:space="preserve">you were convicted of </w:t>
      </w:r>
      <w:r w:rsidR="00106FB9">
        <w:rPr>
          <w:rFonts w:eastAsia="Times New Roman"/>
          <w:sz w:val="22"/>
          <w:szCs w:val="22"/>
        </w:rPr>
        <w:t xml:space="preserve">multiple </w:t>
      </w:r>
      <w:r w:rsidR="004003D7">
        <w:rPr>
          <w:rFonts w:eastAsia="Times New Roman"/>
          <w:sz w:val="22"/>
          <w:szCs w:val="22"/>
        </w:rPr>
        <w:t>counts of wire fraud, one count of mail fraud, and one count of theft of government property</w:t>
      </w:r>
      <w:r w:rsidRPr="004805BA">
        <w:rPr>
          <w:sz w:val="22"/>
          <w:szCs w:val="22"/>
        </w:rPr>
        <w:t xml:space="preserve"> </w:t>
      </w:r>
      <w:r w:rsidR="00106FB9">
        <w:rPr>
          <w:sz w:val="22"/>
          <w:szCs w:val="22"/>
        </w:rPr>
        <w:t>for activities associated</w:t>
      </w:r>
      <w:r w:rsidRPr="004805BA">
        <w:rPr>
          <w:sz w:val="22"/>
          <w:szCs w:val="22"/>
        </w:rPr>
        <w:t xml:space="preserve"> with the E-Rate program.</w:t>
      </w:r>
      <w:r w:rsidRPr="004805BA">
        <w:rPr>
          <w:rStyle w:val="FootnoteReference"/>
          <w:sz w:val="22"/>
          <w:szCs w:val="22"/>
        </w:rPr>
        <w:footnoteReference w:id="3"/>
      </w:r>
      <w:r w:rsidRPr="004805BA">
        <w:rPr>
          <w:sz w:val="22"/>
          <w:szCs w:val="22"/>
        </w:rPr>
        <w:t xml:space="preserve">  </w:t>
      </w:r>
      <w:r w:rsidR="002C297D">
        <w:rPr>
          <w:sz w:val="22"/>
          <w:szCs w:val="22"/>
        </w:rPr>
        <w:t>A</w:t>
      </w:r>
      <w:r w:rsidR="004805BA">
        <w:rPr>
          <w:sz w:val="22"/>
          <w:szCs w:val="22"/>
        </w:rPr>
        <w:t>s the owner of Project Managers, Inc. (PMI</w:t>
      </w:r>
      <w:r w:rsidR="002C297D">
        <w:rPr>
          <w:sz w:val="22"/>
          <w:szCs w:val="22"/>
        </w:rPr>
        <w:t>) you defrauded the</w:t>
      </w:r>
      <w:r w:rsidR="007C6F4D">
        <w:rPr>
          <w:sz w:val="22"/>
          <w:szCs w:val="22"/>
        </w:rPr>
        <w:t xml:space="preserve"> </w:t>
      </w:r>
      <w:r w:rsidR="002C297D">
        <w:rPr>
          <w:sz w:val="22"/>
          <w:szCs w:val="22"/>
        </w:rPr>
        <w:t xml:space="preserve"> E</w:t>
      </w:r>
      <w:r w:rsidR="007C6F4D">
        <w:rPr>
          <w:sz w:val="22"/>
          <w:szCs w:val="22"/>
        </w:rPr>
        <w:t>-</w:t>
      </w:r>
      <w:r w:rsidR="002C297D">
        <w:rPr>
          <w:sz w:val="22"/>
          <w:szCs w:val="22"/>
        </w:rPr>
        <w:t xml:space="preserve">Rate program </w:t>
      </w:r>
      <w:r w:rsidR="009371E1">
        <w:rPr>
          <w:sz w:val="22"/>
          <w:szCs w:val="22"/>
        </w:rPr>
        <w:t>by completing and filing E-Rate application</w:t>
      </w:r>
      <w:r w:rsidR="0067674B">
        <w:rPr>
          <w:sz w:val="22"/>
          <w:szCs w:val="22"/>
        </w:rPr>
        <w:t>s</w:t>
      </w:r>
      <w:r w:rsidR="009371E1">
        <w:rPr>
          <w:sz w:val="22"/>
          <w:szCs w:val="22"/>
        </w:rPr>
        <w:t xml:space="preserve"> for the River Forest Community School Corporation (RFCSC) in violation of the E-Rate program rules.</w:t>
      </w:r>
      <w:r w:rsidR="00106FB9">
        <w:rPr>
          <w:rStyle w:val="FootnoteReference"/>
          <w:sz w:val="22"/>
          <w:szCs w:val="22"/>
        </w:rPr>
        <w:footnoteReference w:id="4"/>
      </w:r>
      <w:r w:rsidR="009371E1">
        <w:rPr>
          <w:sz w:val="22"/>
          <w:szCs w:val="22"/>
        </w:rPr>
        <w:t xml:space="preserve">  In addition, you submitted false invoices and received more than $200,000 in E-Rate payments from RFCSC and the Universal Service Administrative Company for technical services you </w:t>
      </w:r>
      <w:r w:rsidR="00A304E9">
        <w:rPr>
          <w:sz w:val="22"/>
          <w:szCs w:val="22"/>
        </w:rPr>
        <w:t>did not provide</w:t>
      </w:r>
      <w:r w:rsidR="009371E1">
        <w:rPr>
          <w:sz w:val="22"/>
          <w:szCs w:val="22"/>
        </w:rPr>
        <w:t xml:space="preserve"> and for cash advances you </w:t>
      </w:r>
      <w:r w:rsidR="00A304E9">
        <w:rPr>
          <w:sz w:val="22"/>
          <w:szCs w:val="22"/>
        </w:rPr>
        <w:t xml:space="preserve">did not </w:t>
      </w:r>
      <w:r w:rsidR="00A304E9">
        <w:rPr>
          <w:sz w:val="22"/>
          <w:szCs w:val="22"/>
        </w:rPr>
        <w:lastRenderedPageBreak/>
        <w:t>repay</w:t>
      </w:r>
      <w:r w:rsidR="009371E1">
        <w:rPr>
          <w:sz w:val="22"/>
          <w:szCs w:val="22"/>
        </w:rPr>
        <w:t>.</w:t>
      </w:r>
      <w:r w:rsidR="009371E1">
        <w:rPr>
          <w:rStyle w:val="FootnoteReference"/>
          <w:sz w:val="22"/>
          <w:szCs w:val="22"/>
        </w:rPr>
        <w:footnoteReference w:id="5"/>
      </w:r>
      <w:r w:rsidR="009371E1">
        <w:rPr>
          <w:sz w:val="22"/>
          <w:szCs w:val="22"/>
        </w:rPr>
        <w:t xml:space="preserve">  </w:t>
      </w:r>
      <w:r w:rsidR="00D849E5">
        <w:rPr>
          <w:sz w:val="22"/>
          <w:szCs w:val="22"/>
        </w:rPr>
        <w:t>Pursuant to Section 54.8(c) of the Commission’s rules, your conviction of criminal conduct in connection with the E-Rate program is the basis for this debarment.</w:t>
      </w:r>
      <w:r w:rsidR="00D849E5">
        <w:rPr>
          <w:rStyle w:val="FootnoteReference"/>
          <w:sz w:val="22"/>
          <w:szCs w:val="22"/>
        </w:rPr>
        <w:footnoteReference w:id="6"/>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sidR="00D93C95">
        <w:rPr>
          <w:i/>
          <w:sz w:val="22"/>
          <w:szCs w:val="22"/>
        </w:rPr>
        <w:t xml:space="preserve">Suspension Notice </w:t>
      </w:r>
      <w:r w:rsidRPr="00C439D1">
        <w:rPr>
          <w:sz w:val="22"/>
          <w:szCs w:val="22"/>
        </w:rPr>
        <w:t>or of its publication in the Federal Register, whichever date occurred first.</w:t>
      </w:r>
      <w:r w:rsidRPr="00C439D1">
        <w:rPr>
          <w:rStyle w:val="FootnoteReference"/>
          <w:sz w:val="22"/>
          <w:szCs w:val="22"/>
        </w:rPr>
        <w:footnoteReference w:id="7"/>
      </w:r>
      <w:r w:rsidRPr="00C439D1">
        <w:rPr>
          <w:sz w:val="22"/>
          <w:szCs w:val="22"/>
        </w:rPr>
        <w:t xml:space="preserve">  The Commission did not receive any such opposition from you.</w:t>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For the foregoing reasons, you are debarred from participating in activities associated with or related to the E-Rate program for three years from the Debarment Date.</w:t>
      </w:r>
      <w:r w:rsidRPr="00C439D1">
        <w:rPr>
          <w:rStyle w:val="FootnoteReference"/>
          <w:sz w:val="22"/>
          <w:szCs w:val="22"/>
        </w:rPr>
        <w:footnoteReference w:id="8"/>
      </w:r>
      <w:r w:rsidRPr="00C439D1">
        <w:rPr>
          <w:sz w:val="22"/>
          <w:szCs w:val="22"/>
        </w:rPr>
        <w:t xml:space="preserve">  During this debarment period, you are excluded from participating in any activities associated with or related to the E-Rate program, including the receipt of funds or discounted services through the E-Rate program, or consulting with, assisting, or advising applicants or service providers regarding the E-Rate program.</w:t>
      </w:r>
      <w:r w:rsidRPr="00C439D1">
        <w:rPr>
          <w:rStyle w:val="FootnoteReference"/>
          <w:sz w:val="22"/>
          <w:szCs w:val="22"/>
        </w:rPr>
        <w:footnoteReference w:id="9"/>
      </w:r>
    </w:p>
    <w:p w:rsidR="009A5BC9" w:rsidRPr="00C439D1" w:rsidRDefault="009A5BC9" w:rsidP="009A5BC9">
      <w:pPr>
        <w:rPr>
          <w:sz w:val="22"/>
          <w:szCs w:val="22"/>
        </w:rPr>
      </w:pPr>
    </w:p>
    <w:p w:rsidR="009A5BC9" w:rsidRPr="00C439D1" w:rsidRDefault="009A5BC9" w:rsidP="009A5BC9">
      <w:pPr>
        <w:tabs>
          <w:tab w:val="left" w:pos="4230"/>
        </w:tabs>
        <w:jc w:val="both"/>
        <w:rPr>
          <w:sz w:val="22"/>
          <w:szCs w:val="22"/>
        </w:rPr>
      </w:pPr>
      <w:r w:rsidRPr="00C439D1">
        <w:rPr>
          <w:sz w:val="22"/>
          <w:szCs w:val="22"/>
        </w:rPr>
        <w:tab/>
        <w:t>Sincerely,</w:t>
      </w:r>
    </w:p>
    <w:p w:rsidR="009A5BC9" w:rsidRPr="00C439D1" w:rsidRDefault="009A5BC9" w:rsidP="009A5BC9">
      <w:pPr>
        <w:jc w:val="both"/>
        <w:rPr>
          <w:sz w:val="22"/>
          <w:szCs w:val="22"/>
        </w:rPr>
      </w:pPr>
    </w:p>
    <w:p w:rsidR="009A5BC9"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tabs>
          <w:tab w:val="left" w:pos="4230"/>
        </w:tabs>
        <w:jc w:val="both"/>
        <w:rPr>
          <w:sz w:val="22"/>
          <w:szCs w:val="22"/>
        </w:rPr>
      </w:pPr>
      <w:r w:rsidRPr="00C439D1">
        <w:rPr>
          <w:sz w:val="22"/>
          <w:szCs w:val="22"/>
        </w:rPr>
        <w:tab/>
      </w:r>
      <w:r w:rsidR="007E226B">
        <w:rPr>
          <w:sz w:val="22"/>
          <w:szCs w:val="22"/>
        </w:rPr>
        <w:t xml:space="preserve">Jeffrey </w:t>
      </w:r>
      <w:r w:rsidR="007C6F4D">
        <w:rPr>
          <w:sz w:val="22"/>
          <w:szCs w:val="22"/>
        </w:rPr>
        <w:t xml:space="preserve">J. </w:t>
      </w:r>
      <w:r w:rsidR="007E226B">
        <w:rPr>
          <w:sz w:val="22"/>
          <w:szCs w:val="22"/>
        </w:rPr>
        <w:t>Gee</w:t>
      </w:r>
    </w:p>
    <w:p w:rsidR="009A5BC9" w:rsidRPr="00C439D1" w:rsidRDefault="009A5BC9" w:rsidP="009A5BC9">
      <w:pPr>
        <w:tabs>
          <w:tab w:val="left" w:pos="4230"/>
        </w:tabs>
        <w:jc w:val="both"/>
        <w:rPr>
          <w:sz w:val="22"/>
          <w:szCs w:val="22"/>
        </w:rPr>
      </w:pPr>
      <w:r w:rsidRPr="00C439D1">
        <w:rPr>
          <w:sz w:val="22"/>
          <w:szCs w:val="22"/>
        </w:rPr>
        <w:tab/>
      </w:r>
      <w:r w:rsidR="007E226B">
        <w:rPr>
          <w:sz w:val="22"/>
          <w:szCs w:val="22"/>
        </w:rPr>
        <w:t xml:space="preserve">Acting </w:t>
      </w:r>
      <w:r w:rsidRPr="00C439D1">
        <w:rPr>
          <w:sz w:val="22"/>
          <w:szCs w:val="22"/>
        </w:rPr>
        <w:t>Chief</w:t>
      </w:r>
    </w:p>
    <w:p w:rsidR="009A5BC9" w:rsidRPr="00C439D1" w:rsidRDefault="009A5BC9" w:rsidP="009A5BC9">
      <w:pPr>
        <w:pStyle w:val="BodyText2"/>
        <w:widowControl w:val="0"/>
        <w:tabs>
          <w:tab w:val="left" w:pos="4230"/>
        </w:tabs>
        <w:rPr>
          <w:sz w:val="22"/>
          <w:szCs w:val="22"/>
        </w:rPr>
      </w:pPr>
      <w:r w:rsidRPr="00C439D1">
        <w:rPr>
          <w:sz w:val="22"/>
          <w:szCs w:val="22"/>
        </w:rPr>
        <w:tab/>
        <w:t>Investigations and Hearings Division</w:t>
      </w:r>
    </w:p>
    <w:p w:rsidR="009A5BC9" w:rsidRPr="00C439D1" w:rsidRDefault="009A5BC9" w:rsidP="009A5BC9">
      <w:pPr>
        <w:widowControl w:val="0"/>
        <w:tabs>
          <w:tab w:val="left" w:pos="4230"/>
        </w:tabs>
        <w:jc w:val="both"/>
        <w:rPr>
          <w:sz w:val="22"/>
          <w:szCs w:val="22"/>
        </w:rPr>
      </w:pPr>
      <w:r w:rsidRPr="00C439D1">
        <w:rPr>
          <w:sz w:val="22"/>
          <w:szCs w:val="22"/>
        </w:rPr>
        <w:tab/>
        <w:t>Enforcement Bureau</w:t>
      </w:r>
    </w:p>
    <w:p w:rsidR="009A5BC9" w:rsidRPr="00C439D1" w:rsidRDefault="009A5BC9" w:rsidP="009A5BC9">
      <w:pPr>
        <w:widowControl w:val="0"/>
        <w:jc w:val="both"/>
        <w:rPr>
          <w:sz w:val="22"/>
          <w:szCs w:val="22"/>
        </w:rPr>
      </w:pPr>
    </w:p>
    <w:p w:rsidR="009A5BC9" w:rsidRPr="00C439D1" w:rsidRDefault="009A6CC7" w:rsidP="009A5BC9">
      <w:pPr>
        <w:tabs>
          <w:tab w:val="left" w:pos="360"/>
        </w:tabs>
        <w:ind w:left="540" w:hanging="540"/>
        <w:rPr>
          <w:sz w:val="22"/>
          <w:szCs w:val="22"/>
        </w:rPr>
      </w:pPr>
      <w:r>
        <w:rPr>
          <w:sz w:val="22"/>
          <w:szCs w:val="22"/>
        </w:rPr>
        <w:t>cc:</w:t>
      </w:r>
      <w:r>
        <w:rPr>
          <w:sz w:val="22"/>
          <w:szCs w:val="22"/>
        </w:rPr>
        <w:tab/>
      </w:r>
      <w:r w:rsidR="009A5BC9" w:rsidRPr="00C439D1">
        <w:rPr>
          <w:sz w:val="22"/>
          <w:szCs w:val="22"/>
        </w:rPr>
        <w:t>Johnnay Schrieber, Universal Service Administrative Company (via e-mail)</w:t>
      </w:r>
    </w:p>
    <w:p w:rsidR="009A5BC9" w:rsidRPr="00C439D1" w:rsidRDefault="009A6CC7" w:rsidP="009A5BC9">
      <w:pPr>
        <w:tabs>
          <w:tab w:val="left" w:pos="360"/>
        </w:tabs>
        <w:ind w:left="540" w:hanging="540"/>
        <w:rPr>
          <w:sz w:val="22"/>
          <w:szCs w:val="22"/>
        </w:rPr>
      </w:pPr>
      <w:r>
        <w:rPr>
          <w:sz w:val="22"/>
          <w:szCs w:val="22"/>
        </w:rPr>
        <w:tab/>
      </w:r>
      <w:r w:rsidR="009A5BC9" w:rsidRPr="00C439D1">
        <w:rPr>
          <w:sz w:val="22"/>
          <w:szCs w:val="22"/>
        </w:rPr>
        <w:t>Rashann Duvall, Universal Service Administrative Company (via e-mail)</w:t>
      </w:r>
    </w:p>
    <w:p w:rsidR="009A5BC9" w:rsidRDefault="009A6CC7" w:rsidP="009A6CC7">
      <w:pPr>
        <w:ind w:left="360"/>
        <w:rPr>
          <w:sz w:val="22"/>
          <w:szCs w:val="22"/>
        </w:rPr>
      </w:pPr>
      <w:r>
        <w:rPr>
          <w:sz w:val="22"/>
          <w:szCs w:val="22"/>
        </w:rPr>
        <w:t>Jonathan M. Minkus, Law Offices of Jonathan Minkus (via e-mail)</w:t>
      </w:r>
    </w:p>
    <w:p w:rsidR="009A6CC7" w:rsidRDefault="009A6CC7" w:rsidP="009A6CC7">
      <w:pPr>
        <w:ind w:left="360"/>
        <w:rPr>
          <w:sz w:val="22"/>
          <w:szCs w:val="22"/>
        </w:rPr>
      </w:pPr>
      <w:r>
        <w:rPr>
          <w:sz w:val="22"/>
          <w:szCs w:val="22"/>
        </w:rPr>
        <w:t>Toi Denise Houston, United States Attorney’s Office, Hammond, IN (via e-mail)</w:t>
      </w:r>
    </w:p>
    <w:p w:rsidR="009A6CC7" w:rsidRDefault="009A6CC7" w:rsidP="009A6CC7">
      <w:pPr>
        <w:ind w:left="360"/>
        <w:rPr>
          <w:sz w:val="22"/>
          <w:szCs w:val="22"/>
        </w:rPr>
      </w:pPr>
      <w:r>
        <w:rPr>
          <w:sz w:val="22"/>
          <w:szCs w:val="22"/>
        </w:rPr>
        <w:t>Jennifer Dixton, United States Department of Justice, Antitrust Division (via e-mail)</w:t>
      </w:r>
    </w:p>
    <w:p w:rsidR="009A6CC7" w:rsidRPr="00C439D1" w:rsidRDefault="009A6CC7" w:rsidP="009A6CC7">
      <w:pPr>
        <w:ind w:left="360"/>
        <w:rPr>
          <w:sz w:val="22"/>
          <w:szCs w:val="22"/>
        </w:rPr>
      </w:pP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E2" w:rsidRDefault="00423CE2">
      <w:r>
        <w:separator/>
      </w:r>
    </w:p>
  </w:endnote>
  <w:endnote w:type="continuationSeparator" w:id="0">
    <w:p w:rsidR="00423CE2" w:rsidRDefault="004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9" w:rsidRDefault="00FA3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9" w:rsidRDefault="00FA3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9" w:rsidRDefault="00FA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E2" w:rsidRDefault="00423CE2">
      <w:r>
        <w:separator/>
      </w:r>
    </w:p>
  </w:footnote>
  <w:footnote w:type="continuationSeparator" w:id="0">
    <w:p w:rsidR="00423CE2" w:rsidRDefault="00423CE2">
      <w:r>
        <w:continuationSeparator/>
      </w:r>
    </w:p>
  </w:footnote>
  <w:footnote w:id="1">
    <w:p w:rsidR="00AB7957" w:rsidRDefault="00AB7957" w:rsidP="009A5BC9">
      <w:pPr>
        <w:pStyle w:val="FootnoteText"/>
      </w:pPr>
      <w:r>
        <w:rPr>
          <w:rStyle w:val="FootnoteReference"/>
        </w:rPr>
        <w:footnoteRef/>
      </w:r>
      <w:r>
        <w:rPr>
          <w:i/>
        </w:rPr>
        <w:t xml:space="preserve"> </w:t>
      </w:r>
      <w:r>
        <w:t xml:space="preserve">47 C.F.R. §§ 54.8(e), (g); </w:t>
      </w:r>
      <w:r>
        <w:rPr>
          <w:i/>
        </w:rPr>
        <w:t xml:space="preserve">see </w:t>
      </w:r>
      <w:r w:rsidRPr="00770187">
        <w:rPr>
          <w:i/>
        </w:rPr>
        <w:t>also</w:t>
      </w:r>
      <w:r>
        <w:t xml:space="preserve"> </w:t>
      </w:r>
      <w:r>
        <w:rPr>
          <w:i/>
        </w:rPr>
        <w:t>id.</w:t>
      </w:r>
      <w:r>
        <w:t xml:space="preserve"> § 0.111 (delegating authority to the Enforcement Bureau to resolve universal service suspension and debarment proceedings).</w:t>
      </w:r>
    </w:p>
  </w:footnote>
  <w:footnote w:id="2">
    <w:p w:rsidR="00AB7957" w:rsidRDefault="00AB7957" w:rsidP="009A5BC9">
      <w:pPr>
        <w:pStyle w:val="FootnoteText"/>
      </w:pPr>
      <w:r>
        <w:rPr>
          <w:rStyle w:val="FootnoteReference"/>
        </w:rPr>
        <w:footnoteRef/>
      </w:r>
      <w:r>
        <w:t xml:space="preserve"> </w:t>
      </w:r>
      <w:r w:rsidR="00B20CD2" w:rsidRPr="009A6CC7">
        <w:t xml:space="preserve">Letter from Theresa Z. Cavanaugh, Chief, Investigations and Hearings Division, FCC Enforcement Bureau, to </w:t>
      </w:r>
      <w:r w:rsidR="00B20CD2">
        <w:t>Donna P. English</w:t>
      </w:r>
      <w:r w:rsidR="00B20CD2" w:rsidRPr="009A6CC7">
        <w:t xml:space="preserve">, Notice of Suspension and Initiation of Debarment Proceedings, </w:t>
      </w:r>
      <w:r w:rsidR="00B20CD2" w:rsidRPr="00EE5AD1">
        <w:t xml:space="preserve">29 FCC Rcd </w:t>
      </w:r>
      <w:r w:rsidR="00B20CD2">
        <w:t>10119</w:t>
      </w:r>
      <w:r w:rsidR="00B20CD2">
        <w:rPr>
          <w:iCs/>
        </w:rPr>
        <w:t xml:space="preserve"> (Enf. Bur. </w:t>
      </w:r>
      <w:r w:rsidR="00B20CD2" w:rsidRPr="009A6CC7">
        <w:rPr>
          <w:iCs/>
        </w:rPr>
        <w:t>2014) (</w:t>
      </w:r>
      <w:r w:rsidR="00B20CD2" w:rsidRPr="009A6CC7">
        <w:rPr>
          <w:i/>
          <w:iCs/>
        </w:rPr>
        <w:t>Suspension Notice</w:t>
      </w:r>
      <w:r w:rsidR="00B20CD2">
        <w:rPr>
          <w:iCs/>
        </w:rPr>
        <w:t>);</w:t>
      </w:r>
      <w:r w:rsidR="00F55463">
        <w:t xml:space="preserve"> </w:t>
      </w:r>
      <w:r>
        <w:t xml:space="preserve">79 Fed. Reg. </w:t>
      </w:r>
      <w:r w:rsidR="007073C1">
        <w:t>55486</w:t>
      </w:r>
      <w:r w:rsidRPr="005A6150">
        <w:t xml:space="preserve"> </w:t>
      </w:r>
      <w:r>
        <w:t>(</w:t>
      </w:r>
      <w:r w:rsidR="007073C1">
        <w:t>Sept</w:t>
      </w:r>
      <w:r w:rsidR="00A304E9">
        <w:t>.</w:t>
      </w:r>
      <w:r w:rsidR="007073C1">
        <w:t xml:space="preserve"> 16</w:t>
      </w:r>
      <w:r>
        <w:t>, 2014).</w:t>
      </w:r>
    </w:p>
  </w:footnote>
  <w:footnote w:id="3">
    <w:p w:rsidR="00AB7957" w:rsidRPr="007C6F4D" w:rsidRDefault="00AB7957" w:rsidP="009A5BC9">
      <w:pPr>
        <w:pStyle w:val="FootnoteText"/>
      </w:pPr>
      <w:r>
        <w:rPr>
          <w:rStyle w:val="FootnoteReference"/>
        </w:rPr>
        <w:footnoteRef/>
      </w:r>
      <w:r>
        <w:t xml:space="preserve"> </w:t>
      </w:r>
      <w:r w:rsidR="004003D7">
        <w:rPr>
          <w:i/>
        </w:rPr>
        <w:t>United States v. Donna P. English</w:t>
      </w:r>
      <w:r w:rsidR="004003D7">
        <w:t xml:space="preserve">, Criminal Docket No. 2:10-cr-00075-JTM-PRC, Judgment at 1 (N.D. Ind. entered </w:t>
      </w:r>
      <w:r w:rsidR="00B20CD2">
        <w:t>Oct. 14</w:t>
      </w:r>
      <w:r w:rsidR="004003D7">
        <w:t>, 2011)</w:t>
      </w:r>
      <w:r w:rsidR="00B20CD2">
        <w:t xml:space="preserve">; </w:t>
      </w:r>
      <w:r w:rsidR="00B20CD2">
        <w:rPr>
          <w:i/>
        </w:rPr>
        <w:t>Suspension Notice,</w:t>
      </w:r>
      <w:r w:rsidR="00B20CD2">
        <w:t xml:space="preserve"> 29 FCC Rcd at 10120–21.</w:t>
      </w:r>
    </w:p>
  </w:footnote>
  <w:footnote w:id="4">
    <w:p w:rsidR="00106FB9" w:rsidRPr="00C631DA" w:rsidRDefault="00106FB9">
      <w:pPr>
        <w:pStyle w:val="FootnoteText"/>
      </w:pPr>
      <w:r>
        <w:rPr>
          <w:rStyle w:val="FootnoteReference"/>
        </w:rPr>
        <w:footnoteRef/>
      </w:r>
      <w:r>
        <w:t xml:space="preserve"> </w:t>
      </w:r>
      <w:r w:rsidR="00C631DA">
        <w:rPr>
          <w:i/>
        </w:rPr>
        <w:t>Suspension Notice</w:t>
      </w:r>
      <w:r w:rsidR="00B20CD2">
        <w:t xml:space="preserve">, 29 FCC Rcd </w:t>
      </w:r>
      <w:r w:rsidR="00C631DA">
        <w:t>at 10120.</w:t>
      </w:r>
    </w:p>
  </w:footnote>
  <w:footnote w:id="5">
    <w:p w:rsidR="009371E1" w:rsidRPr="00BA03B3" w:rsidRDefault="009371E1" w:rsidP="009371E1">
      <w:pPr>
        <w:pStyle w:val="FootnoteText"/>
      </w:pPr>
      <w:r>
        <w:rPr>
          <w:rStyle w:val="FootnoteReference"/>
        </w:rPr>
        <w:footnoteRef/>
      </w:r>
      <w:r>
        <w:t xml:space="preserve"> </w:t>
      </w:r>
      <w:r>
        <w:rPr>
          <w:i/>
        </w:rPr>
        <w:t>Id</w:t>
      </w:r>
      <w:r>
        <w:t>. at 10120</w:t>
      </w:r>
      <w:r w:rsidR="00B20CD2">
        <w:t>–2</w:t>
      </w:r>
      <w:r>
        <w:t>.</w:t>
      </w:r>
    </w:p>
  </w:footnote>
  <w:footnote w:id="6">
    <w:p w:rsidR="00D849E5" w:rsidRDefault="00D849E5" w:rsidP="00D849E5">
      <w:pPr>
        <w:pStyle w:val="FootnoteText"/>
      </w:pPr>
      <w:r>
        <w:rPr>
          <w:rStyle w:val="FootnoteReference"/>
        </w:rPr>
        <w:footnoteRef/>
      </w:r>
      <w:r>
        <w:t xml:space="preserve"> 47 C.F.R. § 54.8(c).</w:t>
      </w:r>
    </w:p>
  </w:footnote>
  <w:footnote w:id="7">
    <w:p w:rsidR="00AB7957" w:rsidRDefault="00AB7957" w:rsidP="009A5BC9">
      <w:pPr>
        <w:pStyle w:val="FootnoteText"/>
      </w:pPr>
      <w:r>
        <w:rPr>
          <w:rStyle w:val="FootnoteReference"/>
        </w:rPr>
        <w:footnoteRef/>
      </w:r>
      <w:r>
        <w:rPr>
          <w:i/>
        </w:rPr>
        <w:t xml:space="preserve"> Id. </w:t>
      </w:r>
      <w:r>
        <w:t xml:space="preserve">§ 54.8 (e)(3)–(4).  Any opposition had to be filed no later than </w:t>
      </w:r>
      <w:r w:rsidR="004805BA">
        <w:t>October 3, 2014</w:t>
      </w:r>
      <w:r>
        <w:t>.</w:t>
      </w:r>
    </w:p>
  </w:footnote>
  <w:footnote w:id="8">
    <w:p w:rsidR="00AB7957" w:rsidRDefault="00AB7957" w:rsidP="009A5BC9">
      <w:pPr>
        <w:pStyle w:val="FootnoteText"/>
      </w:pPr>
      <w:r>
        <w:rPr>
          <w:rStyle w:val="FootnoteReference"/>
        </w:rPr>
        <w:footnoteRef/>
      </w:r>
      <w:r>
        <w:rPr>
          <w:i/>
        </w:rPr>
        <w:t xml:space="preserve"> Id</w:t>
      </w:r>
      <w:r>
        <w:t>. §§ 54.8(e)(5), (g).</w:t>
      </w:r>
    </w:p>
  </w:footnote>
  <w:footnote w:id="9">
    <w:p w:rsidR="00AB7957" w:rsidRDefault="00AB7957" w:rsidP="009A5BC9">
      <w:pPr>
        <w:pStyle w:val="FootnoteText"/>
        <w:rPr>
          <w:rFonts w:eastAsia="Batang"/>
          <w:lang w:eastAsia="ko-KR"/>
        </w:rPr>
      </w:pPr>
      <w:r>
        <w:rPr>
          <w:rStyle w:val="FootnoteReference"/>
        </w:rPr>
        <w:footnoteRef/>
      </w:r>
      <w:r>
        <w:rPr>
          <w:i/>
        </w:rPr>
        <w:t xml:space="preserve"> Id</w:t>
      </w:r>
      <w:r>
        <w:t>. §§ 54.8(a)(1), (5),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49" w:rsidRDefault="00FA3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Pr="00765340" w:rsidRDefault="009A6CC7" w:rsidP="009A5BC9">
    <w:pPr>
      <w:rPr>
        <w:rFonts w:eastAsia="Times New Roman"/>
        <w:sz w:val="22"/>
        <w:szCs w:val="22"/>
      </w:rPr>
    </w:pPr>
    <w:r w:rsidRPr="00765340">
      <w:rPr>
        <w:sz w:val="22"/>
        <w:szCs w:val="22"/>
      </w:rPr>
      <w:t>Donna P. English</w:t>
    </w:r>
  </w:p>
  <w:p w:rsidR="00AB7957" w:rsidRPr="009A5BC9" w:rsidRDefault="007C6F4D" w:rsidP="009A5BC9">
    <w:pPr>
      <w:rPr>
        <w:rFonts w:eastAsia="Times New Roman"/>
        <w:sz w:val="22"/>
        <w:szCs w:val="22"/>
      </w:rPr>
    </w:pPr>
    <w:r>
      <w:rPr>
        <w:rFonts w:eastAsia="Times New Roman"/>
        <w:sz w:val="22"/>
        <w:szCs w:val="22"/>
      </w:rPr>
      <w:t>December 18</w:t>
    </w:r>
    <w:r w:rsidR="00765340">
      <w:rPr>
        <w:rFonts w:eastAsia="Times New Roman"/>
        <w:sz w:val="22"/>
        <w:szCs w:val="22"/>
      </w:rPr>
      <w:t>, 2014</w:t>
    </w:r>
  </w:p>
  <w:p w:rsidR="00AB7957" w:rsidRPr="009A5BC9" w:rsidRDefault="00AB7957" w:rsidP="009A5BC9">
    <w:pPr>
      <w:rPr>
        <w:rFonts w:eastAsia="Times New Roman"/>
        <w:sz w:val="22"/>
        <w:szCs w:val="22"/>
      </w:rPr>
    </w:pPr>
    <w:r w:rsidRPr="009A5BC9">
      <w:rPr>
        <w:rFonts w:eastAsia="Times New Roman"/>
        <w:sz w:val="22"/>
        <w:szCs w:val="22"/>
      </w:rPr>
      <w:t xml:space="preserve">Page </w:t>
    </w:r>
    <w:r w:rsidRPr="009A5BC9">
      <w:rPr>
        <w:rFonts w:eastAsia="Times New Roman"/>
        <w:sz w:val="22"/>
        <w:szCs w:val="22"/>
      </w:rPr>
      <w:fldChar w:fldCharType="begin"/>
    </w:r>
    <w:r w:rsidRPr="009A5BC9">
      <w:rPr>
        <w:rFonts w:eastAsia="Times New Roman"/>
        <w:sz w:val="22"/>
        <w:szCs w:val="22"/>
      </w:rPr>
      <w:instrText xml:space="preserve"> PAGE </w:instrText>
    </w:r>
    <w:r w:rsidRPr="009A5BC9">
      <w:rPr>
        <w:rFonts w:eastAsia="Times New Roman"/>
        <w:sz w:val="22"/>
        <w:szCs w:val="22"/>
      </w:rPr>
      <w:fldChar w:fldCharType="separate"/>
    </w:r>
    <w:r w:rsidR="00A6233F">
      <w:rPr>
        <w:rFonts w:eastAsia="Times New Roman"/>
        <w:noProof/>
        <w:sz w:val="22"/>
        <w:szCs w:val="22"/>
      </w:rPr>
      <w:t>2</w:t>
    </w:r>
    <w:r w:rsidRPr="009A5BC9">
      <w:rPr>
        <w:rFonts w:eastAsia="Times New Roman"/>
        <w:sz w:val="22"/>
        <w:szCs w:val="22"/>
      </w:rPr>
      <w:fldChar w:fldCharType="end"/>
    </w:r>
  </w:p>
  <w:p w:rsidR="00AB7957" w:rsidRDefault="00AB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A6233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0405570" r:id="rId2"/>
      </w:pict>
    </w:r>
    <w:r w:rsidR="00AB7957">
      <w:rPr>
        <w:rFonts w:ascii="CG Times (W1)" w:hAnsi="CG Times (W1)"/>
        <w:sz w:val="28"/>
      </w:rPr>
      <w:t>Federal Communications Commission</w:t>
    </w:r>
  </w:p>
  <w:p w:rsidR="00AB7957" w:rsidRDefault="00AB7957">
    <w:pPr>
      <w:jc w:val="center"/>
    </w:pPr>
    <w:r>
      <w:rPr>
        <w:rFonts w:ascii="CG Times (W1)" w:hAnsi="CG Times (W1)"/>
        <w:sz w:val="28"/>
      </w:rPr>
      <w:t>Washington, D.C. 20554</w:t>
    </w:r>
  </w:p>
  <w:p w:rsidR="00AB7957" w:rsidRDefault="00AB7957">
    <w:pPr>
      <w:pStyle w:val="Header"/>
      <w:tabs>
        <w:tab w:val="clear" w:pos="4320"/>
      </w:tabs>
      <w:jc w:val="center"/>
      <w:rPr>
        <w:sz w:val="22"/>
      </w:rPr>
    </w:pPr>
  </w:p>
  <w:p w:rsidR="00AB7957" w:rsidRDefault="00AB7957">
    <w:pPr>
      <w:pStyle w:val="Header"/>
      <w:tabs>
        <w:tab w:val="clear" w:pos="4320"/>
      </w:tabs>
      <w:jc w:val="center"/>
      <w:rPr>
        <w:sz w:val="22"/>
      </w:rPr>
    </w:pPr>
  </w:p>
  <w:p w:rsidR="00AB7957" w:rsidRDefault="0095347B">
    <w:pPr>
      <w:pStyle w:val="Header"/>
      <w:tabs>
        <w:tab w:val="clear" w:pos="4320"/>
      </w:tabs>
      <w:jc w:val="center"/>
      <w:rPr>
        <w:sz w:val="24"/>
      </w:rPr>
    </w:pPr>
    <w:r>
      <w:rPr>
        <w:sz w:val="24"/>
      </w:rPr>
      <w:t xml:space="preserve">December </w:t>
    </w:r>
    <w:r w:rsidR="007C6F4D">
      <w:rPr>
        <w:sz w:val="24"/>
      </w:rPr>
      <w:t>18</w:t>
    </w:r>
    <w:r w:rsidR="00765340">
      <w:rPr>
        <w:sz w:val="24"/>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C9"/>
    <w:rsid w:val="00024BB3"/>
    <w:rsid w:val="00065F61"/>
    <w:rsid w:val="000D7238"/>
    <w:rsid w:val="00106FB9"/>
    <w:rsid w:val="001207D5"/>
    <w:rsid w:val="0015318D"/>
    <w:rsid w:val="001A7E08"/>
    <w:rsid w:val="00204CE3"/>
    <w:rsid w:val="00260F41"/>
    <w:rsid w:val="002776C2"/>
    <w:rsid w:val="002B54DB"/>
    <w:rsid w:val="002C297D"/>
    <w:rsid w:val="002F4621"/>
    <w:rsid w:val="003306EC"/>
    <w:rsid w:val="003B5B57"/>
    <w:rsid w:val="003E4B58"/>
    <w:rsid w:val="004003D7"/>
    <w:rsid w:val="004043D4"/>
    <w:rsid w:val="00423CE2"/>
    <w:rsid w:val="00477263"/>
    <w:rsid w:val="004805BA"/>
    <w:rsid w:val="004D3B53"/>
    <w:rsid w:val="004F4295"/>
    <w:rsid w:val="00540077"/>
    <w:rsid w:val="00544D7A"/>
    <w:rsid w:val="00665CC1"/>
    <w:rsid w:val="0067674B"/>
    <w:rsid w:val="007073C1"/>
    <w:rsid w:val="0075614E"/>
    <w:rsid w:val="00765340"/>
    <w:rsid w:val="007675DF"/>
    <w:rsid w:val="00770187"/>
    <w:rsid w:val="00785840"/>
    <w:rsid w:val="007A386B"/>
    <w:rsid w:val="007B28F3"/>
    <w:rsid w:val="007C6F4D"/>
    <w:rsid w:val="007E226B"/>
    <w:rsid w:val="0084674E"/>
    <w:rsid w:val="008950D6"/>
    <w:rsid w:val="00897A99"/>
    <w:rsid w:val="008B749D"/>
    <w:rsid w:val="009371E1"/>
    <w:rsid w:val="0095347B"/>
    <w:rsid w:val="009538A3"/>
    <w:rsid w:val="009A5BC9"/>
    <w:rsid w:val="009A6CC7"/>
    <w:rsid w:val="00A304E9"/>
    <w:rsid w:val="00A6233F"/>
    <w:rsid w:val="00A6578F"/>
    <w:rsid w:val="00A66EC0"/>
    <w:rsid w:val="00A83C3C"/>
    <w:rsid w:val="00AB7957"/>
    <w:rsid w:val="00AF5C94"/>
    <w:rsid w:val="00B0723F"/>
    <w:rsid w:val="00B20CD2"/>
    <w:rsid w:val="00B30CD9"/>
    <w:rsid w:val="00B415F8"/>
    <w:rsid w:val="00BA03B3"/>
    <w:rsid w:val="00BB585C"/>
    <w:rsid w:val="00BC234B"/>
    <w:rsid w:val="00C03671"/>
    <w:rsid w:val="00C631DA"/>
    <w:rsid w:val="00D035EF"/>
    <w:rsid w:val="00D722E9"/>
    <w:rsid w:val="00D849E5"/>
    <w:rsid w:val="00D86950"/>
    <w:rsid w:val="00D92E6E"/>
    <w:rsid w:val="00D93C95"/>
    <w:rsid w:val="00DB21CF"/>
    <w:rsid w:val="00E557B1"/>
    <w:rsid w:val="00EA3165"/>
    <w:rsid w:val="00EE5AD1"/>
    <w:rsid w:val="00EF282C"/>
    <w:rsid w:val="00F55463"/>
    <w:rsid w:val="00F62B82"/>
    <w:rsid w:val="00FA3049"/>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503</Words>
  <Characters>2853</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2014-12-02T18:25:00Z</cp:lastPrinted>
  <dcterms:created xsi:type="dcterms:W3CDTF">2014-12-18T16:00:00Z</dcterms:created>
  <dcterms:modified xsi:type="dcterms:W3CDTF">2014-12-18T16:00:00Z</dcterms:modified>
  <cp:category> </cp:category>
  <cp:contentStatus> </cp:contentStatus>
</cp:coreProperties>
</file>