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3211" w:rsidRDefault="004C3211" w:rsidP="004C3211">
            <w:pPr>
              <w:tabs>
                <w:tab w:val="center" w:pos="4680"/>
              </w:tabs>
              <w:suppressAutoHyphens/>
              <w:rPr>
                <w:spacing w:val="-2"/>
                <w:szCs w:val="22"/>
              </w:rPr>
            </w:pPr>
            <w:r>
              <w:rPr>
                <w:spacing w:val="-2"/>
                <w:szCs w:val="22"/>
              </w:rPr>
              <w:t>Reexamination of Roaming Obligations of Commercial Mobile Radio Service Providers and Other Providers of Mobile Data Services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3211">
            <w:pPr>
              <w:tabs>
                <w:tab w:val="center" w:pos="4680"/>
              </w:tabs>
              <w:suppressAutoHyphens/>
              <w:rPr>
                <w:spacing w:val="-2"/>
              </w:rPr>
            </w:pPr>
            <w:r>
              <w:rPr>
                <w:spacing w:val="-2"/>
                <w:szCs w:val="22"/>
              </w:rPr>
              <w:t>WT Docket No. 05-265</w:t>
            </w:r>
          </w:p>
        </w:tc>
      </w:tr>
    </w:tbl>
    <w:p w:rsidR="004C2EE3" w:rsidRDefault="004C2EE3" w:rsidP="0070224F"/>
    <w:p w:rsidR="00D73F3F" w:rsidRDefault="00D73F3F" w:rsidP="0070224F"/>
    <w:p w:rsidR="00841AB1" w:rsidRDefault="004C3211" w:rsidP="00F021FA">
      <w:pPr>
        <w:pStyle w:val="StyleBoldCentered"/>
      </w:pPr>
      <w:r>
        <w:t>DECLARATORY RULING</w:t>
      </w:r>
    </w:p>
    <w:p w:rsidR="004C2EE3" w:rsidRDefault="004C2EE3">
      <w:pPr>
        <w:tabs>
          <w:tab w:val="left" w:pos="-720"/>
        </w:tabs>
        <w:suppressAutoHyphens/>
        <w:spacing w:line="227" w:lineRule="auto"/>
        <w:rPr>
          <w:spacing w:val="-2"/>
        </w:rPr>
      </w:pPr>
    </w:p>
    <w:p w:rsidR="00D73F3F" w:rsidRDefault="00D73F3F">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224DE">
        <w:rPr>
          <w:b/>
          <w:spacing w:val="-2"/>
        </w:rPr>
        <w:t xml:space="preserve">December </w:t>
      </w:r>
      <w:r w:rsidR="00663690">
        <w:rPr>
          <w:b/>
          <w:spacing w:val="-2"/>
        </w:rPr>
        <w:t>18</w:t>
      </w:r>
      <w:r w:rsidR="00A224DE">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24DE">
        <w:rPr>
          <w:b/>
          <w:spacing w:val="-2"/>
        </w:rPr>
        <w:t xml:space="preserve">December </w:t>
      </w:r>
      <w:r w:rsidR="00663690">
        <w:rPr>
          <w:b/>
          <w:spacing w:val="-2"/>
        </w:rPr>
        <w:t>18</w:t>
      </w:r>
      <w:r w:rsidR="00A224DE">
        <w:rPr>
          <w:b/>
          <w:spacing w:val="-2"/>
        </w:rPr>
        <w:t>, 2014</w:t>
      </w:r>
    </w:p>
    <w:p w:rsidR="00822CE0" w:rsidRDefault="00822CE0"/>
    <w:p w:rsidR="004C3211" w:rsidRDefault="004C3211" w:rsidP="004C3211">
      <w:pPr>
        <w:rPr>
          <w:spacing w:val="-2"/>
        </w:rPr>
      </w:pPr>
      <w:r>
        <w:t xml:space="preserve">By the </w:t>
      </w:r>
      <w:r>
        <w:rPr>
          <w:spacing w:val="-2"/>
        </w:rPr>
        <w:t>Chief, Wireless Telecommunications Bureau:</w:t>
      </w:r>
    </w:p>
    <w:p w:rsidR="0076661E" w:rsidRDefault="0076661E" w:rsidP="004C3211">
      <w:pPr>
        <w:rPr>
          <w:spacing w:val="-2"/>
        </w:rPr>
      </w:pPr>
    </w:p>
    <w:p w:rsidR="004D759A" w:rsidRDefault="004D759A" w:rsidP="004C3211">
      <w:pPr>
        <w:rPr>
          <w:spacing w:val="-2"/>
        </w:rPr>
      </w:pPr>
    </w:p>
    <w:p w:rsidR="00EC0298" w:rsidRDefault="00EC0298" w:rsidP="00D55D85">
      <w:pPr>
        <w:spacing w:after="120"/>
        <w:rPr>
          <w:spacing w:val="-2"/>
        </w:rPr>
      </w:pPr>
      <w:r w:rsidRPr="00737C70">
        <w:rPr>
          <w:b/>
          <w:szCs w:val="22"/>
        </w:rPr>
        <w:t>I.</w:t>
      </w:r>
      <w:r w:rsidRPr="00737C70">
        <w:rPr>
          <w:b/>
          <w:szCs w:val="22"/>
        </w:rPr>
        <w:tab/>
      </w:r>
      <w:r>
        <w:rPr>
          <w:b/>
          <w:szCs w:val="22"/>
        </w:rPr>
        <w:t>INTRODUCTION</w:t>
      </w:r>
    </w:p>
    <w:p w:rsidR="00D33879" w:rsidRPr="0007707E" w:rsidRDefault="00651650" w:rsidP="00AC3DE1">
      <w:pPr>
        <w:pStyle w:val="ParaNum"/>
        <w:rPr>
          <w:szCs w:val="22"/>
        </w:rPr>
      </w:pPr>
      <w:bookmarkStart w:id="1" w:name="_Toc213837758"/>
      <w:bookmarkStart w:id="2" w:name="_Toc213838357"/>
      <w:bookmarkStart w:id="3" w:name="_Toc213838415"/>
      <w:bookmarkStart w:id="4" w:name="_Toc213838772"/>
      <w:bookmarkStart w:id="5" w:name="_Toc214259627"/>
      <w:r>
        <w:rPr>
          <w:szCs w:val="22"/>
        </w:rPr>
        <w:t>In this Declaratory Ruling, we grant, as</w:t>
      </w:r>
      <w:r w:rsidR="00A75CC0">
        <w:rPr>
          <w:szCs w:val="22"/>
        </w:rPr>
        <w:t xml:space="preserve"> set out below</w:t>
      </w:r>
      <w:r>
        <w:rPr>
          <w:szCs w:val="22"/>
        </w:rPr>
        <w:t xml:space="preserve">, a </w:t>
      </w:r>
      <w:r w:rsidR="009909D8">
        <w:t>T-Mobile USA, Inc. (“T-Mobile”) petition for an expedited declaratory ruling (“Petition”)</w:t>
      </w:r>
      <w:r w:rsidR="00A63972">
        <w:t>,</w:t>
      </w:r>
      <w:r w:rsidR="009909D8">
        <w:rPr>
          <w:rStyle w:val="FootnoteReference"/>
          <w:szCs w:val="22"/>
        </w:rPr>
        <w:footnoteReference w:id="2"/>
      </w:r>
      <w:r w:rsidR="00A63972">
        <w:t xml:space="preserve"> in order to </w:t>
      </w:r>
      <w:r w:rsidR="009909D8">
        <w:t xml:space="preserve">provide additional guidance on how </w:t>
      </w:r>
      <w:r w:rsidR="00A63972">
        <w:t xml:space="preserve">to </w:t>
      </w:r>
      <w:r w:rsidR="009909D8">
        <w:t xml:space="preserve">evaluate data roaming agreements under the standard set forth in Section 20.12(e) of </w:t>
      </w:r>
      <w:r w:rsidR="00C61D35">
        <w:t xml:space="preserve">the </w:t>
      </w:r>
      <w:r w:rsidR="009909D8">
        <w:t>Commission’s rules</w:t>
      </w:r>
      <w:r w:rsidR="00C61D35">
        <w:t xml:space="preserve">.  This rule </w:t>
      </w:r>
      <w:r w:rsidR="00A63972">
        <w:t>obligates facilities-based providers to offer data roaming arrangements to other such providers on “commercially reasonable terms and conditions</w:t>
      </w:r>
      <w:r w:rsidR="00545EC4">
        <w:t>.</w:t>
      </w:r>
      <w:r w:rsidR="00A63972">
        <w:t>”</w:t>
      </w:r>
      <w:r w:rsidR="00A63972">
        <w:rPr>
          <w:rStyle w:val="FootnoteReference"/>
        </w:rPr>
        <w:footnoteReference w:id="3"/>
      </w:r>
      <w:r w:rsidR="009909D8">
        <w:t xml:space="preserve">  Specifically, </w:t>
      </w:r>
      <w:r w:rsidR="00475EF2">
        <w:t>the</w:t>
      </w:r>
      <w:r w:rsidR="009909D8">
        <w:t xml:space="preserve"> Petition </w:t>
      </w:r>
      <w:r>
        <w:t>requests</w:t>
      </w:r>
      <w:r w:rsidR="009909D8">
        <w:t xml:space="preserve"> </w:t>
      </w:r>
      <w:r w:rsidR="00A63972">
        <w:t xml:space="preserve">guidance </w:t>
      </w:r>
      <w:r w:rsidR="009909D8">
        <w:t>that</w:t>
      </w:r>
      <w:r w:rsidR="00A63972">
        <w:t xml:space="preserve">, </w:t>
      </w:r>
      <w:r w:rsidR="009748FA">
        <w:rPr>
          <w:szCs w:val="22"/>
        </w:rPr>
        <w:t xml:space="preserve">in evaluating data roaming disputes, </w:t>
      </w:r>
      <w:r w:rsidR="00A63972">
        <w:rPr>
          <w:szCs w:val="22"/>
        </w:rPr>
        <w:t xml:space="preserve">the Commission </w:t>
      </w:r>
      <w:r w:rsidR="009748FA">
        <w:rPr>
          <w:szCs w:val="22"/>
        </w:rPr>
        <w:t xml:space="preserve">will </w:t>
      </w:r>
      <w:r w:rsidR="009909D8">
        <w:rPr>
          <w:szCs w:val="22"/>
        </w:rPr>
        <w:t xml:space="preserve">consider </w:t>
      </w:r>
      <w:r w:rsidR="009748FA">
        <w:rPr>
          <w:szCs w:val="22"/>
        </w:rPr>
        <w:t xml:space="preserve">as potentially relevant </w:t>
      </w:r>
      <w:r w:rsidR="009909D8" w:rsidDel="0076661E">
        <w:rPr>
          <w:szCs w:val="22"/>
        </w:rPr>
        <w:t xml:space="preserve">whether proffered data roaming rates are substantially in excess of </w:t>
      </w:r>
      <w:r w:rsidR="009909D8" w:rsidRPr="000E55FC" w:rsidDel="0076661E">
        <w:rPr>
          <w:szCs w:val="22"/>
        </w:rPr>
        <w:t xml:space="preserve">retail rates, international </w:t>
      </w:r>
      <w:r w:rsidR="009909D8" w:rsidRPr="00D7501B" w:rsidDel="0076661E">
        <w:rPr>
          <w:szCs w:val="22"/>
        </w:rPr>
        <w:t xml:space="preserve">rates, </w:t>
      </w:r>
      <w:r w:rsidR="009909D8" w:rsidDel="0076661E">
        <w:rPr>
          <w:szCs w:val="22"/>
        </w:rPr>
        <w:t>and mobile virtual network operator (</w:t>
      </w:r>
      <w:r w:rsidR="009909D8" w:rsidRPr="00E912F0" w:rsidDel="0076661E">
        <w:rPr>
          <w:szCs w:val="22"/>
        </w:rPr>
        <w:t>MVNO</w:t>
      </w:r>
      <w:r w:rsidR="009909D8" w:rsidDel="0076661E">
        <w:rPr>
          <w:szCs w:val="22"/>
        </w:rPr>
        <w:t>)</w:t>
      </w:r>
      <w:r w:rsidR="009909D8" w:rsidRPr="00E912F0" w:rsidDel="0076661E">
        <w:rPr>
          <w:szCs w:val="22"/>
        </w:rPr>
        <w:t xml:space="preserve">/resale </w:t>
      </w:r>
      <w:r w:rsidR="009909D8" w:rsidRPr="004E4B5E" w:rsidDel="0076661E">
        <w:rPr>
          <w:szCs w:val="22"/>
        </w:rPr>
        <w:t xml:space="preserve">rates, </w:t>
      </w:r>
      <w:r w:rsidR="009909D8" w:rsidDel="0076661E">
        <w:rPr>
          <w:szCs w:val="22"/>
        </w:rPr>
        <w:t xml:space="preserve">as well as </w:t>
      </w:r>
      <w:r w:rsidR="009748FA">
        <w:rPr>
          <w:szCs w:val="22"/>
        </w:rPr>
        <w:t>how</w:t>
      </w:r>
      <w:r w:rsidR="007B6EF1">
        <w:rPr>
          <w:szCs w:val="22"/>
        </w:rPr>
        <w:t xml:space="preserve"> </w:t>
      </w:r>
      <w:r w:rsidR="009909D8" w:rsidDel="0076661E">
        <w:rPr>
          <w:szCs w:val="22"/>
        </w:rPr>
        <w:t xml:space="preserve">proffered data roaming rates </w:t>
      </w:r>
      <w:r w:rsidR="009748FA">
        <w:rPr>
          <w:szCs w:val="22"/>
        </w:rPr>
        <w:t xml:space="preserve">compare </w:t>
      </w:r>
      <w:r w:rsidR="009909D8" w:rsidDel="0076661E">
        <w:rPr>
          <w:szCs w:val="22"/>
        </w:rPr>
        <w:t>to</w:t>
      </w:r>
      <w:r w:rsidR="009909D8" w:rsidRPr="004E4B5E" w:rsidDel="0076661E">
        <w:rPr>
          <w:szCs w:val="22"/>
        </w:rPr>
        <w:t xml:space="preserve"> domestic </w:t>
      </w:r>
      <w:r w:rsidR="003F4367">
        <w:rPr>
          <w:szCs w:val="22"/>
        </w:rPr>
        <w:t xml:space="preserve">data </w:t>
      </w:r>
      <w:r w:rsidR="009909D8" w:rsidRPr="004E4B5E" w:rsidDel="0076661E">
        <w:rPr>
          <w:szCs w:val="22"/>
        </w:rPr>
        <w:t>roaming rates</w:t>
      </w:r>
      <w:r w:rsidR="009909D8" w:rsidDel="0076661E">
        <w:rPr>
          <w:szCs w:val="22"/>
        </w:rPr>
        <w:t xml:space="preserve"> charged by other providers.  </w:t>
      </w:r>
      <w:r w:rsidR="009909D8">
        <w:rPr>
          <w:szCs w:val="22"/>
        </w:rPr>
        <w:t xml:space="preserve">Additionally, </w:t>
      </w:r>
      <w:r w:rsidR="00475EF2">
        <w:rPr>
          <w:szCs w:val="22"/>
        </w:rPr>
        <w:t xml:space="preserve">the </w:t>
      </w:r>
      <w:r w:rsidR="009909D8">
        <w:rPr>
          <w:szCs w:val="22"/>
        </w:rPr>
        <w:t xml:space="preserve">Petition </w:t>
      </w:r>
      <w:r w:rsidR="0007707E">
        <w:rPr>
          <w:szCs w:val="22"/>
        </w:rPr>
        <w:t>argue</w:t>
      </w:r>
      <w:r w:rsidR="00475EF2">
        <w:rPr>
          <w:szCs w:val="22"/>
        </w:rPr>
        <w:t>s</w:t>
      </w:r>
      <w:r w:rsidR="0007707E">
        <w:rPr>
          <w:szCs w:val="22"/>
        </w:rPr>
        <w:t xml:space="preserve"> </w:t>
      </w:r>
      <w:r w:rsidR="00D33879" w:rsidRPr="0007707E" w:rsidDel="0076661E">
        <w:rPr>
          <w:szCs w:val="22"/>
        </w:rPr>
        <w:t>that</w:t>
      </w:r>
      <w:r w:rsidR="00C61D35">
        <w:rPr>
          <w:szCs w:val="22"/>
        </w:rPr>
        <w:t>:</w:t>
      </w:r>
      <w:r w:rsidR="00D33879" w:rsidRPr="0007707E" w:rsidDel="0076661E">
        <w:rPr>
          <w:szCs w:val="22"/>
        </w:rPr>
        <w:t xml:space="preserve"> (i) the presumption in the </w:t>
      </w:r>
      <w:r w:rsidR="00D33879" w:rsidRPr="0007707E" w:rsidDel="0076661E">
        <w:rPr>
          <w:i/>
          <w:szCs w:val="22"/>
        </w:rPr>
        <w:t>Data Roaming Order</w:t>
      </w:r>
      <w:r w:rsidR="009748FA" w:rsidDel="0076661E">
        <w:rPr>
          <w:rStyle w:val="FootnoteReference"/>
          <w:szCs w:val="22"/>
        </w:rPr>
        <w:footnoteReference w:id="4"/>
      </w:r>
      <w:r w:rsidR="009748FA">
        <w:rPr>
          <w:szCs w:val="22"/>
        </w:rPr>
        <w:t xml:space="preserve"> </w:t>
      </w:r>
      <w:r w:rsidR="00574B22" w:rsidRPr="0007707E" w:rsidDel="0076661E">
        <w:rPr>
          <w:szCs w:val="22"/>
        </w:rPr>
        <w:t xml:space="preserve">that the terms of an existing roaming agreement are commercially reasonable </w:t>
      </w:r>
      <w:r w:rsidR="002B61CD" w:rsidRPr="0007707E" w:rsidDel="0076661E">
        <w:rPr>
          <w:szCs w:val="22"/>
        </w:rPr>
        <w:t xml:space="preserve">should be interpreted to apply </w:t>
      </w:r>
      <w:r w:rsidR="00574B22" w:rsidRPr="0007707E" w:rsidDel="0076661E">
        <w:rPr>
          <w:szCs w:val="22"/>
        </w:rPr>
        <w:t>only with respect to challenges to the terms of that agreement</w:t>
      </w:r>
      <w:r w:rsidR="00D33879" w:rsidRPr="0007707E" w:rsidDel="0076661E">
        <w:rPr>
          <w:szCs w:val="22"/>
        </w:rPr>
        <w:t xml:space="preserve">, and not to future agreements; and (ii) </w:t>
      </w:r>
      <w:r w:rsidR="00D13D1F" w:rsidRPr="0007707E" w:rsidDel="0076661E">
        <w:rPr>
          <w:szCs w:val="22"/>
        </w:rPr>
        <w:t xml:space="preserve">the </w:t>
      </w:r>
      <w:r w:rsidR="00D33879" w:rsidRPr="0007707E" w:rsidDel="0076661E">
        <w:rPr>
          <w:szCs w:val="22"/>
        </w:rPr>
        <w:t xml:space="preserve">inclusion of the extent and nature of providers’ build-out as a relevant factor </w:t>
      </w:r>
      <w:r w:rsidR="002B61CD" w:rsidRPr="0007707E" w:rsidDel="0076661E">
        <w:rPr>
          <w:szCs w:val="22"/>
        </w:rPr>
        <w:t>should not be interpreted</w:t>
      </w:r>
      <w:r w:rsidR="00D33879" w:rsidRPr="0007707E" w:rsidDel="0076661E">
        <w:rPr>
          <w:szCs w:val="22"/>
        </w:rPr>
        <w:t xml:space="preserve"> </w:t>
      </w:r>
      <w:r w:rsidR="005527E6" w:rsidRPr="0007707E" w:rsidDel="0076661E">
        <w:rPr>
          <w:szCs w:val="22"/>
        </w:rPr>
        <w:t xml:space="preserve">to allow </w:t>
      </w:r>
      <w:r w:rsidR="00D33879" w:rsidRPr="0007707E" w:rsidDel="0076661E">
        <w:rPr>
          <w:szCs w:val="22"/>
        </w:rPr>
        <w:t>a host provider to deny roaming</w:t>
      </w:r>
      <w:r w:rsidR="00080B75" w:rsidRPr="0007707E" w:rsidDel="0076661E">
        <w:rPr>
          <w:szCs w:val="22"/>
        </w:rPr>
        <w:t xml:space="preserve"> or charge commercially unreasonable rates for roaming</w:t>
      </w:r>
      <w:r w:rsidR="00D33879" w:rsidRPr="0007707E" w:rsidDel="0076661E">
        <w:rPr>
          <w:szCs w:val="22"/>
        </w:rPr>
        <w:t xml:space="preserve"> in a particular area </w:t>
      </w:r>
      <w:r w:rsidR="00A63972">
        <w:rPr>
          <w:szCs w:val="22"/>
        </w:rPr>
        <w:t>where</w:t>
      </w:r>
      <w:r w:rsidR="00D33879" w:rsidRPr="0007707E" w:rsidDel="0076661E">
        <w:rPr>
          <w:szCs w:val="22"/>
        </w:rPr>
        <w:t xml:space="preserve"> the otherwise built-out requesting provider has not built out</w:t>
      </w:r>
      <w:r w:rsidR="00A75CC0">
        <w:rPr>
          <w:szCs w:val="22"/>
        </w:rPr>
        <w:t xml:space="preserve"> in that area</w:t>
      </w:r>
      <w:r w:rsidR="00D33879" w:rsidRPr="0007707E" w:rsidDel="0076661E">
        <w:rPr>
          <w:szCs w:val="22"/>
        </w:rPr>
        <w:t>.</w:t>
      </w:r>
      <w:r w:rsidR="00D33879" w:rsidRPr="00737C70" w:rsidDel="0076661E">
        <w:rPr>
          <w:rStyle w:val="FootnoteReference"/>
          <w:sz w:val="22"/>
          <w:szCs w:val="22"/>
        </w:rPr>
        <w:footnoteReference w:id="5"/>
      </w:r>
      <w:r w:rsidR="0007707E">
        <w:rPr>
          <w:szCs w:val="22"/>
        </w:rPr>
        <w:t xml:space="preserve">  </w:t>
      </w:r>
    </w:p>
    <w:p w:rsidR="00D33879" w:rsidRPr="00737C70" w:rsidRDefault="00D33879" w:rsidP="00D33879">
      <w:pPr>
        <w:spacing w:after="120"/>
        <w:rPr>
          <w:b/>
          <w:szCs w:val="22"/>
        </w:rPr>
      </w:pPr>
      <w:r w:rsidRPr="00737C70">
        <w:rPr>
          <w:b/>
          <w:szCs w:val="22"/>
        </w:rPr>
        <w:t>I</w:t>
      </w:r>
      <w:r w:rsidR="00EC0298">
        <w:rPr>
          <w:b/>
          <w:szCs w:val="22"/>
        </w:rPr>
        <w:t>I</w:t>
      </w:r>
      <w:r w:rsidRPr="00737C70">
        <w:rPr>
          <w:b/>
          <w:szCs w:val="22"/>
        </w:rPr>
        <w:t>.</w:t>
      </w:r>
      <w:r w:rsidRPr="00737C70">
        <w:rPr>
          <w:b/>
          <w:szCs w:val="22"/>
        </w:rPr>
        <w:tab/>
        <w:t>BACKGROUND</w:t>
      </w:r>
    </w:p>
    <w:p w:rsidR="007B6EF1" w:rsidRPr="00475EF2" w:rsidRDefault="00A364A7" w:rsidP="00475EF2">
      <w:pPr>
        <w:pStyle w:val="ParaNum"/>
        <w:widowControl/>
        <w:rPr>
          <w:szCs w:val="22"/>
        </w:rPr>
      </w:pPr>
      <w:r w:rsidRPr="00A364A7">
        <w:t xml:space="preserve">Roaming arrangements between wireless service providers enable customers of one provider to receive services from another provider’s network when they are in areas that their provider’s network does not cover.  The Commission has previously determined that the availability of both voice </w:t>
      </w:r>
      <w:r w:rsidRPr="00A364A7">
        <w:lastRenderedPageBreak/>
        <w:t>and data roaming arrangements is critical to promoting seamless consumer access to mobile services nationwide, to promoting innovation and investment, and to promoting facilities-based competition among multiple service providers.</w:t>
      </w:r>
      <w:r w:rsidRPr="00FA36AC">
        <w:rPr>
          <w:vertAlign w:val="superscript"/>
        </w:rPr>
        <w:footnoteReference w:id="6"/>
      </w:r>
      <w:r w:rsidR="00F05345">
        <w:t xml:space="preserve">  </w:t>
      </w:r>
      <w:r w:rsidR="006F4AA8">
        <w:t>The Commission found that d</w:t>
      </w:r>
      <w:r w:rsidR="0054289C">
        <w:t>ata r</w:t>
      </w:r>
      <w:r w:rsidR="00F05345">
        <w:t>oaming is “particularly important for consumers in rural areas – where mobile data services may be solely available from small rural providers.”</w:t>
      </w:r>
      <w:r w:rsidR="00F05345">
        <w:rPr>
          <w:rStyle w:val="FootnoteReference"/>
        </w:rPr>
        <w:footnoteReference w:id="7"/>
      </w:r>
      <w:r w:rsidR="00F05345">
        <w:t xml:space="preserve">  </w:t>
      </w:r>
      <w:r w:rsidR="0054289C">
        <w:t xml:space="preserve">Further, </w:t>
      </w:r>
      <w:r w:rsidR="00F05345">
        <w:t xml:space="preserve">the Commission </w:t>
      </w:r>
      <w:r w:rsidR="0054289C">
        <w:t xml:space="preserve">noted, </w:t>
      </w:r>
      <w:r w:rsidR="009F5B34">
        <w:t>additional</w:t>
      </w:r>
      <w:r w:rsidR="007B6EF1">
        <w:t xml:space="preserve"> </w:t>
      </w:r>
      <w:r w:rsidR="00F05345">
        <w:t xml:space="preserve">consolidation </w:t>
      </w:r>
      <w:r w:rsidR="007B6EF1">
        <w:t>in</w:t>
      </w:r>
      <w:r w:rsidR="00F05345">
        <w:t xml:space="preserve"> the mobile wireless </w:t>
      </w:r>
      <w:r w:rsidR="007B6EF1">
        <w:t>marketplace</w:t>
      </w:r>
      <w:r w:rsidR="00F05345">
        <w:t xml:space="preserve"> may have reduced the incentives of the largest providers to enter into agreements with </w:t>
      </w:r>
      <w:r w:rsidR="009748FA">
        <w:t xml:space="preserve">other </w:t>
      </w:r>
      <w:r w:rsidR="00F05345">
        <w:t>providers because of the</w:t>
      </w:r>
      <w:r w:rsidR="0054289C">
        <w:t>ir reduced</w:t>
      </w:r>
      <w:r w:rsidR="00F05345">
        <w:t xml:space="preserve"> need for reciprocal roaming.</w:t>
      </w:r>
      <w:r w:rsidR="00F05345">
        <w:rPr>
          <w:rStyle w:val="FootnoteReference"/>
        </w:rPr>
        <w:footnoteReference w:id="8"/>
      </w:r>
    </w:p>
    <w:p w:rsidR="00475EF2" w:rsidRDefault="00D33879" w:rsidP="00EA4517">
      <w:pPr>
        <w:pStyle w:val="ParaNum"/>
        <w:rPr>
          <w:szCs w:val="22"/>
        </w:rPr>
      </w:pPr>
      <w:r w:rsidRPr="00877099">
        <w:rPr>
          <w:szCs w:val="22"/>
        </w:rPr>
        <w:t xml:space="preserve">In the </w:t>
      </w:r>
      <w:r w:rsidRPr="00877099">
        <w:rPr>
          <w:i/>
          <w:szCs w:val="22"/>
        </w:rPr>
        <w:t xml:space="preserve">Data Roaming Order, </w:t>
      </w:r>
      <w:r w:rsidRPr="00877099">
        <w:rPr>
          <w:szCs w:val="22"/>
        </w:rPr>
        <w:t xml:space="preserve">the Commission adopted a rule </w:t>
      </w:r>
      <w:r w:rsidR="00905FF3">
        <w:rPr>
          <w:szCs w:val="22"/>
        </w:rPr>
        <w:t>that require</w:t>
      </w:r>
      <w:r w:rsidR="00475EF2">
        <w:rPr>
          <w:szCs w:val="22"/>
        </w:rPr>
        <w:t>s</w:t>
      </w:r>
      <w:r w:rsidR="00905FF3">
        <w:rPr>
          <w:szCs w:val="22"/>
        </w:rPr>
        <w:t xml:space="preserve"> </w:t>
      </w:r>
      <w:r w:rsidRPr="00877099">
        <w:rPr>
          <w:szCs w:val="22"/>
        </w:rPr>
        <w:t>facilities-based providers of commercial mobile data services to offer data roaming a</w:t>
      </w:r>
      <w:r w:rsidR="0097109C">
        <w:rPr>
          <w:szCs w:val="22"/>
        </w:rPr>
        <w:t>rrangements</w:t>
      </w:r>
      <w:r w:rsidRPr="00877099">
        <w:rPr>
          <w:szCs w:val="22"/>
        </w:rPr>
        <w:t xml:space="preserve"> to other such providers on commercially reasonable terms and conditions, subject to certain limitations</w:t>
      </w:r>
      <w:r w:rsidR="007770A6">
        <w:rPr>
          <w:szCs w:val="22"/>
        </w:rPr>
        <w:t>.</w:t>
      </w:r>
      <w:r w:rsidRPr="00737C70">
        <w:rPr>
          <w:rStyle w:val="FootnoteReference"/>
          <w:sz w:val="22"/>
          <w:szCs w:val="22"/>
        </w:rPr>
        <w:footnoteReference w:id="9"/>
      </w:r>
      <w:r w:rsidRPr="00877099">
        <w:rPr>
          <w:szCs w:val="22"/>
        </w:rPr>
        <w:t xml:space="preserve">  </w:t>
      </w:r>
      <w:r w:rsidR="00E434A9" w:rsidRPr="00877099">
        <w:rPr>
          <w:szCs w:val="22"/>
        </w:rPr>
        <w:t xml:space="preserve">Under the </w:t>
      </w:r>
      <w:r w:rsidR="002C6BE1">
        <w:rPr>
          <w:szCs w:val="22"/>
        </w:rPr>
        <w:t>data roaming rule</w:t>
      </w:r>
      <w:r w:rsidR="00E434A9" w:rsidRPr="00877099">
        <w:rPr>
          <w:szCs w:val="22"/>
        </w:rPr>
        <w:t xml:space="preserve">, the Commission </w:t>
      </w:r>
      <w:r w:rsidR="00E434A9">
        <w:rPr>
          <w:szCs w:val="22"/>
        </w:rPr>
        <w:t xml:space="preserve">determines </w:t>
      </w:r>
      <w:r w:rsidR="00E434A9" w:rsidRPr="00877099">
        <w:rPr>
          <w:szCs w:val="22"/>
        </w:rPr>
        <w:t xml:space="preserve">the commercial reasonableness of data roaming </w:t>
      </w:r>
      <w:r w:rsidR="00475EF2">
        <w:rPr>
          <w:szCs w:val="22"/>
        </w:rPr>
        <w:t>terms and conditions</w:t>
      </w:r>
      <w:r w:rsidR="00E434A9" w:rsidRPr="00877099">
        <w:rPr>
          <w:szCs w:val="22"/>
        </w:rPr>
        <w:t xml:space="preserve"> </w:t>
      </w:r>
      <w:r w:rsidR="003301B9">
        <w:rPr>
          <w:szCs w:val="22"/>
        </w:rPr>
        <w:t xml:space="preserve">and resolves disputes thereunder </w:t>
      </w:r>
      <w:r w:rsidR="00E434A9" w:rsidRPr="00877099">
        <w:rPr>
          <w:szCs w:val="22"/>
        </w:rPr>
        <w:t>on a case-by-case basis, taking into consideration the totality of circumstances of the individual negotiations.</w:t>
      </w:r>
      <w:r w:rsidR="00E434A9">
        <w:rPr>
          <w:rStyle w:val="FootnoteReference"/>
          <w:szCs w:val="22"/>
        </w:rPr>
        <w:footnoteReference w:id="10"/>
      </w:r>
      <w:r w:rsidR="00E434A9" w:rsidRPr="00877099">
        <w:rPr>
          <w:szCs w:val="22"/>
        </w:rPr>
        <w:t xml:space="preserve">  </w:t>
      </w:r>
      <w:r w:rsidR="00E434A9">
        <w:rPr>
          <w:szCs w:val="22"/>
        </w:rPr>
        <w:t xml:space="preserve">The requirement that </w:t>
      </w:r>
      <w:r w:rsidR="00E434A9" w:rsidRPr="00877099">
        <w:rPr>
          <w:szCs w:val="22"/>
        </w:rPr>
        <w:t>providers offer data roaming arrangements on commercially reasonable terms and conditions</w:t>
      </w:r>
      <w:r w:rsidR="00E434A9">
        <w:rPr>
          <w:szCs w:val="22"/>
        </w:rPr>
        <w:t xml:space="preserve"> allows service providers the flexibility </w:t>
      </w:r>
      <w:r w:rsidR="00E434A9" w:rsidRPr="00877099">
        <w:rPr>
          <w:szCs w:val="22"/>
        </w:rPr>
        <w:t>to negotiate different terms and conditions, including prices, with different parties based on the circumstances in each case.</w:t>
      </w:r>
      <w:r w:rsidR="00E434A9">
        <w:rPr>
          <w:rStyle w:val="FootnoteReference"/>
          <w:szCs w:val="22"/>
        </w:rPr>
        <w:footnoteReference w:id="11"/>
      </w:r>
      <w:r w:rsidR="00E434A9">
        <w:rPr>
          <w:szCs w:val="22"/>
        </w:rPr>
        <w:t xml:space="preserve">  </w:t>
      </w:r>
      <w:r w:rsidRPr="00877099">
        <w:rPr>
          <w:szCs w:val="22"/>
        </w:rPr>
        <w:t>The Commission concluded that the data roaming rule would promote consumer access to seamless mobile data coverage nationwide, appropriately balance the incentives for new entrants and incumbent providers to invest in an</w:t>
      </w:r>
      <w:r w:rsidR="007F4C88" w:rsidRPr="00877099">
        <w:rPr>
          <w:szCs w:val="22"/>
        </w:rPr>
        <w:t>d</w:t>
      </w:r>
      <w:r w:rsidRPr="00877099">
        <w:rPr>
          <w:szCs w:val="22"/>
        </w:rPr>
        <w:t xml:space="preserve"> deploy advanced networks across the country, </w:t>
      </w:r>
      <w:r w:rsidR="00905FF3">
        <w:rPr>
          <w:szCs w:val="22"/>
        </w:rPr>
        <w:t xml:space="preserve">as well as </w:t>
      </w:r>
      <w:r w:rsidRPr="00877099">
        <w:rPr>
          <w:szCs w:val="22"/>
        </w:rPr>
        <w:t xml:space="preserve">foster competition among multiple </w:t>
      </w:r>
      <w:r w:rsidR="00905FF3">
        <w:rPr>
          <w:szCs w:val="22"/>
        </w:rPr>
        <w:t xml:space="preserve">service </w:t>
      </w:r>
      <w:r w:rsidRPr="00877099">
        <w:rPr>
          <w:szCs w:val="22"/>
        </w:rPr>
        <w:t xml:space="preserve">providers in the </w:t>
      </w:r>
      <w:r w:rsidR="00905FF3">
        <w:rPr>
          <w:szCs w:val="22"/>
        </w:rPr>
        <w:t>mobile wireless marketplace.</w:t>
      </w:r>
      <w:r w:rsidRPr="00737C70">
        <w:rPr>
          <w:rStyle w:val="FootnoteReference"/>
          <w:sz w:val="22"/>
          <w:szCs w:val="22"/>
        </w:rPr>
        <w:footnoteReference w:id="12"/>
      </w:r>
    </w:p>
    <w:p w:rsidR="00074463" w:rsidRDefault="00557E7E" w:rsidP="00EA4517">
      <w:pPr>
        <w:pStyle w:val="ParaNum"/>
        <w:rPr>
          <w:szCs w:val="22"/>
        </w:rPr>
      </w:pPr>
      <w:r>
        <w:rPr>
          <w:szCs w:val="22"/>
        </w:rPr>
        <w:t xml:space="preserve">In 2012, the D.C. Circuit upheld the Commission’s </w:t>
      </w:r>
      <w:r w:rsidR="004D55D5">
        <w:rPr>
          <w:szCs w:val="22"/>
        </w:rPr>
        <w:t>data roaming rule</w:t>
      </w:r>
      <w:r w:rsidR="004B148A">
        <w:rPr>
          <w:szCs w:val="22"/>
        </w:rPr>
        <w:t xml:space="preserve"> and concluded that the rule did not impose </w:t>
      </w:r>
      <w:r w:rsidR="004B148A">
        <w:rPr>
          <w:i/>
          <w:szCs w:val="22"/>
        </w:rPr>
        <w:t xml:space="preserve">per se </w:t>
      </w:r>
      <w:r w:rsidR="004B148A">
        <w:rPr>
          <w:szCs w:val="22"/>
        </w:rPr>
        <w:t>common carrier requirements</w:t>
      </w:r>
      <w:r w:rsidR="00E96803">
        <w:rPr>
          <w:szCs w:val="22"/>
        </w:rPr>
        <w:t xml:space="preserve">.  While </w:t>
      </w:r>
      <w:r w:rsidR="00DB08DD">
        <w:rPr>
          <w:szCs w:val="22"/>
        </w:rPr>
        <w:t xml:space="preserve">it observed that </w:t>
      </w:r>
      <w:r w:rsidR="00E96803">
        <w:rPr>
          <w:szCs w:val="22"/>
        </w:rPr>
        <w:t>the rule “plainly bears some marks of common carriage,” the court declined to conclude that such marks “so predominate as to ‘relegate[]’ mobile-internet providers ‘to common-carrier status.’”</w:t>
      </w:r>
      <w:r w:rsidR="004B148A">
        <w:rPr>
          <w:rStyle w:val="FootnoteReference"/>
          <w:szCs w:val="22"/>
        </w:rPr>
        <w:footnoteReference w:id="13"/>
      </w:r>
      <w:r w:rsidR="000D34B8">
        <w:rPr>
          <w:szCs w:val="22"/>
        </w:rPr>
        <w:t xml:space="preserve">  </w:t>
      </w:r>
      <w:r w:rsidR="00E96803">
        <w:rPr>
          <w:szCs w:val="22"/>
        </w:rPr>
        <w:t>In the court’s view, a key distinction is whether a provider “make</w:t>
      </w:r>
      <w:r w:rsidR="002B63D9">
        <w:rPr>
          <w:szCs w:val="22"/>
        </w:rPr>
        <w:t>[s]</w:t>
      </w:r>
      <w:r w:rsidR="00E96803">
        <w:rPr>
          <w:szCs w:val="22"/>
        </w:rPr>
        <w:t xml:space="preserve"> individualized decisions in particular cases whether and on what terms to serve.”</w:t>
      </w:r>
      <w:r w:rsidR="00E96803">
        <w:rPr>
          <w:rStyle w:val="FootnoteReference"/>
          <w:szCs w:val="22"/>
        </w:rPr>
        <w:footnoteReference w:id="14"/>
      </w:r>
      <w:r w:rsidR="00E96803">
        <w:rPr>
          <w:szCs w:val="22"/>
        </w:rPr>
        <w:t xml:space="preserve">  </w:t>
      </w:r>
      <w:r w:rsidR="000F7914">
        <w:rPr>
          <w:szCs w:val="22"/>
        </w:rPr>
        <w:t>The court noted that the rule “spells out sixteen different factors plus a catch-all ‘other special or extenuating circumstances’ factor that the Commission must take into account.”</w:t>
      </w:r>
      <w:r w:rsidR="000F7914">
        <w:rPr>
          <w:rStyle w:val="FootnoteReference"/>
          <w:szCs w:val="22"/>
        </w:rPr>
        <w:footnoteReference w:id="15"/>
      </w:r>
      <w:r w:rsidR="000F7914">
        <w:rPr>
          <w:szCs w:val="22"/>
        </w:rPr>
        <w:t xml:space="preserve">  </w:t>
      </w:r>
      <w:r w:rsidR="000D34B8">
        <w:rPr>
          <w:szCs w:val="22"/>
        </w:rPr>
        <w:t xml:space="preserve">Given </w:t>
      </w:r>
      <w:r w:rsidR="000D34B8">
        <w:rPr>
          <w:szCs w:val="22"/>
        </w:rPr>
        <w:lastRenderedPageBreak/>
        <w:t xml:space="preserve">that the Commission’s </w:t>
      </w:r>
      <w:r w:rsidR="00CC0166">
        <w:rPr>
          <w:szCs w:val="22"/>
        </w:rPr>
        <w:t>“</w:t>
      </w:r>
      <w:r w:rsidR="000D34B8">
        <w:rPr>
          <w:szCs w:val="22"/>
        </w:rPr>
        <w:t xml:space="preserve">commercially reasonable” standard </w:t>
      </w:r>
      <w:r w:rsidR="000F7914">
        <w:rPr>
          <w:szCs w:val="22"/>
        </w:rPr>
        <w:t xml:space="preserve">“leaves substantial room for individualized bargaining and discrimination in terms” and </w:t>
      </w:r>
      <w:r w:rsidR="000D34B8">
        <w:rPr>
          <w:szCs w:val="22"/>
        </w:rPr>
        <w:t>allow</w:t>
      </w:r>
      <w:r w:rsidR="00A434C3">
        <w:rPr>
          <w:szCs w:val="22"/>
        </w:rPr>
        <w:t>s</w:t>
      </w:r>
      <w:r w:rsidR="000D34B8">
        <w:rPr>
          <w:szCs w:val="22"/>
        </w:rPr>
        <w:t xml:space="preserve"> for “considerable flexibility for providers to respond to the competitive forces at play in the mobile-data market,” the D.C. Circuit</w:t>
      </w:r>
      <w:r w:rsidR="00074463">
        <w:rPr>
          <w:szCs w:val="22"/>
        </w:rPr>
        <w:t xml:space="preserve"> </w:t>
      </w:r>
      <w:r w:rsidR="000F7914">
        <w:rPr>
          <w:szCs w:val="22"/>
        </w:rPr>
        <w:t xml:space="preserve">upheld </w:t>
      </w:r>
      <w:r w:rsidR="00074463">
        <w:rPr>
          <w:szCs w:val="22"/>
        </w:rPr>
        <w:t>the data roaming rule</w:t>
      </w:r>
      <w:r w:rsidR="000F7914">
        <w:rPr>
          <w:szCs w:val="22"/>
        </w:rPr>
        <w:t xml:space="preserve"> against Verizon’s claim that it constituted impermissible common carriage regulation</w:t>
      </w:r>
      <w:r w:rsidR="00074463">
        <w:rPr>
          <w:szCs w:val="22"/>
        </w:rPr>
        <w:t>.</w:t>
      </w:r>
      <w:r w:rsidR="00074463">
        <w:rPr>
          <w:rStyle w:val="FootnoteReference"/>
          <w:szCs w:val="22"/>
        </w:rPr>
        <w:footnoteReference w:id="16"/>
      </w:r>
      <w:r w:rsidR="000F7914">
        <w:rPr>
          <w:szCs w:val="22"/>
        </w:rPr>
        <w:t xml:space="preserve">  </w:t>
      </w:r>
      <w:r w:rsidR="00A434C3">
        <w:rPr>
          <w:szCs w:val="22"/>
        </w:rPr>
        <w:t>T</w:t>
      </w:r>
      <w:r w:rsidR="000F7914">
        <w:rPr>
          <w:szCs w:val="22"/>
        </w:rPr>
        <w:t xml:space="preserve">he court cautioned the Commission against applying the rule in such a manner as to effectively relegate mobile-data providers to common carrier status, stating that the Commission </w:t>
      </w:r>
      <w:r w:rsidR="00376F1D">
        <w:rPr>
          <w:szCs w:val="22"/>
        </w:rPr>
        <w:t>“would thus do well to ensure that the discretion carved out in the rule’s text remains carved out in fact.”</w:t>
      </w:r>
      <w:r w:rsidR="00376F1D">
        <w:rPr>
          <w:rStyle w:val="FootnoteReference"/>
          <w:szCs w:val="22"/>
        </w:rPr>
        <w:footnoteReference w:id="17"/>
      </w:r>
      <w:r w:rsidR="00376F1D">
        <w:rPr>
          <w:szCs w:val="22"/>
        </w:rPr>
        <w:t xml:space="preserve">  </w:t>
      </w:r>
    </w:p>
    <w:p w:rsidR="004875F4" w:rsidRPr="00EE51C4" w:rsidRDefault="00475EF2" w:rsidP="00EE51C4">
      <w:pPr>
        <w:pStyle w:val="ParaNum"/>
        <w:rPr>
          <w:szCs w:val="22"/>
        </w:rPr>
      </w:pPr>
      <w:r>
        <w:rPr>
          <w:szCs w:val="22"/>
        </w:rPr>
        <w:t xml:space="preserve">T-Mobile filed its Petition on May 27, 2014.  The Petition asks the Commission </w:t>
      </w:r>
      <w:r w:rsidR="00217BC8">
        <w:rPr>
          <w:szCs w:val="22"/>
        </w:rPr>
        <w:t xml:space="preserve">to provide guidance for determining whether the terms of any given data roaming agreement meet the “commercially reasonable” standard adopted in the </w:t>
      </w:r>
      <w:r w:rsidR="00217BC8">
        <w:rPr>
          <w:i/>
          <w:szCs w:val="22"/>
        </w:rPr>
        <w:t>Data Roaming Order</w:t>
      </w:r>
      <w:r w:rsidR="00217BC8">
        <w:rPr>
          <w:szCs w:val="22"/>
        </w:rPr>
        <w:t>.</w:t>
      </w:r>
      <w:r w:rsidR="00217BC8">
        <w:rPr>
          <w:rStyle w:val="FootnoteReference"/>
          <w:szCs w:val="22"/>
        </w:rPr>
        <w:footnoteReference w:id="18"/>
      </w:r>
      <w:r w:rsidR="00217BC8">
        <w:rPr>
          <w:szCs w:val="22"/>
        </w:rPr>
        <w:t xml:space="preserve">  </w:t>
      </w:r>
      <w:r w:rsidR="00370D76">
        <w:rPr>
          <w:szCs w:val="22"/>
        </w:rPr>
        <w:t xml:space="preserve">T-Mobile asserts that the </w:t>
      </w:r>
      <w:r w:rsidR="00C53796">
        <w:rPr>
          <w:szCs w:val="22"/>
        </w:rPr>
        <w:t xml:space="preserve">data </w:t>
      </w:r>
      <w:r w:rsidR="00370D76">
        <w:rPr>
          <w:szCs w:val="22"/>
        </w:rPr>
        <w:t>roaming market</w:t>
      </w:r>
      <w:r w:rsidR="00C53796">
        <w:rPr>
          <w:szCs w:val="22"/>
        </w:rPr>
        <w:t>place</w:t>
      </w:r>
      <w:r w:rsidR="00370D76">
        <w:rPr>
          <w:szCs w:val="22"/>
        </w:rPr>
        <w:t xml:space="preserve"> is not working and that providers face difficulties negotiating data roaming agreements due in part to </w:t>
      </w:r>
      <w:r w:rsidR="00824021">
        <w:rPr>
          <w:szCs w:val="22"/>
        </w:rPr>
        <w:t>uncertainties</w:t>
      </w:r>
      <w:r w:rsidR="00370D76">
        <w:rPr>
          <w:szCs w:val="22"/>
        </w:rPr>
        <w:t xml:space="preserve"> in the commercially reasonable standard.</w:t>
      </w:r>
      <w:r w:rsidR="00BF343D">
        <w:rPr>
          <w:szCs w:val="22"/>
        </w:rPr>
        <w:t xml:space="preserve">  It argues that “must have” roaming partners have exploit</w:t>
      </w:r>
      <w:r w:rsidR="005355F5">
        <w:rPr>
          <w:szCs w:val="22"/>
        </w:rPr>
        <w:t>ed</w:t>
      </w:r>
      <w:r w:rsidR="00BF343D">
        <w:rPr>
          <w:szCs w:val="22"/>
        </w:rPr>
        <w:t xml:space="preserve"> ambiguity in the rules to deny roaming requests, and that difficulties in negotiations have led to substantial delays in the process.</w:t>
      </w:r>
      <w:r w:rsidR="00BF343D">
        <w:rPr>
          <w:rStyle w:val="FootnoteReference"/>
          <w:szCs w:val="22"/>
        </w:rPr>
        <w:footnoteReference w:id="19"/>
      </w:r>
      <w:r w:rsidR="00370D76">
        <w:rPr>
          <w:szCs w:val="22"/>
        </w:rPr>
        <w:t xml:space="preserve">  </w:t>
      </w:r>
      <w:r w:rsidR="00217BC8" w:rsidRPr="00EE51C4">
        <w:rPr>
          <w:szCs w:val="22"/>
        </w:rPr>
        <w:t xml:space="preserve">Specifically, T-Mobile proposes four </w:t>
      </w:r>
      <w:r w:rsidR="00C53796" w:rsidRPr="00EE51C4">
        <w:rPr>
          <w:szCs w:val="22"/>
        </w:rPr>
        <w:t>“</w:t>
      </w:r>
      <w:r w:rsidR="00217BC8" w:rsidRPr="00EE51C4">
        <w:rPr>
          <w:szCs w:val="22"/>
        </w:rPr>
        <w:t>benchmarks</w:t>
      </w:r>
      <w:r w:rsidR="00C53796" w:rsidRPr="00EE51C4">
        <w:rPr>
          <w:szCs w:val="22"/>
        </w:rPr>
        <w:t>”</w:t>
      </w:r>
      <w:r w:rsidR="00217BC8" w:rsidRPr="00EE51C4">
        <w:rPr>
          <w:szCs w:val="22"/>
        </w:rPr>
        <w:t xml:space="preserve"> that </w:t>
      </w:r>
      <w:r w:rsidR="00C53796" w:rsidRPr="00EE51C4">
        <w:rPr>
          <w:szCs w:val="22"/>
        </w:rPr>
        <w:t xml:space="preserve">it </w:t>
      </w:r>
      <w:r w:rsidR="002A59E7" w:rsidRPr="00EE51C4">
        <w:rPr>
          <w:szCs w:val="22"/>
        </w:rPr>
        <w:t>asserts</w:t>
      </w:r>
      <w:r w:rsidR="00C53796" w:rsidRPr="00EE51C4">
        <w:rPr>
          <w:szCs w:val="22"/>
        </w:rPr>
        <w:t xml:space="preserve"> </w:t>
      </w:r>
      <w:r w:rsidR="00217BC8" w:rsidRPr="00EE51C4">
        <w:rPr>
          <w:szCs w:val="22"/>
        </w:rPr>
        <w:t xml:space="preserve">would be relevant for assessing </w:t>
      </w:r>
      <w:r w:rsidR="00FB32FD" w:rsidRPr="00EE51C4">
        <w:rPr>
          <w:szCs w:val="22"/>
        </w:rPr>
        <w:t xml:space="preserve">the </w:t>
      </w:r>
      <w:r w:rsidR="00217BC8" w:rsidRPr="00EE51C4">
        <w:rPr>
          <w:szCs w:val="22"/>
        </w:rPr>
        <w:t>commercial reasonableness of data roaming rates</w:t>
      </w:r>
      <w:r w:rsidR="007D319D" w:rsidRPr="00EE51C4">
        <w:rPr>
          <w:szCs w:val="22"/>
        </w:rPr>
        <w:t>: (i) retail rates; (ii) international roaming rates; (iii) MVNO/resale rates; and (iv) roaming rates</w:t>
      </w:r>
      <w:r w:rsidR="005355F5" w:rsidRPr="00EE51C4">
        <w:rPr>
          <w:szCs w:val="22"/>
        </w:rPr>
        <w:t xml:space="preserve"> charged by other </w:t>
      </w:r>
      <w:r w:rsidR="006D06B5" w:rsidRPr="00EE51C4">
        <w:rPr>
          <w:szCs w:val="22"/>
        </w:rPr>
        <w:t>providers</w:t>
      </w:r>
      <w:r w:rsidR="00217BC8" w:rsidRPr="00EE51C4">
        <w:rPr>
          <w:szCs w:val="22"/>
        </w:rPr>
        <w:t>.</w:t>
      </w:r>
      <w:r w:rsidR="00217BC8">
        <w:rPr>
          <w:rStyle w:val="FootnoteReference"/>
          <w:szCs w:val="22"/>
        </w:rPr>
        <w:footnoteReference w:id="20"/>
      </w:r>
      <w:r w:rsidR="00217BC8" w:rsidRPr="00EE51C4">
        <w:rPr>
          <w:szCs w:val="22"/>
        </w:rPr>
        <w:t xml:space="preserve">  </w:t>
      </w:r>
      <w:r w:rsidR="00DC1923" w:rsidRPr="00EE51C4">
        <w:rPr>
          <w:szCs w:val="22"/>
        </w:rPr>
        <w:t>T-Mobile asserts that the Commission should consider whether a</w:t>
      </w:r>
      <w:r w:rsidR="00CD2AC5" w:rsidRPr="00EE51C4">
        <w:rPr>
          <w:szCs w:val="22"/>
        </w:rPr>
        <w:t xml:space="preserve"> </w:t>
      </w:r>
      <w:r w:rsidR="00C53796" w:rsidRPr="00EE51C4">
        <w:rPr>
          <w:szCs w:val="22"/>
        </w:rPr>
        <w:t xml:space="preserve">proffered data roaming </w:t>
      </w:r>
      <w:r w:rsidR="00DC1923" w:rsidRPr="00EE51C4">
        <w:rPr>
          <w:szCs w:val="22"/>
        </w:rPr>
        <w:t xml:space="preserve">rate </w:t>
      </w:r>
      <w:r w:rsidR="00BF343D" w:rsidRPr="00EE51C4">
        <w:rPr>
          <w:szCs w:val="22"/>
        </w:rPr>
        <w:t>“substantially exceeds” the first three of these benchmarks, and also “how [that rate] compares” to the fourth benchmark,</w:t>
      </w:r>
      <w:r w:rsidR="00DC1923" w:rsidRPr="00EE51C4">
        <w:rPr>
          <w:szCs w:val="22"/>
        </w:rPr>
        <w:t xml:space="preserve"> as part of the </w:t>
      </w:r>
      <w:r w:rsidR="00370D76" w:rsidRPr="00EE51C4">
        <w:rPr>
          <w:szCs w:val="22"/>
        </w:rPr>
        <w:t xml:space="preserve">totality of the </w:t>
      </w:r>
      <w:r w:rsidR="00DC1923" w:rsidRPr="00EE51C4">
        <w:rPr>
          <w:szCs w:val="22"/>
        </w:rPr>
        <w:t xml:space="preserve">circumstances </w:t>
      </w:r>
      <w:r w:rsidR="00370D76" w:rsidRPr="00EE51C4">
        <w:rPr>
          <w:szCs w:val="22"/>
        </w:rPr>
        <w:t xml:space="preserve">approach </w:t>
      </w:r>
      <w:r w:rsidR="00DC1923" w:rsidRPr="00EE51C4">
        <w:rPr>
          <w:szCs w:val="22"/>
        </w:rPr>
        <w:t xml:space="preserve">in deciding whether a </w:t>
      </w:r>
      <w:r w:rsidR="00C53796" w:rsidRPr="00EE51C4">
        <w:rPr>
          <w:szCs w:val="22"/>
        </w:rPr>
        <w:t xml:space="preserve">proffered data roaming </w:t>
      </w:r>
      <w:r w:rsidR="00DC1923" w:rsidRPr="00EE51C4">
        <w:rPr>
          <w:szCs w:val="22"/>
        </w:rPr>
        <w:t>rate is commercially reasonable.</w:t>
      </w:r>
      <w:r w:rsidR="00DC1923">
        <w:rPr>
          <w:rStyle w:val="FootnoteReference"/>
          <w:szCs w:val="22"/>
        </w:rPr>
        <w:footnoteReference w:id="21"/>
      </w:r>
      <w:r w:rsidR="00DC1923" w:rsidRPr="00EE51C4">
        <w:rPr>
          <w:szCs w:val="22"/>
        </w:rPr>
        <w:t xml:space="preserve">  </w:t>
      </w:r>
      <w:r w:rsidR="00CD2AC5" w:rsidRPr="00EE51C4">
        <w:rPr>
          <w:szCs w:val="22"/>
        </w:rPr>
        <w:t xml:space="preserve">T-Mobile also asserts that the Commission should </w:t>
      </w:r>
      <w:r w:rsidR="00FF28B7" w:rsidRPr="00EE51C4">
        <w:rPr>
          <w:szCs w:val="22"/>
        </w:rPr>
        <w:t>consider the relevance of such</w:t>
      </w:r>
      <w:r w:rsidR="00CD2AC5" w:rsidRPr="00EE51C4">
        <w:rPr>
          <w:szCs w:val="22"/>
        </w:rPr>
        <w:t xml:space="preserve"> </w:t>
      </w:r>
      <w:r w:rsidR="0014607C" w:rsidRPr="00EE51C4">
        <w:rPr>
          <w:szCs w:val="22"/>
        </w:rPr>
        <w:t>other rates</w:t>
      </w:r>
      <w:r w:rsidR="00CD2AC5" w:rsidRPr="00EE51C4">
        <w:rPr>
          <w:szCs w:val="22"/>
        </w:rPr>
        <w:t xml:space="preserve"> in conjunction with one another</w:t>
      </w:r>
      <w:r w:rsidR="00BD2286" w:rsidRPr="00EE51C4">
        <w:rPr>
          <w:szCs w:val="22"/>
        </w:rPr>
        <w:t>,</w:t>
      </w:r>
      <w:r w:rsidR="00CD2AC5" w:rsidRPr="00EE51C4">
        <w:rPr>
          <w:szCs w:val="22"/>
        </w:rPr>
        <w:t xml:space="preserve"> and with an analysis of competitive risks.</w:t>
      </w:r>
      <w:r w:rsidR="004875F4">
        <w:rPr>
          <w:rStyle w:val="FootnoteReference"/>
          <w:szCs w:val="22"/>
        </w:rPr>
        <w:footnoteReference w:id="22"/>
      </w:r>
    </w:p>
    <w:p w:rsidR="00925A69" w:rsidRDefault="00E434A9">
      <w:pPr>
        <w:pStyle w:val="ParaNum"/>
        <w:rPr>
          <w:szCs w:val="22"/>
        </w:rPr>
      </w:pPr>
      <w:r>
        <w:rPr>
          <w:szCs w:val="22"/>
        </w:rPr>
        <w:t xml:space="preserve">In addition, </w:t>
      </w:r>
      <w:r w:rsidR="00217BC8">
        <w:rPr>
          <w:szCs w:val="22"/>
        </w:rPr>
        <w:t>T-Mobile requests clarification</w:t>
      </w:r>
      <w:r w:rsidR="00C41F98">
        <w:rPr>
          <w:szCs w:val="22"/>
        </w:rPr>
        <w:t xml:space="preserve"> that</w:t>
      </w:r>
      <w:r w:rsidR="00C53796">
        <w:rPr>
          <w:szCs w:val="22"/>
        </w:rPr>
        <w:t>:</w:t>
      </w:r>
      <w:r w:rsidR="00074463">
        <w:rPr>
          <w:szCs w:val="22"/>
        </w:rPr>
        <w:t xml:space="preserve"> </w:t>
      </w:r>
      <w:r w:rsidR="00925A69" w:rsidRPr="00737C70">
        <w:rPr>
          <w:szCs w:val="22"/>
        </w:rPr>
        <w:t xml:space="preserve">(i) the presumption in the </w:t>
      </w:r>
      <w:r w:rsidR="00925A69" w:rsidRPr="00737C70">
        <w:rPr>
          <w:i/>
          <w:szCs w:val="22"/>
        </w:rPr>
        <w:t>Data Roaming Order</w:t>
      </w:r>
      <w:r w:rsidR="00925A69" w:rsidRPr="006C3286">
        <w:rPr>
          <w:szCs w:val="22"/>
        </w:rPr>
        <w:t xml:space="preserve"> </w:t>
      </w:r>
      <w:r w:rsidR="00C41F98" w:rsidRPr="006C3286">
        <w:rPr>
          <w:szCs w:val="22"/>
        </w:rPr>
        <w:t>tha</w:t>
      </w:r>
      <w:r w:rsidR="00C41F98">
        <w:rPr>
          <w:szCs w:val="22"/>
        </w:rPr>
        <w:t xml:space="preserve">t the terms of an existing roaming agreement are commercially reasonable </w:t>
      </w:r>
      <w:r w:rsidR="00925A69" w:rsidRPr="00737C70">
        <w:rPr>
          <w:szCs w:val="22"/>
        </w:rPr>
        <w:t xml:space="preserve">applies </w:t>
      </w:r>
      <w:r w:rsidR="00C41F98">
        <w:rPr>
          <w:szCs w:val="22"/>
        </w:rPr>
        <w:t>only with respect to challenges to the terms of that agreement</w:t>
      </w:r>
      <w:r w:rsidR="00925A69" w:rsidRPr="00737C70">
        <w:rPr>
          <w:szCs w:val="22"/>
        </w:rPr>
        <w:t>, and not to future agreements</w:t>
      </w:r>
      <w:r w:rsidR="00C41F98">
        <w:rPr>
          <w:szCs w:val="22"/>
        </w:rPr>
        <w:t xml:space="preserve"> or proposed agreements</w:t>
      </w:r>
      <w:r w:rsidR="00925A69" w:rsidRPr="00737C70">
        <w:rPr>
          <w:szCs w:val="22"/>
        </w:rPr>
        <w:t xml:space="preserve">; and (ii) inclusion of the extent and nature of providers’ build-out as a factor was not intended to </w:t>
      </w:r>
      <w:r w:rsidR="00925A69">
        <w:rPr>
          <w:szCs w:val="22"/>
        </w:rPr>
        <w:t xml:space="preserve">allow a host provider </w:t>
      </w:r>
      <w:r w:rsidR="00925A69" w:rsidRPr="00737C70">
        <w:rPr>
          <w:szCs w:val="22"/>
        </w:rPr>
        <w:t xml:space="preserve">to deny roaming </w:t>
      </w:r>
      <w:r w:rsidR="007B0996">
        <w:rPr>
          <w:szCs w:val="22"/>
        </w:rPr>
        <w:t>or charge commercially unreasonable rates for roaming</w:t>
      </w:r>
      <w:r w:rsidR="007B0996" w:rsidRPr="00737C70">
        <w:rPr>
          <w:szCs w:val="22"/>
        </w:rPr>
        <w:t xml:space="preserve"> </w:t>
      </w:r>
      <w:r w:rsidR="00925A69" w:rsidRPr="00737C70">
        <w:rPr>
          <w:szCs w:val="22"/>
        </w:rPr>
        <w:t>in a particular area where the otherwise built-out requesting provider has not built out.</w:t>
      </w:r>
      <w:r w:rsidR="00925A69" w:rsidRPr="00737C70">
        <w:rPr>
          <w:rStyle w:val="FootnoteReference"/>
          <w:sz w:val="22"/>
          <w:szCs w:val="22"/>
        </w:rPr>
        <w:footnoteReference w:id="23"/>
      </w:r>
    </w:p>
    <w:p w:rsidR="00D81140" w:rsidRDefault="005B6E72" w:rsidP="008235A5">
      <w:pPr>
        <w:pStyle w:val="ParaNum"/>
        <w:rPr>
          <w:szCs w:val="22"/>
        </w:rPr>
      </w:pPr>
      <w:r>
        <w:rPr>
          <w:szCs w:val="22"/>
        </w:rPr>
        <w:t xml:space="preserve">On June 10, 2014, </w:t>
      </w:r>
      <w:r w:rsidR="00C53796">
        <w:rPr>
          <w:szCs w:val="22"/>
        </w:rPr>
        <w:t xml:space="preserve">the Wireless Telecommunications Bureau (“WTB”) </w:t>
      </w:r>
      <w:r>
        <w:rPr>
          <w:szCs w:val="22"/>
        </w:rPr>
        <w:t>sought comment on the T-Mobile Petition</w:t>
      </w:r>
      <w:r w:rsidR="00C2117D">
        <w:rPr>
          <w:szCs w:val="22"/>
        </w:rPr>
        <w:t>.</w:t>
      </w:r>
      <w:r w:rsidR="00C2117D">
        <w:rPr>
          <w:rStyle w:val="FootnoteReference"/>
          <w:szCs w:val="22"/>
        </w:rPr>
        <w:footnoteReference w:id="24"/>
      </w:r>
      <w:r w:rsidR="00824021">
        <w:rPr>
          <w:szCs w:val="22"/>
        </w:rPr>
        <w:t xml:space="preserve">  </w:t>
      </w:r>
      <w:r w:rsidR="009D1008" w:rsidRPr="009D1008">
        <w:rPr>
          <w:szCs w:val="22"/>
        </w:rPr>
        <w:t xml:space="preserve">Nineteen parties filed comments and/or reply comments.  The majority of commenters support the Petition and argue that further guidance on the commercial reasonableness standard could help relieve some of the difficulties faced by </w:t>
      </w:r>
      <w:r w:rsidR="00534DFE">
        <w:t xml:space="preserve">smaller </w:t>
      </w:r>
      <w:r w:rsidR="00534DFE" w:rsidRPr="009D1008">
        <w:t>service providers in roaming agreement</w:t>
      </w:r>
      <w:r w:rsidR="00534DFE">
        <w:t xml:space="preserve"> negotiations, which smaller providers argue have often been protracted, excessively expensive, </w:t>
      </w:r>
      <w:r w:rsidR="00534DFE">
        <w:lastRenderedPageBreak/>
        <w:t>and one-sided</w:t>
      </w:r>
      <w:r w:rsidR="009D1008" w:rsidRPr="009D1008">
        <w:rPr>
          <w:szCs w:val="22"/>
        </w:rPr>
        <w:t>.</w:t>
      </w:r>
      <w:r w:rsidR="00824021">
        <w:rPr>
          <w:rStyle w:val="FootnoteReference"/>
          <w:szCs w:val="22"/>
        </w:rPr>
        <w:footnoteReference w:id="25"/>
      </w:r>
      <w:r w:rsidR="00D07FC7">
        <w:rPr>
          <w:szCs w:val="22"/>
        </w:rPr>
        <w:t xml:space="preserve">  By contrast, AT&amp;T and Verizon oppose T-Mobile’s Petition and argue that the </w:t>
      </w:r>
      <w:r w:rsidR="00733B3F">
        <w:rPr>
          <w:szCs w:val="22"/>
        </w:rPr>
        <w:t xml:space="preserve">data roaming </w:t>
      </w:r>
      <w:r w:rsidR="00112DF3">
        <w:rPr>
          <w:szCs w:val="22"/>
        </w:rPr>
        <w:t>market</w:t>
      </w:r>
      <w:r w:rsidR="00733B3F">
        <w:rPr>
          <w:szCs w:val="22"/>
        </w:rPr>
        <w:t>place</w:t>
      </w:r>
      <w:r w:rsidR="00112DF3">
        <w:rPr>
          <w:szCs w:val="22"/>
        </w:rPr>
        <w:t xml:space="preserve"> is </w:t>
      </w:r>
      <w:r w:rsidR="00733B3F">
        <w:rPr>
          <w:szCs w:val="22"/>
        </w:rPr>
        <w:t>functioning well as evidenced by the st</w:t>
      </w:r>
      <w:r w:rsidR="00112DF3">
        <w:rPr>
          <w:szCs w:val="22"/>
        </w:rPr>
        <w:t>eady and significant decline in data roaming rates, and that the Commission’s data roaming rule, along with the Commission’s mediation and complaint procedures</w:t>
      </w:r>
      <w:r w:rsidR="00764AE1">
        <w:rPr>
          <w:szCs w:val="22"/>
        </w:rPr>
        <w:t>,</w:t>
      </w:r>
      <w:r w:rsidR="00112DF3">
        <w:rPr>
          <w:szCs w:val="22"/>
        </w:rPr>
        <w:t xml:space="preserve"> </w:t>
      </w:r>
      <w:r w:rsidR="006805CD">
        <w:rPr>
          <w:szCs w:val="22"/>
        </w:rPr>
        <w:t>is</w:t>
      </w:r>
      <w:r w:rsidR="00733B3F">
        <w:rPr>
          <w:szCs w:val="22"/>
        </w:rPr>
        <w:t xml:space="preserve"> </w:t>
      </w:r>
      <w:r w:rsidR="00112DF3">
        <w:rPr>
          <w:szCs w:val="22"/>
        </w:rPr>
        <w:t>sufficient to resolve any roaming disputes.</w:t>
      </w:r>
      <w:r w:rsidR="00112DF3">
        <w:rPr>
          <w:rStyle w:val="FootnoteReference"/>
          <w:szCs w:val="22"/>
        </w:rPr>
        <w:footnoteReference w:id="26"/>
      </w:r>
      <w:r w:rsidR="006C147C">
        <w:rPr>
          <w:szCs w:val="22"/>
        </w:rPr>
        <w:t xml:space="preserve">  </w:t>
      </w:r>
      <w:r w:rsidR="00733B3F">
        <w:rPr>
          <w:szCs w:val="22"/>
        </w:rPr>
        <w:t>Further, they</w:t>
      </w:r>
      <w:r w:rsidR="006C147C">
        <w:rPr>
          <w:szCs w:val="22"/>
        </w:rPr>
        <w:t xml:space="preserve"> contend that T-Mobile’s proposal would radically change the commercial reasonableness standard </w:t>
      </w:r>
      <w:r w:rsidR="00BC7E12">
        <w:rPr>
          <w:szCs w:val="22"/>
        </w:rPr>
        <w:t>by linking ro</w:t>
      </w:r>
      <w:r w:rsidR="006C147C">
        <w:rPr>
          <w:szCs w:val="22"/>
        </w:rPr>
        <w:t xml:space="preserve">aming rates to other rates, </w:t>
      </w:r>
      <w:r w:rsidR="00BC7E12">
        <w:rPr>
          <w:szCs w:val="22"/>
        </w:rPr>
        <w:t xml:space="preserve">which </w:t>
      </w:r>
      <w:r w:rsidR="006C147C">
        <w:rPr>
          <w:szCs w:val="22"/>
        </w:rPr>
        <w:t>would function</w:t>
      </w:r>
      <w:r w:rsidR="00764AE1">
        <w:rPr>
          <w:szCs w:val="22"/>
        </w:rPr>
        <w:t xml:space="preserve"> as a de facto</w:t>
      </w:r>
      <w:r w:rsidR="006C147C">
        <w:rPr>
          <w:szCs w:val="22"/>
        </w:rPr>
        <w:t xml:space="preserve"> price cap and reduce negotiating freedom.</w:t>
      </w:r>
      <w:r w:rsidR="006C147C">
        <w:rPr>
          <w:rStyle w:val="FootnoteReference"/>
          <w:szCs w:val="22"/>
        </w:rPr>
        <w:footnoteReference w:id="27"/>
      </w:r>
      <w:r w:rsidR="008F4DDB">
        <w:rPr>
          <w:szCs w:val="22"/>
        </w:rPr>
        <w:t xml:space="preserve"> </w:t>
      </w:r>
      <w:r w:rsidR="00FF28B7">
        <w:rPr>
          <w:szCs w:val="22"/>
        </w:rPr>
        <w:t xml:space="preserve"> They also argue that T-Mobile’s principal proposal would “convert the existing data roaming rules into an intrusive rate regulation regime”</w:t>
      </w:r>
      <w:r w:rsidR="00FF28B7">
        <w:rPr>
          <w:rStyle w:val="FootnoteReference"/>
          <w:szCs w:val="22"/>
        </w:rPr>
        <w:footnoteReference w:id="28"/>
      </w:r>
      <w:r w:rsidR="00FF28B7">
        <w:rPr>
          <w:szCs w:val="22"/>
        </w:rPr>
        <w:t xml:space="preserve"> and “unlawful common carrier regulation.”</w:t>
      </w:r>
      <w:r w:rsidR="00FF28B7">
        <w:rPr>
          <w:rStyle w:val="FootnoteReference"/>
          <w:szCs w:val="22"/>
        </w:rPr>
        <w:footnoteReference w:id="29"/>
      </w:r>
      <w:r w:rsidR="00651650">
        <w:rPr>
          <w:szCs w:val="22"/>
        </w:rPr>
        <w:t xml:space="preserve">  </w:t>
      </w:r>
      <w:r w:rsidR="00651650">
        <w:t xml:space="preserve">In contrast to other smaller providers, Cellular One opposes the </w:t>
      </w:r>
      <w:r w:rsidR="003A5112">
        <w:t>P</w:t>
      </w:r>
      <w:r w:rsidR="00651650">
        <w:t xml:space="preserve">etition, arguing that it would decrease roaming rates indiscriminately for all providers, including smaller providers </w:t>
      </w:r>
      <w:r w:rsidR="00871AA6">
        <w:t xml:space="preserve">receiving roaming revenues </w:t>
      </w:r>
      <w:r w:rsidR="00651650">
        <w:t xml:space="preserve">who are least equipped to </w:t>
      </w:r>
      <w:r w:rsidR="00EB6931">
        <w:t xml:space="preserve">negotiate </w:t>
      </w:r>
      <w:r w:rsidR="00651650">
        <w:t xml:space="preserve">for rates that depart from </w:t>
      </w:r>
      <w:r w:rsidR="00D55D9E">
        <w:t xml:space="preserve">any </w:t>
      </w:r>
      <w:r w:rsidR="00651650">
        <w:t>benchmarks.</w:t>
      </w:r>
      <w:r w:rsidR="00651650">
        <w:rPr>
          <w:rStyle w:val="FootnoteReference"/>
        </w:rPr>
        <w:footnoteReference w:id="30"/>
      </w:r>
    </w:p>
    <w:p w:rsidR="00B149ED" w:rsidRDefault="00D33879" w:rsidP="00D33879">
      <w:pPr>
        <w:pStyle w:val="ParaNum"/>
        <w:numPr>
          <w:ilvl w:val="0"/>
          <w:numId w:val="0"/>
        </w:numPr>
        <w:rPr>
          <w:b/>
          <w:szCs w:val="22"/>
        </w:rPr>
      </w:pPr>
      <w:r>
        <w:rPr>
          <w:b/>
          <w:szCs w:val="22"/>
        </w:rPr>
        <w:t>I</w:t>
      </w:r>
      <w:r w:rsidR="00EC0298">
        <w:rPr>
          <w:b/>
          <w:szCs w:val="22"/>
        </w:rPr>
        <w:t>I</w:t>
      </w:r>
      <w:r>
        <w:rPr>
          <w:b/>
          <w:szCs w:val="22"/>
        </w:rPr>
        <w:t>I.</w:t>
      </w:r>
      <w:r>
        <w:rPr>
          <w:b/>
          <w:szCs w:val="22"/>
        </w:rPr>
        <w:tab/>
        <w:t>DISCUSSION</w:t>
      </w:r>
    </w:p>
    <w:p w:rsidR="004D5181" w:rsidRPr="004D5181" w:rsidRDefault="00167C2C" w:rsidP="00EB278F">
      <w:pPr>
        <w:pStyle w:val="ParaNum"/>
        <w:rPr>
          <w:szCs w:val="22"/>
        </w:rPr>
      </w:pPr>
      <w:r>
        <w:t>B</w:t>
      </w:r>
      <w:r w:rsidR="005B3DC6">
        <w:t>ased on the record before us, we grant T-Mobile’s request</w:t>
      </w:r>
      <w:r w:rsidR="00A67B0F">
        <w:t xml:space="preserve"> to the extent we </w:t>
      </w:r>
      <w:r w:rsidR="005B3DC6">
        <w:t xml:space="preserve">provide guidance </w:t>
      </w:r>
      <w:r w:rsidR="005B3DC6" w:rsidRPr="009D05B1">
        <w:t xml:space="preserve">on </w:t>
      </w:r>
      <w:r w:rsidR="007C6FD3" w:rsidRPr="009D05B1">
        <w:t xml:space="preserve">the </w:t>
      </w:r>
      <w:r w:rsidR="007C6FD3" w:rsidRPr="009D05B1">
        <w:rPr>
          <w:i/>
          <w:iCs/>
        </w:rPr>
        <w:t>Data Roaming Order</w:t>
      </w:r>
      <w:r w:rsidR="007C6FD3" w:rsidRPr="009D05B1">
        <w:t xml:space="preserve">’s standard for </w:t>
      </w:r>
      <w:r w:rsidR="00FF4DF7" w:rsidRPr="009D05B1">
        <w:t>evaluating the commercial reasonableness of proffered data roaming terms and conditions</w:t>
      </w:r>
      <w:r w:rsidR="00B81C5B" w:rsidRPr="009D05B1">
        <w:t xml:space="preserve"> under Section 20.12(e) of the Commission’s rules.  </w:t>
      </w:r>
      <w:r w:rsidR="00F54F92" w:rsidRPr="009D05B1">
        <w:t xml:space="preserve">We also grant T-Mobile’s additional requests by providing the guidance </w:t>
      </w:r>
      <w:r w:rsidR="00F54F92">
        <w:t xml:space="preserve">set forth below with respect to </w:t>
      </w:r>
      <w:r w:rsidR="004E7241">
        <w:t>th</w:t>
      </w:r>
      <w:r w:rsidR="0036412A">
        <w:t xml:space="preserve">e order’s </w:t>
      </w:r>
      <w:r w:rsidR="00F54F92">
        <w:t xml:space="preserve">presumption </w:t>
      </w:r>
      <w:r w:rsidR="004E7241">
        <w:t xml:space="preserve">regarding </w:t>
      </w:r>
      <w:r w:rsidR="00F54F92">
        <w:t xml:space="preserve">existing agreements and </w:t>
      </w:r>
      <w:r w:rsidR="004E7241">
        <w:t xml:space="preserve">its consideration of </w:t>
      </w:r>
      <w:r w:rsidR="00F54F92">
        <w:t>the build-out factor.</w:t>
      </w:r>
      <w:r>
        <w:t xml:space="preserve">  </w:t>
      </w:r>
      <w:r w:rsidR="002C13B7">
        <w:t xml:space="preserve">In both respects, we </w:t>
      </w:r>
      <w:r w:rsidR="009C6206">
        <w:t>provide guidance on</w:t>
      </w:r>
      <w:r w:rsidR="002C13B7">
        <w:t xml:space="preserve"> what the Commission intended to achieve in the </w:t>
      </w:r>
      <w:r w:rsidR="002C13B7">
        <w:rPr>
          <w:i/>
        </w:rPr>
        <w:t>Data Roaming Order</w:t>
      </w:r>
      <w:r w:rsidR="00595290">
        <w:t xml:space="preserve">, in a manner that should </w:t>
      </w:r>
      <w:r w:rsidR="009C6206">
        <w:t>lessen any ambiguity</w:t>
      </w:r>
      <w:r w:rsidR="00595290">
        <w:t xml:space="preserve"> over the meaning of that order.</w:t>
      </w:r>
    </w:p>
    <w:p w:rsidR="004D5181" w:rsidRPr="00EE019D" w:rsidRDefault="004D5181" w:rsidP="00EB278F">
      <w:pPr>
        <w:pStyle w:val="Heading2"/>
      </w:pPr>
      <w:r>
        <w:t>Request for Guidance on Consideration of Other Rates</w:t>
      </w:r>
    </w:p>
    <w:p w:rsidR="00F501B0" w:rsidRPr="00F501B0" w:rsidRDefault="00815BBF" w:rsidP="000561FF">
      <w:pPr>
        <w:pStyle w:val="ParaNum"/>
      </w:pPr>
      <w:r>
        <w:rPr>
          <w:szCs w:val="22"/>
        </w:rPr>
        <w:t xml:space="preserve">In our view, </w:t>
      </w:r>
      <w:r w:rsidR="00C95729">
        <w:rPr>
          <w:szCs w:val="22"/>
        </w:rPr>
        <w:t xml:space="preserve">the </w:t>
      </w:r>
      <w:r w:rsidR="00A91677">
        <w:rPr>
          <w:szCs w:val="22"/>
        </w:rPr>
        <w:t>data roaming rule was intended to permit</w:t>
      </w:r>
      <w:r w:rsidR="00CA2F16">
        <w:rPr>
          <w:szCs w:val="22"/>
        </w:rPr>
        <w:t xml:space="preserve"> </w:t>
      </w:r>
      <w:r w:rsidR="00C95729">
        <w:rPr>
          <w:szCs w:val="22"/>
        </w:rPr>
        <w:t xml:space="preserve">consideration </w:t>
      </w:r>
      <w:r w:rsidR="00164385">
        <w:rPr>
          <w:szCs w:val="22"/>
        </w:rPr>
        <w:t>of the totality of the facts and therefore</w:t>
      </w:r>
      <w:r w:rsidR="009C6206">
        <w:rPr>
          <w:szCs w:val="22"/>
        </w:rPr>
        <w:t xml:space="preserve"> </w:t>
      </w:r>
      <w:r w:rsidR="00164385">
        <w:rPr>
          <w:szCs w:val="22"/>
        </w:rPr>
        <w:t xml:space="preserve">to permit a complaining party to adduce evidence </w:t>
      </w:r>
      <w:r w:rsidR="00C95729">
        <w:rPr>
          <w:szCs w:val="22"/>
        </w:rPr>
        <w:t>in an</w:t>
      </w:r>
      <w:r w:rsidR="00D464E3">
        <w:rPr>
          <w:szCs w:val="22"/>
        </w:rPr>
        <w:t>y</w:t>
      </w:r>
      <w:r w:rsidR="00C95729">
        <w:rPr>
          <w:szCs w:val="22"/>
        </w:rPr>
        <w:t xml:space="preserve"> individual case </w:t>
      </w:r>
      <w:r w:rsidR="00164385">
        <w:rPr>
          <w:szCs w:val="22"/>
        </w:rPr>
        <w:t>as to</w:t>
      </w:r>
      <w:r w:rsidR="00C95729">
        <w:rPr>
          <w:szCs w:val="22"/>
        </w:rPr>
        <w:t xml:space="preserve"> whether proffered roaming rates are substantially in excess of </w:t>
      </w:r>
      <w:r w:rsidR="00C95729" w:rsidRPr="000E55FC">
        <w:rPr>
          <w:szCs w:val="22"/>
        </w:rPr>
        <w:t xml:space="preserve">retail rates, international </w:t>
      </w:r>
      <w:r w:rsidR="00C95729" w:rsidRPr="00D7501B">
        <w:rPr>
          <w:szCs w:val="22"/>
        </w:rPr>
        <w:t xml:space="preserve">rates, </w:t>
      </w:r>
      <w:r w:rsidR="00C95729">
        <w:rPr>
          <w:szCs w:val="22"/>
        </w:rPr>
        <w:t xml:space="preserve">and </w:t>
      </w:r>
      <w:r w:rsidR="00C95729" w:rsidRPr="00E912F0">
        <w:rPr>
          <w:szCs w:val="22"/>
        </w:rPr>
        <w:t xml:space="preserve">MVNO/resale </w:t>
      </w:r>
      <w:r w:rsidR="00C95729" w:rsidRPr="004E4B5E">
        <w:rPr>
          <w:szCs w:val="22"/>
        </w:rPr>
        <w:t xml:space="preserve">rates, </w:t>
      </w:r>
      <w:r w:rsidR="00C95729">
        <w:rPr>
          <w:szCs w:val="22"/>
        </w:rPr>
        <w:t xml:space="preserve">as well as </w:t>
      </w:r>
      <w:r w:rsidR="002816C7">
        <w:rPr>
          <w:szCs w:val="22"/>
        </w:rPr>
        <w:t xml:space="preserve">a </w:t>
      </w:r>
      <w:r w:rsidR="00C95729">
        <w:rPr>
          <w:szCs w:val="22"/>
        </w:rPr>
        <w:t xml:space="preserve">comparison of proffered roaming rates </w:t>
      </w:r>
      <w:r w:rsidR="003F4367">
        <w:rPr>
          <w:szCs w:val="22"/>
        </w:rPr>
        <w:t xml:space="preserve">to </w:t>
      </w:r>
      <w:r w:rsidR="00C95729" w:rsidRPr="004E4B5E">
        <w:rPr>
          <w:szCs w:val="22"/>
        </w:rPr>
        <w:t>domestic roaming rates</w:t>
      </w:r>
      <w:r w:rsidR="00C95729">
        <w:rPr>
          <w:szCs w:val="22"/>
        </w:rPr>
        <w:t xml:space="preserve"> </w:t>
      </w:r>
      <w:r w:rsidR="003F4367">
        <w:rPr>
          <w:szCs w:val="22"/>
        </w:rPr>
        <w:t xml:space="preserve">as </w:t>
      </w:r>
      <w:r w:rsidR="00C95729">
        <w:rPr>
          <w:szCs w:val="22"/>
        </w:rPr>
        <w:t xml:space="preserve">charged by other providers.  </w:t>
      </w:r>
      <w:r w:rsidR="00A91677">
        <w:rPr>
          <w:szCs w:val="22"/>
        </w:rPr>
        <w:t>As noted below, t</w:t>
      </w:r>
      <w:r w:rsidR="00C95729">
        <w:rPr>
          <w:szCs w:val="22"/>
        </w:rPr>
        <w:t xml:space="preserve">he probative value of these </w:t>
      </w:r>
      <w:r w:rsidR="00F501B0">
        <w:rPr>
          <w:szCs w:val="22"/>
        </w:rPr>
        <w:t xml:space="preserve">other rates as </w:t>
      </w:r>
      <w:r w:rsidR="00C95729">
        <w:rPr>
          <w:szCs w:val="22"/>
        </w:rPr>
        <w:t xml:space="preserve">reference points will depend on the facts and circumstances of </w:t>
      </w:r>
      <w:r w:rsidR="002816C7">
        <w:rPr>
          <w:szCs w:val="22"/>
        </w:rPr>
        <w:t xml:space="preserve">any </w:t>
      </w:r>
      <w:r w:rsidR="00C95729">
        <w:rPr>
          <w:szCs w:val="22"/>
        </w:rPr>
        <w:t xml:space="preserve">particular case, including all of the factors set forth in the </w:t>
      </w:r>
      <w:r w:rsidR="00C95729">
        <w:rPr>
          <w:i/>
          <w:szCs w:val="22"/>
        </w:rPr>
        <w:t>Data Roaming Order</w:t>
      </w:r>
      <w:r w:rsidR="00F501B0" w:rsidRPr="004A70B0">
        <w:rPr>
          <w:szCs w:val="22"/>
        </w:rPr>
        <w:t>, and</w:t>
      </w:r>
      <w:r w:rsidR="002816C7">
        <w:rPr>
          <w:szCs w:val="22"/>
        </w:rPr>
        <w:t xml:space="preserve"> these other rates</w:t>
      </w:r>
      <w:r w:rsidR="00F501B0">
        <w:rPr>
          <w:szCs w:val="22"/>
        </w:rPr>
        <w:t xml:space="preserve"> should be considered in conjunction with one another rather than in isolation</w:t>
      </w:r>
      <w:r w:rsidR="00C95729" w:rsidRPr="004A70B0">
        <w:rPr>
          <w:szCs w:val="22"/>
        </w:rPr>
        <w:t>.</w:t>
      </w:r>
    </w:p>
    <w:p w:rsidR="004D759A" w:rsidRDefault="00A36DA2" w:rsidP="00EB278F">
      <w:pPr>
        <w:pStyle w:val="ParaNum"/>
        <w:widowControl/>
        <w:rPr>
          <w:szCs w:val="22"/>
        </w:rPr>
      </w:pPr>
      <w:r w:rsidRPr="00CB4139">
        <w:rPr>
          <w:szCs w:val="22"/>
        </w:rPr>
        <w:lastRenderedPageBreak/>
        <w:t xml:space="preserve">We </w:t>
      </w:r>
      <w:r w:rsidR="006E25D8" w:rsidRPr="00CB4139">
        <w:rPr>
          <w:szCs w:val="22"/>
        </w:rPr>
        <w:t xml:space="preserve">agree with the majority of commenters that additional </w:t>
      </w:r>
      <w:r w:rsidRPr="00CB4139">
        <w:rPr>
          <w:szCs w:val="22"/>
        </w:rPr>
        <w:t xml:space="preserve">guidance </w:t>
      </w:r>
      <w:r w:rsidR="009C6206">
        <w:rPr>
          <w:szCs w:val="22"/>
        </w:rPr>
        <w:t xml:space="preserve">will benefit </w:t>
      </w:r>
      <w:r w:rsidR="00B52445" w:rsidRPr="00CB4139">
        <w:rPr>
          <w:szCs w:val="22"/>
        </w:rPr>
        <w:t xml:space="preserve">negotiating parties </w:t>
      </w:r>
      <w:r w:rsidR="009C6206">
        <w:rPr>
          <w:szCs w:val="22"/>
        </w:rPr>
        <w:t xml:space="preserve">as to </w:t>
      </w:r>
      <w:r w:rsidR="00B52445" w:rsidRPr="00CB4139">
        <w:rPr>
          <w:szCs w:val="22"/>
        </w:rPr>
        <w:t xml:space="preserve">the application of the </w:t>
      </w:r>
      <w:r w:rsidR="00021C93">
        <w:rPr>
          <w:szCs w:val="22"/>
        </w:rPr>
        <w:t xml:space="preserve">commercial reasonableness standard in the data roaming rule, as well as </w:t>
      </w:r>
      <w:r w:rsidR="009C6206">
        <w:rPr>
          <w:szCs w:val="22"/>
        </w:rPr>
        <w:t xml:space="preserve">to </w:t>
      </w:r>
      <w:r w:rsidR="00021C93">
        <w:rPr>
          <w:szCs w:val="22"/>
        </w:rPr>
        <w:t xml:space="preserve">the </w:t>
      </w:r>
      <w:r w:rsidR="00B52445" w:rsidRPr="00CB4139">
        <w:rPr>
          <w:szCs w:val="22"/>
        </w:rPr>
        <w:t>totality of the circumstances</w:t>
      </w:r>
      <w:r w:rsidR="00021C93">
        <w:rPr>
          <w:szCs w:val="22"/>
        </w:rPr>
        <w:t xml:space="preserve"> approach for resolving disputes between negotiating parties.</w:t>
      </w:r>
      <w:r w:rsidR="00021C93">
        <w:rPr>
          <w:rStyle w:val="FootnoteReference"/>
          <w:szCs w:val="22"/>
        </w:rPr>
        <w:footnoteReference w:id="31"/>
      </w:r>
      <w:r w:rsidR="00B52445" w:rsidRPr="00CB4139">
        <w:rPr>
          <w:szCs w:val="22"/>
        </w:rPr>
        <w:t xml:space="preserve">  </w:t>
      </w:r>
      <w:r w:rsidR="0039723D">
        <w:t>Providers are currently negotiating new data roaming agreements, many of which are replacing agreements that predate the new rule.</w:t>
      </w:r>
      <w:r w:rsidR="0039723D">
        <w:rPr>
          <w:rStyle w:val="FootnoteReference"/>
        </w:rPr>
        <w:footnoteReference w:id="32"/>
      </w:r>
      <w:r w:rsidR="0039723D">
        <w:t xml:space="preserve">  </w:t>
      </w:r>
      <w:r w:rsidR="00B52445" w:rsidRPr="00CB4139">
        <w:rPr>
          <w:szCs w:val="22"/>
        </w:rPr>
        <w:t xml:space="preserve">Our interpretation of the scope of the </w:t>
      </w:r>
      <w:r w:rsidR="001B47F9">
        <w:rPr>
          <w:i/>
          <w:szCs w:val="22"/>
        </w:rPr>
        <w:t xml:space="preserve">Data </w:t>
      </w:r>
      <w:r w:rsidR="001B47F9" w:rsidRPr="001B47F9">
        <w:rPr>
          <w:i/>
          <w:szCs w:val="22"/>
        </w:rPr>
        <w:t xml:space="preserve">Roaming </w:t>
      </w:r>
      <w:r w:rsidR="001B47F9" w:rsidRPr="00BC4E34">
        <w:rPr>
          <w:i/>
          <w:szCs w:val="22"/>
        </w:rPr>
        <w:t>O</w:t>
      </w:r>
      <w:r w:rsidR="00B52445" w:rsidRPr="00BC4E34">
        <w:rPr>
          <w:i/>
          <w:szCs w:val="22"/>
        </w:rPr>
        <w:t>rder</w:t>
      </w:r>
      <w:r w:rsidR="00B52445" w:rsidRPr="00CB4139">
        <w:rPr>
          <w:szCs w:val="22"/>
        </w:rPr>
        <w:t xml:space="preserve"> and the rule </w:t>
      </w:r>
      <w:r w:rsidR="00EF2653" w:rsidRPr="00CB4139">
        <w:rPr>
          <w:szCs w:val="22"/>
        </w:rPr>
        <w:t>may help alleviate</w:t>
      </w:r>
      <w:r w:rsidR="00B52445" w:rsidRPr="00CB4139">
        <w:rPr>
          <w:szCs w:val="22"/>
        </w:rPr>
        <w:t xml:space="preserve"> </w:t>
      </w:r>
      <w:r w:rsidR="008079DA">
        <w:rPr>
          <w:szCs w:val="22"/>
        </w:rPr>
        <w:t xml:space="preserve">any concerns </w:t>
      </w:r>
      <w:r w:rsidR="00B52445" w:rsidRPr="00CB4139">
        <w:rPr>
          <w:szCs w:val="22"/>
        </w:rPr>
        <w:t xml:space="preserve">resulting from disputes between negotiating parties by </w:t>
      </w:r>
      <w:r w:rsidR="00371325" w:rsidRPr="00CB4139">
        <w:rPr>
          <w:szCs w:val="22"/>
        </w:rPr>
        <w:t>lessen</w:t>
      </w:r>
      <w:r w:rsidR="00B52445" w:rsidRPr="00CB4139">
        <w:rPr>
          <w:szCs w:val="22"/>
        </w:rPr>
        <w:t>ing</w:t>
      </w:r>
      <w:r w:rsidR="00371325" w:rsidRPr="00CB4139">
        <w:rPr>
          <w:szCs w:val="22"/>
        </w:rPr>
        <w:t xml:space="preserve"> </w:t>
      </w:r>
      <w:r w:rsidR="00E27303" w:rsidRPr="00CB4139">
        <w:rPr>
          <w:szCs w:val="22"/>
        </w:rPr>
        <w:t xml:space="preserve">ambiguity </w:t>
      </w:r>
      <w:r w:rsidR="00371325" w:rsidRPr="00CB4139">
        <w:rPr>
          <w:szCs w:val="22"/>
        </w:rPr>
        <w:t xml:space="preserve">in the </w:t>
      </w:r>
      <w:r w:rsidR="00B6499C" w:rsidRPr="00CB4139">
        <w:rPr>
          <w:szCs w:val="22"/>
        </w:rPr>
        <w:t>application of the commercial reasonableness standard</w:t>
      </w:r>
      <w:r w:rsidR="00021C93">
        <w:rPr>
          <w:szCs w:val="22"/>
        </w:rPr>
        <w:t xml:space="preserve"> and </w:t>
      </w:r>
      <w:r w:rsidR="002547FA">
        <w:rPr>
          <w:szCs w:val="22"/>
        </w:rPr>
        <w:t>totality of the circumstances approach for resolving disputes</w:t>
      </w:r>
      <w:r w:rsidR="00B6499C" w:rsidRPr="00CB4139">
        <w:rPr>
          <w:szCs w:val="22"/>
        </w:rPr>
        <w:t>.</w:t>
      </w:r>
      <w:r w:rsidR="008223FD" w:rsidRPr="005527E6">
        <w:rPr>
          <w:rStyle w:val="FootnoteTextCharCharChar1"/>
          <w:sz w:val="22"/>
          <w:szCs w:val="22"/>
          <w:vertAlign w:val="superscript"/>
        </w:rPr>
        <w:footnoteReference w:id="33"/>
      </w:r>
      <w:r w:rsidR="00617565" w:rsidRPr="00CB4139">
        <w:rPr>
          <w:szCs w:val="22"/>
        </w:rPr>
        <w:t xml:space="preserve">  </w:t>
      </w:r>
    </w:p>
    <w:p w:rsidR="00605B0A" w:rsidRPr="00605B0A" w:rsidRDefault="00B6499C" w:rsidP="00EB278F">
      <w:pPr>
        <w:pStyle w:val="ParaNum"/>
        <w:widowControl/>
        <w:rPr>
          <w:szCs w:val="22"/>
        </w:rPr>
      </w:pPr>
      <w:r w:rsidRPr="00CB4139">
        <w:rPr>
          <w:szCs w:val="22"/>
        </w:rPr>
        <w:t>T-Mobile asserts that</w:t>
      </w:r>
      <w:r w:rsidR="00F77EB4" w:rsidRPr="00CB4139">
        <w:rPr>
          <w:szCs w:val="22"/>
        </w:rPr>
        <w:t xml:space="preserve"> real-world experience since </w:t>
      </w:r>
      <w:r w:rsidR="00D464E3">
        <w:rPr>
          <w:szCs w:val="22"/>
        </w:rPr>
        <w:t xml:space="preserve">the </w:t>
      </w:r>
      <w:r w:rsidR="00F77EB4" w:rsidRPr="00CB4139">
        <w:rPr>
          <w:szCs w:val="22"/>
        </w:rPr>
        <w:t xml:space="preserve">adoption of the data roaming rule </w:t>
      </w:r>
      <w:r w:rsidR="00B52445" w:rsidRPr="00CB4139">
        <w:rPr>
          <w:szCs w:val="22"/>
        </w:rPr>
        <w:t xml:space="preserve">over three years ago </w:t>
      </w:r>
      <w:r w:rsidR="00F77EB4" w:rsidRPr="00CB4139">
        <w:rPr>
          <w:szCs w:val="22"/>
        </w:rPr>
        <w:t xml:space="preserve">shows that providers continue to be stymied in their efforts to negotiate data roaming agreements on commercially reasonable terms and </w:t>
      </w:r>
      <w:r w:rsidR="00D464E3">
        <w:rPr>
          <w:szCs w:val="22"/>
        </w:rPr>
        <w:t xml:space="preserve">further, </w:t>
      </w:r>
      <w:r w:rsidR="00F77EB4" w:rsidRPr="00CB4139">
        <w:rPr>
          <w:szCs w:val="22"/>
        </w:rPr>
        <w:t>that these problems are due in large part to ambiguities in the commercially reasonable standard.</w:t>
      </w:r>
      <w:r w:rsidR="00F77EB4">
        <w:rPr>
          <w:rStyle w:val="FootnoteReference"/>
          <w:szCs w:val="22"/>
        </w:rPr>
        <w:footnoteReference w:id="34"/>
      </w:r>
      <w:r w:rsidR="002370A7">
        <w:rPr>
          <w:szCs w:val="22"/>
        </w:rPr>
        <w:t xml:space="preserve">  </w:t>
      </w:r>
      <w:r w:rsidR="00BF789A">
        <w:rPr>
          <w:szCs w:val="22"/>
        </w:rPr>
        <w:t xml:space="preserve">T-Mobile contends that because it cannot negotiate roaming at commercially reasonable rates, it </w:t>
      </w:r>
      <w:r w:rsidR="004D759A">
        <w:rPr>
          <w:szCs w:val="22"/>
        </w:rPr>
        <w:t>“</w:t>
      </w:r>
      <w:r w:rsidR="00BF789A">
        <w:rPr>
          <w:szCs w:val="22"/>
        </w:rPr>
        <w:t>has been forced to throttle and cap</w:t>
      </w:r>
      <w:r w:rsidR="004D759A">
        <w:rPr>
          <w:szCs w:val="22"/>
        </w:rPr>
        <w:t>”</w:t>
      </w:r>
      <w:r w:rsidR="00BF789A">
        <w:rPr>
          <w:szCs w:val="22"/>
        </w:rPr>
        <w:t xml:space="preserve"> roaming </w:t>
      </w:r>
      <w:r w:rsidR="00605B0A">
        <w:rPr>
          <w:szCs w:val="22"/>
        </w:rPr>
        <w:t>by its subscribers,</w:t>
      </w:r>
      <w:r w:rsidR="00605B0A">
        <w:rPr>
          <w:rStyle w:val="FootnoteReference"/>
          <w:szCs w:val="22"/>
        </w:rPr>
        <w:footnoteReference w:id="35"/>
      </w:r>
      <w:r w:rsidR="00605B0A">
        <w:rPr>
          <w:szCs w:val="22"/>
        </w:rPr>
        <w:t xml:space="preserve"> and that “this is precisely the type of impact on consumers that the </w:t>
      </w:r>
      <w:r w:rsidR="00CA12A1">
        <w:rPr>
          <w:szCs w:val="22"/>
        </w:rPr>
        <w:t>‘</w:t>
      </w:r>
      <w:r w:rsidR="00605B0A">
        <w:rPr>
          <w:szCs w:val="22"/>
        </w:rPr>
        <w:t>commercially reasonable</w:t>
      </w:r>
      <w:r w:rsidR="00CA12A1">
        <w:rPr>
          <w:szCs w:val="22"/>
        </w:rPr>
        <w:t>’</w:t>
      </w:r>
      <w:r w:rsidR="00605B0A">
        <w:rPr>
          <w:szCs w:val="22"/>
        </w:rPr>
        <w:t xml:space="preserve"> standard should be interpreted to prevent.”</w:t>
      </w:r>
      <w:r w:rsidR="00605B0A">
        <w:rPr>
          <w:rStyle w:val="FootnoteReference"/>
          <w:szCs w:val="22"/>
        </w:rPr>
        <w:footnoteReference w:id="36"/>
      </w:r>
      <w:r w:rsidR="00605B0A">
        <w:rPr>
          <w:szCs w:val="22"/>
        </w:rPr>
        <w:t xml:space="preserve">  </w:t>
      </w:r>
      <w:r w:rsidR="002370A7">
        <w:rPr>
          <w:szCs w:val="22"/>
        </w:rPr>
        <w:t>Specifically, T-Mobile argues</w:t>
      </w:r>
      <w:r w:rsidR="00852FFF">
        <w:rPr>
          <w:szCs w:val="22"/>
        </w:rPr>
        <w:t xml:space="preserve"> that clarification will help parties better understand their data roaming rights and obligations, narrow issues in dispute, and allow parties to negotiate terms more consistently and quickly.</w:t>
      </w:r>
      <w:r w:rsidR="00852FFF">
        <w:rPr>
          <w:rStyle w:val="FootnoteReference"/>
          <w:szCs w:val="22"/>
        </w:rPr>
        <w:footnoteReference w:id="37"/>
      </w:r>
      <w:r w:rsidR="00852FFF">
        <w:rPr>
          <w:szCs w:val="22"/>
        </w:rPr>
        <w:t xml:space="preserve">  Likewise, smaller providers assert that negotiations are extremely difficult and often </w:t>
      </w:r>
      <w:r w:rsidR="00717D72">
        <w:rPr>
          <w:szCs w:val="22"/>
        </w:rPr>
        <w:t xml:space="preserve">they </w:t>
      </w:r>
      <w:r w:rsidR="00852FFF">
        <w:rPr>
          <w:szCs w:val="22"/>
        </w:rPr>
        <w:t>are offered unreasonable data roaming rates, terms, and conditions.</w:t>
      </w:r>
      <w:r w:rsidR="00852FFF">
        <w:rPr>
          <w:rStyle w:val="FootnoteReference"/>
          <w:szCs w:val="22"/>
        </w:rPr>
        <w:footnoteReference w:id="38"/>
      </w:r>
    </w:p>
    <w:p w:rsidR="00091397" w:rsidRDefault="002370A7" w:rsidP="009838C5">
      <w:pPr>
        <w:pStyle w:val="ParaNum"/>
        <w:widowControl/>
      </w:pPr>
      <w:r>
        <w:rPr>
          <w:szCs w:val="22"/>
        </w:rPr>
        <w:t xml:space="preserve">In light of these concerns about current negotiations, </w:t>
      </w:r>
      <w:r w:rsidR="00F77EB4" w:rsidRPr="00CB4139">
        <w:rPr>
          <w:szCs w:val="22"/>
        </w:rPr>
        <w:t xml:space="preserve">CCA argues that the guidance T-Mobile requests would establish more predictable criteria </w:t>
      </w:r>
      <w:r w:rsidR="00404CA9" w:rsidRPr="00CB4139">
        <w:rPr>
          <w:szCs w:val="22"/>
        </w:rPr>
        <w:t xml:space="preserve">and </w:t>
      </w:r>
      <w:r w:rsidR="00F77EB4" w:rsidRPr="00CB4139">
        <w:rPr>
          <w:szCs w:val="22"/>
        </w:rPr>
        <w:t xml:space="preserve">would expedite roaming negotiations by narrowing the issues </w:t>
      </w:r>
      <w:r w:rsidR="00FF6540" w:rsidRPr="00CB4139">
        <w:rPr>
          <w:szCs w:val="22"/>
        </w:rPr>
        <w:t xml:space="preserve">concerning the scope of the Commission’s requirements </w:t>
      </w:r>
      <w:r w:rsidR="00F77EB4" w:rsidRPr="00CB4139">
        <w:rPr>
          <w:szCs w:val="22"/>
        </w:rPr>
        <w:t>and enabling parties to arrive at commercially reasonable terms in a more efficient manner.</w:t>
      </w:r>
      <w:r w:rsidR="00F77EB4">
        <w:rPr>
          <w:rStyle w:val="FootnoteReference"/>
          <w:szCs w:val="22"/>
        </w:rPr>
        <w:footnoteReference w:id="39"/>
      </w:r>
      <w:r w:rsidR="00F77EB4" w:rsidRPr="00CB4139">
        <w:rPr>
          <w:szCs w:val="22"/>
        </w:rPr>
        <w:t xml:space="preserve">  </w:t>
      </w:r>
      <w:r w:rsidR="00AA3F07" w:rsidRPr="00CB4139">
        <w:rPr>
          <w:szCs w:val="22"/>
        </w:rPr>
        <w:t>Sprint</w:t>
      </w:r>
      <w:r w:rsidR="00F77EB4" w:rsidRPr="00CB4139">
        <w:rPr>
          <w:szCs w:val="22"/>
        </w:rPr>
        <w:t xml:space="preserve"> asserts that w</w:t>
      </w:r>
      <w:r w:rsidR="00F82D83" w:rsidRPr="00CB4139">
        <w:rPr>
          <w:szCs w:val="22"/>
        </w:rPr>
        <w:t>ithout further guidance on the commercial reasonableness standard, it is unclear what it would take to file a viable complaint for the Commission’s review and consideration.</w:t>
      </w:r>
      <w:r w:rsidR="00F82D83" w:rsidRPr="005527E6">
        <w:rPr>
          <w:rStyle w:val="FootnoteTextCharCharChar1"/>
          <w:sz w:val="22"/>
          <w:szCs w:val="22"/>
          <w:vertAlign w:val="superscript"/>
        </w:rPr>
        <w:footnoteReference w:id="40"/>
      </w:r>
      <w:r>
        <w:rPr>
          <w:szCs w:val="22"/>
        </w:rPr>
        <w:t xml:space="preserve"> </w:t>
      </w:r>
    </w:p>
    <w:p w:rsidR="007F0DF9" w:rsidRDefault="0014019A">
      <w:pPr>
        <w:pStyle w:val="ParaNum"/>
      </w:pPr>
      <w:r>
        <w:t xml:space="preserve">In our view, </w:t>
      </w:r>
      <w:r w:rsidRPr="00F82D83">
        <w:t>it would serve the purposes of the data roaming rule for us to provide this guidance</w:t>
      </w:r>
      <w:r>
        <w:t xml:space="preserve">.  The need for such guidance is underscored by increasing consumer demand for data services which is </w:t>
      </w:r>
      <w:r w:rsidRPr="001800E5">
        <w:t>driving significantly more intensive use of mobile networks</w:t>
      </w:r>
      <w:r>
        <w:t>,</w:t>
      </w:r>
      <w:r>
        <w:rPr>
          <w:rStyle w:val="FootnoteReference"/>
        </w:rPr>
        <w:footnoteReference w:id="41"/>
      </w:r>
      <w:r>
        <w:t xml:space="preserve"> and by differences among mobile broadband service providers in terms of spectrum holdings and network coverage.</w:t>
      </w:r>
      <w:r>
        <w:rPr>
          <w:rStyle w:val="FootnoteReference"/>
        </w:rPr>
        <w:footnoteReference w:id="42"/>
      </w:r>
      <w:r>
        <w:t xml:space="preserve">  The availability of roaming capabilities is and will continue to be a critical component enabling consumers to have a competitive choice of facilities-based providers offering nationwide access to mobile data services.</w:t>
      </w:r>
      <w:r>
        <w:rPr>
          <w:rStyle w:val="FootnoteReference"/>
        </w:rPr>
        <w:footnoteReference w:id="43"/>
      </w:r>
      <w:r>
        <w:t xml:space="preserve">  We believe that issuing guidance can facilitate the achievement of these objectives and is thus an appropriate exercise of the Commission’s broad discretion in conducting its proceedings so as to “best conduce to the proper dispatch of business and to the ends of justice.”</w:t>
      </w:r>
      <w:r>
        <w:rPr>
          <w:rStyle w:val="FootnoteReference"/>
        </w:rPr>
        <w:footnoteReference w:id="44"/>
      </w:r>
    </w:p>
    <w:p w:rsidR="007B52F3" w:rsidRPr="00F82D83" w:rsidRDefault="004973FC">
      <w:pPr>
        <w:pStyle w:val="ParaNum"/>
      </w:pPr>
      <w:r>
        <w:t>We also believe, contrary to the positions of AT&amp;T and Verizon Wireless, that this guidance is consistent with</w:t>
      </w:r>
      <w:r w:rsidR="007B52F3">
        <w:t xml:space="preserve"> the </w:t>
      </w:r>
      <w:r w:rsidR="007B52F3">
        <w:rPr>
          <w:i/>
        </w:rPr>
        <w:t>Data Roaming Order</w:t>
      </w:r>
      <w:r w:rsidR="004759F8">
        <w:rPr>
          <w:i/>
        </w:rPr>
        <w:t xml:space="preserve">, </w:t>
      </w:r>
      <w:r>
        <w:t xml:space="preserve">where </w:t>
      </w:r>
      <w:r w:rsidR="004759F8">
        <w:t>the Commission</w:t>
      </w:r>
      <w:r w:rsidR="007B52F3">
        <w:rPr>
          <w:i/>
        </w:rPr>
        <w:t xml:space="preserve"> </w:t>
      </w:r>
      <w:r w:rsidR="004759F8">
        <w:t>made clear that, in resolving disputes under its commercially reasonable standard, “</w:t>
      </w:r>
      <w:r w:rsidR="007B52F3">
        <w:t>each case will be decided based on the totality of the circumstances.”</w:t>
      </w:r>
      <w:r w:rsidR="007B52F3">
        <w:rPr>
          <w:rStyle w:val="FootnoteReference"/>
        </w:rPr>
        <w:footnoteReference w:id="45"/>
      </w:r>
      <w:r w:rsidR="007B52F3">
        <w:t xml:space="preserve">  </w:t>
      </w:r>
      <w:r w:rsidR="004759F8">
        <w:t>T</w:t>
      </w:r>
      <w:r w:rsidR="007B52F3">
        <w:t>he Commission concluded</w:t>
      </w:r>
      <w:r w:rsidR="00CD4ACD">
        <w:t xml:space="preserve"> that</w:t>
      </w:r>
      <w:r w:rsidR="007B52F3">
        <w:t xml:space="preserve"> as a “guide” it “may consider” </w:t>
      </w:r>
      <w:r w:rsidR="00D464E3">
        <w:t xml:space="preserve">seventeen </w:t>
      </w:r>
      <w:r w:rsidR="007B52F3">
        <w:t xml:space="preserve">specified factors, </w:t>
      </w:r>
      <w:r w:rsidR="00D464E3">
        <w:t xml:space="preserve">including </w:t>
      </w:r>
      <w:r w:rsidR="007B52F3">
        <w:t>“other special or extenuating circumstances</w:t>
      </w:r>
      <w:r w:rsidR="00D464E3">
        <w:t>,</w:t>
      </w:r>
      <w:r w:rsidR="007B52F3">
        <w:t>”</w:t>
      </w:r>
      <w:r w:rsidR="00D464E3">
        <w:t xml:space="preserve"> as well as other factors.</w:t>
      </w:r>
      <w:r w:rsidR="00100E1F">
        <w:rPr>
          <w:rStyle w:val="FootnoteReference"/>
        </w:rPr>
        <w:footnoteReference w:id="46"/>
      </w:r>
      <w:r w:rsidR="007B52F3">
        <w:t xml:space="preserve">  It then emphasized – again – that “these factors are not exclusive or exhaustive” and that “providers may argue that the Commission should consider other relevant factors” in determining commercial reasonableness of proffered terms and conditions, “including the prices.”</w:t>
      </w:r>
      <w:r w:rsidR="00100E1F">
        <w:rPr>
          <w:rStyle w:val="FootnoteReference"/>
        </w:rPr>
        <w:footnoteReference w:id="47"/>
      </w:r>
    </w:p>
    <w:p w:rsidR="00236F82" w:rsidRDefault="008079DA" w:rsidP="009838C5">
      <w:pPr>
        <w:pStyle w:val="ParaNum"/>
        <w:widowControl/>
      </w:pPr>
      <w:r>
        <w:t xml:space="preserve">This </w:t>
      </w:r>
      <w:r w:rsidR="00093C1C">
        <w:t>language</w:t>
      </w:r>
      <w:r w:rsidR="00100E1F">
        <w:t xml:space="preserve"> clearly reflect</w:t>
      </w:r>
      <w:r w:rsidR="00093C1C">
        <w:t>s</w:t>
      </w:r>
      <w:r w:rsidR="00100E1F">
        <w:t xml:space="preserve"> </w:t>
      </w:r>
      <w:r w:rsidR="005733F7">
        <w:t>a</w:t>
      </w:r>
      <w:r w:rsidR="005F76D3">
        <w:t xml:space="preserve"> broad view of what </w:t>
      </w:r>
      <w:r w:rsidR="00100E1F">
        <w:t>c</w:t>
      </w:r>
      <w:r w:rsidR="005F76D3">
        <w:t>ould be relevant in determining commercial reasonableness</w:t>
      </w:r>
      <w:r w:rsidR="00100E1F">
        <w:t>, and a determination not to circumscribe th</w:t>
      </w:r>
      <w:r w:rsidR="00B32E50">
        <w:t xml:space="preserve">e Commission’s consideration of </w:t>
      </w:r>
      <w:r w:rsidR="00D464E3">
        <w:t xml:space="preserve">potentially relevant </w:t>
      </w:r>
      <w:r w:rsidR="00B32E50">
        <w:t>factors</w:t>
      </w:r>
      <w:r w:rsidR="005F76D3">
        <w:t xml:space="preserve">.  </w:t>
      </w:r>
      <w:r w:rsidR="004E5BC3">
        <w:t>The Commission adopted this broad view with respect to its consideration of all terms and conditions of proffered roaming arrangements – “including the prices.”</w:t>
      </w:r>
      <w:r w:rsidR="004E5BC3">
        <w:rPr>
          <w:rStyle w:val="FootnoteReference"/>
        </w:rPr>
        <w:footnoteReference w:id="48"/>
      </w:r>
      <w:r w:rsidR="004E5BC3">
        <w:t xml:space="preserve">  </w:t>
      </w:r>
      <w:r w:rsidR="00977C7C">
        <w:t xml:space="preserve">Thus, </w:t>
      </w:r>
      <w:r w:rsidR="004E5BC3">
        <w:t xml:space="preserve">in </w:t>
      </w:r>
      <w:r w:rsidR="00977C7C">
        <w:t xml:space="preserve">applying the terms of the </w:t>
      </w:r>
      <w:r w:rsidR="00977C7C">
        <w:rPr>
          <w:i/>
        </w:rPr>
        <w:t xml:space="preserve">Data Roaming Order </w:t>
      </w:r>
      <w:r w:rsidR="00977C7C">
        <w:t>to disputes involving</w:t>
      </w:r>
      <w:r w:rsidR="00100E1F">
        <w:t xml:space="preserve"> price, parties </w:t>
      </w:r>
      <w:r w:rsidR="00977C7C">
        <w:t>would be free</w:t>
      </w:r>
      <w:r w:rsidR="00100E1F">
        <w:t xml:space="preserve"> to argue that </w:t>
      </w:r>
      <w:r w:rsidR="00D6176A">
        <w:t>other price-related facts (</w:t>
      </w:r>
      <w:r w:rsidR="00977C7C">
        <w:t xml:space="preserve">including, as specifically noted below, </w:t>
      </w:r>
      <w:r w:rsidR="00D6176A">
        <w:t>prices charged in other contexts) are relevant factors that the Commission should consider in assessing the commercial reasonableness of the price at issue</w:t>
      </w:r>
      <w:r w:rsidR="00100E1F">
        <w:t>.</w:t>
      </w:r>
    </w:p>
    <w:p w:rsidR="00EB6931" w:rsidRDefault="00236F82">
      <w:pPr>
        <w:pStyle w:val="ParaNum"/>
      </w:pPr>
      <w:r>
        <w:t xml:space="preserve">Further, </w:t>
      </w:r>
      <w:r w:rsidR="00F712FD">
        <w:t xml:space="preserve">we see nothing in the Commission’s expansive approach as intending to foreclose, as a </w:t>
      </w:r>
      <w:r w:rsidR="00F712FD" w:rsidRPr="00710290">
        <w:rPr>
          <w:i/>
        </w:rPr>
        <w:t>per se</w:t>
      </w:r>
      <w:r w:rsidR="00F712FD">
        <w:t xml:space="preserve"> rule, </w:t>
      </w:r>
      <w:r w:rsidR="00C0073E">
        <w:t>such</w:t>
      </w:r>
      <w:r w:rsidR="00F712FD">
        <w:t xml:space="preserve"> potentially relevant evidence</w:t>
      </w:r>
      <w:r w:rsidR="00C0073E">
        <w:t xml:space="preserve"> </w:t>
      </w:r>
      <w:r w:rsidR="0053035B">
        <w:t xml:space="preserve">designed </w:t>
      </w:r>
      <w:r w:rsidR="00C0073E">
        <w:t xml:space="preserve">to inform </w:t>
      </w:r>
      <w:r w:rsidR="00475EF2">
        <w:t>the</w:t>
      </w:r>
      <w:r w:rsidR="00C0073E">
        <w:t xml:space="preserve"> inquiry into whether a rate is commercially reasonable</w:t>
      </w:r>
      <w:r w:rsidR="00F712FD">
        <w:t xml:space="preserve">.  </w:t>
      </w:r>
      <w:r w:rsidR="00100E1F">
        <w:t>Indeed</w:t>
      </w:r>
      <w:r w:rsidR="005733F7">
        <w:t>, t</w:t>
      </w:r>
      <w:r w:rsidR="003D611C">
        <w:t xml:space="preserve">wo of the </w:t>
      </w:r>
      <w:r w:rsidR="00325DE9">
        <w:t xml:space="preserve">seventeen </w:t>
      </w:r>
      <w:r w:rsidR="003D611C">
        <w:t xml:space="preserve">listed factors -- “whether the parties have any roaming arrangements with each other…and the terms of such arrangements” and “whether the providers involved have had previous data roaming arrangements with similar terms” -- </w:t>
      </w:r>
      <w:r w:rsidR="00100E1F">
        <w:t>expressly</w:t>
      </w:r>
      <w:r w:rsidR="003D611C">
        <w:t xml:space="preserve"> contemplate that the terms of other data roaming agreements </w:t>
      </w:r>
      <w:r w:rsidR="00977C7C">
        <w:t>(</w:t>
      </w:r>
      <w:r w:rsidR="00F71C26">
        <w:t xml:space="preserve">which, as noted above, </w:t>
      </w:r>
      <w:r w:rsidR="00977C7C">
        <w:t>includ</w:t>
      </w:r>
      <w:r w:rsidR="00F71C26">
        <w:t>e</w:t>
      </w:r>
      <w:r w:rsidR="00977C7C">
        <w:t xml:space="preserve"> prices) </w:t>
      </w:r>
      <w:r w:rsidR="003D611C">
        <w:t xml:space="preserve">could be relevant in </w:t>
      </w:r>
      <w:r w:rsidR="00962299">
        <w:t>the analysis.</w:t>
      </w:r>
      <w:r w:rsidR="008E4CCD">
        <w:rPr>
          <w:rStyle w:val="FootnoteReference"/>
        </w:rPr>
        <w:footnoteReference w:id="49"/>
      </w:r>
      <w:r w:rsidR="003D611C">
        <w:t xml:space="preserve">  </w:t>
      </w:r>
      <w:r w:rsidR="0043202B">
        <w:t>A</w:t>
      </w:r>
      <w:r w:rsidR="00F71C26">
        <w:t xml:space="preserve">ny other reading of the </w:t>
      </w:r>
      <w:r w:rsidR="00F71C26">
        <w:rPr>
          <w:i/>
        </w:rPr>
        <w:t xml:space="preserve">Data Roaming Order </w:t>
      </w:r>
      <w:r w:rsidR="00F71C26">
        <w:t>would deprive parties of a meaningful opportunity to challenge price terms under the commercially reasonable standard</w:t>
      </w:r>
      <w:r w:rsidR="0037723C">
        <w:t xml:space="preserve"> because they would be unable </w:t>
      </w:r>
      <w:r w:rsidR="00F71C26">
        <w:t>to provide evidence as to such</w:t>
      </w:r>
      <w:r w:rsidR="00D50245">
        <w:t xml:space="preserve"> </w:t>
      </w:r>
      <w:r w:rsidR="00244A52">
        <w:t xml:space="preserve">comparative </w:t>
      </w:r>
      <w:r w:rsidR="00D50245">
        <w:t>reference point</w:t>
      </w:r>
      <w:r w:rsidR="0053035B">
        <w:t>s</w:t>
      </w:r>
      <w:r w:rsidR="00D50245">
        <w:t>.</w:t>
      </w:r>
    </w:p>
    <w:p w:rsidR="003D611C" w:rsidRDefault="00270A8B" w:rsidP="004D759A">
      <w:pPr>
        <w:pStyle w:val="ParaNum"/>
        <w:widowControl/>
      </w:pPr>
      <w:r>
        <w:t xml:space="preserve">Verizon and AT&amp;T assert that </w:t>
      </w:r>
      <w:r w:rsidR="004344B7" w:rsidRPr="004344B7">
        <w:t>it is not appropriate to base data roaming rates on retail, MVNO, or international roaming rates because these other rates are based on markedly different factors.</w:t>
      </w:r>
      <w:r w:rsidR="004344B7" w:rsidRPr="004344B7">
        <w:rPr>
          <w:vertAlign w:val="superscript"/>
        </w:rPr>
        <w:footnoteReference w:id="50"/>
      </w:r>
      <w:r w:rsidR="00844495">
        <w:t xml:space="preserve">  </w:t>
      </w:r>
      <w:r w:rsidR="006D5090">
        <w:t>In this guidance, we provide only</w:t>
      </w:r>
      <w:r w:rsidR="000A6885">
        <w:t>, as requested by T-Mobile,</w:t>
      </w:r>
      <w:r w:rsidR="006D5090">
        <w:t xml:space="preserve"> that </w:t>
      </w:r>
      <w:r w:rsidR="00B32E50">
        <w:t xml:space="preserve">substantial </w:t>
      </w:r>
      <w:r w:rsidR="00437088">
        <w:t>differences</w:t>
      </w:r>
      <w:r w:rsidR="00B32E50">
        <w:t xml:space="preserve"> from these </w:t>
      </w:r>
      <w:r w:rsidR="006D5090">
        <w:t xml:space="preserve">other rates </w:t>
      </w:r>
      <w:r w:rsidR="005733F7">
        <w:t>a</w:t>
      </w:r>
      <w:r w:rsidR="00CD4ACD">
        <w:t>re</w:t>
      </w:r>
      <w:r w:rsidR="005733F7">
        <w:t xml:space="preserve"> </w:t>
      </w:r>
      <w:r w:rsidR="004E1C10">
        <w:t xml:space="preserve">potentially </w:t>
      </w:r>
      <w:r w:rsidR="005733F7">
        <w:t xml:space="preserve">relevant </w:t>
      </w:r>
      <w:r w:rsidR="008F373F">
        <w:t>reference</w:t>
      </w:r>
      <w:r w:rsidR="005733F7">
        <w:t xml:space="preserve"> points </w:t>
      </w:r>
      <w:r w:rsidR="00C43F82">
        <w:t xml:space="preserve">in determining </w:t>
      </w:r>
      <w:r w:rsidR="006D5090">
        <w:t xml:space="preserve">commercial reasonableness.  </w:t>
      </w:r>
      <w:r w:rsidR="00C83BB0">
        <w:t>W</w:t>
      </w:r>
      <w:r w:rsidR="00404CA9">
        <w:t xml:space="preserve">e do not </w:t>
      </w:r>
      <w:r w:rsidR="005F76D3">
        <w:t>expect</w:t>
      </w:r>
      <w:r w:rsidR="00404CA9">
        <w:t xml:space="preserve"> that </w:t>
      </w:r>
      <w:r w:rsidR="00F71C26">
        <w:t xml:space="preserve">these </w:t>
      </w:r>
      <w:r w:rsidR="004344B7">
        <w:t xml:space="preserve">other rates </w:t>
      </w:r>
      <w:r w:rsidR="00404CA9">
        <w:t xml:space="preserve">will be </w:t>
      </w:r>
      <w:r w:rsidR="00804858">
        <w:t>probative factors</w:t>
      </w:r>
      <w:r w:rsidR="00404CA9">
        <w:t xml:space="preserve"> </w:t>
      </w:r>
      <w:r w:rsidR="004344B7">
        <w:t xml:space="preserve">in every case or that they </w:t>
      </w:r>
      <w:r w:rsidR="00404CA9">
        <w:t xml:space="preserve">will be </w:t>
      </w:r>
      <w:r w:rsidR="004344B7">
        <w:t>relevant to the same degree.  Further, j</w:t>
      </w:r>
      <w:r w:rsidR="003D611C">
        <w:t xml:space="preserve">ust as the Commission would consider a provider’s arguments as to why certain other rates </w:t>
      </w:r>
      <w:r w:rsidR="005733F7">
        <w:t xml:space="preserve">would be </w:t>
      </w:r>
      <w:r w:rsidR="003D611C">
        <w:t xml:space="preserve">relevant as </w:t>
      </w:r>
      <w:r w:rsidR="00B51684">
        <w:t>reference</w:t>
      </w:r>
      <w:r w:rsidR="003D611C">
        <w:t xml:space="preserve"> points, it also would consider a party’s arguments as to why they </w:t>
      </w:r>
      <w:r w:rsidR="005733F7">
        <w:t>would not be</w:t>
      </w:r>
      <w:r w:rsidR="003D611C">
        <w:t xml:space="preserve"> relevant</w:t>
      </w:r>
      <w:r w:rsidR="00447649">
        <w:t>, based on the facts and circumstances of a particular case</w:t>
      </w:r>
      <w:r w:rsidR="003D611C">
        <w:t>.</w:t>
      </w:r>
      <w:r w:rsidR="00455263">
        <w:rPr>
          <w:rStyle w:val="FootnoteReference"/>
        </w:rPr>
        <w:footnoteReference w:id="51"/>
      </w:r>
    </w:p>
    <w:p w:rsidR="005C02E3" w:rsidRDefault="001C2F44">
      <w:pPr>
        <w:pStyle w:val="ParaNum"/>
      </w:pPr>
      <w:r>
        <w:t xml:space="preserve">Verizon and </w:t>
      </w:r>
      <w:r w:rsidR="00EC2765">
        <w:t xml:space="preserve">AT&amp;T </w:t>
      </w:r>
      <w:r w:rsidR="00AF527E">
        <w:t xml:space="preserve">also </w:t>
      </w:r>
      <w:r>
        <w:t>argue</w:t>
      </w:r>
      <w:r w:rsidR="00EC2765">
        <w:t xml:space="preserve"> that the Commission has already considered and rejected requests to use wholesale and/or retail rates as a benchmark </w:t>
      </w:r>
      <w:r w:rsidR="00B6701C">
        <w:t xml:space="preserve">and that T-Mobile’s request is therefore </w:t>
      </w:r>
      <w:r w:rsidR="00EC2765">
        <w:t xml:space="preserve">inconsistent with the </w:t>
      </w:r>
      <w:r w:rsidR="00EC2765" w:rsidRPr="003934DE">
        <w:rPr>
          <w:i/>
        </w:rPr>
        <w:t>Data Roaming Order</w:t>
      </w:r>
      <w:r w:rsidR="00EC2765">
        <w:t>.</w:t>
      </w:r>
      <w:r w:rsidR="00EC2765">
        <w:rPr>
          <w:rStyle w:val="FootnoteReference"/>
        </w:rPr>
        <w:footnoteReference w:id="52"/>
      </w:r>
      <w:r w:rsidR="00EC2765">
        <w:t xml:space="preserve">  </w:t>
      </w:r>
      <w:r w:rsidR="007F3E51">
        <w:t>Verizon also asserts that the Commission was asked to include other rates as a listed factor when it adopted the data roaming rule but did not do so.</w:t>
      </w:r>
      <w:r w:rsidR="007F3E51">
        <w:rPr>
          <w:rStyle w:val="FootnoteReference"/>
        </w:rPr>
        <w:footnoteReference w:id="53"/>
      </w:r>
      <w:r w:rsidR="007F3E51">
        <w:t xml:space="preserve">  </w:t>
      </w:r>
      <w:r w:rsidR="002D53AE">
        <w:t xml:space="preserve">Contrary to Verizon’s and AT&amp;T’s assertions, the guidance we provide in this ruling is consistent with the </w:t>
      </w:r>
      <w:r w:rsidR="002D53AE" w:rsidRPr="0005181B">
        <w:rPr>
          <w:i/>
        </w:rPr>
        <w:t>Data Roaming Order</w:t>
      </w:r>
      <w:r w:rsidR="002D53AE">
        <w:t xml:space="preserve"> because </w:t>
      </w:r>
      <w:r w:rsidR="00962DC7">
        <w:t xml:space="preserve">the rates T-Mobile identifies as “benchmarks” are merely </w:t>
      </w:r>
      <w:r w:rsidR="00236F82">
        <w:t>reference</w:t>
      </w:r>
      <w:r w:rsidR="00962DC7">
        <w:t xml:space="preserve"> points to </w:t>
      </w:r>
      <w:r w:rsidR="003D611C">
        <w:t>help inform the Commission and negotiating parties.</w:t>
      </w:r>
      <w:r w:rsidR="00690CA6">
        <w:t xml:space="preserve">  </w:t>
      </w:r>
      <w:r w:rsidR="00E45BA5">
        <w:t xml:space="preserve">These </w:t>
      </w:r>
      <w:r w:rsidR="00236F82">
        <w:t>reference</w:t>
      </w:r>
      <w:r w:rsidR="00E45BA5">
        <w:t xml:space="preserve"> points</w:t>
      </w:r>
      <w:r w:rsidR="0073606C">
        <w:t xml:space="preserve"> do not </w:t>
      </w:r>
      <w:r w:rsidR="003D611C" w:rsidRPr="00294C29">
        <w:t xml:space="preserve">function as a ceiling or </w:t>
      </w:r>
      <w:r w:rsidR="00E45BA5">
        <w:t xml:space="preserve">as a </w:t>
      </w:r>
      <w:r w:rsidR="003D611C" w:rsidRPr="00294C29">
        <w:t>cap on prices</w:t>
      </w:r>
      <w:r w:rsidR="00E45BA5" w:rsidRPr="000C18FD">
        <w:t xml:space="preserve">.  </w:t>
      </w:r>
      <w:r w:rsidR="0047402D" w:rsidRPr="000C18FD">
        <w:t xml:space="preserve">As explained above, the consideration of differences from other rates as reference points is consistent with the approach set forth in the </w:t>
      </w:r>
      <w:r w:rsidR="0047402D" w:rsidRPr="00BC4E34">
        <w:rPr>
          <w:i/>
        </w:rPr>
        <w:t>Data Roaming Order</w:t>
      </w:r>
      <w:r w:rsidR="0047402D" w:rsidRPr="000C18FD">
        <w:t>, which recognizes that a broad range of information could have a bearing on commercial reasonableness and that the parties and Commission should determine the probative value of such information on a case-by-case basis.</w:t>
      </w:r>
      <w:r w:rsidR="006077B9">
        <w:t xml:space="preserve"> </w:t>
      </w:r>
      <w:r w:rsidR="0047402D">
        <w:t xml:space="preserve"> </w:t>
      </w:r>
      <w:r w:rsidR="006077B9">
        <w:t xml:space="preserve">In addition, nothing in the </w:t>
      </w:r>
      <w:r w:rsidR="006077B9" w:rsidRPr="003934DE">
        <w:rPr>
          <w:i/>
        </w:rPr>
        <w:t>Data Roaming Order</w:t>
      </w:r>
      <w:r w:rsidR="006077B9">
        <w:t xml:space="preserve"> indicates that the Commission intended to exclude other rates from consideration, and some of the listed factors, as discussed above, specifically contemplate consideration of </w:t>
      </w:r>
      <w:r w:rsidR="00E70747">
        <w:t xml:space="preserve">terms and conditions in other agreements (which would include </w:t>
      </w:r>
      <w:r w:rsidR="006077B9">
        <w:t>other rates</w:t>
      </w:r>
      <w:r w:rsidR="00524EA7">
        <w:t>)</w:t>
      </w:r>
      <w:r w:rsidR="006077B9">
        <w:t>.</w:t>
      </w:r>
      <w:r w:rsidR="006077B9">
        <w:rPr>
          <w:rStyle w:val="FootnoteReference"/>
        </w:rPr>
        <w:footnoteReference w:id="54"/>
      </w:r>
      <w:r w:rsidR="005C02E3">
        <w:t xml:space="preserve"> </w:t>
      </w:r>
    </w:p>
    <w:p w:rsidR="00FA2D38" w:rsidRDefault="00E70747" w:rsidP="0030247F">
      <w:pPr>
        <w:pStyle w:val="ParaNum"/>
      </w:pPr>
      <w:r>
        <w:t xml:space="preserve">For these reasons, the guidance we provide is also </w:t>
      </w:r>
      <w:r w:rsidRPr="00415C5D">
        <w:t>consistent with the</w:t>
      </w:r>
      <w:r>
        <w:t xml:space="preserve"> D.C. Circuit’s decision in</w:t>
      </w:r>
      <w:r w:rsidRPr="00415C5D">
        <w:t xml:space="preserve"> </w:t>
      </w:r>
      <w:r w:rsidRPr="00415C5D">
        <w:rPr>
          <w:i/>
        </w:rPr>
        <w:t>Cellco</w:t>
      </w:r>
      <w:r>
        <w:rPr>
          <w:i/>
        </w:rPr>
        <w:t xml:space="preserve"> Partnership v. FCC</w:t>
      </w:r>
      <w:r w:rsidRPr="003A5112">
        <w:rPr>
          <w:i/>
        </w:rPr>
        <w:t>.</w:t>
      </w:r>
      <w:r w:rsidR="00FA2D38">
        <w:t xml:space="preserve">  We disagree with AT&amp;T and Verizon that the use of these </w:t>
      </w:r>
      <w:r w:rsidR="00EF4EE5">
        <w:t>reference</w:t>
      </w:r>
      <w:r w:rsidR="00FA2D38">
        <w:t xml:space="preserve"> points as proposed by T-Mobile would turn the data roaming rule into a common carrier requirement by curtailing or eliminating the ability to offer discrimination in terms.</w:t>
      </w:r>
      <w:r w:rsidR="00FA2D38">
        <w:rPr>
          <w:rStyle w:val="FootnoteReference"/>
        </w:rPr>
        <w:footnoteReference w:id="55"/>
      </w:r>
      <w:r w:rsidR="00FA2D38">
        <w:t xml:space="preserve">  In granting the T-Mobile Petition, we are providing guidance that these other rates can be considered</w:t>
      </w:r>
      <w:r w:rsidR="00177513">
        <w:t>, along with other data from the listed factors</w:t>
      </w:r>
      <w:r w:rsidR="00E45BA5">
        <w:t>,</w:t>
      </w:r>
      <w:r w:rsidR="00177513">
        <w:t xml:space="preserve"> </w:t>
      </w:r>
      <w:r w:rsidR="00E45BA5">
        <w:t xml:space="preserve">under the </w:t>
      </w:r>
      <w:r w:rsidR="00177513">
        <w:t>totality of the circumstances approach.</w:t>
      </w:r>
      <w:r w:rsidR="00FA2D38" w:rsidRPr="00F9795C">
        <w:t xml:space="preserve"> </w:t>
      </w:r>
      <w:r w:rsidR="00177513">
        <w:t xml:space="preserve"> </w:t>
      </w:r>
      <w:r w:rsidR="000B4B03">
        <w:t xml:space="preserve">The degree of relevance of </w:t>
      </w:r>
      <w:r w:rsidR="00177513">
        <w:t xml:space="preserve">other rates will </w:t>
      </w:r>
      <w:r w:rsidR="0046374B">
        <w:t>depend on the fact</w:t>
      </w:r>
      <w:r w:rsidR="000B4B03">
        <w:t xml:space="preserve">s and circumstances of the individual </w:t>
      </w:r>
      <w:r w:rsidR="00E45BA5">
        <w:t>case</w:t>
      </w:r>
      <w:r w:rsidR="009C0649">
        <w:t>, including other terms and conditions of the proposal</w:t>
      </w:r>
      <w:r w:rsidR="000B4B03">
        <w:t xml:space="preserve">.  </w:t>
      </w:r>
      <w:r w:rsidR="004C2579">
        <w:t>In accordance with the court’s decision, t</w:t>
      </w:r>
      <w:r w:rsidR="004C2579">
        <w:rPr>
          <w:color w:val="000000"/>
        </w:rPr>
        <w:t>his approach</w:t>
      </w:r>
      <w:r w:rsidR="004C2579">
        <w:t xml:space="preserve"> allows host providers substantial room for individualized bargaining and discrimination in terms without changing the </w:t>
      </w:r>
      <w:r w:rsidR="00F35FA4">
        <w:t>underlying legal</w:t>
      </w:r>
      <w:r w:rsidR="004C2579">
        <w:t xml:space="preserve"> standard</w:t>
      </w:r>
      <w:r w:rsidR="00FA2D38" w:rsidRPr="00F9795C">
        <w:t>.</w:t>
      </w:r>
      <w:r w:rsidR="00B32C60">
        <w:rPr>
          <w:rStyle w:val="FootnoteReference"/>
        </w:rPr>
        <w:footnoteReference w:id="56"/>
      </w:r>
      <w:r w:rsidR="00FA2D38" w:rsidRPr="00F9795C">
        <w:t xml:space="preserve">  </w:t>
      </w:r>
    </w:p>
    <w:p w:rsidR="005B0D87" w:rsidRDefault="00661D59" w:rsidP="00630D4F">
      <w:pPr>
        <w:pStyle w:val="ParaNum"/>
        <w:widowControl/>
      </w:pPr>
      <w:r>
        <w:t>Oth</w:t>
      </w:r>
      <w:r w:rsidR="00845B6E">
        <w:t>e</w:t>
      </w:r>
      <w:r>
        <w:t xml:space="preserve">r objections to </w:t>
      </w:r>
      <w:r w:rsidR="006D1430">
        <w:t xml:space="preserve">T-Mobile’s request for guidance </w:t>
      </w:r>
      <w:r>
        <w:t>are not persuasive</w:t>
      </w:r>
      <w:r w:rsidR="005E7D29">
        <w:t xml:space="preserve"> in our view</w:t>
      </w:r>
      <w:r>
        <w:t>.</w:t>
      </w:r>
      <w:r w:rsidR="006D1430">
        <w:t xml:space="preserve">  </w:t>
      </w:r>
      <w:r w:rsidR="00D83E12">
        <w:t xml:space="preserve">For example, </w:t>
      </w:r>
      <w:r w:rsidR="009C09B6">
        <w:t xml:space="preserve">AT&amp;T </w:t>
      </w:r>
      <w:r w:rsidR="00557957">
        <w:t>claim</w:t>
      </w:r>
      <w:r w:rsidR="00A97C79">
        <w:t>s</w:t>
      </w:r>
      <w:r w:rsidR="009C09B6">
        <w:t xml:space="preserve"> that the market</w:t>
      </w:r>
      <w:r w:rsidR="00D83E12">
        <w:t>place</w:t>
      </w:r>
      <w:r w:rsidR="009C09B6">
        <w:t xml:space="preserve"> is quickly transitioning to LTE and as a result, any further guidance based on the experience with roaming on GSM or CDMA networks is short-sighted.</w:t>
      </w:r>
      <w:r w:rsidR="009C09B6">
        <w:rPr>
          <w:rStyle w:val="FootnoteReference"/>
        </w:rPr>
        <w:footnoteReference w:id="57"/>
      </w:r>
      <w:r w:rsidR="009C09B6">
        <w:t xml:space="preserve">  </w:t>
      </w:r>
      <w:r w:rsidR="00FF27BE">
        <w:t xml:space="preserve">The </w:t>
      </w:r>
      <w:r w:rsidR="00D57963">
        <w:t xml:space="preserve">full </w:t>
      </w:r>
      <w:r w:rsidR="00FF27BE">
        <w:t xml:space="preserve">migration to LTE, however, </w:t>
      </w:r>
      <w:r w:rsidR="00D83E12">
        <w:t>is not</w:t>
      </w:r>
      <w:r w:rsidR="00FF27BE">
        <w:t xml:space="preserve"> immediate</w:t>
      </w:r>
      <w:r w:rsidR="001C2F44">
        <w:t>,</w:t>
      </w:r>
      <w:r w:rsidR="00FF27BE">
        <w:t xml:space="preserve"> and providers will continue to need </w:t>
      </w:r>
      <w:r w:rsidR="00D83E12">
        <w:t xml:space="preserve">“fallback” </w:t>
      </w:r>
      <w:r w:rsidR="00FF27BE">
        <w:t>roaming for 2G and 3G services.</w:t>
      </w:r>
      <w:r w:rsidR="00FF27BE">
        <w:rPr>
          <w:rStyle w:val="FootnoteReference"/>
        </w:rPr>
        <w:footnoteReference w:id="58"/>
      </w:r>
      <w:r w:rsidR="00FF27BE">
        <w:t xml:space="preserve">  Further, as T-Mobile </w:t>
      </w:r>
      <w:r w:rsidR="00557957">
        <w:t>notes</w:t>
      </w:r>
      <w:r w:rsidR="00FF27BE">
        <w:t xml:space="preserve">, many customers are slow to migrate to more modern handsets that are </w:t>
      </w:r>
      <w:r w:rsidR="00D83E12">
        <w:t xml:space="preserve">LTE </w:t>
      </w:r>
      <w:r w:rsidR="00FF27BE">
        <w:t>compatible</w:t>
      </w:r>
      <w:r w:rsidR="001C2F44">
        <w:t>,</w:t>
      </w:r>
      <w:r w:rsidR="00FF27BE">
        <w:t xml:space="preserve"> and providers continue to experience challenges in the development of multi-mode handsets that access LTE </w:t>
      </w:r>
      <w:r w:rsidR="00D83E12">
        <w:t>networks</w:t>
      </w:r>
      <w:r w:rsidR="00FF27BE">
        <w:t>.</w:t>
      </w:r>
      <w:r w:rsidR="00FF27BE">
        <w:rPr>
          <w:rStyle w:val="FootnoteReference"/>
        </w:rPr>
        <w:footnoteReference w:id="59"/>
      </w:r>
      <w:r w:rsidR="00FF27BE">
        <w:t xml:space="preserve">  </w:t>
      </w:r>
      <w:r w:rsidR="006D1430">
        <w:t xml:space="preserve">AT&amp;T </w:t>
      </w:r>
      <w:r w:rsidR="00D83E12">
        <w:t xml:space="preserve">also </w:t>
      </w:r>
      <w:r w:rsidR="006D1430">
        <w:t xml:space="preserve">asserts that the </w:t>
      </w:r>
      <w:r w:rsidR="00BC683E">
        <w:t xml:space="preserve">relief requested by T-Mobile </w:t>
      </w:r>
      <w:r w:rsidR="006D1430">
        <w:t>will imply that roaming rates in “dozens if not hundreds” of existing agreements are commercially unreasonable by an order of magnitude.</w:t>
      </w:r>
      <w:r w:rsidR="004A454B">
        <w:rPr>
          <w:rStyle w:val="FootnoteReference"/>
        </w:rPr>
        <w:footnoteReference w:id="60"/>
      </w:r>
      <w:r w:rsidR="006D1430">
        <w:t xml:space="preserve">  We disagree.  </w:t>
      </w:r>
      <w:r w:rsidR="00447649">
        <w:t xml:space="preserve">Under the Commission’s </w:t>
      </w:r>
      <w:r w:rsidR="005E7D29">
        <w:t>standard</w:t>
      </w:r>
      <w:r w:rsidR="00447649">
        <w:t>, consideration of whether there is a substantial differen</w:t>
      </w:r>
      <w:r w:rsidR="005E7D29">
        <w:t>ce</w:t>
      </w:r>
      <w:r w:rsidR="00447649">
        <w:t xml:space="preserve"> between proffered roaming rates and </w:t>
      </w:r>
      <w:r w:rsidR="00EF4EE5">
        <w:t xml:space="preserve">retail, international, and MVNO/resale </w:t>
      </w:r>
      <w:r w:rsidR="006039D2">
        <w:t>rates</w:t>
      </w:r>
      <w:r w:rsidR="00EF4EE5">
        <w:t xml:space="preserve">, as well as </w:t>
      </w:r>
      <w:r w:rsidR="00BF789A">
        <w:t xml:space="preserve">a </w:t>
      </w:r>
      <w:r w:rsidR="00EF4EE5">
        <w:t>comparison of proffered rates and rates in other domestic roaming agreements</w:t>
      </w:r>
      <w:r w:rsidR="009C0649">
        <w:t>,</w:t>
      </w:r>
      <w:r w:rsidR="00EF4EE5">
        <w:t xml:space="preserve"> </w:t>
      </w:r>
      <w:r w:rsidR="00447649">
        <w:t xml:space="preserve">must be </w:t>
      </w:r>
      <w:r w:rsidR="003A5112">
        <w:t>undertaken</w:t>
      </w:r>
      <w:r w:rsidR="00FD487A">
        <w:t xml:space="preserve"> </w:t>
      </w:r>
      <w:r w:rsidR="000A6885">
        <w:t>within the totality of circumstances of a particular case</w:t>
      </w:r>
      <w:r w:rsidR="003A5112">
        <w:t xml:space="preserve">.  This includes </w:t>
      </w:r>
      <w:r w:rsidR="00447649">
        <w:t>a host of other factors</w:t>
      </w:r>
      <w:r w:rsidR="003A5112">
        <w:t xml:space="preserve"> -- </w:t>
      </w:r>
      <w:r w:rsidR="00447649">
        <w:t xml:space="preserve">those identified in the </w:t>
      </w:r>
      <w:r w:rsidR="00681DEF">
        <w:rPr>
          <w:i/>
        </w:rPr>
        <w:t xml:space="preserve">Data Roaming Order </w:t>
      </w:r>
      <w:r w:rsidR="00681DEF">
        <w:t>“as well as others.”</w:t>
      </w:r>
      <w:r w:rsidR="00681DEF">
        <w:rPr>
          <w:rStyle w:val="FootnoteReference"/>
        </w:rPr>
        <w:footnoteReference w:id="61"/>
      </w:r>
      <w:r w:rsidR="00EF4EE5">
        <w:t xml:space="preserve">  In addition, the four reference points should be considered in conjunction with each other and not in isolation.</w:t>
      </w:r>
      <w:r w:rsidR="006D1430">
        <w:t xml:space="preserve">  </w:t>
      </w:r>
    </w:p>
    <w:p w:rsidR="00C77275" w:rsidRPr="00C77275" w:rsidRDefault="00524CB0">
      <w:pPr>
        <w:pStyle w:val="ParaNum"/>
      </w:pPr>
      <w:r>
        <w:rPr>
          <w:szCs w:val="22"/>
        </w:rPr>
        <w:t xml:space="preserve">Verizon </w:t>
      </w:r>
      <w:r w:rsidR="005B0D87">
        <w:rPr>
          <w:szCs w:val="22"/>
        </w:rPr>
        <w:t xml:space="preserve">also objects to T-Mobile’s request for guidance on grounds that </w:t>
      </w:r>
      <w:r>
        <w:rPr>
          <w:szCs w:val="22"/>
        </w:rPr>
        <w:t>the current dispute resolution process is working and that T-Mobile and other providers should use these remedies to address concerns with data roaming rates</w:t>
      </w:r>
      <w:r w:rsidR="005B0D87">
        <w:rPr>
          <w:szCs w:val="22"/>
        </w:rPr>
        <w:t>.</w:t>
      </w:r>
      <w:r>
        <w:rPr>
          <w:rStyle w:val="FootnoteReference"/>
          <w:szCs w:val="22"/>
        </w:rPr>
        <w:footnoteReference w:id="62"/>
      </w:r>
      <w:r w:rsidR="00DE3E5F">
        <w:rPr>
          <w:szCs w:val="22"/>
        </w:rPr>
        <w:t xml:space="preserve">  The guidance we provide today is not an indication that the complaint process is not working.  Rather, we </w:t>
      </w:r>
      <w:r w:rsidR="008432B6">
        <w:rPr>
          <w:szCs w:val="22"/>
        </w:rPr>
        <w:t xml:space="preserve">grant </w:t>
      </w:r>
      <w:r w:rsidR="00DE3E5F">
        <w:rPr>
          <w:szCs w:val="22"/>
        </w:rPr>
        <w:t xml:space="preserve">T-Mobile’s requested relief to address commenters’ concerns over the difficulties </w:t>
      </w:r>
      <w:r w:rsidR="00757857">
        <w:rPr>
          <w:szCs w:val="22"/>
        </w:rPr>
        <w:t xml:space="preserve">that </w:t>
      </w:r>
      <w:r w:rsidR="00DE3E5F">
        <w:rPr>
          <w:szCs w:val="22"/>
        </w:rPr>
        <w:t xml:space="preserve">providers are experiencing in </w:t>
      </w:r>
      <w:r w:rsidR="00773432">
        <w:rPr>
          <w:szCs w:val="22"/>
        </w:rPr>
        <w:t xml:space="preserve">negotiating data roaming agreements.  </w:t>
      </w:r>
      <w:r w:rsidR="00815BBF">
        <w:rPr>
          <w:szCs w:val="22"/>
        </w:rPr>
        <w:t xml:space="preserve">This </w:t>
      </w:r>
      <w:r w:rsidR="00DE3E5F">
        <w:rPr>
          <w:szCs w:val="22"/>
        </w:rPr>
        <w:t xml:space="preserve">guidance will allow providers to better gauge the commercial reasonableness of data roaming terms, which in turn will facilitate </w:t>
      </w:r>
      <w:r w:rsidR="00757857">
        <w:rPr>
          <w:szCs w:val="22"/>
        </w:rPr>
        <w:t xml:space="preserve">the successful negotiation of </w:t>
      </w:r>
      <w:r w:rsidR="00DE3E5F">
        <w:rPr>
          <w:szCs w:val="22"/>
        </w:rPr>
        <w:t>future data roaming arrangements.</w:t>
      </w:r>
    </w:p>
    <w:p w:rsidR="006D1430" w:rsidRDefault="00770DAA">
      <w:pPr>
        <w:pStyle w:val="ParaNum"/>
      </w:pPr>
      <w:r>
        <w:rPr>
          <w:szCs w:val="22"/>
        </w:rPr>
        <w:t xml:space="preserve">Further, </w:t>
      </w:r>
      <w:r w:rsidR="00C77275">
        <w:rPr>
          <w:szCs w:val="22"/>
        </w:rPr>
        <w:t>Cellular One</w:t>
      </w:r>
      <w:r>
        <w:rPr>
          <w:szCs w:val="22"/>
        </w:rPr>
        <w:t xml:space="preserve"> </w:t>
      </w:r>
      <w:r w:rsidR="00C77275">
        <w:rPr>
          <w:szCs w:val="22"/>
        </w:rPr>
        <w:t>argues that</w:t>
      </w:r>
      <w:r w:rsidR="00AC239A">
        <w:rPr>
          <w:szCs w:val="22"/>
        </w:rPr>
        <w:t xml:space="preserve"> benchmarking data roaming rates to retail, MVNO, or international rates would put significant downward pressure on all roaming rates indiscriminately</w:t>
      </w:r>
      <w:r w:rsidR="00046080">
        <w:rPr>
          <w:szCs w:val="22"/>
        </w:rPr>
        <w:t xml:space="preserve"> and would disadvantage smaller </w:t>
      </w:r>
      <w:r w:rsidR="00D55D9E">
        <w:rPr>
          <w:szCs w:val="22"/>
        </w:rPr>
        <w:t xml:space="preserve">service </w:t>
      </w:r>
      <w:r w:rsidR="00046080">
        <w:rPr>
          <w:szCs w:val="22"/>
        </w:rPr>
        <w:t xml:space="preserve">providers in </w:t>
      </w:r>
      <w:r w:rsidR="00871AA6">
        <w:rPr>
          <w:szCs w:val="22"/>
        </w:rPr>
        <w:t xml:space="preserve">their </w:t>
      </w:r>
      <w:r w:rsidR="00046080">
        <w:rPr>
          <w:szCs w:val="22"/>
        </w:rPr>
        <w:t xml:space="preserve">negotiations with larger </w:t>
      </w:r>
      <w:r w:rsidR="004B79A2">
        <w:rPr>
          <w:szCs w:val="22"/>
        </w:rPr>
        <w:t>service providers</w:t>
      </w:r>
      <w:r w:rsidR="00046080">
        <w:rPr>
          <w:szCs w:val="22"/>
        </w:rPr>
        <w:t>.</w:t>
      </w:r>
      <w:r w:rsidR="00046080">
        <w:rPr>
          <w:rStyle w:val="FootnoteReference"/>
          <w:szCs w:val="22"/>
        </w:rPr>
        <w:footnoteReference w:id="63"/>
      </w:r>
      <w:r w:rsidR="00BF5C85">
        <w:rPr>
          <w:szCs w:val="22"/>
        </w:rPr>
        <w:t xml:space="preserve">  </w:t>
      </w:r>
      <w:r w:rsidR="004946D0">
        <w:rPr>
          <w:szCs w:val="22"/>
        </w:rPr>
        <w:t xml:space="preserve">AT&amp;T also asserts that </w:t>
      </w:r>
      <w:r w:rsidR="004946D0">
        <w:t>“it is reasonable to see higher rates for rural roaming than for urban roaming” due to the unique economic challenges faced by service providers in rural markets.</w:t>
      </w:r>
      <w:r w:rsidR="004946D0">
        <w:rPr>
          <w:rStyle w:val="FootnoteReference"/>
        </w:rPr>
        <w:footnoteReference w:id="64"/>
      </w:r>
      <w:r w:rsidR="004946D0">
        <w:t xml:space="preserve">  </w:t>
      </w:r>
      <w:r w:rsidR="005B59EA">
        <w:rPr>
          <w:szCs w:val="22"/>
        </w:rPr>
        <w:t>A</w:t>
      </w:r>
      <w:r w:rsidR="00757857">
        <w:rPr>
          <w:szCs w:val="22"/>
        </w:rPr>
        <w:t xml:space="preserve">s discussed above, we are </w:t>
      </w:r>
      <w:r w:rsidR="005B59EA">
        <w:rPr>
          <w:szCs w:val="22"/>
        </w:rPr>
        <w:t xml:space="preserve">here </w:t>
      </w:r>
      <w:r w:rsidR="00757857">
        <w:t>providing guidance that</w:t>
      </w:r>
      <w:r w:rsidR="009C0649">
        <w:t xml:space="preserve">, under the terms of the </w:t>
      </w:r>
      <w:r w:rsidR="009C0649" w:rsidRPr="00E11633">
        <w:rPr>
          <w:i/>
        </w:rPr>
        <w:t>Data Roaming Order</w:t>
      </w:r>
      <w:r w:rsidR="009C0649">
        <w:t>,</w:t>
      </w:r>
      <w:r w:rsidR="00757857">
        <w:t xml:space="preserve"> these other rates can be considered in any given case</w:t>
      </w:r>
      <w:r w:rsidR="00BA576A">
        <w:t>.</w:t>
      </w:r>
      <w:r w:rsidR="00BA576A" w:rsidRPr="00BA576A">
        <w:t xml:space="preserve"> </w:t>
      </w:r>
      <w:r w:rsidR="00BA576A">
        <w:t xml:space="preserve"> The degree of relevance will depend on the facts and circumstances of the specific case.</w:t>
      </w:r>
      <w:r w:rsidR="00430637">
        <w:rPr>
          <w:rStyle w:val="FootnoteReference"/>
        </w:rPr>
        <w:footnoteReference w:id="65"/>
      </w:r>
      <w:r w:rsidR="00BA576A">
        <w:t xml:space="preserve">  T</w:t>
      </w:r>
      <w:r w:rsidR="00BA576A" w:rsidRPr="00FA2D38">
        <w:rPr>
          <w:color w:val="000000" w:themeColor="text1"/>
        </w:rPr>
        <w:t>his approach</w:t>
      </w:r>
      <w:r w:rsidR="00BA576A">
        <w:rPr>
          <w:color w:val="000000" w:themeColor="text1"/>
        </w:rPr>
        <w:t>, therefore,</w:t>
      </w:r>
      <w:r w:rsidR="00BA576A" w:rsidRPr="00F9795C">
        <w:t xml:space="preserve"> </w:t>
      </w:r>
      <w:r w:rsidR="00BA576A">
        <w:t xml:space="preserve">will </w:t>
      </w:r>
      <w:r w:rsidR="00BA576A" w:rsidRPr="00F9795C">
        <w:t>continue to allow host providers substantial room for individualized bargaining</w:t>
      </w:r>
      <w:r w:rsidR="00BA576A">
        <w:t>.</w:t>
      </w:r>
    </w:p>
    <w:p w:rsidR="00042580" w:rsidRPr="005374D2" w:rsidRDefault="00042580" w:rsidP="00630D4F">
      <w:pPr>
        <w:pStyle w:val="ParaNum"/>
        <w:widowControl/>
        <w:rPr>
          <w:szCs w:val="22"/>
        </w:rPr>
      </w:pPr>
      <w:r>
        <w:rPr>
          <w:szCs w:val="22"/>
        </w:rPr>
        <w:t xml:space="preserve">Commenters in this proceeding </w:t>
      </w:r>
      <w:r w:rsidR="008432B6">
        <w:rPr>
          <w:szCs w:val="22"/>
        </w:rPr>
        <w:t xml:space="preserve">also </w:t>
      </w:r>
      <w:r>
        <w:rPr>
          <w:szCs w:val="22"/>
        </w:rPr>
        <w:t xml:space="preserve">make various arguments about whether the data roaming </w:t>
      </w:r>
      <w:r w:rsidR="00D83E12">
        <w:rPr>
          <w:szCs w:val="22"/>
        </w:rPr>
        <w:t xml:space="preserve">marketplace </w:t>
      </w:r>
      <w:r>
        <w:rPr>
          <w:szCs w:val="22"/>
        </w:rPr>
        <w:t xml:space="preserve">is functioning properly and whether AT&amp;T and Verizon have the incentive and ability to </w:t>
      </w:r>
      <w:r w:rsidR="00A97C79">
        <w:rPr>
          <w:szCs w:val="22"/>
        </w:rPr>
        <w:t>r</w:t>
      </w:r>
      <w:r>
        <w:rPr>
          <w:szCs w:val="22"/>
        </w:rPr>
        <w:t>aise data roaming costs.</w:t>
      </w:r>
      <w:r>
        <w:rPr>
          <w:rStyle w:val="FootnoteReference"/>
          <w:szCs w:val="22"/>
        </w:rPr>
        <w:footnoteReference w:id="66"/>
      </w:r>
      <w:r>
        <w:rPr>
          <w:szCs w:val="22"/>
        </w:rPr>
        <w:t xml:space="preserve">  As noted above, we are granting the Petition </w:t>
      </w:r>
      <w:r w:rsidR="0043446E">
        <w:rPr>
          <w:szCs w:val="22"/>
        </w:rPr>
        <w:t xml:space="preserve">to the extent set out herein </w:t>
      </w:r>
      <w:r>
        <w:rPr>
          <w:szCs w:val="22"/>
        </w:rPr>
        <w:t xml:space="preserve">because T-Mobile and </w:t>
      </w:r>
      <w:r w:rsidR="00D83E12">
        <w:rPr>
          <w:szCs w:val="22"/>
        </w:rPr>
        <w:t xml:space="preserve">the majority of </w:t>
      </w:r>
      <w:r>
        <w:rPr>
          <w:szCs w:val="22"/>
        </w:rPr>
        <w:t xml:space="preserve">commenters raise concerns about </w:t>
      </w:r>
      <w:r w:rsidR="00681DEF">
        <w:rPr>
          <w:szCs w:val="22"/>
        </w:rPr>
        <w:t>how to apply</w:t>
      </w:r>
      <w:r>
        <w:rPr>
          <w:szCs w:val="22"/>
        </w:rPr>
        <w:t xml:space="preserve"> the commercial reasonableness standard, and we </w:t>
      </w:r>
      <w:r w:rsidR="00815BBF">
        <w:rPr>
          <w:szCs w:val="22"/>
        </w:rPr>
        <w:t xml:space="preserve">believe </w:t>
      </w:r>
      <w:r>
        <w:rPr>
          <w:szCs w:val="22"/>
        </w:rPr>
        <w:t xml:space="preserve">that providing guidance </w:t>
      </w:r>
      <w:r w:rsidR="00681DEF">
        <w:rPr>
          <w:szCs w:val="22"/>
        </w:rPr>
        <w:t xml:space="preserve">as to our views of the scope of the </w:t>
      </w:r>
      <w:r w:rsidR="00681DEF">
        <w:rPr>
          <w:i/>
          <w:szCs w:val="22"/>
        </w:rPr>
        <w:t xml:space="preserve">Data Roaming Order </w:t>
      </w:r>
      <w:r>
        <w:rPr>
          <w:szCs w:val="22"/>
        </w:rPr>
        <w:t xml:space="preserve">will </w:t>
      </w:r>
      <w:r w:rsidR="00D40460">
        <w:rPr>
          <w:szCs w:val="22"/>
        </w:rPr>
        <w:t xml:space="preserve">help to </w:t>
      </w:r>
      <w:r>
        <w:rPr>
          <w:szCs w:val="22"/>
        </w:rPr>
        <w:t>facilitat</w:t>
      </w:r>
      <w:r w:rsidR="005B0D87">
        <w:rPr>
          <w:szCs w:val="22"/>
        </w:rPr>
        <w:t>e</w:t>
      </w:r>
      <w:r>
        <w:rPr>
          <w:szCs w:val="22"/>
        </w:rPr>
        <w:t xml:space="preserve"> </w:t>
      </w:r>
      <w:r w:rsidR="00670DB7">
        <w:rPr>
          <w:szCs w:val="22"/>
        </w:rPr>
        <w:t xml:space="preserve">the successful negotiation of </w:t>
      </w:r>
      <w:r>
        <w:rPr>
          <w:szCs w:val="22"/>
        </w:rPr>
        <w:t>data roaming arrangements</w:t>
      </w:r>
      <w:r w:rsidR="00681DEF">
        <w:rPr>
          <w:szCs w:val="22"/>
        </w:rPr>
        <w:t xml:space="preserve"> on a more expeditious and less costly basis</w:t>
      </w:r>
      <w:r>
        <w:rPr>
          <w:szCs w:val="22"/>
        </w:rPr>
        <w:t xml:space="preserve">.  We do not need to address arguments about </w:t>
      </w:r>
      <w:r w:rsidR="00D83E12">
        <w:rPr>
          <w:szCs w:val="22"/>
        </w:rPr>
        <w:t xml:space="preserve">whether service providers have the </w:t>
      </w:r>
      <w:r w:rsidR="00670DB7">
        <w:rPr>
          <w:szCs w:val="22"/>
        </w:rPr>
        <w:t xml:space="preserve">incentive and the ability </w:t>
      </w:r>
      <w:r>
        <w:rPr>
          <w:szCs w:val="22"/>
        </w:rPr>
        <w:t xml:space="preserve">to raise </w:t>
      </w:r>
      <w:r w:rsidR="00D83E12">
        <w:rPr>
          <w:szCs w:val="22"/>
        </w:rPr>
        <w:t>their rivals’ costs</w:t>
      </w:r>
      <w:r>
        <w:rPr>
          <w:szCs w:val="22"/>
        </w:rPr>
        <w:t xml:space="preserve">, </w:t>
      </w:r>
      <w:r w:rsidR="00681DEF">
        <w:rPr>
          <w:szCs w:val="22"/>
        </w:rPr>
        <w:t xml:space="preserve">or whether these arguments have already been addressed in the </w:t>
      </w:r>
      <w:r w:rsidR="00681DEF">
        <w:rPr>
          <w:i/>
          <w:szCs w:val="22"/>
        </w:rPr>
        <w:t xml:space="preserve">Data Roaming Order, </w:t>
      </w:r>
      <w:r>
        <w:rPr>
          <w:szCs w:val="22"/>
        </w:rPr>
        <w:t xml:space="preserve">and we decline to do so in this </w:t>
      </w:r>
      <w:r w:rsidR="00A16538">
        <w:rPr>
          <w:szCs w:val="22"/>
        </w:rPr>
        <w:t xml:space="preserve">declaratory </w:t>
      </w:r>
      <w:r>
        <w:rPr>
          <w:szCs w:val="22"/>
        </w:rPr>
        <w:t>ruling.</w:t>
      </w:r>
    </w:p>
    <w:p w:rsidR="00EE019D" w:rsidRPr="00EE019D" w:rsidRDefault="00D40460" w:rsidP="00EE019D">
      <w:pPr>
        <w:pStyle w:val="ParaNum"/>
        <w:numPr>
          <w:ilvl w:val="0"/>
          <w:numId w:val="0"/>
        </w:numPr>
        <w:ind w:left="720"/>
        <w:rPr>
          <w:b/>
        </w:rPr>
      </w:pPr>
      <w:r>
        <w:rPr>
          <w:b/>
        </w:rPr>
        <w:t>B</w:t>
      </w:r>
      <w:r w:rsidR="00EE019D">
        <w:rPr>
          <w:b/>
        </w:rPr>
        <w:t>.</w:t>
      </w:r>
      <w:r w:rsidR="00EE019D">
        <w:rPr>
          <w:b/>
        </w:rPr>
        <w:tab/>
        <w:t>Additional Requests For Guidance</w:t>
      </w:r>
    </w:p>
    <w:p w:rsidR="008804EA" w:rsidRPr="003D611C" w:rsidRDefault="008804EA" w:rsidP="000561FF">
      <w:pPr>
        <w:pStyle w:val="ParaNum"/>
        <w:tabs>
          <w:tab w:val="num" w:pos="1710"/>
        </w:tabs>
        <w:rPr>
          <w:szCs w:val="22"/>
        </w:rPr>
      </w:pPr>
      <w:r w:rsidRPr="003D611C">
        <w:rPr>
          <w:szCs w:val="22"/>
        </w:rPr>
        <w:t>T-Mobile</w:t>
      </w:r>
      <w:r w:rsidR="00681DEF">
        <w:rPr>
          <w:szCs w:val="22"/>
        </w:rPr>
        <w:t xml:space="preserve"> also seeks</w:t>
      </w:r>
      <w:r w:rsidRPr="003D611C">
        <w:rPr>
          <w:szCs w:val="22"/>
        </w:rPr>
        <w:t xml:space="preserve"> guidance that: (i) the presumption in the </w:t>
      </w:r>
      <w:r w:rsidRPr="003D611C">
        <w:rPr>
          <w:i/>
          <w:szCs w:val="22"/>
        </w:rPr>
        <w:t xml:space="preserve">Data Roaming </w:t>
      </w:r>
      <w:r w:rsidR="00773432" w:rsidRPr="003D611C">
        <w:rPr>
          <w:i/>
          <w:szCs w:val="22"/>
        </w:rPr>
        <w:t>Order</w:t>
      </w:r>
      <w:r w:rsidR="00773432">
        <w:rPr>
          <w:szCs w:val="22"/>
        </w:rPr>
        <w:t xml:space="preserve"> that the terms of an existing roaming agreement are commercially reasonable applies only with respect to challenges to the terms of that agreement, and </w:t>
      </w:r>
      <w:r w:rsidRPr="003D611C">
        <w:rPr>
          <w:szCs w:val="22"/>
        </w:rPr>
        <w:t xml:space="preserve">not to </w:t>
      </w:r>
      <w:r w:rsidR="00773432">
        <w:rPr>
          <w:szCs w:val="22"/>
        </w:rPr>
        <w:t>the reasonableness of future agreements or proposed agreements</w:t>
      </w:r>
      <w:r w:rsidR="00490388">
        <w:rPr>
          <w:szCs w:val="22"/>
        </w:rPr>
        <w:t>;</w:t>
      </w:r>
      <w:r w:rsidRPr="003D611C">
        <w:rPr>
          <w:szCs w:val="22"/>
        </w:rPr>
        <w:t xml:space="preserve"> and (ii) inclusion of the extent and nature of providers’ build-out as a relevant factor was not intended to</w:t>
      </w:r>
      <w:r w:rsidR="0034152E">
        <w:rPr>
          <w:szCs w:val="22"/>
        </w:rPr>
        <w:t xml:space="preserve"> allow </w:t>
      </w:r>
      <w:r w:rsidRPr="003D611C">
        <w:rPr>
          <w:szCs w:val="22"/>
        </w:rPr>
        <w:t>a host provider to deny roaming in a particular area where the otherwise built-out requesting provider has not built out.</w:t>
      </w:r>
      <w:r w:rsidRPr="00737C70">
        <w:rPr>
          <w:rStyle w:val="FootnoteReference"/>
          <w:sz w:val="22"/>
          <w:szCs w:val="22"/>
        </w:rPr>
        <w:footnoteReference w:id="67"/>
      </w:r>
      <w:r w:rsidRPr="003D611C">
        <w:rPr>
          <w:szCs w:val="22"/>
        </w:rPr>
        <w:t xml:space="preserve">  </w:t>
      </w:r>
      <w:r w:rsidR="0034152E">
        <w:rPr>
          <w:szCs w:val="22"/>
        </w:rPr>
        <w:t>C</w:t>
      </w:r>
      <w:r w:rsidR="00346612" w:rsidRPr="003D611C">
        <w:rPr>
          <w:szCs w:val="22"/>
        </w:rPr>
        <w:t>ommenters disagree as to the intent and purpose of these provisions</w:t>
      </w:r>
      <w:r w:rsidR="0034152E">
        <w:rPr>
          <w:szCs w:val="22"/>
        </w:rPr>
        <w:t>,</w:t>
      </w:r>
      <w:r w:rsidR="00C43F82" w:rsidRPr="00E250D1">
        <w:rPr>
          <w:rStyle w:val="FootnoteReference"/>
          <w:szCs w:val="22"/>
        </w:rPr>
        <w:footnoteReference w:id="68"/>
      </w:r>
      <w:r w:rsidR="0034152E">
        <w:rPr>
          <w:szCs w:val="22"/>
        </w:rPr>
        <w:t xml:space="preserve"> and </w:t>
      </w:r>
      <w:r w:rsidR="00C43F82">
        <w:rPr>
          <w:szCs w:val="22"/>
        </w:rPr>
        <w:t xml:space="preserve">we </w:t>
      </w:r>
      <w:r w:rsidR="00815BBF">
        <w:rPr>
          <w:szCs w:val="22"/>
        </w:rPr>
        <w:t xml:space="preserve">believe </w:t>
      </w:r>
      <w:r w:rsidR="00C43F82">
        <w:rPr>
          <w:szCs w:val="22"/>
        </w:rPr>
        <w:t>that</w:t>
      </w:r>
      <w:r w:rsidR="005F7BCB">
        <w:rPr>
          <w:szCs w:val="22"/>
        </w:rPr>
        <w:t xml:space="preserve"> </w:t>
      </w:r>
      <w:r w:rsidRPr="003D611C">
        <w:rPr>
          <w:szCs w:val="22"/>
        </w:rPr>
        <w:t xml:space="preserve">guidance </w:t>
      </w:r>
      <w:r w:rsidR="00681DEF">
        <w:rPr>
          <w:szCs w:val="22"/>
        </w:rPr>
        <w:t xml:space="preserve">as to our views of the application of the </w:t>
      </w:r>
      <w:r w:rsidR="00681DEF">
        <w:rPr>
          <w:i/>
          <w:szCs w:val="22"/>
        </w:rPr>
        <w:t xml:space="preserve">Data Roaming Order </w:t>
      </w:r>
      <w:r w:rsidRPr="003D611C">
        <w:rPr>
          <w:szCs w:val="22"/>
        </w:rPr>
        <w:t xml:space="preserve">will help </w:t>
      </w:r>
      <w:r w:rsidR="00346612" w:rsidRPr="003D611C">
        <w:rPr>
          <w:szCs w:val="22"/>
        </w:rPr>
        <w:t xml:space="preserve">resolve any future disputes among roaming partners and </w:t>
      </w:r>
      <w:r w:rsidRPr="003D611C">
        <w:rPr>
          <w:szCs w:val="22"/>
        </w:rPr>
        <w:t>facilitate data ro</w:t>
      </w:r>
      <w:r w:rsidR="00346612" w:rsidRPr="003D611C">
        <w:rPr>
          <w:szCs w:val="22"/>
        </w:rPr>
        <w:t xml:space="preserve">aming arrangements.   </w:t>
      </w:r>
    </w:p>
    <w:p w:rsidR="00030C6A" w:rsidRDefault="00A83ACA" w:rsidP="00A90009">
      <w:pPr>
        <w:pStyle w:val="ParaNum"/>
      </w:pPr>
      <w:r>
        <w:rPr>
          <w:i/>
        </w:rPr>
        <w:t>Presumption of Reasonableness of Existing Agreements.</w:t>
      </w:r>
      <w:r w:rsidRPr="005527E6">
        <w:t xml:space="preserve">  </w:t>
      </w:r>
      <w:r w:rsidR="001A7DCB">
        <w:t xml:space="preserve">The Commission stated in the </w:t>
      </w:r>
      <w:r w:rsidR="001A7DCB" w:rsidRPr="00440896">
        <w:rPr>
          <w:i/>
        </w:rPr>
        <w:t>Data Roaming Order</w:t>
      </w:r>
      <w:r w:rsidR="001A7DCB">
        <w:t xml:space="preserve"> that “</w:t>
      </w:r>
      <w:r w:rsidR="00BC683E">
        <w:t xml:space="preserve">[b]ecause the standard of commercial reasonableness is one that we expect to accommodate a variety of terms and conditions in data roaming, and </w:t>
      </w:r>
      <w:r w:rsidR="001A7DCB">
        <w:rPr>
          <w:color w:val="000000"/>
        </w:rPr>
        <w:t>t</w:t>
      </w:r>
      <w:r w:rsidR="001A7DCB">
        <w:t>o discourage frivolous claims regarding the reasonableness of the terms and conditions in a signed agreement, we will presume in such cases that the terms of a signed agreement meet the reasonableness standard and will require a party challenging the reasonableness of any term in the agreement to rebut that presumption.”</w:t>
      </w:r>
      <w:r w:rsidR="001A7DCB" w:rsidRPr="00B3409E">
        <w:rPr>
          <w:rStyle w:val="FootnoteReference"/>
          <w:szCs w:val="22"/>
        </w:rPr>
        <w:t xml:space="preserve"> </w:t>
      </w:r>
      <w:r w:rsidR="001A7DCB">
        <w:rPr>
          <w:rStyle w:val="FootnoteReference"/>
          <w:szCs w:val="22"/>
        </w:rPr>
        <w:footnoteReference w:id="69"/>
      </w:r>
      <w:r w:rsidR="001A7DCB">
        <w:t xml:space="preserve">  </w:t>
      </w:r>
      <w:r w:rsidR="00EA4517">
        <w:t>In our view, the Commission intended for th</w:t>
      </w:r>
      <w:r w:rsidR="00051CCA">
        <w:t>is</w:t>
      </w:r>
      <w:r w:rsidR="00EA4517">
        <w:t xml:space="preserve"> presumption to apply </w:t>
      </w:r>
      <w:r w:rsidR="00EA4517" w:rsidRPr="005C1C25">
        <w:t xml:space="preserve">only when </w:t>
      </w:r>
      <w:r w:rsidR="00EA4517" w:rsidRPr="00100879">
        <w:t>a party challenges the terms and conditions of a signed</w:t>
      </w:r>
      <w:r w:rsidR="00EA4517" w:rsidRPr="009376BB">
        <w:t xml:space="preserve"> agreement</w:t>
      </w:r>
      <w:r w:rsidR="00EA4517" w:rsidRPr="00280016">
        <w:t>.</w:t>
      </w:r>
      <w:r w:rsidR="0015736D">
        <w:t xml:space="preserve">  </w:t>
      </w:r>
      <w:r w:rsidR="0015736D" w:rsidRPr="0015736D">
        <w:rPr>
          <w:szCs w:val="22"/>
        </w:rPr>
        <w:t>The Commission’s discussion of the presumption was in the context of a statement that “the terms of the agreement generally will govern the data roaming rights and obligations of the parties,” pursuant to “relevant contract law.”</w:t>
      </w:r>
      <w:r w:rsidR="0015736D">
        <w:rPr>
          <w:rStyle w:val="FootnoteReference"/>
          <w:szCs w:val="22"/>
        </w:rPr>
        <w:footnoteReference w:id="70"/>
      </w:r>
      <w:r w:rsidR="0015736D">
        <w:rPr>
          <w:szCs w:val="22"/>
        </w:rPr>
        <w:t xml:space="preserve">  </w:t>
      </w:r>
      <w:r w:rsidR="0015736D" w:rsidRPr="0015736D">
        <w:rPr>
          <w:szCs w:val="22"/>
        </w:rPr>
        <w:t xml:space="preserve">Such contract rights and obligations extend only with respect to the terms of the existing agreement, and the parties that signed it.  Thus, while applying the presumption to any collateral attack on those terms by either of those parties seeking to obtain different terms to the same agreement under the data roaming rule, </w:t>
      </w:r>
      <w:r w:rsidR="0015736D">
        <w:t>t</w:t>
      </w:r>
      <w:r w:rsidR="00EA4517" w:rsidRPr="00280016">
        <w:t>he Commission did not intend for the presumption to apply to subsequent negotiation of an</w:t>
      </w:r>
      <w:r w:rsidR="0015736D">
        <w:t>other</w:t>
      </w:r>
      <w:r w:rsidR="00EA4517" w:rsidRPr="00280016">
        <w:t xml:space="preserve"> </w:t>
      </w:r>
      <w:r w:rsidR="00EA4517" w:rsidRPr="005C1C25">
        <w:t>agreement (including extension or renewal of an existing agreement) that is not yet signed.</w:t>
      </w:r>
      <w:r w:rsidR="00EA4517">
        <w:rPr>
          <w:rStyle w:val="FootnoteReference"/>
          <w:szCs w:val="22"/>
        </w:rPr>
        <w:footnoteReference w:id="71"/>
      </w:r>
    </w:p>
    <w:p w:rsidR="00EA4517" w:rsidRPr="007E1C77" w:rsidRDefault="00EA4517" w:rsidP="003A5112">
      <w:pPr>
        <w:pStyle w:val="ParaNum"/>
      </w:pPr>
      <w:r>
        <w:t xml:space="preserve">Further, we note that </w:t>
      </w:r>
      <w:r w:rsidRPr="005C1C25">
        <w:t xml:space="preserve">applying the presumption to subsequent negotiations would not be consistent with the overall purpose of the data roaming rule because, as T-Mobile and commenters note, it could have the effect of perpetuating terms negotiated in </w:t>
      </w:r>
      <w:r w:rsidRPr="002A223C">
        <w:t>prior years.</w:t>
      </w:r>
      <w:r>
        <w:rPr>
          <w:rStyle w:val="FootnoteReference"/>
          <w:szCs w:val="22"/>
        </w:rPr>
        <w:footnoteReference w:id="72"/>
      </w:r>
      <w:r>
        <w:t xml:space="preserve">  </w:t>
      </w:r>
      <w:r w:rsidRPr="00100879">
        <w:t>A rate negotiated a year ago might have been commercially reasonable at that time but may no longer reflect current market</w:t>
      </w:r>
      <w:r w:rsidRPr="007E1C77">
        <w:t>place</w:t>
      </w:r>
      <w:r w:rsidRPr="009376BB">
        <w:t xml:space="preserve"> conditions, which is why the Commission limit</w:t>
      </w:r>
      <w:r>
        <w:t>ed</w:t>
      </w:r>
      <w:r w:rsidRPr="009376BB">
        <w:t xml:space="preserve"> this presumption to existing agreements and not to future negotiations.</w:t>
      </w:r>
      <w:r>
        <w:rPr>
          <w:rStyle w:val="FootnoteReference"/>
          <w:szCs w:val="22"/>
        </w:rPr>
        <w:footnoteReference w:id="73"/>
      </w:r>
      <w:r w:rsidRPr="00100879">
        <w:t xml:space="preserve">  </w:t>
      </w:r>
      <w:r w:rsidR="001D14F3" w:rsidRPr="007E1C77">
        <w:t xml:space="preserve">As </w:t>
      </w:r>
      <w:r w:rsidR="001D14F3" w:rsidRPr="009376BB">
        <w:t xml:space="preserve">discussed above, however, </w:t>
      </w:r>
      <w:r w:rsidR="001D14F3">
        <w:t xml:space="preserve">the seventeen listed factors in the </w:t>
      </w:r>
      <w:r w:rsidR="001D14F3" w:rsidRPr="004F49B8">
        <w:rPr>
          <w:i/>
        </w:rPr>
        <w:t>Data Roaming Order</w:t>
      </w:r>
      <w:r w:rsidR="001D14F3">
        <w:t xml:space="preserve"> include “whether the parties have any roaming arrangements with each other…and the terms of such arrangements.”</w:t>
      </w:r>
      <w:r w:rsidR="001D14F3">
        <w:rPr>
          <w:rStyle w:val="FootnoteReference"/>
          <w:szCs w:val="22"/>
        </w:rPr>
        <w:footnoteReference w:id="74"/>
      </w:r>
      <w:r w:rsidR="001D14F3">
        <w:t xml:space="preserve">  As a result, the terms of prior agreements between the parties may be relevant for</w:t>
      </w:r>
      <w:r w:rsidR="00626724">
        <w:t xml:space="preserve"> </w:t>
      </w:r>
      <w:r w:rsidR="001D14F3" w:rsidRPr="007E1C77">
        <w:t xml:space="preserve">determining the commercial reasonableness of terms in </w:t>
      </w:r>
      <w:r w:rsidR="001D14F3">
        <w:t xml:space="preserve">a </w:t>
      </w:r>
      <w:r w:rsidR="001D14F3" w:rsidRPr="007E1C77">
        <w:t>subsequent negotiation, depending on the circumstances of the individual case (</w:t>
      </w:r>
      <w:r w:rsidR="001D14F3" w:rsidRPr="007E1C77">
        <w:rPr>
          <w:i/>
        </w:rPr>
        <w:t>e.g.,</w:t>
      </w:r>
      <w:r w:rsidR="001D14F3" w:rsidRPr="007E1C77">
        <w:t xml:space="preserve"> the length of time since the prior negotiation and the existence of subsequent changes in marketplace conditions, technologies, and consumer demand).</w:t>
      </w:r>
      <w:r w:rsidR="001D14F3">
        <w:rPr>
          <w:rStyle w:val="FootnoteReference"/>
          <w:szCs w:val="22"/>
        </w:rPr>
        <w:footnoteReference w:id="75"/>
      </w:r>
      <w:r w:rsidRPr="007E1C77">
        <w:t xml:space="preserve"> </w:t>
      </w:r>
      <w:r w:rsidRPr="009376BB">
        <w:t xml:space="preserve"> </w:t>
      </w:r>
    </w:p>
    <w:p w:rsidR="00EA4517" w:rsidRDefault="00EA4517" w:rsidP="00EA4517">
      <w:pPr>
        <w:pStyle w:val="ParaNum"/>
        <w:tabs>
          <w:tab w:val="num" w:pos="1710"/>
        </w:tabs>
        <w:rPr>
          <w:szCs w:val="22"/>
        </w:rPr>
      </w:pPr>
      <w:r>
        <w:rPr>
          <w:szCs w:val="22"/>
        </w:rPr>
        <w:t xml:space="preserve">To the extent a requesting provider requires data roaming services but believes a would-be host provider’s proffered terms and conditions are commercially unreasonable, we remind such providers that the Commission staff may, in appropriate circumstances, order </w:t>
      </w:r>
      <w:r w:rsidR="003B0720">
        <w:rPr>
          <w:szCs w:val="22"/>
        </w:rPr>
        <w:t xml:space="preserve">a </w:t>
      </w:r>
      <w:r>
        <w:rPr>
          <w:szCs w:val="22"/>
        </w:rPr>
        <w:t>would-be host provider to provide data roaming services on its proffered terms during pendency of a dispute.</w:t>
      </w:r>
      <w:r>
        <w:rPr>
          <w:rStyle w:val="FootnoteReference"/>
          <w:szCs w:val="22"/>
        </w:rPr>
        <w:footnoteReference w:id="76"/>
      </w:r>
      <w:r>
        <w:rPr>
          <w:szCs w:val="22"/>
        </w:rPr>
        <w:t xml:space="preserve">  Such services would be subject to possible true-up once a roaming agreement is in place.</w:t>
      </w:r>
      <w:r>
        <w:rPr>
          <w:rStyle w:val="FootnoteReference"/>
          <w:szCs w:val="22"/>
        </w:rPr>
        <w:footnoteReference w:id="77"/>
      </w:r>
    </w:p>
    <w:p w:rsidR="00512E59" w:rsidRPr="00512E59" w:rsidRDefault="00450DE1">
      <w:pPr>
        <w:pStyle w:val="ParaNum"/>
        <w:tabs>
          <w:tab w:val="num" w:pos="1620"/>
        </w:tabs>
        <w:rPr>
          <w:szCs w:val="22"/>
        </w:rPr>
      </w:pPr>
      <w:r>
        <w:rPr>
          <w:i/>
          <w:szCs w:val="22"/>
        </w:rPr>
        <w:t>Build-out Factor</w:t>
      </w:r>
      <w:r w:rsidRPr="003A5112">
        <w:t xml:space="preserve">.  </w:t>
      </w:r>
      <w:r w:rsidR="00051CCA">
        <w:t>To guide the Commission and the parties in determining the commercial reasonableness of proposed data roaming terms and conditions, “including the prices,”</w:t>
      </w:r>
      <w:r w:rsidR="00051CCA">
        <w:rPr>
          <w:rStyle w:val="FootnoteReference"/>
        </w:rPr>
        <w:footnoteReference w:id="78"/>
      </w:r>
      <w:r w:rsidR="00051CCA">
        <w:t xml:space="preserve"> the </w:t>
      </w:r>
      <w:r w:rsidR="00051CCA">
        <w:rPr>
          <w:i/>
        </w:rPr>
        <w:t xml:space="preserve">Data Roaming Order </w:t>
      </w:r>
      <w:r w:rsidR="00051CCA">
        <w:t>set forth a non-exclusive list of factors, including the extent and nature of providers’ build-out.</w:t>
      </w:r>
      <w:r w:rsidR="007A222F">
        <w:rPr>
          <w:szCs w:val="22"/>
        </w:rPr>
        <w:t xml:space="preserve"> </w:t>
      </w:r>
      <w:r w:rsidR="00051CCA">
        <w:rPr>
          <w:szCs w:val="22"/>
        </w:rPr>
        <w:t xml:space="preserve"> </w:t>
      </w:r>
      <w:r w:rsidR="00485579">
        <w:rPr>
          <w:szCs w:val="22"/>
        </w:rPr>
        <w:t>In our view,</w:t>
      </w:r>
      <w:r w:rsidR="001909F0">
        <w:rPr>
          <w:szCs w:val="22"/>
        </w:rPr>
        <w:t xml:space="preserve"> the </w:t>
      </w:r>
      <w:r w:rsidR="007A222F">
        <w:rPr>
          <w:szCs w:val="22"/>
        </w:rPr>
        <w:t>Commission</w:t>
      </w:r>
      <w:r w:rsidR="00B52A37">
        <w:rPr>
          <w:szCs w:val="22"/>
        </w:rPr>
        <w:t>’s</w:t>
      </w:r>
      <w:r w:rsidR="007A222F">
        <w:rPr>
          <w:szCs w:val="22"/>
        </w:rPr>
        <w:t xml:space="preserve"> inclusion </w:t>
      </w:r>
      <w:r w:rsidR="00B52A37">
        <w:rPr>
          <w:szCs w:val="22"/>
        </w:rPr>
        <w:t xml:space="preserve">of this factor </w:t>
      </w:r>
      <w:r w:rsidR="007A222F">
        <w:rPr>
          <w:szCs w:val="22"/>
        </w:rPr>
        <w:t xml:space="preserve">was not intended to </w:t>
      </w:r>
      <w:r w:rsidR="00CC1497">
        <w:rPr>
          <w:szCs w:val="22"/>
        </w:rPr>
        <w:t xml:space="preserve">allow </w:t>
      </w:r>
      <w:r w:rsidR="00B52A37" w:rsidRPr="00737C70">
        <w:rPr>
          <w:szCs w:val="22"/>
        </w:rPr>
        <w:t>a host provider to deny roaming</w:t>
      </w:r>
      <w:r w:rsidR="002F662A">
        <w:rPr>
          <w:szCs w:val="22"/>
        </w:rPr>
        <w:t>, or to charge commercially unreasonable roaming rates,</w:t>
      </w:r>
      <w:r w:rsidR="00B52A37" w:rsidRPr="00737C70">
        <w:rPr>
          <w:szCs w:val="22"/>
        </w:rPr>
        <w:t xml:space="preserve"> in a particular area</w:t>
      </w:r>
      <w:r w:rsidR="00485579">
        <w:rPr>
          <w:szCs w:val="22"/>
        </w:rPr>
        <w:t xml:space="preserve"> simply because </w:t>
      </w:r>
      <w:r w:rsidR="00B52A37" w:rsidRPr="00737C70">
        <w:rPr>
          <w:szCs w:val="22"/>
        </w:rPr>
        <w:t>the otherwise built-out requesting provider has not built out</w:t>
      </w:r>
      <w:r w:rsidR="002952EC">
        <w:rPr>
          <w:szCs w:val="22"/>
        </w:rPr>
        <w:t xml:space="preserve"> in that area</w:t>
      </w:r>
      <w:r w:rsidR="007A222F">
        <w:rPr>
          <w:szCs w:val="22"/>
        </w:rPr>
        <w:t>.</w:t>
      </w:r>
      <w:r w:rsidR="007A222F">
        <w:rPr>
          <w:rStyle w:val="FootnoteReference"/>
          <w:szCs w:val="22"/>
        </w:rPr>
        <w:footnoteReference w:id="79"/>
      </w:r>
      <w:r w:rsidR="001909F0">
        <w:rPr>
          <w:szCs w:val="22"/>
        </w:rPr>
        <w:t xml:space="preserve">  </w:t>
      </w:r>
      <w:r w:rsidR="00485579">
        <w:rPr>
          <w:szCs w:val="22"/>
        </w:rPr>
        <w:t xml:space="preserve">Any other interpretation of the Commission’s order would be inconsistent with </w:t>
      </w:r>
      <w:r w:rsidR="0022231E">
        <w:t>t</w:t>
      </w:r>
      <w:r w:rsidR="00464A14" w:rsidRPr="00B52A37">
        <w:t>he</w:t>
      </w:r>
      <w:r w:rsidR="00A3720B">
        <w:t xml:space="preserve"> order itself</w:t>
      </w:r>
      <w:r w:rsidR="0022231E">
        <w:t xml:space="preserve">, which </w:t>
      </w:r>
      <w:r w:rsidR="00464A14" w:rsidRPr="00B52A37">
        <w:t>ma</w:t>
      </w:r>
      <w:r w:rsidR="00123374">
        <w:t>de</w:t>
      </w:r>
      <w:r w:rsidR="00464A14" w:rsidRPr="00B52A37">
        <w:t xml:space="preserve"> clear that one of the primary public interest benefits of roaming is that it can allow a provider without a presence in </w:t>
      </w:r>
      <w:r w:rsidR="000D091A">
        <w:t>any given market</w:t>
      </w:r>
      <w:r w:rsidR="00464A14" w:rsidRPr="00B52A37">
        <w:t xml:space="preserve"> to provide a competitive level of local coverage during the early period of investment and build-out.</w:t>
      </w:r>
      <w:r w:rsidR="007D1FE1">
        <w:rPr>
          <w:rStyle w:val="FootnoteReference"/>
        </w:rPr>
        <w:footnoteReference w:id="80"/>
      </w:r>
      <w:r w:rsidR="0098510F">
        <w:t xml:space="preserve">  </w:t>
      </w:r>
      <w:r w:rsidR="00CC1497">
        <w:t xml:space="preserve">The Commission also recognized </w:t>
      </w:r>
      <w:r w:rsidR="00CC1497" w:rsidRPr="0003626A">
        <w:t>that p</w:t>
      </w:r>
      <w:r w:rsidR="00CC1497" w:rsidRPr="0003626A">
        <w:rPr>
          <w:color w:val="010101"/>
        </w:rPr>
        <w:t xml:space="preserve">roviders with local or regional service areas need roaming arrangements to offer nationwide coverage, and </w:t>
      </w:r>
      <w:r w:rsidR="00CC1497">
        <w:rPr>
          <w:color w:val="010101"/>
        </w:rPr>
        <w:t xml:space="preserve">that </w:t>
      </w:r>
      <w:r w:rsidR="00CC1497" w:rsidRPr="0003626A">
        <w:rPr>
          <w:color w:val="010101"/>
        </w:rPr>
        <w:t xml:space="preserve">there may be areas </w:t>
      </w:r>
      <w:r w:rsidR="00A3720B">
        <w:rPr>
          <w:color w:val="010101"/>
        </w:rPr>
        <w:t>where expanding a provider’s</w:t>
      </w:r>
      <w:r w:rsidR="00A3720B" w:rsidRPr="0003626A">
        <w:rPr>
          <w:color w:val="010101"/>
        </w:rPr>
        <w:t xml:space="preserve"> network may be economically infeasible or unrealistic.</w:t>
      </w:r>
      <w:r w:rsidR="00A3720B">
        <w:rPr>
          <w:rStyle w:val="FootnoteReference"/>
        </w:rPr>
        <w:footnoteReference w:id="81"/>
      </w:r>
      <w:r w:rsidR="00A3720B">
        <w:rPr>
          <w:color w:val="010101"/>
        </w:rPr>
        <w:t xml:space="preserve">  </w:t>
      </w:r>
      <w:r w:rsidR="00A3720B">
        <w:t>T</w:t>
      </w:r>
      <w:r w:rsidR="00A3720B" w:rsidRPr="00B52A37">
        <w:t xml:space="preserve">he level of a requesting provider’s build-out is a factor in determining the commercial reasonableness of a host provider’s proffered terms, and </w:t>
      </w:r>
      <w:r w:rsidR="00A3720B">
        <w:t>we believe the Commission intended to</w:t>
      </w:r>
      <w:r w:rsidR="00A3720B" w:rsidRPr="00B52A37">
        <w:t xml:space="preserve"> review the matter under the case-by-case, totality of the circumstances approach.</w:t>
      </w:r>
      <w:r w:rsidR="00A3720B">
        <w:rPr>
          <w:rStyle w:val="FootnoteReference"/>
        </w:rPr>
        <w:footnoteReference w:id="82"/>
      </w:r>
    </w:p>
    <w:p w:rsidR="00591DF9" w:rsidRPr="00591DF9" w:rsidRDefault="00512E59">
      <w:pPr>
        <w:pStyle w:val="ParaNum"/>
        <w:rPr>
          <w:szCs w:val="22"/>
        </w:rPr>
      </w:pPr>
      <w:r w:rsidRPr="00080B75">
        <w:t xml:space="preserve">AT&amp;T </w:t>
      </w:r>
      <w:r w:rsidR="00C43F82">
        <w:t>argues</w:t>
      </w:r>
      <w:r w:rsidRPr="00080B75">
        <w:t xml:space="preserve"> that T-Mobile is asking the Commission to ignore build-out concerns when providers face increased costs to build-out because of their licensed frequencies in that area and that T-Mobile has a track record of avoiding investment in rural areas.</w:t>
      </w:r>
      <w:r>
        <w:rPr>
          <w:rStyle w:val="FootnoteReference"/>
        </w:rPr>
        <w:footnoteReference w:id="83"/>
      </w:r>
      <w:r>
        <w:t xml:space="preserve">  </w:t>
      </w:r>
      <w:r w:rsidR="00591DF9">
        <w:t xml:space="preserve">The Commission, however, has found that, in some areas of the country, it is uneconomical for several </w:t>
      </w:r>
      <w:r w:rsidR="00626724">
        <w:t>providers</w:t>
      </w:r>
      <w:r w:rsidR="00591DF9">
        <w:t xml:space="preserve"> to build-out and that some </w:t>
      </w:r>
      <w:r w:rsidR="00626724">
        <w:t>providers</w:t>
      </w:r>
      <w:r w:rsidR="00591DF9">
        <w:t xml:space="preserve"> may face significantly increased costs to build-out using higher spectrum frequencies.</w:t>
      </w:r>
      <w:r w:rsidR="00591DF9">
        <w:rPr>
          <w:rStyle w:val="FootnoteReference"/>
        </w:rPr>
        <w:footnoteReference w:id="84"/>
      </w:r>
      <w:r w:rsidR="00591DF9">
        <w:t xml:space="preserve">  The Commission will consider such build-out concerns on a case-by-case basis under the totality of the circumstances </w:t>
      </w:r>
      <w:r w:rsidR="00501B21">
        <w:t>approach</w:t>
      </w:r>
      <w:r w:rsidR="00591DF9">
        <w:t xml:space="preserve"> and will apply this factor to both large</w:t>
      </w:r>
      <w:r w:rsidR="00626724">
        <w:t>r</w:t>
      </w:r>
      <w:r w:rsidR="00591DF9">
        <w:t xml:space="preserve"> and small</w:t>
      </w:r>
      <w:r w:rsidR="00626724">
        <w:t>er</w:t>
      </w:r>
      <w:r w:rsidR="00591DF9">
        <w:t xml:space="preserve"> providers.</w:t>
      </w:r>
      <w:r w:rsidR="00591DF9">
        <w:rPr>
          <w:rStyle w:val="FootnoteReference"/>
        </w:rPr>
        <w:footnoteReference w:id="85"/>
      </w:r>
    </w:p>
    <w:p w:rsidR="00512E59" w:rsidRPr="003061DE" w:rsidRDefault="004303D9">
      <w:pPr>
        <w:pStyle w:val="ParaNum"/>
        <w:rPr>
          <w:szCs w:val="22"/>
        </w:rPr>
      </w:pPr>
      <w:r>
        <w:t>Finally, some commenters ask the Commission to take additional steps, such as imposition of a cap or ceiling on data roaming rates,</w:t>
      </w:r>
      <w:r>
        <w:rPr>
          <w:rStyle w:val="FootnoteReference"/>
        </w:rPr>
        <w:footnoteReference w:id="86"/>
      </w:r>
      <w:r>
        <w:t xml:space="preserve"> endorsement of a model data roaming agreement,</w:t>
      </w:r>
      <w:r>
        <w:rPr>
          <w:rStyle w:val="FootnoteReference"/>
        </w:rPr>
        <w:footnoteReference w:id="87"/>
      </w:r>
      <w:r>
        <w:t xml:space="preserve"> filing of agreements with the Commission</w:t>
      </w:r>
      <w:r w:rsidR="00976C8D">
        <w:t>,</w:t>
      </w:r>
      <w:r>
        <w:rPr>
          <w:rStyle w:val="FootnoteReference"/>
        </w:rPr>
        <w:footnoteReference w:id="88"/>
      </w:r>
      <w:r>
        <w:t xml:space="preserve"> and imposition of a “shot clock” that would apply to negotiations.</w:t>
      </w:r>
      <w:r>
        <w:rPr>
          <w:rStyle w:val="FootnoteReference"/>
        </w:rPr>
        <w:footnoteReference w:id="89"/>
      </w:r>
      <w:r>
        <w:t xml:space="preserve">  These requests are beyond the scope of the relief sought by T-Mobile, and we do not address them in this declaratory ruling.</w:t>
      </w:r>
      <w:r>
        <w:rPr>
          <w:rStyle w:val="FootnoteReference"/>
        </w:rPr>
        <w:footnoteReference w:id="90"/>
      </w:r>
      <w:r w:rsidR="00512E59">
        <w:t xml:space="preserve"> </w:t>
      </w:r>
      <w:r w:rsidR="00D57963">
        <w:t xml:space="preserve"> </w:t>
      </w:r>
    </w:p>
    <w:p w:rsidR="00D33879" w:rsidRDefault="00D33879" w:rsidP="00D33879">
      <w:pPr>
        <w:pStyle w:val="Heading1"/>
        <w:numPr>
          <w:ilvl w:val="0"/>
          <w:numId w:val="0"/>
        </w:numPr>
        <w:rPr>
          <w:szCs w:val="22"/>
        </w:rPr>
      </w:pPr>
      <w:bookmarkStart w:id="6" w:name="_Toc213837765"/>
      <w:bookmarkStart w:id="7" w:name="_Toc213838364"/>
      <w:bookmarkStart w:id="8" w:name="_Toc213838422"/>
      <w:bookmarkStart w:id="9" w:name="_Toc213838779"/>
      <w:bookmarkStart w:id="10" w:name="_Toc214259634"/>
      <w:bookmarkStart w:id="11" w:name="_Toc214431294"/>
      <w:bookmarkStart w:id="12" w:name="_Toc214445025"/>
      <w:bookmarkStart w:id="13" w:name="_Toc214677857"/>
      <w:bookmarkStart w:id="14" w:name="_Toc214697759"/>
      <w:bookmarkStart w:id="15" w:name="_Toc214777646"/>
      <w:bookmarkStart w:id="16" w:name="_Toc215037989"/>
      <w:bookmarkStart w:id="17" w:name="_Toc215388277"/>
      <w:bookmarkStart w:id="18" w:name="_Toc245898745"/>
      <w:bookmarkEnd w:id="1"/>
      <w:bookmarkEnd w:id="2"/>
      <w:bookmarkEnd w:id="3"/>
      <w:bookmarkEnd w:id="4"/>
      <w:bookmarkEnd w:id="5"/>
      <w:r>
        <w:rPr>
          <w:szCs w:val="22"/>
        </w:rPr>
        <w:t>i</w:t>
      </w:r>
      <w:r w:rsidR="00EC0298">
        <w:rPr>
          <w:szCs w:val="22"/>
        </w:rPr>
        <w:t>V</w:t>
      </w:r>
      <w:r>
        <w:rPr>
          <w:szCs w:val="22"/>
        </w:rPr>
        <w:t>.</w:t>
      </w:r>
      <w:r>
        <w:rPr>
          <w:szCs w:val="22"/>
        </w:rPr>
        <w:tab/>
        <w:t>CONCLUSION</w:t>
      </w:r>
      <w:bookmarkEnd w:id="6"/>
      <w:bookmarkEnd w:id="7"/>
      <w:bookmarkEnd w:id="8"/>
      <w:bookmarkEnd w:id="9"/>
      <w:bookmarkEnd w:id="10"/>
      <w:bookmarkEnd w:id="11"/>
      <w:bookmarkEnd w:id="12"/>
      <w:bookmarkEnd w:id="13"/>
      <w:bookmarkEnd w:id="14"/>
      <w:bookmarkEnd w:id="15"/>
      <w:bookmarkEnd w:id="16"/>
      <w:bookmarkEnd w:id="17"/>
      <w:bookmarkEnd w:id="18"/>
    </w:p>
    <w:p w:rsidR="008432B6" w:rsidRPr="008432B6" w:rsidRDefault="00C225C8" w:rsidP="009909D8">
      <w:pPr>
        <w:pStyle w:val="ParaNum"/>
      </w:pPr>
      <w:r>
        <w:t xml:space="preserve">For the reasons set forth above, we grant the Petition and issue this Declaratory Ruling to provide guidance on </w:t>
      </w:r>
      <w:r w:rsidR="0036412A">
        <w:t xml:space="preserve">the </w:t>
      </w:r>
      <w:r w:rsidR="007B750C" w:rsidRPr="00CB4139">
        <w:rPr>
          <w:szCs w:val="22"/>
        </w:rPr>
        <w:t xml:space="preserve">application of the </w:t>
      </w:r>
      <w:r w:rsidR="007B750C">
        <w:rPr>
          <w:szCs w:val="22"/>
        </w:rPr>
        <w:t>commercial reasonableness standard</w:t>
      </w:r>
      <w:r w:rsidR="00924BAD">
        <w:rPr>
          <w:szCs w:val="22"/>
        </w:rPr>
        <w:t>,</w:t>
      </w:r>
      <w:r w:rsidR="007B750C">
        <w:rPr>
          <w:szCs w:val="22"/>
        </w:rPr>
        <w:t xml:space="preserve"> as well as the </w:t>
      </w:r>
      <w:r w:rsidR="007B750C" w:rsidRPr="00CB4139">
        <w:rPr>
          <w:szCs w:val="22"/>
        </w:rPr>
        <w:t>totality of the circumstances</w:t>
      </w:r>
      <w:r w:rsidR="007B750C">
        <w:rPr>
          <w:szCs w:val="22"/>
        </w:rPr>
        <w:t xml:space="preserve"> approach for resolving </w:t>
      </w:r>
      <w:r w:rsidR="007B750C" w:rsidRPr="009D05B1">
        <w:rPr>
          <w:szCs w:val="22"/>
        </w:rPr>
        <w:t>disputes between negotiating parties</w:t>
      </w:r>
      <w:r w:rsidR="007C6FD3" w:rsidRPr="009D05B1">
        <w:rPr>
          <w:szCs w:val="22"/>
        </w:rPr>
        <w:t xml:space="preserve">, </w:t>
      </w:r>
      <w:r w:rsidR="007C6FD3" w:rsidRPr="009D05B1">
        <w:t xml:space="preserve">set forth in the </w:t>
      </w:r>
      <w:r w:rsidR="007C6FD3" w:rsidRPr="009D05B1">
        <w:rPr>
          <w:i/>
          <w:iCs/>
        </w:rPr>
        <w:t>Data</w:t>
      </w:r>
      <w:r w:rsidR="007C6FD3" w:rsidRPr="009D05B1">
        <w:t xml:space="preserve"> </w:t>
      </w:r>
      <w:r w:rsidR="007C6FD3" w:rsidRPr="009D05B1">
        <w:rPr>
          <w:i/>
          <w:iCs/>
        </w:rPr>
        <w:t>Roaming Order</w:t>
      </w:r>
      <w:r w:rsidR="007C6FD3" w:rsidRPr="009D05B1">
        <w:t xml:space="preserve"> and Section 20.12(e)</w:t>
      </w:r>
      <w:r w:rsidR="007B750C" w:rsidRPr="009D05B1">
        <w:rPr>
          <w:szCs w:val="22"/>
        </w:rPr>
        <w:t>.</w:t>
      </w:r>
      <w:r w:rsidRPr="009D05B1">
        <w:t xml:space="preserve">  </w:t>
      </w:r>
      <w:r w:rsidR="00D06359" w:rsidRPr="009D05B1">
        <w:t xml:space="preserve">In the </w:t>
      </w:r>
      <w:r w:rsidR="00D06359" w:rsidRPr="009D05B1">
        <w:rPr>
          <w:i/>
        </w:rPr>
        <w:t>Data Roaming Order</w:t>
      </w:r>
      <w:r w:rsidR="00D06359" w:rsidRPr="009D05B1">
        <w:t>, t</w:t>
      </w:r>
      <w:r w:rsidR="007B6EF1" w:rsidRPr="009D05B1">
        <w:rPr>
          <w:szCs w:val="22"/>
        </w:rPr>
        <w:t>he Commission concluded that the data roaming rule would promote consumer acce</w:t>
      </w:r>
      <w:r w:rsidR="007B6EF1" w:rsidRPr="00877099">
        <w:rPr>
          <w:szCs w:val="22"/>
        </w:rPr>
        <w:t xml:space="preserve">ss to seamless mobile data coverage nationwide, appropriately balance the incentives for new entrants and incumbent providers to invest in and deploy advanced networks across the country, </w:t>
      </w:r>
      <w:r w:rsidR="007B6EF1">
        <w:rPr>
          <w:szCs w:val="22"/>
        </w:rPr>
        <w:t xml:space="preserve">as well as </w:t>
      </w:r>
      <w:r w:rsidR="007B6EF1" w:rsidRPr="00877099">
        <w:rPr>
          <w:szCs w:val="22"/>
        </w:rPr>
        <w:t xml:space="preserve">foster competition among multiple </w:t>
      </w:r>
      <w:r w:rsidR="007B6EF1">
        <w:rPr>
          <w:szCs w:val="22"/>
        </w:rPr>
        <w:t xml:space="preserve">service </w:t>
      </w:r>
      <w:r w:rsidR="007B6EF1" w:rsidRPr="00877099">
        <w:rPr>
          <w:szCs w:val="22"/>
        </w:rPr>
        <w:t xml:space="preserve">providers in the </w:t>
      </w:r>
      <w:r w:rsidR="007B6EF1">
        <w:rPr>
          <w:szCs w:val="22"/>
        </w:rPr>
        <w:t>mobile wireless marketplace.</w:t>
      </w:r>
      <w:r w:rsidR="00D06359">
        <w:rPr>
          <w:szCs w:val="22"/>
        </w:rPr>
        <w:t xml:space="preserve">  In our view, the </w:t>
      </w:r>
      <w:r w:rsidR="00C22378">
        <w:rPr>
          <w:szCs w:val="22"/>
        </w:rPr>
        <w:t xml:space="preserve">additional </w:t>
      </w:r>
      <w:r w:rsidR="00D06359">
        <w:rPr>
          <w:szCs w:val="22"/>
        </w:rPr>
        <w:t xml:space="preserve">guidance we provide </w:t>
      </w:r>
      <w:r w:rsidR="00C22378">
        <w:t xml:space="preserve">under the standard set forth in Section 20.12(e) </w:t>
      </w:r>
      <w:r w:rsidR="00D06359">
        <w:rPr>
          <w:szCs w:val="22"/>
        </w:rPr>
        <w:t xml:space="preserve">will </w:t>
      </w:r>
      <w:r w:rsidR="00ED0827">
        <w:rPr>
          <w:szCs w:val="22"/>
        </w:rPr>
        <w:t xml:space="preserve">facilitate the ability of </w:t>
      </w:r>
      <w:r w:rsidR="00D06359">
        <w:rPr>
          <w:szCs w:val="22"/>
        </w:rPr>
        <w:t xml:space="preserve">parties to negotiate successful data roaming agreements, </w:t>
      </w:r>
      <w:r w:rsidR="00D038B6">
        <w:rPr>
          <w:szCs w:val="22"/>
        </w:rPr>
        <w:t>which in turn will promote the provision of high quality advanced broadband services by multiple service providers in urban, suburban and rural areas to the benefit of American consumers.</w:t>
      </w:r>
    </w:p>
    <w:p w:rsidR="00D33879" w:rsidRDefault="00D33879" w:rsidP="00D33879">
      <w:pPr>
        <w:pStyle w:val="Heading1"/>
        <w:numPr>
          <w:ilvl w:val="0"/>
          <w:numId w:val="0"/>
        </w:numPr>
        <w:rPr>
          <w:szCs w:val="22"/>
        </w:rPr>
      </w:pPr>
      <w:bookmarkStart w:id="19" w:name="_Toc213837766"/>
      <w:bookmarkStart w:id="20" w:name="_Toc213838365"/>
      <w:bookmarkStart w:id="21" w:name="_Toc213838423"/>
      <w:bookmarkStart w:id="22" w:name="_Toc213838780"/>
      <w:bookmarkStart w:id="23" w:name="_Toc214259635"/>
      <w:bookmarkStart w:id="24" w:name="_Toc214431295"/>
      <w:bookmarkStart w:id="25" w:name="_Toc214445026"/>
      <w:bookmarkStart w:id="26" w:name="_Toc214677858"/>
      <w:bookmarkStart w:id="27" w:name="_Toc214697760"/>
      <w:bookmarkStart w:id="28" w:name="_Toc214777647"/>
      <w:bookmarkStart w:id="29" w:name="_Toc215037990"/>
      <w:bookmarkStart w:id="30" w:name="_Toc215388278"/>
      <w:bookmarkStart w:id="31" w:name="_Toc245898746"/>
      <w:r>
        <w:rPr>
          <w:szCs w:val="22"/>
        </w:rPr>
        <w:t>V.</w:t>
      </w:r>
      <w:r>
        <w:rPr>
          <w:szCs w:val="22"/>
        </w:rPr>
        <w:tab/>
        <w:t>ORDERING CLAUSE</w:t>
      </w:r>
      <w:bookmarkEnd w:id="19"/>
      <w:bookmarkEnd w:id="20"/>
      <w:bookmarkEnd w:id="21"/>
      <w:bookmarkEnd w:id="22"/>
      <w:r>
        <w:rPr>
          <w:szCs w:val="22"/>
        </w:rPr>
        <w:t>S</w:t>
      </w:r>
      <w:bookmarkEnd w:id="23"/>
      <w:bookmarkEnd w:id="24"/>
      <w:bookmarkEnd w:id="25"/>
      <w:bookmarkEnd w:id="26"/>
      <w:bookmarkEnd w:id="27"/>
      <w:bookmarkEnd w:id="28"/>
      <w:bookmarkEnd w:id="29"/>
      <w:bookmarkEnd w:id="30"/>
      <w:bookmarkEnd w:id="31"/>
    </w:p>
    <w:p w:rsidR="00512E59" w:rsidRDefault="00674778" w:rsidP="00AC3DE1">
      <w:pPr>
        <w:pStyle w:val="ParaNum"/>
      </w:pPr>
      <w:r>
        <w:t>Accordingly, IT IS ORDERED that, pursuant to the authority contained in sections 4(i), 4(j), 5(c), and 303(r) of the Communications Act, 47 U.S.C. §§ 154(i), 154(j), 155(c), and 303(r); section 5 of the Administrative Procedure Act, 5 U.S.C. § 554(e); sections 0.131, 0.331(a)(2), and 1.2 of the Commission’s rules, 47 C.F.R. §§ 0.131, 0.331</w:t>
      </w:r>
      <w:r w:rsidR="002C2713">
        <w:t xml:space="preserve">, and 1.2; and paragraph 82 of the </w:t>
      </w:r>
      <w:r w:rsidR="002C2713">
        <w:rPr>
          <w:i/>
        </w:rPr>
        <w:t>Data Roaming Order,</w:t>
      </w:r>
      <w:r w:rsidR="002C2713" w:rsidRPr="00710290">
        <w:rPr>
          <w:rStyle w:val="FootnoteReference"/>
        </w:rPr>
        <w:footnoteReference w:id="91"/>
      </w:r>
      <w:r w:rsidR="002C2713">
        <w:rPr>
          <w:i/>
        </w:rPr>
        <w:t xml:space="preserve"> </w:t>
      </w:r>
      <w:r w:rsidR="002C2713">
        <w:t>T-Mobile’s petition is HEREBY GRANTED, to the extent set forth in this Declaratory Ruling.</w:t>
      </w:r>
      <w:r w:rsidR="002C2713">
        <w:rPr>
          <w:rStyle w:val="FootnoteReference"/>
        </w:rPr>
        <w:footnoteReference w:id="92"/>
      </w:r>
    </w:p>
    <w:p w:rsidR="00D73F3F" w:rsidRDefault="00D73F3F" w:rsidP="00D73F3F">
      <w:pPr>
        <w:pStyle w:val="ParaNum"/>
        <w:numPr>
          <w:ilvl w:val="0"/>
          <w:numId w:val="0"/>
        </w:numPr>
        <w:ind w:left="720"/>
      </w:pPr>
    </w:p>
    <w:p w:rsidR="00D73F3F" w:rsidRDefault="00D73F3F" w:rsidP="00F17EB4">
      <w:pPr>
        <w:keepNext/>
        <w:ind w:left="4320"/>
        <w:rPr>
          <w:szCs w:val="22"/>
        </w:rPr>
      </w:pPr>
    </w:p>
    <w:p w:rsidR="00F17EB4" w:rsidRDefault="00F17EB4" w:rsidP="00F17EB4">
      <w:pPr>
        <w:keepNext/>
        <w:ind w:left="4320"/>
        <w:rPr>
          <w:szCs w:val="22"/>
        </w:rPr>
      </w:pPr>
      <w:r>
        <w:rPr>
          <w:szCs w:val="22"/>
        </w:rPr>
        <w:t>FEDERAL COMMUNICATIONS COMMISSION</w:t>
      </w:r>
    </w:p>
    <w:p w:rsidR="00F17EB4" w:rsidRDefault="00F17EB4" w:rsidP="00F17EB4">
      <w:pPr>
        <w:keepNext/>
        <w:ind w:left="4320"/>
        <w:rPr>
          <w:szCs w:val="22"/>
        </w:rPr>
      </w:pPr>
    </w:p>
    <w:p w:rsidR="00F17EB4" w:rsidRDefault="00F17EB4" w:rsidP="00F17EB4">
      <w:pPr>
        <w:keepNext/>
        <w:ind w:left="4320"/>
        <w:rPr>
          <w:szCs w:val="22"/>
        </w:rPr>
      </w:pPr>
    </w:p>
    <w:p w:rsidR="00F17EB4" w:rsidRDefault="00F17EB4" w:rsidP="00F17EB4">
      <w:pPr>
        <w:keepNext/>
        <w:ind w:left="4320"/>
        <w:rPr>
          <w:szCs w:val="22"/>
        </w:rPr>
      </w:pPr>
    </w:p>
    <w:p w:rsidR="00F17EB4" w:rsidRDefault="00F17EB4" w:rsidP="00F17EB4">
      <w:pPr>
        <w:keepNext/>
        <w:ind w:left="4320"/>
        <w:rPr>
          <w:szCs w:val="22"/>
        </w:rPr>
      </w:pPr>
      <w:r>
        <w:rPr>
          <w:szCs w:val="22"/>
        </w:rPr>
        <w:t>Roger C. Sherman</w:t>
      </w:r>
    </w:p>
    <w:p w:rsidR="00F17EB4" w:rsidRDefault="00F17EB4" w:rsidP="00F17EB4">
      <w:pPr>
        <w:keepNext/>
        <w:ind w:left="4320"/>
        <w:rPr>
          <w:szCs w:val="22"/>
        </w:rPr>
      </w:pPr>
      <w:r>
        <w:rPr>
          <w:szCs w:val="22"/>
        </w:rPr>
        <w:t>Chief</w:t>
      </w:r>
    </w:p>
    <w:p w:rsidR="00F17EB4" w:rsidRDefault="00F17EB4" w:rsidP="00F17EB4">
      <w:pPr>
        <w:keepNext/>
        <w:ind w:left="4320"/>
        <w:rPr>
          <w:szCs w:val="22"/>
        </w:rPr>
      </w:pPr>
      <w:r>
        <w:rPr>
          <w:szCs w:val="22"/>
        </w:rPr>
        <w:t>Wireless Telecommunications Bureau</w:t>
      </w:r>
    </w:p>
    <w:p w:rsidR="00F17EB4" w:rsidRDefault="00F17EB4" w:rsidP="00F17EB4">
      <w:pPr>
        <w:keepNext/>
        <w:ind w:left="4320"/>
        <w:rPr>
          <w:szCs w:val="22"/>
        </w:rPr>
      </w:pPr>
    </w:p>
    <w:p w:rsidR="00F17EB4" w:rsidRPr="00512E59" w:rsidRDefault="00F17EB4" w:rsidP="00F17EB4">
      <w:pPr>
        <w:pStyle w:val="ParaNum"/>
        <w:numPr>
          <w:ilvl w:val="0"/>
          <w:numId w:val="0"/>
        </w:numPr>
        <w:ind w:left="720"/>
      </w:pPr>
    </w:p>
    <w:sectPr w:rsidR="00F17EB4" w:rsidRPr="00512E5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AA" w:rsidRDefault="00560DAA">
      <w:pPr>
        <w:spacing w:line="20" w:lineRule="exact"/>
      </w:pPr>
    </w:p>
  </w:endnote>
  <w:endnote w:type="continuationSeparator" w:id="0">
    <w:p w:rsidR="00560DAA" w:rsidRDefault="00560DAA">
      <w:r>
        <w:t xml:space="preserve"> </w:t>
      </w:r>
    </w:p>
  </w:endnote>
  <w:endnote w:type="continuationNotice" w:id="1">
    <w:p w:rsidR="00560DAA" w:rsidRDefault="00560D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9" w:rsidRDefault="00485579" w:rsidP="0055614C">
    <w:pPr>
      <w:pStyle w:val="Footer"/>
      <w:framePr w:wrap="around" w:vAnchor="text" w:hAnchor="margin" w:xAlign="center" w:y="1"/>
    </w:pPr>
    <w:r>
      <w:fldChar w:fldCharType="begin"/>
    </w:r>
    <w:r>
      <w:instrText xml:space="preserve">PAGE  </w:instrText>
    </w:r>
    <w:r>
      <w:fldChar w:fldCharType="end"/>
    </w:r>
  </w:p>
  <w:p w:rsidR="00485579" w:rsidRDefault="0048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9" w:rsidRDefault="00485579" w:rsidP="0055614C">
    <w:pPr>
      <w:pStyle w:val="Footer"/>
      <w:framePr w:wrap="around" w:vAnchor="text" w:hAnchor="margin" w:xAlign="center" w:y="1"/>
    </w:pPr>
    <w:r>
      <w:fldChar w:fldCharType="begin"/>
    </w:r>
    <w:r>
      <w:instrText xml:space="preserve">PAGE  </w:instrText>
    </w:r>
    <w:r>
      <w:fldChar w:fldCharType="separate"/>
    </w:r>
    <w:r w:rsidR="00633247">
      <w:rPr>
        <w:noProof/>
      </w:rPr>
      <w:t>4</w:t>
    </w:r>
    <w:r>
      <w:fldChar w:fldCharType="end"/>
    </w:r>
  </w:p>
  <w:p w:rsidR="00485579" w:rsidRDefault="0048557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9" w:rsidRDefault="0048557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AA" w:rsidRDefault="00560DAA">
      <w:r>
        <w:separator/>
      </w:r>
    </w:p>
  </w:footnote>
  <w:footnote w:type="continuationSeparator" w:id="0">
    <w:p w:rsidR="00560DAA" w:rsidRDefault="00560DAA" w:rsidP="00C721AC">
      <w:pPr>
        <w:spacing w:before="120"/>
        <w:rPr>
          <w:sz w:val="20"/>
        </w:rPr>
      </w:pPr>
      <w:r>
        <w:rPr>
          <w:sz w:val="20"/>
        </w:rPr>
        <w:t xml:space="preserve">(Continued from previous page)  </w:t>
      </w:r>
      <w:r>
        <w:rPr>
          <w:sz w:val="20"/>
        </w:rPr>
        <w:separator/>
      </w:r>
    </w:p>
  </w:footnote>
  <w:footnote w:type="continuationNotice" w:id="1">
    <w:p w:rsidR="00560DAA" w:rsidRDefault="00560DAA" w:rsidP="00C721AC">
      <w:pPr>
        <w:jc w:val="right"/>
        <w:rPr>
          <w:sz w:val="20"/>
        </w:rPr>
      </w:pPr>
      <w:r>
        <w:rPr>
          <w:sz w:val="20"/>
        </w:rPr>
        <w:t>(continued….)</w:t>
      </w:r>
    </w:p>
  </w:footnote>
  <w:footnote w:id="2">
    <w:p w:rsidR="009909D8" w:rsidRPr="002B61CD" w:rsidRDefault="009909D8" w:rsidP="009909D8">
      <w:pPr>
        <w:pStyle w:val="FootnoteText"/>
      </w:pPr>
      <w:r>
        <w:rPr>
          <w:rStyle w:val="FootnoteReference"/>
        </w:rPr>
        <w:footnoteRef/>
      </w:r>
      <w:r>
        <w:t xml:space="preserve"> </w:t>
      </w:r>
      <w:r>
        <w:rPr>
          <w:i/>
        </w:rPr>
        <w:t xml:space="preserve">See </w:t>
      </w:r>
      <w:r>
        <w:t>Petition for Expedited Declaratory Ruling of T-Mobile USA, Inc., WT Docket No. 05-265 (filed May 27, 2014) (“T-Mobile Petition”).</w:t>
      </w:r>
    </w:p>
  </w:footnote>
  <w:footnote w:id="3">
    <w:p w:rsidR="00A63972" w:rsidRDefault="00A63972" w:rsidP="00A63972">
      <w:pPr>
        <w:pStyle w:val="FootnoteText"/>
      </w:pPr>
      <w:r>
        <w:rPr>
          <w:rStyle w:val="FootnoteReference"/>
        </w:rPr>
        <w:footnoteRef/>
      </w:r>
      <w:r>
        <w:t xml:space="preserve"> 47 C.F.R. § 20.12(e)(1).</w:t>
      </w:r>
    </w:p>
  </w:footnote>
  <w:footnote w:id="4">
    <w:p w:rsidR="009748FA" w:rsidRDefault="009748FA" w:rsidP="009748FA">
      <w:pPr>
        <w:pStyle w:val="FootnoteText"/>
      </w:pPr>
      <w:r>
        <w:rPr>
          <w:rStyle w:val="FootnoteReference"/>
        </w:rPr>
        <w:footnoteRef/>
      </w:r>
      <w:r>
        <w:t xml:space="preserve"> </w:t>
      </w:r>
      <w:r>
        <w:rPr>
          <w:i/>
        </w:rPr>
        <w:t xml:space="preserve">See </w:t>
      </w:r>
      <w:r w:rsidR="006F4AA8" w:rsidRPr="00FA36AC">
        <w:t xml:space="preserve">Reexamination of Roaming Obligations of Commercial Mobile Radio Service Providers and Other Providers of Mobile Data Services, WT Docket No. 05-265, </w:t>
      </w:r>
      <w:r w:rsidR="006F4AA8" w:rsidRPr="00FA36AC">
        <w:rPr>
          <w:i/>
        </w:rPr>
        <w:t>Second Report and Order</w:t>
      </w:r>
      <w:r w:rsidR="006F4AA8" w:rsidRPr="00FA36AC">
        <w:t xml:space="preserve">, 26 FCC Rcd </w:t>
      </w:r>
      <w:r w:rsidR="007F7EA1">
        <w:t xml:space="preserve">5411, </w:t>
      </w:r>
      <w:r w:rsidR="006F4AA8" w:rsidRPr="00FA36AC">
        <w:t>54</w:t>
      </w:r>
      <w:r w:rsidR="006F4AA8">
        <w:t>5</w:t>
      </w:r>
      <w:r w:rsidR="009F5B34">
        <w:t>1</w:t>
      </w:r>
      <w:r w:rsidR="006F4AA8">
        <w:t xml:space="preserve"> ¶ 8</w:t>
      </w:r>
      <w:r w:rsidR="009F5B34">
        <w:t>1</w:t>
      </w:r>
      <w:r w:rsidR="006F4AA8" w:rsidRPr="00FA36AC">
        <w:t xml:space="preserve"> (2011)</w:t>
      </w:r>
      <w:r w:rsidR="006F4AA8">
        <w:t xml:space="preserve"> (</w:t>
      </w:r>
      <w:r w:rsidR="006F4AA8">
        <w:rPr>
          <w:i/>
        </w:rPr>
        <w:t>“Data Roaming Order”</w:t>
      </w:r>
      <w:r w:rsidR="006F4AA8" w:rsidRPr="00710290">
        <w:t>)</w:t>
      </w:r>
      <w:r w:rsidR="006F4AA8">
        <w:t xml:space="preserve">, </w:t>
      </w:r>
      <w:r w:rsidR="006F4AA8">
        <w:rPr>
          <w:i/>
        </w:rPr>
        <w:t xml:space="preserve">aff’d sub nom. Cellco Partnership v. FCC, </w:t>
      </w:r>
      <w:r w:rsidR="006F4AA8">
        <w:t>700 F.3d 534 (D.C. Cir. 2012)</w:t>
      </w:r>
      <w:r>
        <w:t>.</w:t>
      </w:r>
    </w:p>
  </w:footnote>
  <w:footnote w:id="5">
    <w:p w:rsidR="00485579" w:rsidRPr="00F600CB" w:rsidRDefault="00485579" w:rsidP="00D33879">
      <w:pPr>
        <w:pStyle w:val="FootnoteText"/>
      </w:pPr>
      <w:r w:rsidRPr="00F600CB">
        <w:rPr>
          <w:rStyle w:val="FootnoteReference"/>
        </w:rPr>
        <w:footnoteRef/>
      </w:r>
      <w:r w:rsidRPr="00F600CB">
        <w:t xml:space="preserve"> </w:t>
      </w:r>
      <w:r w:rsidRPr="00F600CB">
        <w:rPr>
          <w:i/>
        </w:rPr>
        <w:t>See</w:t>
      </w:r>
      <w:r w:rsidR="004767E6">
        <w:rPr>
          <w:i/>
        </w:rPr>
        <w:t xml:space="preserve"> </w:t>
      </w:r>
      <w:r w:rsidR="004767E6">
        <w:t>T-Mobile Petition</w:t>
      </w:r>
      <w:r w:rsidRPr="00F600CB">
        <w:rPr>
          <w:i/>
        </w:rPr>
        <w:t xml:space="preserve"> </w:t>
      </w:r>
      <w:r w:rsidRPr="00F600CB">
        <w:t xml:space="preserve">at </w:t>
      </w:r>
      <w:r>
        <w:t>16-23.</w:t>
      </w:r>
    </w:p>
  </w:footnote>
  <w:footnote w:id="6">
    <w:p w:rsidR="00A364A7" w:rsidRPr="00FA36AC" w:rsidRDefault="00A364A7" w:rsidP="00A364A7">
      <w:pPr>
        <w:pStyle w:val="FootnoteText"/>
      </w:pPr>
      <w:r w:rsidRPr="00FA36AC">
        <w:rPr>
          <w:rStyle w:val="FootnoteReference"/>
        </w:rPr>
        <w:footnoteRef/>
      </w:r>
      <w:r w:rsidRPr="00FA36AC">
        <w:t xml:space="preserve"> </w:t>
      </w:r>
      <w:r w:rsidR="009F5B34">
        <w:rPr>
          <w:i/>
        </w:rPr>
        <w:t xml:space="preserve">See </w:t>
      </w:r>
      <w:r w:rsidR="006F4AA8">
        <w:rPr>
          <w:i/>
        </w:rPr>
        <w:t xml:space="preserve">Data Roaming Order, </w:t>
      </w:r>
      <w:r w:rsidR="006F4AA8">
        <w:t>26 FCC Rcd at 5411-12 ¶ 1</w:t>
      </w:r>
      <w:r w:rsidR="006F4AA8" w:rsidRPr="00FA36AC">
        <w:t xml:space="preserve">; Reexamination of Roaming Obligations of Commercial Mobile Radio Service Providers and Other Providers of Mobile Data Services, WT Docket No. 05-265, </w:t>
      </w:r>
      <w:r w:rsidR="006F4AA8" w:rsidRPr="00FA36AC">
        <w:rPr>
          <w:i/>
        </w:rPr>
        <w:t>Order on Reconsideration and Second Further Notice of Proposed Rulemaking</w:t>
      </w:r>
      <w:r w:rsidR="006F4AA8" w:rsidRPr="00FA36AC">
        <w:t>, 25 FCC Rcd 4181, 4182 ¶ 2 (2010)</w:t>
      </w:r>
      <w:r w:rsidR="006F4AA8">
        <w:t xml:space="preserve"> (</w:t>
      </w:r>
      <w:r w:rsidR="006F4AA8" w:rsidRPr="00D858C3">
        <w:t>“</w:t>
      </w:r>
      <w:r w:rsidR="006F4AA8">
        <w:rPr>
          <w:i/>
        </w:rPr>
        <w:t>Voice Roaming Order on Reconsideration</w:t>
      </w:r>
      <w:r w:rsidR="006F4AA8" w:rsidRPr="00D858C3">
        <w:t>”)</w:t>
      </w:r>
      <w:r w:rsidRPr="00FA36AC">
        <w:t>.</w:t>
      </w:r>
    </w:p>
  </w:footnote>
  <w:footnote w:id="7">
    <w:p w:rsidR="00F05345" w:rsidRDefault="00F05345" w:rsidP="00F05345">
      <w:pPr>
        <w:pStyle w:val="FootnoteText"/>
      </w:pPr>
      <w:r>
        <w:rPr>
          <w:rStyle w:val="FootnoteReference"/>
        </w:rPr>
        <w:footnoteRef/>
      </w:r>
      <w:r>
        <w:t xml:space="preserve"> </w:t>
      </w:r>
      <w:r>
        <w:rPr>
          <w:i/>
        </w:rPr>
        <w:t xml:space="preserve">Data Roaming Order, </w:t>
      </w:r>
      <w:r>
        <w:t>28 FCC Rcd at 54</w:t>
      </w:r>
      <w:r w:rsidR="00976C8D">
        <w:t>18-19</w:t>
      </w:r>
      <w:r>
        <w:t xml:space="preserve"> ¶ 15; </w:t>
      </w:r>
      <w:r w:rsidRPr="00B11D5E">
        <w:rPr>
          <w:i/>
        </w:rPr>
        <w:t>id.</w:t>
      </w:r>
      <w:r>
        <w:t xml:space="preserve"> at 54</w:t>
      </w:r>
      <w:r w:rsidR="00976C8D">
        <w:t>25-26</w:t>
      </w:r>
      <w:r>
        <w:t xml:space="preserve"> ¶ 26 (“We note again the importance of roaming to consumers in rural areas, where mobile data services may be solely available from small rural providers, and therefore the past difficulties of rural providers in obtaining data roaming presents a serious concern.”) and at 54</w:t>
      </w:r>
      <w:r w:rsidR="00976C8D">
        <w:t>42-43</w:t>
      </w:r>
      <w:r>
        <w:t xml:space="preserve"> ¶ 64 (“Data roaming will encourage service providers to invest in and upgrade their networks and to deploy advanced mobile services ubiquitously, including in rural areas.”).</w:t>
      </w:r>
    </w:p>
  </w:footnote>
  <w:footnote w:id="8">
    <w:p w:rsidR="00F05345" w:rsidRDefault="00F05345" w:rsidP="00F05345">
      <w:pPr>
        <w:pStyle w:val="FootnoteText"/>
      </w:pPr>
      <w:r>
        <w:rPr>
          <w:rStyle w:val="FootnoteReference"/>
        </w:rPr>
        <w:footnoteRef/>
      </w:r>
      <w:r>
        <w:t xml:space="preserve"> </w:t>
      </w:r>
      <w:r w:rsidR="002A4475">
        <w:rPr>
          <w:i/>
        </w:rPr>
        <w:t>See id.</w:t>
      </w:r>
      <w:r w:rsidR="002A4475" w:rsidRPr="003A5112">
        <w:rPr>
          <w:i/>
        </w:rPr>
        <w:t xml:space="preserve"> </w:t>
      </w:r>
      <w:r>
        <w:t>at 54</w:t>
      </w:r>
      <w:r w:rsidR="00976C8D">
        <w:t>26-27</w:t>
      </w:r>
      <w:r>
        <w:t xml:space="preserve"> ¶ 27.</w:t>
      </w:r>
    </w:p>
  </w:footnote>
  <w:footnote w:id="9">
    <w:p w:rsidR="00485579" w:rsidRPr="00A139D8" w:rsidRDefault="00485579" w:rsidP="00D33879">
      <w:pPr>
        <w:pStyle w:val="FootnoteText"/>
      </w:pPr>
      <w:r>
        <w:rPr>
          <w:rStyle w:val="FootnoteReference"/>
        </w:rPr>
        <w:footnoteRef/>
      </w:r>
      <w:r>
        <w:t xml:space="preserve"> </w:t>
      </w:r>
      <w:r w:rsidR="00FF4DF7" w:rsidRPr="009D05B1">
        <w:rPr>
          <w:i/>
        </w:rPr>
        <w:t>Id</w:t>
      </w:r>
      <w:r w:rsidR="00FF4DF7">
        <w:t>.</w:t>
      </w:r>
      <w:r w:rsidRPr="00A139D8">
        <w:t xml:space="preserve"> </w:t>
      </w:r>
      <w:r>
        <w:t xml:space="preserve">at </w:t>
      </w:r>
      <w:r w:rsidRPr="00A139D8">
        <w:t>5411</w:t>
      </w:r>
      <w:r>
        <w:t>-12 ¶</w:t>
      </w:r>
      <w:r w:rsidRPr="00A139D8">
        <w:t>¶ 1</w:t>
      </w:r>
      <w:r>
        <w:t xml:space="preserve">-2. </w:t>
      </w:r>
    </w:p>
  </w:footnote>
  <w:footnote w:id="10">
    <w:p w:rsidR="00E434A9" w:rsidRDefault="00E434A9" w:rsidP="00E434A9">
      <w:pPr>
        <w:pStyle w:val="FootnoteText"/>
      </w:pPr>
      <w:r>
        <w:rPr>
          <w:rStyle w:val="FootnoteReference"/>
        </w:rPr>
        <w:footnoteRef/>
      </w:r>
      <w:r>
        <w:t xml:space="preserve"> </w:t>
      </w:r>
      <w:r w:rsidR="002A4475">
        <w:rPr>
          <w:i/>
        </w:rPr>
        <w:t>See i</w:t>
      </w:r>
      <w:r>
        <w:rPr>
          <w:i/>
        </w:rPr>
        <w:t xml:space="preserve">d. </w:t>
      </w:r>
      <w:r>
        <w:t>at 5452</w:t>
      </w:r>
      <w:r w:rsidR="002A4475">
        <w:t>-53</w:t>
      </w:r>
      <w:r>
        <w:t xml:space="preserve"> ¶¶ 85-86</w:t>
      </w:r>
      <w:r w:rsidR="00976C8D">
        <w:t>;</w:t>
      </w:r>
      <w:r>
        <w:t xml:space="preserve"> </w:t>
      </w:r>
      <w:r w:rsidR="00976C8D">
        <w:rPr>
          <w:i/>
        </w:rPr>
        <w:t>s</w:t>
      </w:r>
      <w:r>
        <w:rPr>
          <w:i/>
        </w:rPr>
        <w:t xml:space="preserve">ee also </w:t>
      </w:r>
      <w:r>
        <w:t>47 C.F.R. § 20.12(e).</w:t>
      </w:r>
    </w:p>
  </w:footnote>
  <w:footnote w:id="11">
    <w:p w:rsidR="00E434A9" w:rsidRDefault="00E434A9" w:rsidP="00E434A9">
      <w:pPr>
        <w:pStyle w:val="FootnoteText"/>
      </w:pPr>
      <w:r>
        <w:rPr>
          <w:rStyle w:val="FootnoteReference"/>
        </w:rPr>
        <w:footnoteRef/>
      </w:r>
      <w:r>
        <w:t xml:space="preserve"> </w:t>
      </w:r>
      <w:r w:rsidR="002A4475">
        <w:rPr>
          <w:i/>
        </w:rPr>
        <w:t xml:space="preserve">See Data Roaming </w:t>
      </w:r>
      <w:r w:rsidR="002A4475" w:rsidRPr="002A4475">
        <w:rPr>
          <w:i/>
        </w:rPr>
        <w:t>Order</w:t>
      </w:r>
      <w:r w:rsidR="002A4475">
        <w:t xml:space="preserve">, </w:t>
      </w:r>
      <w:r w:rsidRPr="002A4475">
        <w:t>26</w:t>
      </w:r>
      <w:r>
        <w:t xml:space="preserve"> FCC Rcd</w:t>
      </w:r>
      <w:r>
        <w:rPr>
          <w:i/>
        </w:rPr>
        <w:t xml:space="preserve"> </w:t>
      </w:r>
      <w:r>
        <w:t xml:space="preserve">at 5452 ¶ 85.  </w:t>
      </w:r>
      <w:r>
        <w:rPr>
          <w:szCs w:val="22"/>
        </w:rPr>
        <w:t>This means that service p</w:t>
      </w:r>
      <w:r w:rsidRPr="00877099">
        <w:rPr>
          <w:szCs w:val="22"/>
        </w:rPr>
        <w:t xml:space="preserve">roviders can adapt roaming arrangements to </w:t>
      </w:r>
      <w:r>
        <w:rPr>
          <w:szCs w:val="22"/>
        </w:rPr>
        <w:t>i</w:t>
      </w:r>
      <w:r w:rsidRPr="00877099">
        <w:rPr>
          <w:szCs w:val="22"/>
        </w:rPr>
        <w:t>ndividualized circumstances without having to serve all comers indiscriminately on the same or standardized terms.</w:t>
      </w:r>
      <w:r>
        <w:rPr>
          <w:szCs w:val="22"/>
        </w:rPr>
        <w:t xml:space="preserve">  </w:t>
      </w:r>
      <w:r w:rsidR="002A4475">
        <w:rPr>
          <w:i/>
          <w:szCs w:val="22"/>
        </w:rPr>
        <w:t>See id.</w:t>
      </w:r>
      <w:r w:rsidR="002A4475" w:rsidRPr="003A5112">
        <w:rPr>
          <w:i/>
        </w:rPr>
        <w:t xml:space="preserve"> </w:t>
      </w:r>
      <w:r>
        <w:t>at 5433 ¶ 45.</w:t>
      </w:r>
    </w:p>
  </w:footnote>
  <w:footnote w:id="12">
    <w:p w:rsidR="00485579" w:rsidRPr="00A139D8" w:rsidRDefault="00485579" w:rsidP="00D33879">
      <w:pPr>
        <w:pStyle w:val="FootnoteText"/>
      </w:pPr>
      <w:r w:rsidRPr="00A139D8">
        <w:rPr>
          <w:rStyle w:val="FootnoteReference"/>
        </w:rPr>
        <w:footnoteRef/>
      </w:r>
      <w:r w:rsidRPr="00A139D8">
        <w:t xml:space="preserve"> </w:t>
      </w:r>
      <w:r w:rsidRPr="00A139D8">
        <w:rPr>
          <w:i/>
        </w:rPr>
        <w:t xml:space="preserve">Id. </w:t>
      </w:r>
      <w:r w:rsidRPr="00A139D8">
        <w:t>at 5418 ¶ 13.</w:t>
      </w:r>
      <w:r w:rsidR="0050747C">
        <w:t xml:space="preserve">  </w:t>
      </w:r>
    </w:p>
  </w:footnote>
  <w:footnote w:id="13">
    <w:p w:rsidR="00485579" w:rsidRPr="004B148A" w:rsidRDefault="00485579">
      <w:pPr>
        <w:pStyle w:val="FootnoteText"/>
      </w:pPr>
      <w:r>
        <w:rPr>
          <w:rStyle w:val="FootnoteReference"/>
        </w:rPr>
        <w:footnoteRef/>
      </w:r>
      <w:r>
        <w:t xml:space="preserve"> </w:t>
      </w:r>
      <w:r>
        <w:rPr>
          <w:i/>
        </w:rPr>
        <w:t>Cellco P</w:t>
      </w:r>
      <w:r w:rsidR="00527002">
        <w:rPr>
          <w:i/>
        </w:rPr>
        <w:t>artner</w:t>
      </w:r>
      <w:r>
        <w:rPr>
          <w:i/>
        </w:rPr>
        <w:t>ship v. FCC</w:t>
      </w:r>
      <w:r>
        <w:t>, 700 F.3d 534, 545, 548 (D.C. Cir. 2012).</w:t>
      </w:r>
    </w:p>
  </w:footnote>
  <w:footnote w:id="14">
    <w:p w:rsidR="00485579" w:rsidRPr="000F7914" w:rsidRDefault="00485579">
      <w:pPr>
        <w:pStyle w:val="FootnoteText"/>
      </w:pPr>
      <w:r>
        <w:rPr>
          <w:rStyle w:val="FootnoteReference"/>
        </w:rPr>
        <w:footnoteRef/>
      </w:r>
      <w:r>
        <w:t xml:space="preserve"> </w:t>
      </w:r>
      <w:r>
        <w:rPr>
          <w:i/>
        </w:rPr>
        <w:t xml:space="preserve">Id. </w:t>
      </w:r>
      <w:r>
        <w:t xml:space="preserve">at 546.  The court also noted that there is a “gray area in which although a given regulation might be applied to common carriers, the obligations imposed are not common carriage </w:t>
      </w:r>
      <w:r>
        <w:rPr>
          <w:i/>
        </w:rPr>
        <w:t>per se.</w:t>
      </w:r>
      <w:r>
        <w:t xml:space="preserve">”  In this realm, “the Commission’s determination that a regulation does or does not confer common carrier status warrants deference.”  </w:t>
      </w:r>
      <w:r>
        <w:rPr>
          <w:i/>
        </w:rPr>
        <w:t xml:space="preserve">Id. </w:t>
      </w:r>
      <w:r>
        <w:t>at 547.</w:t>
      </w:r>
    </w:p>
  </w:footnote>
  <w:footnote w:id="15">
    <w:p w:rsidR="00485579" w:rsidRPr="000F7914" w:rsidRDefault="00485579">
      <w:pPr>
        <w:pStyle w:val="FootnoteText"/>
      </w:pPr>
      <w:r>
        <w:rPr>
          <w:rStyle w:val="FootnoteReference"/>
        </w:rPr>
        <w:footnoteRef/>
      </w:r>
      <w:r>
        <w:t xml:space="preserve"> </w:t>
      </w:r>
      <w:r>
        <w:rPr>
          <w:i/>
        </w:rPr>
        <w:t xml:space="preserve">Id. </w:t>
      </w:r>
      <w:r>
        <w:t>at 548.</w:t>
      </w:r>
    </w:p>
  </w:footnote>
  <w:footnote w:id="16">
    <w:p w:rsidR="00485579" w:rsidRPr="00074463" w:rsidRDefault="00485579">
      <w:pPr>
        <w:pStyle w:val="FootnoteText"/>
      </w:pPr>
      <w:r>
        <w:rPr>
          <w:rStyle w:val="FootnoteReference"/>
        </w:rPr>
        <w:footnoteRef/>
      </w:r>
      <w:r>
        <w:t xml:space="preserve"> </w:t>
      </w:r>
      <w:r w:rsidR="00A932C7">
        <w:rPr>
          <w:i/>
        </w:rPr>
        <w:t>Id.</w:t>
      </w:r>
      <w:r w:rsidR="00A932C7" w:rsidRPr="003A5112">
        <w:rPr>
          <w:i/>
        </w:rPr>
        <w:t xml:space="preserve"> </w:t>
      </w:r>
      <w:r>
        <w:t>at 537, 548.</w:t>
      </w:r>
    </w:p>
  </w:footnote>
  <w:footnote w:id="17">
    <w:p w:rsidR="00485579" w:rsidRPr="00376F1D" w:rsidRDefault="00485579">
      <w:pPr>
        <w:pStyle w:val="FootnoteText"/>
      </w:pPr>
      <w:r>
        <w:rPr>
          <w:rStyle w:val="FootnoteReference"/>
        </w:rPr>
        <w:footnoteRef/>
      </w:r>
      <w:r>
        <w:t xml:space="preserve"> </w:t>
      </w:r>
      <w:r>
        <w:rPr>
          <w:i/>
        </w:rPr>
        <w:t xml:space="preserve">Id. </w:t>
      </w:r>
      <w:r>
        <w:t>at 549.</w:t>
      </w:r>
    </w:p>
  </w:footnote>
  <w:footnote w:id="18">
    <w:p w:rsidR="00485579" w:rsidRDefault="00485579">
      <w:pPr>
        <w:pStyle w:val="FootnoteText"/>
      </w:pPr>
      <w:r>
        <w:rPr>
          <w:rStyle w:val="FootnoteReference"/>
        </w:rPr>
        <w:footnoteRef/>
      </w:r>
      <w:r>
        <w:t xml:space="preserve"> T-Mobile Petition at i, 1-2; Exhibits 1-2.</w:t>
      </w:r>
    </w:p>
  </w:footnote>
  <w:footnote w:id="19">
    <w:p w:rsidR="00485579" w:rsidRDefault="00485579">
      <w:pPr>
        <w:pStyle w:val="FootnoteText"/>
      </w:pPr>
      <w:r>
        <w:rPr>
          <w:rStyle w:val="FootnoteReference"/>
        </w:rPr>
        <w:footnoteRef/>
      </w:r>
      <w:r>
        <w:t xml:space="preserve"> </w:t>
      </w:r>
      <w:r w:rsidR="00F71BEA">
        <w:rPr>
          <w:i/>
        </w:rPr>
        <w:t>Id.</w:t>
      </w:r>
      <w:r w:rsidR="00F71BEA" w:rsidRPr="003A5112">
        <w:rPr>
          <w:i/>
        </w:rPr>
        <w:t xml:space="preserve"> </w:t>
      </w:r>
      <w:r>
        <w:t>at 2, 6.</w:t>
      </w:r>
    </w:p>
  </w:footnote>
  <w:footnote w:id="20">
    <w:p w:rsidR="00485579" w:rsidRDefault="00485579">
      <w:pPr>
        <w:pStyle w:val="FootnoteText"/>
      </w:pPr>
      <w:r>
        <w:rPr>
          <w:rStyle w:val="FootnoteReference"/>
        </w:rPr>
        <w:footnoteRef/>
      </w:r>
      <w:r>
        <w:t xml:space="preserve"> </w:t>
      </w:r>
      <w:r w:rsidR="00F71BEA">
        <w:rPr>
          <w:i/>
        </w:rPr>
        <w:t>Id.</w:t>
      </w:r>
      <w:r w:rsidR="00F71BEA" w:rsidRPr="003A5112">
        <w:rPr>
          <w:i/>
        </w:rPr>
        <w:t xml:space="preserve"> </w:t>
      </w:r>
      <w:r>
        <w:t xml:space="preserve">at </w:t>
      </w:r>
      <w:r w:rsidR="004E7241">
        <w:t xml:space="preserve">ii, </w:t>
      </w:r>
      <w:r>
        <w:t>11</w:t>
      </w:r>
      <w:r w:rsidR="00F71BEA">
        <w:t>-</w:t>
      </w:r>
      <w:r w:rsidR="00093C1C">
        <w:t>1</w:t>
      </w:r>
      <w:r w:rsidR="00F71BEA">
        <w:t>6</w:t>
      </w:r>
      <w:r w:rsidR="00093C1C">
        <w:t xml:space="preserve">, </w:t>
      </w:r>
      <w:r>
        <w:t xml:space="preserve">Exhibit 2, Farrell </w:t>
      </w:r>
      <w:r w:rsidR="00976C8D">
        <w:t xml:space="preserve">Declaration </w:t>
      </w:r>
      <w:r>
        <w:t>at ¶¶ 10-13.</w:t>
      </w:r>
    </w:p>
  </w:footnote>
  <w:footnote w:id="21">
    <w:p w:rsidR="00485579" w:rsidRDefault="00485579" w:rsidP="00DC1923">
      <w:pPr>
        <w:pStyle w:val="FootnoteText"/>
      </w:pPr>
      <w:r>
        <w:rPr>
          <w:rStyle w:val="FootnoteReference"/>
        </w:rPr>
        <w:footnoteRef/>
      </w:r>
      <w:r>
        <w:t xml:space="preserve"> </w:t>
      </w:r>
      <w:r w:rsidR="00F71BEA">
        <w:rPr>
          <w:i/>
        </w:rPr>
        <w:t>Id.</w:t>
      </w:r>
      <w:r w:rsidR="00F71BEA" w:rsidRPr="003A5112">
        <w:rPr>
          <w:i/>
        </w:rPr>
        <w:t xml:space="preserve"> </w:t>
      </w:r>
      <w:r>
        <w:t xml:space="preserve">at ii, </w:t>
      </w:r>
      <w:r w:rsidR="00DD0CCB">
        <w:t xml:space="preserve">11-16, </w:t>
      </w:r>
      <w:r>
        <w:t>Exhibit 2, Farrell Declaration at ¶</w:t>
      </w:r>
      <w:r w:rsidR="00DD0CCB">
        <w:t>¶</w:t>
      </w:r>
      <w:r>
        <w:t xml:space="preserve"> 8</w:t>
      </w:r>
      <w:r w:rsidR="00DD0CCB">
        <w:t>-13</w:t>
      </w:r>
      <w:r>
        <w:t>; T-Mobile Reply Comments at 10-15.</w:t>
      </w:r>
    </w:p>
  </w:footnote>
  <w:footnote w:id="22">
    <w:p w:rsidR="00485579" w:rsidRPr="00220694" w:rsidRDefault="00485579">
      <w:pPr>
        <w:pStyle w:val="FootnoteText"/>
        <w:rPr>
          <w:i/>
        </w:rPr>
      </w:pPr>
      <w:r>
        <w:rPr>
          <w:rStyle w:val="FootnoteReference"/>
        </w:rPr>
        <w:footnoteRef/>
      </w:r>
      <w:r>
        <w:t xml:space="preserve"> T-Mobile Petition, Exhibit 2, Farrell Declaration at ¶ 8; T-Mobile Reply Comments, Exhibit 2, Farrell Declaration at ¶</w:t>
      </w:r>
      <w:r w:rsidR="007642DD">
        <w:t xml:space="preserve">¶ 46, </w:t>
      </w:r>
      <w:r>
        <w:t xml:space="preserve">48.  </w:t>
      </w:r>
    </w:p>
  </w:footnote>
  <w:footnote w:id="23">
    <w:p w:rsidR="00485579" w:rsidRPr="00F600CB" w:rsidRDefault="00485579" w:rsidP="00925A69">
      <w:pPr>
        <w:pStyle w:val="FootnoteText"/>
      </w:pPr>
      <w:r w:rsidRPr="00F600CB">
        <w:rPr>
          <w:rStyle w:val="FootnoteReference"/>
        </w:rPr>
        <w:footnoteRef/>
      </w:r>
      <w:r w:rsidRPr="00F600CB">
        <w:t xml:space="preserve"> </w:t>
      </w:r>
      <w:r>
        <w:t xml:space="preserve">T-Mobile Petition </w:t>
      </w:r>
      <w:r w:rsidRPr="00F600CB">
        <w:t xml:space="preserve">at </w:t>
      </w:r>
      <w:r>
        <w:t>ii-iii, 16-23.</w:t>
      </w:r>
    </w:p>
  </w:footnote>
  <w:footnote w:id="24">
    <w:p w:rsidR="00485579" w:rsidRPr="00F854CC" w:rsidRDefault="00485579">
      <w:pPr>
        <w:pStyle w:val="FootnoteText"/>
      </w:pPr>
      <w:r>
        <w:rPr>
          <w:rStyle w:val="FootnoteReference"/>
        </w:rPr>
        <w:footnoteRef/>
      </w:r>
      <w:r>
        <w:t xml:space="preserve"> </w:t>
      </w:r>
      <w:r>
        <w:rPr>
          <w:i/>
        </w:rPr>
        <w:t xml:space="preserve">See </w:t>
      </w:r>
      <w:r w:rsidRPr="00845B6E">
        <w:t>Wireless Telecommunications Bureau Seeks Comment on Petition For Expedited Declaratory Ruling Filed by T-Mobile USA, Inc. Regarding Data Roaming Obligations</w:t>
      </w:r>
      <w:r>
        <w:rPr>
          <w:i/>
        </w:rPr>
        <w:t xml:space="preserve">, </w:t>
      </w:r>
      <w:r>
        <w:t xml:space="preserve">WT Docket No. 05-265, </w:t>
      </w:r>
      <w:r w:rsidRPr="00845B6E">
        <w:rPr>
          <w:i/>
        </w:rPr>
        <w:t>Public Notice</w:t>
      </w:r>
      <w:r>
        <w:t>,</w:t>
      </w:r>
      <w:r>
        <w:rPr>
          <w:i/>
        </w:rPr>
        <w:t xml:space="preserve"> </w:t>
      </w:r>
      <w:r>
        <w:t>28 FCC Rcd 6035 (WTB 2014).</w:t>
      </w:r>
    </w:p>
  </w:footnote>
  <w:footnote w:id="25">
    <w:p w:rsidR="00485579" w:rsidRPr="00873014" w:rsidRDefault="00485579">
      <w:pPr>
        <w:pStyle w:val="FootnoteText"/>
      </w:pPr>
      <w:r>
        <w:rPr>
          <w:rStyle w:val="FootnoteReference"/>
        </w:rPr>
        <w:footnoteRef/>
      </w:r>
      <w:r>
        <w:t xml:space="preserve"> </w:t>
      </w:r>
      <w:r w:rsidR="00852FFF">
        <w:rPr>
          <w:i/>
        </w:rPr>
        <w:t xml:space="preserve">See, e.g., </w:t>
      </w:r>
      <w:r w:rsidR="00852FFF">
        <w:t xml:space="preserve">T-Mobile Reply Comments at </w:t>
      </w:r>
      <w:r w:rsidR="007642DD">
        <w:t>i-ii,</w:t>
      </w:r>
      <w:r w:rsidR="00852FFF">
        <w:t xml:space="preserve"> </w:t>
      </w:r>
      <w:r w:rsidR="007642DD">
        <w:t xml:space="preserve">1-4; </w:t>
      </w:r>
      <w:r w:rsidR="0046704B">
        <w:t xml:space="preserve">Rural Wireless Association (RWA) Comments at 6-7; </w:t>
      </w:r>
      <w:r w:rsidR="00852FFF">
        <w:t>NTC</w:t>
      </w:r>
      <w:r w:rsidR="00221BAA">
        <w:t>A</w:t>
      </w:r>
      <w:r w:rsidR="00852FFF">
        <w:t xml:space="preserve"> Comments at </w:t>
      </w:r>
      <w:r w:rsidR="00B36BC9">
        <w:t>2-4</w:t>
      </w:r>
      <w:r w:rsidR="00852FFF">
        <w:t xml:space="preserve">; </w:t>
      </w:r>
      <w:r w:rsidR="00852FFF" w:rsidRPr="00B11D5E">
        <w:t>PinPoint Comments at 2-3;</w:t>
      </w:r>
      <w:r w:rsidR="00852FFF">
        <w:rPr>
          <w:i/>
        </w:rPr>
        <w:t xml:space="preserve"> </w:t>
      </w:r>
      <w:r w:rsidR="00852FFF">
        <w:t>NTCH</w:t>
      </w:r>
      <w:r w:rsidR="00924BAD">
        <w:t>,</w:t>
      </w:r>
      <w:r w:rsidR="00852FFF">
        <w:t xml:space="preserve"> Flat Wireless and B</w:t>
      </w:r>
      <w:r w:rsidR="00272AFE">
        <w:t>uffalo-Lake Erie Wireless Systems (“Blue Wireless”)</w:t>
      </w:r>
      <w:r w:rsidR="00852FFF">
        <w:t xml:space="preserve"> Comments at </w:t>
      </w:r>
      <w:r w:rsidR="00B36BC9">
        <w:t xml:space="preserve">2, </w:t>
      </w:r>
      <w:r w:rsidR="00852FFF">
        <w:t>4;</w:t>
      </w:r>
      <w:r w:rsidR="006B1EA6">
        <w:t xml:space="preserve"> Letter from Donald J. Evans, Counsel, </w:t>
      </w:r>
      <w:r w:rsidR="0001797A">
        <w:t xml:space="preserve">Blue </w:t>
      </w:r>
      <w:r w:rsidR="006B1EA6">
        <w:t>Wireless</w:t>
      </w:r>
      <w:r w:rsidR="00E9570C">
        <w:t>, to Marlene Dortch, Secretary, FCC, WT Docket No. 05-265, filed</w:t>
      </w:r>
      <w:r w:rsidR="00852FFF">
        <w:t xml:space="preserve"> </w:t>
      </w:r>
      <w:r w:rsidR="00E9570C">
        <w:t xml:space="preserve">Dec. 4, 2014 at 2; </w:t>
      </w:r>
      <w:r w:rsidR="00852FFF">
        <w:t xml:space="preserve">Competitive Carriers Association (CCA) Reply Comments at 2, 5-6; Sprint Reply Comments at 1; C Spire Wireless Comments at </w:t>
      </w:r>
      <w:r w:rsidR="00BF7E9A">
        <w:t>3-5</w:t>
      </w:r>
      <w:r w:rsidR="00662F25">
        <w:t xml:space="preserve">; </w:t>
      </w:r>
      <w:r w:rsidR="00537B80">
        <w:t xml:space="preserve">Letter from Beverly Jones Heydinger, Chair, Minnesota Public Utilities Commission, to Marlene H. Dortch, Secretary, FCC, WT Docket No. 05-265, filed </w:t>
      </w:r>
      <w:r w:rsidR="00924BAD">
        <w:t>Dec. 5</w:t>
      </w:r>
      <w:r w:rsidR="00537B80">
        <w:t xml:space="preserve">, 2014 at 1-2; Letter from Steven V. King, Executive Director and Secretary, Washington Utilities and Transportation Commission, to Marlene H. Dortch, Secretary, FCC, WT Docket No. 05-265, </w:t>
      </w:r>
      <w:r w:rsidR="00924BAD">
        <w:t xml:space="preserve">filed </w:t>
      </w:r>
      <w:r w:rsidR="00537B80">
        <w:t xml:space="preserve">Oct. 24, 2014 at 3; </w:t>
      </w:r>
      <w:r w:rsidR="00662F25">
        <w:t xml:space="preserve">Letter from Thomas L. Welch, Chairman, </w:t>
      </w:r>
      <w:r w:rsidR="00662F25" w:rsidRPr="009D05B1">
        <w:rPr>
          <w:i/>
        </w:rPr>
        <w:t>et al.</w:t>
      </w:r>
      <w:r w:rsidR="00662F25">
        <w:t xml:space="preserve">, Maine Public Utilities Commission, to Marlene H. Dortch, Secretary, FCC, </w:t>
      </w:r>
      <w:r w:rsidR="00B56FCD">
        <w:t>WT Docket No. 05-265, filed Oct. 14, 2014 at 2</w:t>
      </w:r>
      <w:r w:rsidR="00262069">
        <w:t>; Letter from Elin Swanson Kat</w:t>
      </w:r>
      <w:r w:rsidR="00BE21A9">
        <w:t>z</w:t>
      </w:r>
      <w:r w:rsidR="00262069">
        <w:t>, Consumer Counsel, Connecticut Office of Consumer Counsel, to Marlene H. Dortch, Secretary, FCC, WT Docket No. 05-265, filed Sept. 23, 2014</w:t>
      </w:r>
      <w:r w:rsidR="00BE21A9">
        <w:t xml:space="preserve"> at 1-2</w:t>
      </w:r>
      <w:r w:rsidR="00537B80">
        <w:t>.</w:t>
      </w:r>
    </w:p>
  </w:footnote>
  <w:footnote w:id="26">
    <w:p w:rsidR="00485579" w:rsidRPr="008F4DDB" w:rsidRDefault="00485579">
      <w:pPr>
        <w:pStyle w:val="FootnoteText"/>
      </w:pPr>
      <w:r>
        <w:rPr>
          <w:rStyle w:val="FootnoteReference"/>
        </w:rPr>
        <w:footnoteRef/>
      </w:r>
      <w:r>
        <w:t xml:space="preserve"> </w:t>
      </w:r>
      <w:r>
        <w:rPr>
          <w:i/>
        </w:rPr>
        <w:t xml:space="preserve">See </w:t>
      </w:r>
      <w:r>
        <w:t>Verizon Comments at 8-9; AT&amp;T Opposition at 10-14</w:t>
      </w:r>
      <w:r w:rsidR="009C6206">
        <w:t xml:space="preserve">; </w:t>
      </w:r>
      <w:r w:rsidR="009C6206">
        <w:rPr>
          <w:i/>
        </w:rPr>
        <w:t xml:space="preserve">see also </w:t>
      </w:r>
      <w:r w:rsidR="009C6206">
        <w:t xml:space="preserve">Letter from David L. Lawson, Attorney, AT&amp;T, to Marlene H. Dortch, Secretary, FCC, WT Docket No. 05-265, filed Dec. 10, 2014 (AT&amp;T Dec. 10 </w:t>
      </w:r>
      <w:r w:rsidR="009C6206">
        <w:rPr>
          <w:i/>
        </w:rPr>
        <w:t>Ex Parte</w:t>
      </w:r>
      <w:r w:rsidR="009C6206">
        <w:t>)</w:t>
      </w:r>
      <w:r>
        <w:t xml:space="preserve">.  </w:t>
      </w:r>
    </w:p>
  </w:footnote>
  <w:footnote w:id="27">
    <w:p w:rsidR="00485579" w:rsidRDefault="00485579">
      <w:pPr>
        <w:pStyle w:val="FootnoteText"/>
      </w:pPr>
      <w:r>
        <w:rPr>
          <w:rStyle w:val="FootnoteReference"/>
        </w:rPr>
        <w:footnoteRef/>
      </w:r>
      <w:r>
        <w:t xml:space="preserve"> </w:t>
      </w:r>
      <w:r>
        <w:rPr>
          <w:i/>
        </w:rPr>
        <w:t xml:space="preserve">See </w:t>
      </w:r>
      <w:r>
        <w:t>AT&amp;T Opposition at 34-36; AT&amp;T Reply Comments at 12; Verizon Comments at 10, Verizon Reply Comments at 3-4.</w:t>
      </w:r>
    </w:p>
  </w:footnote>
  <w:footnote w:id="28">
    <w:p w:rsidR="00485579" w:rsidRDefault="00485579">
      <w:pPr>
        <w:pStyle w:val="FootnoteText"/>
      </w:pPr>
      <w:r>
        <w:rPr>
          <w:rStyle w:val="FootnoteReference"/>
        </w:rPr>
        <w:footnoteRef/>
      </w:r>
      <w:r>
        <w:t xml:space="preserve"> Verizon Comments at 16.</w:t>
      </w:r>
    </w:p>
  </w:footnote>
  <w:footnote w:id="29">
    <w:p w:rsidR="00485579" w:rsidRDefault="00485579">
      <w:pPr>
        <w:pStyle w:val="FootnoteText"/>
      </w:pPr>
      <w:r>
        <w:rPr>
          <w:rStyle w:val="FootnoteReference"/>
        </w:rPr>
        <w:footnoteRef/>
      </w:r>
      <w:r>
        <w:t xml:space="preserve"> AT&amp;T Opposition at 32-36</w:t>
      </w:r>
      <w:r w:rsidR="009C6206">
        <w:t xml:space="preserve">; </w:t>
      </w:r>
      <w:r w:rsidR="009C6206">
        <w:rPr>
          <w:i/>
        </w:rPr>
        <w:t xml:space="preserve">see also </w:t>
      </w:r>
      <w:r w:rsidR="009C6206">
        <w:t xml:space="preserve">AT&amp;T Dec. 10 </w:t>
      </w:r>
      <w:r w:rsidR="009C6206">
        <w:rPr>
          <w:i/>
        </w:rPr>
        <w:t xml:space="preserve">Ex Parte </w:t>
      </w:r>
      <w:r w:rsidR="009C6206">
        <w:t>at 8-9</w:t>
      </w:r>
      <w:r>
        <w:t>.</w:t>
      </w:r>
    </w:p>
  </w:footnote>
  <w:footnote w:id="30">
    <w:p w:rsidR="00651650" w:rsidRDefault="00651650">
      <w:pPr>
        <w:pStyle w:val="FootnoteText"/>
      </w:pPr>
      <w:r>
        <w:rPr>
          <w:rStyle w:val="FootnoteReference"/>
        </w:rPr>
        <w:footnoteRef/>
      </w:r>
      <w:r>
        <w:t xml:space="preserve"> </w:t>
      </w:r>
      <w:r>
        <w:rPr>
          <w:i/>
        </w:rPr>
        <w:t xml:space="preserve">See </w:t>
      </w:r>
      <w:r>
        <w:t>Cellular One Reply Comments at 1-2.</w:t>
      </w:r>
    </w:p>
  </w:footnote>
  <w:footnote w:id="31">
    <w:p w:rsidR="00021C93" w:rsidRDefault="00021C93">
      <w:pPr>
        <w:pStyle w:val="FootnoteText"/>
      </w:pPr>
      <w:r>
        <w:rPr>
          <w:rStyle w:val="FootnoteReference"/>
        </w:rPr>
        <w:footnoteRef/>
      </w:r>
      <w:r>
        <w:t xml:space="preserve"> </w:t>
      </w:r>
      <w:r w:rsidRPr="009D05B1">
        <w:rPr>
          <w:i/>
        </w:rPr>
        <w:t>See</w:t>
      </w:r>
      <w:r>
        <w:t xml:space="preserve"> 47 C.F.R. § 20.12</w:t>
      </w:r>
      <w:r w:rsidR="00E05A03">
        <w:t>(e)</w:t>
      </w:r>
      <w:r>
        <w:t xml:space="preserve">(1), (2). </w:t>
      </w:r>
    </w:p>
  </w:footnote>
  <w:footnote w:id="32">
    <w:p w:rsidR="0039723D" w:rsidRDefault="0039723D" w:rsidP="0039723D">
      <w:pPr>
        <w:pStyle w:val="FootnoteText"/>
      </w:pPr>
      <w:r>
        <w:rPr>
          <w:rStyle w:val="FootnoteReference"/>
        </w:rPr>
        <w:footnoteRef/>
      </w:r>
      <w:r>
        <w:t xml:space="preserve"> </w:t>
      </w:r>
      <w:r w:rsidR="001B47F9">
        <w:rPr>
          <w:i/>
        </w:rPr>
        <w:t xml:space="preserve">See </w:t>
      </w:r>
      <w:r w:rsidR="001B47F9">
        <w:t xml:space="preserve">Letter from Andrew W. Levin, </w:t>
      </w:r>
      <w:r>
        <w:t>T-Mobile</w:t>
      </w:r>
      <w:r w:rsidR="001B47F9">
        <w:t>, to Marlene H. Dortch, Secretary, FCC, WT Docket No. 05-265, filed</w:t>
      </w:r>
      <w:r>
        <w:t xml:space="preserve"> Nov. 13, 2014, at 1-2.</w:t>
      </w:r>
    </w:p>
  </w:footnote>
  <w:footnote w:id="33">
    <w:p w:rsidR="00485579" w:rsidRPr="008223FD" w:rsidRDefault="00485579">
      <w:pPr>
        <w:pStyle w:val="FootnoteText"/>
      </w:pPr>
      <w:r>
        <w:rPr>
          <w:rStyle w:val="FootnoteReference"/>
        </w:rPr>
        <w:footnoteRef/>
      </w:r>
      <w:r>
        <w:t xml:space="preserve"> </w:t>
      </w:r>
      <w:r>
        <w:rPr>
          <w:i/>
        </w:rPr>
        <w:t xml:space="preserve">See, e.g., </w:t>
      </w:r>
      <w:r>
        <w:t xml:space="preserve">Sprint Comments at </w:t>
      </w:r>
      <w:r w:rsidR="004E346E">
        <w:t>2-</w:t>
      </w:r>
      <w:r>
        <w:t>3; T-Mobile Petition at 6, n. 25.</w:t>
      </w:r>
    </w:p>
  </w:footnote>
  <w:footnote w:id="34">
    <w:p w:rsidR="00485579" w:rsidRDefault="00485579">
      <w:pPr>
        <w:pStyle w:val="FootnoteText"/>
      </w:pPr>
      <w:r>
        <w:rPr>
          <w:rStyle w:val="FootnoteReference"/>
        </w:rPr>
        <w:footnoteRef/>
      </w:r>
      <w:r>
        <w:t xml:space="preserve"> </w:t>
      </w:r>
      <w:r w:rsidR="002F6B5F">
        <w:rPr>
          <w:i/>
        </w:rPr>
        <w:t>See</w:t>
      </w:r>
      <w:r w:rsidR="002F6B5F" w:rsidRPr="003A5112">
        <w:rPr>
          <w:i/>
        </w:rPr>
        <w:t xml:space="preserve"> </w:t>
      </w:r>
      <w:r>
        <w:t>T-Mobile Petition at i.</w:t>
      </w:r>
    </w:p>
  </w:footnote>
  <w:footnote w:id="35">
    <w:p w:rsidR="00605B0A" w:rsidRDefault="00605B0A">
      <w:pPr>
        <w:pStyle w:val="FootnoteText"/>
      </w:pPr>
      <w:r>
        <w:rPr>
          <w:rStyle w:val="FootnoteReference"/>
        </w:rPr>
        <w:footnoteRef/>
      </w:r>
      <w:r>
        <w:t xml:space="preserve"> </w:t>
      </w:r>
      <w:r w:rsidR="002F6B5F">
        <w:rPr>
          <w:i/>
        </w:rPr>
        <w:t>Id.</w:t>
      </w:r>
      <w:r w:rsidR="002F6B5F" w:rsidRPr="003A5112">
        <w:rPr>
          <w:i/>
        </w:rPr>
        <w:t xml:space="preserve"> </w:t>
      </w:r>
      <w:r>
        <w:t xml:space="preserve">at 13; </w:t>
      </w:r>
      <w:r w:rsidR="00626724">
        <w:t xml:space="preserve">Exhibit 1, </w:t>
      </w:r>
      <w:r>
        <w:t xml:space="preserve">Mosa </w:t>
      </w:r>
      <w:r w:rsidR="00626724">
        <w:t xml:space="preserve">Declaration </w:t>
      </w:r>
      <w:r>
        <w:t>at ¶ 10.</w:t>
      </w:r>
    </w:p>
  </w:footnote>
  <w:footnote w:id="36">
    <w:p w:rsidR="00605B0A" w:rsidRDefault="00605B0A" w:rsidP="00605B0A">
      <w:pPr>
        <w:pStyle w:val="FootnoteText"/>
      </w:pPr>
      <w:r>
        <w:rPr>
          <w:rStyle w:val="FootnoteReference"/>
        </w:rPr>
        <w:footnoteRef/>
      </w:r>
      <w:r>
        <w:t xml:space="preserve"> </w:t>
      </w:r>
      <w:r w:rsidR="002F6B5F">
        <w:rPr>
          <w:i/>
        </w:rPr>
        <w:t>Id.</w:t>
      </w:r>
      <w:r w:rsidR="002F6B5F" w:rsidRPr="003A5112">
        <w:rPr>
          <w:i/>
        </w:rPr>
        <w:t xml:space="preserve"> </w:t>
      </w:r>
      <w:r>
        <w:t>at 13.</w:t>
      </w:r>
    </w:p>
  </w:footnote>
  <w:footnote w:id="37">
    <w:p w:rsidR="00852FFF" w:rsidRDefault="00852FFF" w:rsidP="00852FFF">
      <w:pPr>
        <w:pStyle w:val="FootnoteText"/>
      </w:pPr>
      <w:r>
        <w:rPr>
          <w:rStyle w:val="FootnoteReference"/>
        </w:rPr>
        <w:footnoteRef/>
      </w:r>
      <w:r>
        <w:t xml:space="preserve"> </w:t>
      </w:r>
      <w:r w:rsidR="002F6B5F">
        <w:rPr>
          <w:i/>
        </w:rPr>
        <w:t>See id.</w:t>
      </w:r>
      <w:r w:rsidR="002F6B5F" w:rsidRPr="003A5112">
        <w:rPr>
          <w:i/>
        </w:rPr>
        <w:t xml:space="preserve"> </w:t>
      </w:r>
      <w:r>
        <w:t xml:space="preserve">at 10; </w:t>
      </w:r>
      <w:r w:rsidR="002F6B5F">
        <w:rPr>
          <w:i/>
        </w:rPr>
        <w:t xml:space="preserve">see also </w:t>
      </w:r>
      <w:r>
        <w:t>T-Mobile Reply Comments at 1-2.</w:t>
      </w:r>
    </w:p>
  </w:footnote>
  <w:footnote w:id="38">
    <w:p w:rsidR="00852FFF" w:rsidRDefault="00852FFF" w:rsidP="00852FFF">
      <w:pPr>
        <w:pStyle w:val="FootnoteText"/>
      </w:pPr>
      <w:r>
        <w:rPr>
          <w:rStyle w:val="FootnoteReference"/>
        </w:rPr>
        <w:footnoteRef/>
      </w:r>
      <w:r>
        <w:t xml:space="preserve"> </w:t>
      </w:r>
      <w:r w:rsidR="002F6B5F">
        <w:rPr>
          <w:i/>
        </w:rPr>
        <w:t>See, e.g.,</w:t>
      </w:r>
      <w:r w:rsidR="002F6B5F" w:rsidRPr="003A5112">
        <w:rPr>
          <w:i/>
        </w:rPr>
        <w:t xml:space="preserve"> </w:t>
      </w:r>
      <w:r>
        <w:t xml:space="preserve">CCA Comments at 5; NTELOS Comments at </w:t>
      </w:r>
      <w:r w:rsidR="00B308A5">
        <w:t>7</w:t>
      </w:r>
      <w:r>
        <w:t>-1</w:t>
      </w:r>
      <w:r w:rsidR="00B308A5">
        <w:t>4</w:t>
      </w:r>
      <w:r>
        <w:t xml:space="preserve">; Limitless Comments at 3-4; </w:t>
      </w:r>
      <w:r w:rsidR="004E2F1A">
        <w:t xml:space="preserve">Letter from Daryl A. Zakov, Assistant General Counsel, </w:t>
      </w:r>
      <w:r>
        <w:t>RWA</w:t>
      </w:r>
      <w:r w:rsidR="004E2F1A">
        <w:t>, to Marlene H. Dortch, Secretary, FCC, WT Docket No. 05-265, filed Dec. 5, 2014 at 3</w:t>
      </w:r>
      <w:r w:rsidR="00B70F71">
        <w:t xml:space="preserve"> (RWA Dec. 5 </w:t>
      </w:r>
      <w:r w:rsidR="00B70F71">
        <w:rPr>
          <w:i/>
        </w:rPr>
        <w:t>Ex Parte</w:t>
      </w:r>
      <w:r w:rsidR="00B70F71">
        <w:t>)</w:t>
      </w:r>
      <w:r>
        <w:t>; NTC</w:t>
      </w:r>
      <w:r w:rsidR="00CE162C">
        <w:t>A</w:t>
      </w:r>
      <w:r>
        <w:t xml:space="preserve"> Comments at 2-</w:t>
      </w:r>
      <w:r w:rsidR="00CE162C">
        <w:t>3</w:t>
      </w:r>
      <w:r>
        <w:t>; Blooston Comments at 3; NTCH</w:t>
      </w:r>
      <w:r w:rsidR="00272AFE">
        <w:t>,</w:t>
      </w:r>
      <w:r>
        <w:t xml:space="preserve"> Flat Wireless and Blue Wireless Comments at 2</w:t>
      </w:r>
      <w:r w:rsidR="00262069">
        <w:t>.</w:t>
      </w:r>
      <w:r>
        <w:t xml:space="preserve"> </w:t>
      </w:r>
    </w:p>
  </w:footnote>
  <w:footnote w:id="39">
    <w:p w:rsidR="00485579" w:rsidRDefault="00485579">
      <w:pPr>
        <w:pStyle w:val="FootnoteText"/>
      </w:pPr>
      <w:r>
        <w:rPr>
          <w:rStyle w:val="FootnoteReference"/>
        </w:rPr>
        <w:footnoteRef/>
      </w:r>
      <w:r>
        <w:t xml:space="preserve"> </w:t>
      </w:r>
      <w:r w:rsidR="002F6B5F">
        <w:rPr>
          <w:i/>
        </w:rPr>
        <w:t xml:space="preserve">See </w:t>
      </w:r>
      <w:r>
        <w:t>CCA Comments at 7</w:t>
      </w:r>
      <w:r w:rsidR="002F6B5F">
        <w:t xml:space="preserve">; </w:t>
      </w:r>
      <w:r w:rsidR="002F6B5F">
        <w:rPr>
          <w:i/>
        </w:rPr>
        <w:t xml:space="preserve">see also </w:t>
      </w:r>
      <w:r w:rsidR="002F6B5F">
        <w:t xml:space="preserve">Letter from Rebecca Murphy Thompson, </w:t>
      </w:r>
      <w:r w:rsidR="00A45B4F">
        <w:t xml:space="preserve">General Counsel, CCA, to Marlene H. Dortch, Secretary, FCC, WT Docket No. 05-265, filed Nov. 21, 2014 at 1-2 (CCA </w:t>
      </w:r>
      <w:r w:rsidR="00A45B4F">
        <w:rPr>
          <w:i/>
        </w:rPr>
        <w:t>Ex Parte</w:t>
      </w:r>
      <w:r w:rsidR="00A45B4F">
        <w:t>)</w:t>
      </w:r>
      <w:r>
        <w:t>.</w:t>
      </w:r>
    </w:p>
  </w:footnote>
  <w:footnote w:id="40">
    <w:p w:rsidR="00485579" w:rsidRDefault="00485579">
      <w:pPr>
        <w:pStyle w:val="FootnoteText"/>
      </w:pPr>
      <w:r>
        <w:rPr>
          <w:rStyle w:val="FootnoteReference"/>
        </w:rPr>
        <w:footnoteRef/>
      </w:r>
      <w:r>
        <w:t xml:space="preserve"> Sprint Reply Comments at 20-21.</w:t>
      </w:r>
    </w:p>
  </w:footnote>
  <w:footnote w:id="41">
    <w:p w:rsidR="0014019A" w:rsidRDefault="0014019A" w:rsidP="0014019A">
      <w:pPr>
        <w:pStyle w:val="FootnoteText"/>
      </w:pPr>
      <w:r>
        <w:rPr>
          <w:rStyle w:val="FootnoteReference"/>
        </w:rPr>
        <w:footnoteRef/>
      </w:r>
      <w:r>
        <w:t xml:space="preserve"> </w:t>
      </w:r>
      <w:r w:rsidR="00A45B4F">
        <w:rPr>
          <w:i/>
        </w:rPr>
        <w:t>See</w:t>
      </w:r>
      <w:r w:rsidR="00A45B4F" w:rsidRPr="003A5112">
        <w:rPr>
          <w:i/>
        </w:rPr>
        <w:t xml:space="preserve"> </w:t>
      </w:r>
      <w:r w:rsidRPr="00E445EC">
        <w:t>Policies Regarding Mobile Spectrum Holdings; Expanding the Economic and Innovation Opportunities of Spectrum Through Incentive Auctions</w:t>
      </w:r>
      <w:r>
        <w:t xml:space="preserve">, </w:t>
      </w:r>
      <w:r w:rsidRPr="00E445EC">
        <w:t>WT Docket No. 12-269</w:t>
      </w:r>
      <w:r>
        <w:t xml:space="preserve">, </w:t>
      </w:r>
      <w:r w:rsidRPr="00E445EC">
        <w:t>Docket No. 12-268</w:t>
      </w:r>
      <w:r>
        <w:t xml:space="preserve">, </w:t>
      </w:r>
      <w:r w:rsidRPr="00E445EC">
        <w:rPr>
          <w:i/>
        </w:rPr>
        <w:t>Report and Order</w:t>
      </w:r>
      <w:r>
        <w:t>, 29 FCC Rcd</w:t>
      </w:r>
      <w:r w:rsidR="00120441">
        <w:t xml:space="preserve"> 6133, </w:t>
      </w:r>
      <w:r>
        <w:t>614</w:t>
      </w:r>
      <w:r w:rsidR="00120441">
        <w:t>6</w:t>
      </w:r>
      <w:r>
        <w:t xml:space="preserve">, </w:t>
      </w:r>
      <w:r w:rsidRPr="00237FE6">
        <w:rPr>
          <w:bCs/>
          <w:spacing w:val="-2"/>
        </w:rPr>
        <w:t>¶ 2</w:t>
      </w:r>
      <w:r>
        <w:rPr>
          <w:bCs/>
          <w:spacing w:val="-2"/>
        </w:rPr>
        <w:t>3</w:t>
      </w:r>
      <w:r>
        <w:t xml:space="preserve"> (2014) (“</w:t>
      </w:r>
      <w:r w:rsidRPr="00237FE6">
        <w:rPr>
          <w:bCs/>
          <w:i/>
          <w:spacing w:val="-2"/>
        </w:rPr>
        <w:t>Mobile Spectrum Holdings Report and Order</w:t>
      </w:r>
      <w:r>
        <w:rPr>
          <w:bCs/>
          <w:spacing w:val="-2"/>
        </w:rPr>
        <w:t>”)</w:t>
      </w:r>
      <w:r w:rsidRPr="00237FE6">
        <w:rPr>
          <w:bCs/>
          <w:spacing w:val="-2"/>
        </w:rPr>
        <w:t>.</w:t>
      </w:r>
    </w:p>
  </w:footnote>
  <w:footnote w:id="42">
    <w:p w:rsidR="0014019A" w:rsidRDefault="0014019A" w:rsidP="0014019A">
      <w:pPr>
        <w:pStyle w:val="FootnoteText"/>
      </w:pPr>
      <w:r>
        <w:rPr>
          <w:rStyle w:val="FootnoteReference"/>
        </w:rPr>
        <w:footnoteRef/>
      </w:r>
      <w:r>
        <w:t xml:space="preserve"> A</w:t>
      </w:r>
      <w:r w:rsidRPr="00E912F0">
        <w:t xml:space="preserve">s of July 2014, </w:t>
      </w:r>
      <w:r>
        <w:t>the top two nationwide providers, Verizon Wireless and AT&amp;T, covered approximately 96% and 91% of the population respectively, and approximately 57% and 30% of the land area with 4G LTE.  The two</w:t>
      </w:r>
      <w:r w:rsidRPr="001800E5">
        <w:t xml:space="preserve"> smaller nationwide providers</w:t>
      </w:r>
      <w:r>
        <w:t>, Sprint and T-Mobile,</w:t>
      </w:r>
      <w:r w:rsidRPr="007D3E5E">
        <w:t xml:space="preserve"> </w:t>
      </w:r>
      <w:r>
        <w:t xml:space="preserve">covered approximately 73% and 70% of the population respectively, and approximately 17% and 8% of the land area with 4G LTE.  </w:t>
      </w:r>
      <w:r w:rsidR="0063128A">
        <w:t>T</w:t>
      </w:r>
      <w:r>
        <w:t xml:space="preserve">he largest of the local or regional service providers, US Cellular, </w:t>
      </w:r>
      <w:r w:rsidRPr="00AE4B43">
        <w:t xml:space="preserve">covered only </w:t>
      </w:r>
      <w:r>
        <w:t>7%</w:t>
      </w:r>
      <w:r w:rsidRPr="00AE4B43">
        <w:t xml:space="preserve"> of the population and </w:t>
      </w:r>
      <w:r>
        <w:t>6% o</w:t>
      </w:r>
      <w:r w:rsidRPr="00AE4B43">
        <w:t xml:space="preserve">f the land area with </w:t>
      </w:r>
      <w:r>
        <w:t xml:space="preserve">LTE, and 10% of the population and 13% of the land area with 3G.  </w:t>
      </w:r>
      <w:r w:rsidRPr="001800E5">
        <w:t xml:space="preserve">Estimates based on census block analysis of provider coverage maps, using </w:t>
      </w:r>
      <w:r w:rsidRPr="001800E5">
        <w:rPr>
          <w:bCs/>
        </w:rPr>
        <w:t>©</w:t>
      </w:r>
      <w:r>
        <w:rPr>
          <w:bCs/>
        </w:rPr>
        <w:t>2013-2014 Mosaik Solutions, LLC</w:t>
      </w:r>
      <w:r w:rsidRPr="001800E5">
        <w:rPr>
          <w:bCs/>
        </w:rPr>
        <w:t>, J</w:t>
      </w:r>
      <w:r>
        <w:rPr>
          <w:bCs/>
        </w:rPr>
        <w:t>uly</w:t>
      </w:r>
      <w:r w:rsidRPr="001800E5">
        <w:rPr>
          <w:bCs/>
        </w:rPr>
        <w:t xml:space="preserve"> 2014 CoverageRight</w:t>
      </w:r>
      <w:r w:rsidRPr="001800E5">
        <w:t>.  Population and area data are from the 2010 Census, and include the United States (50 states plus the District of Columbia) and Puerto Rico.</w:t>
      </w:r>
      <w:r>
        <w:t xml:space="preserve"> </w:t>
      </w:r>
    </w:p>
  </w:footnote>
  <w:footnote w:id="43">
    <w:p w:rsidR="0014019A" w:rsidRDefault="0014019A" w:rsidP="0014019A">
      <w:pPr>
        <w:pStyle w:val="FootnoteText"/>
      </w:pPr>
      <w:r>
        <w:rPr>
          <w:rStyle w:val="FootnoteReference"/>
        </w:rPr>
        <w:footnoteRef/>
      </w:r>
      <w:r>
        <w:t xml:space="preserve"> </w:t>
      </w:r>
      <w:r w:rsidR="003B1F76">
        <w:rPr>
          <w:i/>
        </w:rPr>
        <w:t>See</w:t>
      </w:r>
      <w:r w:rsidR="003B1F76" w:rsidRPr="003A5112">
        <w:rPr>
          <w:i/>
        </w:rPr>
        <w:t xml:space="preserve"> </w:t>
      </w:r>
      <w:r>
        <w:rPr>
          <w:i/>
        </w:rPr>
        <w:t xml:space="preserve">Data Roaming Order, </w:t>
      </w:r>
      <w:r>
        <w:t>26 FCC Rcd at 5419-20 ¶ 16.</w:t>
      </w:r>
    </w:p>
  </w:footnote>
  <w:footnote w:id="44">
    <w:p w:rsidR="0014019A" w:rsidRPr="00462810" w:rsidRDefault="0014019A" w:rsidP="0014019A">
      <w:pPr>
        <w:pStyle w:val="FootnoteText"/>
      </w:pPr>
      <w:r>
        <w:rPr>
          <w:rStyle w:val="FootnoteReference"/>
        </w:rPr>
        <w:footnoteRef/>
      </w:r>
      <w:r>
        <w:t xml:space="preserve"> </w:t>
      </w:r>
      <w:r>
        <w:rPr>
          <w:i/>
        </w:rPr>
        <w:t xml:space="preserve">FCC v. Schreiber, </w:t>
      </w:r>
      <w:r>
        <w:t>381 U.S. 279, 289 (1965), quoting 47 U.S.C. § 154(j).</w:t>
      </w:r>
    </w:p>
  </w:footnote>
  <w:footnote w:id="45">
    <w:p w:rsidR="00485579" w:rsidRPr="007B52F3" w:rsidRDefault="00485579">
      <w:pPr>
        <w:pStyle w:val="FootnoteText"/>
      </w:pPr>
      <w:r>
        <w:rPr>
          <w:rStyle w:val="FootnoteReference"/>
        </w:rPr>
        <w:footnoteRef/>
      </w:r>
      <w:r>
        <w:t xml:space="preserve"> </w:t>
      </w:r>
      <w:r>
        <w:rPr>
          <w:i/>
        </w:rPr>
        <w:t xml:space="preserve">Data Roaming Order, </w:t>
      </w:r>
      <w:r>
        <w:t>26 FCC Rcd at 5452</w:t>
      </w:r>
      <w:r w:rsidR="003B1F76">
        <w:t>-53</w:t>
      </w:r>
      <w:r>
        <w:t xml:space="preserve"> ¶ 86.</w:t>
      </w:r>
    </w:p>
  </w:footnote>
  <w:footnote w:id="46">
    <w:p w:rsidR="00485579" w:rsidRPr="00100E1F" w:rsidRDefault="00485579">
      <w:pPr>
        <w:pStyle w:val="FootnoteText"/>
      </w:pPr>
      <w:r>
        <w:rPr>
          <w:rStyle w:val="FootnoteReference"/>
        </w:rPr>
        <w:footnoteRef/>
      </w:r>
      <w:r>
        <w:t xml:space="preserve"> </w:t>
      </w:r>
      <w:r>
        <w:rPr>
          <w:i/>
        </w:rPr>
        <w:t>Id.</w:t>
      </w:r>
    </w:p>
  </w:footnote>
  <w:footnote w:id="47">
    <w:p w:rsidR="00485579" w:rsidRPr="00100E1F" w:rsidRDefault="00485579">
      <w:pPr>
        <w:pStyle w:val="FootnoteText"/>
      </w:pPr>
      <w:r>
        <w:rPr>
          <w:rStyle w:val="FootnoteReference"/>
        </w:rPr>
        <w:footnoteRef/>
      </w:r>
      <w:r>
        <w:t xml:space="preserve"> </w:t>
      </w:r>
      <w:r w:rsidR="003B1F76">
        <w:rPr>
          <w:i/>
        </w:rPr>
        <w:t>Id.</w:t>
      </w:r>
      <w:r w:rsidR="003B1F76" w:rsidRPr="003A5112">
        <w:rPr>
          <w:i/>
        </w:rPr>
        <w:t xml:space="preserve"> </w:t>
      </w:r>
      <w:r>
        <w:t>at 5453 ¶ 87.</w:t>
      </w:r>
    </w:p>
  </w:footnote>
  <w:footnote w:id="48">
    <w:p w:rsidR="004E5BC3" w:rsidRPr="004E5BC3" w:rsidRDefault="004E5BC3">
      <w:pPr>
        <w:pStyle w:val="FootnoteText"/>
      </w:pPr>
      <w:r>
        <w:rPr>
          <w:rStyle w:val="FootnoteReference"/>
        </w:rPr>
        <w:footnoteRef/>
      </w:r>
      <w:r>
        <w:t xml:space="preserve"> </w:t>
      </w:r>
      <w:r w:rsidR="003B1F76">
        <w:rPr>
          <w:i/>
        </w:rPr>
        <w:t>Id.</w:t>
      </w:r>
      <w:r w:rsidR="003B1F76" w:rsidRPr="003A5112">
        <w:rPr>
          <w:i/>
        </w:rPr>
        <w:t xml:space="preserve"> </w:t>
      </w:r>
      <w:r>
        <w:t>at 5452</w:t>
      </w:r>
      <w:r w:rsidR="003B1F76">
        <w:t>-53</w:t>
      </w:r>
      <w:r>
        <w:t xml:space="preserve"> ¶ 86</w:t>
      </w:r>
      <w:r w:rsidR="00976C8D">
        <w:t xml:space="preserve">; </w:t>
      </w:r>
      <w:r w:rsidR="00976C8D">
        <w:rPr>
          <w:i/>
        </w:rPr>
        <w:t>s</w:t>
      </w:r>
      <w:r>
        <w:rPr>
          <w:i/>
        </w:rPr>
        <w:t xml:space="preserve">ee also id. </w:t>
      </w:r>
      <w:r>
        <w:t>at 5453 ¶ 87 (</w:t>
      </w:r>
      <w:r w:rsidR="00F61D96">
        <w:t>a</w:t>
      </w:r>
      <w:r>
        <w:t>nalysis applies to all “terms and conditions of the proffered data roaming arrangements, including the prices”).</w:t>
      </w:r>
    </w:p>
  </w:footnote>
  <w:footnote w:id="49">
    <w:p w:rsidR="00485579" w:rsidRDefault="00485579">
      <w:pPr>
        <w:pStyle w:val="FootnoteText"/>
      </w:pPr>
      <w:r>
        <w:rPr>
          <w:rStyle w:val="FootnoteReference"/>
        </w:rPr>
        <w:footnoteRef/>
      </w:r>
      <w:r>
        <w:t xml:space="preserve"> </w:t>
      </w:r>
      <w:r w:rsidR="00105AB6">
        <w:rPr>
          <w:i/>
        </w:rPr>
        <w:t>Id.</w:t>
      </w:r>
      <w:r w:rsidR="00105AB6" w:rsidRPr="003A5112">
        <w:rPr>
          <w:i/>
        </w:rPr>
        <w:t xml:space="preserve"> </w:t>
      </w:r>
      <w:r w:rsidRPr="005B2013">
        <w:t xml:space="preserve">at </w:t>
      </w:r>
      <w:r>
        <w:t xml:space="preserve">5452-53 </w:t>
      </w:r>
      <w:r w:rsidRPr="005B2013">
        <w:t xml:space="preserve">¶ </w:t>
      </w:r>
      <w:r>
        <w:t>86.</w:t>
      </w:r>
    </w:p>
  </w:footnote>
  <w:footnote w:id="50">
    <w:p w:rsidR="00485579" w:rsidRPr="00C25109" w:rsidRDefault="00485579" w:rsidP="004344B7">
      <w:pPr>
        <w:spacing w:after="120"/>
        <w:rPr>
          <w:sz w:val="20"/>
        </w:rPr>
      </w:pPr>
      <w:r w:rsidRPr="00C25109">
        <w:rPr>
          <w:rStyle w:val="FootnoteReference"/>
        </w:rPr>
        <w:footnoteRef/>
      </w:r>
      <w:r w:rsidRPr="00C25109">
        <w:rPr>
          <w:sz w:val="20"/>
        </w:rPr>
        <w:t xml:space="preserve"> Verizon Comments at 1</w:t>
      </w:r>
      <w:r>
        <w:rPr>
          <w:sz w:val="20"/>
        </w:rPr>
        <w:t>1</w:t>
      </w:r>
      <w:r w:rsidRPr="00C25109">
        <w:rPr>
          <w:sz w:val="20"/>
        </w:rPr>
        <w:t>-1</w:t>
      </w:r>
      <w:r>
        <w:rPr>
          <w:sz w:val="20"/>
        </w:rPr>
        <w:t>4</w:t>
      </w:r>
      <w:r w:rsidRPr="00C25109">
        <w:rPr>
          <w:sz w:val="20"/>
        </w:rPr>
        <w:t xml:space="preserve">; AT&amp;T </w:t>
      </w:r>
      <w:r>
        <w:rPr>
          <w:sz w:val="20"/>
        </w:rPr>
        <w:t xml:space="preserve">Opposition </w:t>
      </w:r>
      <w:r w:rsidRPr="00C25109">
        <w:rPr>
          <w:sz w:val="20"/>
        </w:rPr>
        <w:t>at 2</w:t>
      </w:r>
      <w:r>
        <w:rPr>
          <w:sz w:val="20"/>
        </w:rPr>
        <w:t>8-32</w:t>
      </w:r>
      <w:r w:rsidR="006C1EB8">
        <w:rPr>
          <w:sz w:val="20"/>
        </w:rPr>
        <w:t xml:space="preserve">; </w:t>
      </w:r>
      <w:r w:rsidR="006C1EB8" w:rsidRPr="006C1EB8">
        <w:rPr>
          <w:sz w:val="20"/>
        </w:rPr>
        <w:t>Letter from Kathleen Grillo, Senior Vice President, Verizon, to Marlene H. Dortch, Secretary, FCC, WT Docket No. 05-265, filed Dec. 17, 2014 at 1</w:t>
      </w:r>
      <w:r w:rsidR="006C1EB8">
        <w:rPr>
          <w:sz w:val="20"/>
        </w:rPr>
        <w:t>1</w:t>
      </w:r>
      <w:r w:rsidR="005B469E">
        <w:rPr>
          <w:sz w:val="20"/>
        </w:rPr>
        <w:t xml:space="preserve"> (Verizon </w:t>
      </w:r>
      <w:r w:rsidR="005B469E" w:rsidRPr="005B469E">
        <w:rPr>
          <w:i/>
          <w:sz w:val="20"/>
        </w:rPr>
        <w:t>Ex Parte</w:t>
      </w:r>
      <w:r w:rsidR="005B469E">
        <w:rPr>
          <w:sz w:val="20"/>
        </w:rPr>
        <w:t>)</w:t>
      </w:r>
      <w:r w:rsidRPr="00C25109">
        <w:rPr>
          <w:sz w:val="20"/>
        </w:rPr>
        <w:t>.</w:t>
      </w:r>
    </w:p>
  </w:footnote>
  <w:footnote w:id="51">
    <w:p w:rsidR="00485579" w:rsidRPr="00D516EC" w:rsidRDefault="00485579" w:rsidP="00F41D30">
      <w:pPr>
        <w:spacing w:after="120"/>
        <w:rPr>
          <w:sz w:val="20"/>
        </w:rPr>
      </w:pPr>
      <w:r w:rsidRPr="00D516EC">
        <w:rPr>
          <w:rStyle w:val="FootnoteReference"/>
        </w:rPr>
        <w:footnoteRef/>
      </w:r>
      <w:r w:rsidRPr="00D516EC">
        <w:rPr>
          <w:sz w:val="20"/>
        </w:rPr>
        <w:t xml:space="preserve"> To the extent other rates are confidential or proprietary, there are well-established procedures for protecting that information from disclosure in Commission proceedings.  </w:t>
      </w:r>
      <w:r w:rsidRPr="00D516EC">
        <w:rPr>
          <w:i/>
          <w:sz w:val="20"/>
        </w:rPr>
        <w:t>See</w:t>
      </w:r>
      <w:r w:rsidRPr="00D516EC">
        <w:rPr>
          <w:sz w:val="20"/>
        </w:rPr>
        <w:t xml:space="preserve"> 47 C.F.R. § </w:t>
      </w:r>
      <w:r w:rsidR="00693644" w:rsidRPr="00D516EC">
        <w:rPr>
          <w:sz w:val="20"/>
        </w:rPr>
        <w:t xml:space="preserve">20.12(e)(2), citing 47 C.F.R. § </w:t>
      </w:r>
      <w:r w:rsidRPr="00D516EC">
        <w:rPr>
          <w:sz w:val="20"/>
        </w:rPr>
        <w:t>1.731</w:t>
      </w:r>
      <w:r w:rsidR="002334C1" w:rsidRPr="00D516EC">
        <w:rPr>
          <w:sz w:val="20"/>
        </w:rPr>
        <w:t xml:space="preserve"> </w:t>
      </w:r>
      <w:r w:rsidRPr="00D516EC">
        <w:rPr>
          <w:sz w:val="20"/>
        </w:rPr>
        <w:t>(confidentiality of information exchanged by parties in formal complaint proceedings)</w:t>
      </w:r>
      <w:r w:rsidR="00803D1F">
        <w:rPr>
          <w:sz w:val="20"/>
        </w:rPr>
        <w:t xml:space="preserve">; </w:t>
      </w:r>
      <w:r w:rsidR="00803D1F" w:rsidRPr="00C30C0A">
        <w:rPr>
          <w:i/>
          <w:sz w:val="20"/>
        </w:rPr>
        <w:t>s</w:t>
      </w:r>
      <w:r w:rsidR="002334C1" w:rsidRPr="00C30C0A">
        <w:rPr>
          <w:i/>
          <w:sz w:val="20"/>
        </w:rPr>
        <w:t>ee</w:t>
      </w:r>
      <w:r w:rsidR="002334C1" w:rsidRPr="00D516EC">
        <w:rPr>
          <w:i/>
          <w:sz w:val="20"/>
        </w:rPr>
        <w:t xml:space="preserve"> generally</w:t>
      </w:r>
      <w:r w:rsidR="002334C1" w:rsidRPr="00D516EC">
        <w:rPr>
          <w:sz w:val="20"/>
        </w:rPr>
        <w:t xml:space="preserve"> </w:t>
      </w:r>
      <w:r w:rsidR="002334C1" w:rsidRPr="00D516EC">
        <w:rPr>
          <w:i/>
          <w:sz w:val="20"/>
        </w:rPr>
        <w:t>FCC v. Schreiber</w:t>
      </w:r>
      <w:r w:rsidR="002334C1" w:rsidRPr="00D516EC">
        <w:rPr>
          <w:sz w:val="20"/>
        </w:rPr>
        <w:t xml:space="preserve">, 381 U.S. 279 (1965); Examination of Current Policy Concerning the Treatment of Confidential Information Submitted to the Commission, </w:t>
      </w:r>
      <w:r w:rsidR="00306E56" w:rsidRPr="00D516EC">
        <w:rPr>
          <w:sz w:val="20"/>
        </w:rPr>
        <w:t xml:space="preserve">GC Docket No. 96-55, </w:t>
      </w:r>
      <w:r w:rsidR="002334C1" w:rsidRPr="00D516EC">
        <w:rPr>
          <w:i/>
          <w:sz w:val="20"/>
        </w:rPr>
        <w:t>Report and Order</w:t>
      </w:r>
      <w:r w:rsidR="002334C1" w:rsidRPr="00D516EC">
        <w:rPr>
          <w:sz w:val="20"/>
        </w:rPr>
        <w:t>, 13 FCC Rcd 24816 (1998)</w:t>
      </w:r>
      <w:r w:rsidR="00C1791B">
        <w:rPr>
          <w:sz w:val="20"/>
        </w:rPr>
        <w:t>;</w:t>
      </w:r>
      <w:r w:rsidR="001E0889" w:rsidRPr="00D516EC">
        <w:rPr>
          <w:sz w:val="20"/>
        </w:rPr>
        <w:t xml:space="preserve"> </w:t>
      </w:r>
      <w:r w:rsidR="001E0889" w:rsidRPr="00D516EC">
        <w:rPr>
          <w:i/>
          <w:sz w:val="20"/>
        </w:rPr>
        <w:t>see also, e.g</w:t>
      </w:r>
      <w:r w:rsidR="001E0889" w:rsidRPr="00D516EC">
        <w:rPr>
          <w:sz w:val="20"/>
        </w:rPr>
        <w:t>., Application of Cellco Partnership d/b/a Verizon Wireless and SpectrumCo LLC for Consent to Assign Licenses</w:t>
      </w:r>
      <w:r w:rsidR="00D516EC" w:rsidRPr="00D516EC">
        <w:rPr>
          <w:sz w:val="20"/>
        </w:rPr>
        <w:t>, WT Docket No. 12-2</w:t>
      </w:r>
      <w:r w:rsidR="001E0889" w:rsidRPr="00D516EC">
        <w:rPr>
          <w:sz w:val="20"/>
        </w:rPr>
        <w:t xml:space="preserve">, </w:t>
      </w:r>
      <w:r w:rsidR="001E0889" w:rsidRPr="00D516EC">
        <w:rPr>
          <w:i/>
          <w:sz w:val="20"/>
        </w:rPr>
        <w:t>Second Protective Order</w:t>
      </w:r>
      <w:r w:rsidR="001E0889" w:rsidRPr="00D516EC">
        <w:rPr>
          <w:sz w:val="20"/>
        </w:rPr>
        <w:t>, 27 FCC Rcd 289 (WTB 2012).</w:t>
      </w:r>
      <w:r w:rsidR="00803D1F">
        <w:rPr>
          <w:sz w:val="20"/>
        </w:rPr>
        <w:t xml:space="preserve">  </w:t>
      </w:r>
      <w:r w:rsidR="00803D1F" w:rsidRPr="00D516EC">
        <w:rPr>
          <w:sz w:val="20"/>
        </w:rPr>
        <w:t xml:space="preserve">We expect parties to use similar means to protect the confidentiality of information during negotiations.  </w:t>
      </w:r>
      <w:r w:rsidRPr="00D516EC">
        <w:rPr>
          <w:sz w:val="20"/>
        </w:rPr>
        <w:t xml:space="preserve"> </w:t>
      </w:r>
    </w:p>
  </w:footnote>
  <w:footnote w:id="52">
    <w:p w:rsidR="00485579" w:rsidRPr="00CC2620" w:rsidRDefault="00485579" w:rsidP="00F41D30">
      <w:pPr>
        <w:pStyle w:val="FootnoteText"/>
      </w:pPr>
      <w:r>
        <w:rPr>
          <w:rStyle w:val="FootnoteReference"/>
        </w:rPr>
        <w:footnoteRef/>
      </w:r>
      <w:r>
        <w:t xml:space="preserve"> </w:t>
      </w:r>
      <w:r>
        <w:rPr>
          <w:i/>
        </w:rPr>
        <w:t xml:space="preserve">See </w:t>
      </w:r>
      <w:r>
        <w:t>Verizon Comments at 10-11; AT&amp;T Opposition at 26-29</w:t>
      </w:r>
      <w:r w:rsidR="005B469E">
        <w:t xml:space="preserve">; Verizon </w:t>
      </w:r>
      <w:r w:rsidR="005B469E" w:rsidRPr="005B469E">
        <w:rPr>
          <w:i/>
        </w:rPr>
        <w:t>Ex Parte</w:t>
      </w:r>
      <w:r w:rsidR="005B469E">
        <w:t xml:space="preserve"> at 5-6</w:t>
      </w:r>
      <w:r>
        <w:t>.</w:t>
      </w:r>
    </w:p>
  </w:footnote>
  <w:footnote w:id="53">
    <w:p w:rsidR="00485579" w:rsidRPr="007F3E51" w:rsidRDefault="00485579" w:rsidP="007F3E51">
      <w:pPr>
        <w:pStyle w:val="FootnoteText"/>
      </w:pPr>
      <w:r>
        <w:rPr>
          <w:rStyle w:val="FootnoteReference"/>
        </w:rPr>
        <w:footnoteRef/>
      </w:r>
      <w:r>
        <w:t xml:space="preserve"> </w:t>
      </w:r>
      <w:r>
        <w:rPr>
          <w:i/>
        </w:rPr>
        <w:t xml:space="preserve">See </w:t>
      </w:r>
      <w:r w:rsidR="00105AB6">
        <w:t xml:space="preserve">Verizon Comments at 6-7; </w:t>
      </w:r>
      <w:r w:rsidR="00105AB6">
        <w:rPr>
          <w:i/>
        </w:rPr>
        <w:t xml:space="preserve">see also </w:t>
      </w:r>
      <w:r>
        <w:rPr>
          <w:i/>
        </w:rPr>
        <w:t xml:space="preserve">Data Roaming Order, </w:t>
      </w:r>
      <w:r>
        <w:t xml:space="preserve">26 FCC Rcd at 5422-23, 5448 ¶¶ 21, 73. </w:t>
      </w:r>
    </w:p>
  </w:footnote>
  <w:footnote w:id="54">
    <w:p w:rsidR="006077B9" w:rsidRPr="005C02E3" w:rsidRDefault="006077B9" w:rsidP="006077B9">
      <w:pPr>
        <w:pStyle w:val="FootnoteText"/>
      </w:pPr>
      <w:r>
        <w:rPr>
          <w:rStyle w:val="FootnoteReference"/>
        </w:rPr>
        <w:footnoteRef/>
      </w:r>
      <w:r>
        <w:t xml:space="preserve"> </w:t>
      </w:r>
      <w:r>
        <w:rPr>
          <w:i/>
        </w:rPr>
        <w:t xml:space="preserve">See supra </w:t>
      </w:r>
      <w:r>
        <w:t>¶</w:t>
      </w:r>
      <w:r w:rsidR="000B1EE9">
        <w:t xml:space="preserve"> </w:t>
      </w:r>
      <w:r w:rsidR="00430637">
        <w:t>15</w:t>
      </w:r>
      <w:r>
        <w:t>.</w:t>
      </w:r>
    </w:p>
  </w:footnote>
  <w:footnote w:id="55">
    <w:p w:rsidR="00485579" w:rsidRDefault="00485579">
      <w:pPr>
        <w:pStyle w:val="FootnoteText"/>
      </w:pPr>
      <w:r>
        <w:rPr>
          <w:rStyle w:val="FootnoteReference"/>
        </w:rPr>
        <w:footnoteRef/>
      </w:r>
      <w:r>
        <w:t xml:space="preserve"> </w:t>
      </w:r>
      <w:r w:rsidR="009C6206">
        <w:rPr>
          <w:i/>
        </w:rPr>
        <w:t xml:space="preserve">See </w:t>
      </w:r>
      <w:r w:rsidR="009C6206">
        <w:t xml:space="preserve">AT&amp;T Reply Comments at 15; Verizon Reply Comments at 3-4; AT&amp;T Dec. 10 </w:t>
      </w:r>
      <w:r w:rsidR="009C6206">
        <w:rPr>
          <w:i/>
        </w:rPr>
        <w:t xml:space="preserve">Ex Parte </w:t>
      </w:r>
      <w:r w:rsidR="009C6206">
        <w:t>at 8-9.</w:t>
      </w:r>
    </w:p>
  </w:footnote>
  <w:footnote w:id="56">
    <w:p w:rsidR="00485579" w:rsidRDefault="00485579">
      <w:pPr>
        <w:pStyle w:val="FootnoteText"/>
      </w:pPr>
      <w:r>
        <w:rPr>
          <w:rStyle w:val="FootnoteReference"/>
        </w:rPr>
        <w:footnoteRef/>
      </w:r>
      <w:r>
        <w:t xml:space="preserve"> </w:t>
      </w:r>
      <w:r>
        <w:rPr>
          <w:i/>
        </w:rPr>
        <w:t>Cellco P</w:t>
      </w:r>
      <w:r w:rsidR="00E70747">
        <w:rPr>
          <w:i/>
        </w:rPr>
        <w:t>artner</w:t>
      </w:r>
      <w:r>
        <w:rPr>
          <w:i/>
        </w:rPr>
        <w:t>ship</w:t>
      </w:r>
      <w:r>
        <w:t>, 700 F.3d at 548.</w:t>
      </w:r>
    </w:p>
  </w:footnote>
  <w:footnote w:id="57">
    <w:p w:rsidR="00485579" w:rsidRDefault="00485579">
      <w:pPr>
        <w:pStyle w:val="FootnoteText"/>
      </w:pPr>
      <w:r>
        <w:rPr>
          <w:rStyle w:val="FootnoteReference"/>
        </w:rPr>
        <w:footnoteRef/>
      </w:r>
      <w:r>
        <w:t xml:space="preserve"> AT&amp;T Opposition at 14-16.</w:t>
      </w:r>
    </w:p>
  </w:footnote>
  <w:footnote w:id="58">
    <w:p w:rsidR="00485579" w:rsidRDefault="00485579">
      <w:pPr>
        <w:pStyle w:val="FootnoteText"/>
      </w:pPr>
      <w:r>
        <w:rPr>
          <w:rStyle w:val="FootnoteReference"/>
        </w:rPr>
        <w:footnoteRef/>
      </w:r>
      <w:r>
        <w:t xml:space="preserve"> </w:t>
      </w:r>
      <w:r>
        <w:rPr>
          <w:i/>
        </w:rPr>
        <w:t xml:space="preserve">See </w:t>
      </w:r>
      <w:r w:rsidR="00113E5C">
        <w:t xml:space="preserve">T-Mobile Petition, </w:t>
      </w:r>
      <w:r>
        <w:t xml:space="preserve">Exhibit 1, Mosa </w:t>
      </w:r>
      <w:r w:rsidR="00626724">
        <w:t xml:space="preserve">Declaration </w:t>
      </w:r>
      <w:r>
        <w:t xml:space="preserve">at ¶ 22; </w:t>
      </w:r>
      <w:r w:rsidR="00113E5C">
        <w:t xml:space="preserve">T-Mobile Reply Comments at 21-22; </w:t>
      </w:r>
      <w:r>
        <w:rPr>
          <w:i/>
        </w:rPr>
        <w:t xml:space="preserve">see also </w:t>
      </w:r>
      <w:r>
        <w:t>Sprint Reply Comments at 6 (explaining how LTE handsets will continue to revert to 2G/3G for voice and data s</w:t>
      </w:r>
      <w:r w:rsidR="00757857">
        <w:t>ervice</w:t>
      </w:r>
      <w:r>
        <w:t xml:space="preserve"> where the LTE signal is unavailable even after deployment of VoLTE).</w:t>
      </w:r>
    </w:p>
  </w:footnote>
  <w:footnote w:id="59">
    <w:p w:rsidR="00485579" w:rsidRDefault="00485579">
      <w:pPr>
        <w:pStyle w:val="FootnoteText"/>
      </w:pPr>
      <w:r>
        <w:rPr>
          <w:rStyle w:val="FootnoteReference"/>
        </w:rPr>
        <w:footnoteRef/>
      </w:r>
      <w:r>
        <w:t xml:space="preserve"> T-Mobile Reply Comments at 21-22.</w:t>
      </w:r>
    </w:p>
  </w:footnote>
  <w:footnote w:id="60">
    <w:p w:rsidR="00485579" w:rsidRDefault="00485579">
      <w:pPr>
        <w:pStyle w:val="FootnoteText"/>
      </w:pPr>
      <w:r>
        <w:rPr>
          <w:rStyle w:val="FootnoteReference"/>
        </w:rPr>
        <w:footnoteRef/>
      </w:r>
      <w:r>
        <w:t xml:space="preserve"> AT&amp;T Reply Comments at 12.</w:t>
      </w:r>
    </w:p>
  </w:footnote>
  <w:footnote w:id="61">
    <w:p w:rsidR="00485579" w:rsidRPr="00681DEF" w:rsidRDefault="00485579">
      <w:pPr>
        <w:pStyle w:val="FootnoteText"/>
      </w:pPr>
      <w:r>
        <w:rPr>
          <w:rStyle w:val="FootnoteReference"/>
        </w:rPr>
        <w:footnoteRef/>
      </w:r>
      <w:r>
        <w:t xml:space="preserve"> </w:t>
      </w:r>
      <w:r>
        <w:rPr>
          <w:i/>
        </w:rPr>
        <w:t xml:space="preserve">Data Roaming Order, </w:t>
      </w:r>
      <w:r>
        <w:t>26 FCC Rcd at 5452</w:t>
      </w:r>
      <w:r w:rsidR="003B1F46">
        <w:t>-53</w:t>
      </w:r>
      <w:r>
        <w:t xml:space="preserve"> ¶ 86.</w:t>
      </w:r>
    </w:p>
  </w:footnote>
  <w:footnote w:id="62">
    <w:p w:rsidR="00485579" w:rsidRDefault="00485579" w:rsidP="00524CB0">
      <w:pPr>
        <w:pStyle w:val="FootnoteText"/>
      </w:pPr>
      <w:r>
        <w:rPr>
          <w:rStyle w:val="FootnoteReference"/>
        </w:rPr>
        <w:footnoteRef/>
      </w:r>
      <w:r>
        <w:t xml:space="preserve"> Verizon Comments at 2-3; Verizon Reply Comments at 5-7.</w:t>
      </w:r>
    </w:p>
  </w:footnote>
  <w:footnote w:id="63">
    <w:p w:rsidR="00046080" w:rsidRDefault="00046080">
      <w:pPr>
        <w:pStyle w:val="FootnoteText"/>
      </w:pPr>
      <w:r>
        <w:rPr>
          <w:rStyle w:val="FootnoteReference"/>
        </w:rPr>
        <w:footnoteRef/>
      </w:r>
      <w:r>
        <w:t xml:space="preserve"> </w:t>
      </w:r>
      <w:r w:rsidRPr="004A70B0">
        <w:rPr>
          <w:i/>
        </w:rPr>
        <w:t>See</w:t>
      </w:r>
      <w:r>
        <w:t xml:space="preserve"> Cellular One Reply Comments at 1</w:t>
      </w:r>
      <w:r w:rsidR="005818DA">
        <w:t>.</w:t>
      </w:r>
    </w:p>
  </w:footnote>
  <w:footnote w:id="64">
    <w:p w:rsidR="004946D0" w:rsidRPr="0054128D" w:rsidRDefault="004946D0" w:rsidP="004946D0">
      <w:pPr>
        <w:pStyle w:val="FootnoteText"/>
      </w:pPr>
      <w:r>
        <w:rPr>
          <w:rStyle w:val="FootnoteReference"/>
        </w:rPr>
        <w:footnoteRef/>
      </w:r>
      <w:r>
        <w:t xml:space="preserve"> Letter from Joan Marsh, AT&amp;T, to Marlene H. Dortch, Secretary, FCC, WT Docket No. 05-265, filed Nov. 2, 2014 at 1-2 (AT&amp;T </w:t>
      </w:r>
      <w:r>
        <w:rPr>
          <w:i/>
        </w:rPr>
        <w:t>Ex Parte</w:t>
      </w:r>
      <w:r>
        <w:t>).</w:t>
      </w:r>
    </w:p>
  </w:footnote>
  <w:footnote w:id="65">
    <w:p w:rsidR="00430637" w:rsidRPr="00430637" w:rsidRDefault="00430637">
      <w:pPr>
        <w:pStyle w:val="FootnoteText"/>
      </w:pPr>
      <w:r>
        <w:rPr>
          <w:rStyle w:val="FootnoteReference"/>
        </w:rPr>
        <w:footnoteRef/>
      </w:r>
      <w:r>
        <w:t xml:space="preserve"> </w:t>
      </w:r>
      <w:r>
        <w:rPr>
          <w:i/>
        </w:rPr>
        <w:t xml:space="preserve">See </w:t>
      </w:r>
      <w:r>
        <w:t xml:space="preserve">Letter from Andrew W. Levin, T-Mobile, to Marlene H. Dortch, Secretary, FCC, WT Docket No. 05-265, filed Nov. 21, 2014 at 6 (T-Mobile Nov. 21 </w:t>
      </w:r>
      <w:r>
        <w:rPr>
          <w:i/>
        </w:rPr>
        <w:t>Ex Parte</w:t>
      </w:r>
      <w:r>
        <w:t>)</w:t>
      </w:r>
      <w:r w:rsidR="003B1F46">
        <w:t xml:space="preserve"> (asserting that nothing in the T-Mobile requested guidance would prohibit rural providers from negotiating roaming rates that reflect the particular circumstances of their service areas).</w:t>
      </w:r>
    </w:p>
  </w:footnote>
  <w:footnote w:id="66">
    <w:p w:rsidR="007446E8" w:rsidRPr="002E39CA" w:rsidRDefault="00485579" w:rsidP="00042580">
      <w:pPr>
        <w:pStyle w:val="FootnoteText"/>
      </w:pPr>
      <w:r>
        <w:rPr>
          <w:rStyle w:val="FootnoteReference"/>
        </w:rPr>
        <w:footnoteRef/>
      </w:r>
      <w:r>
        <w:t xml:space="preserve"> </w:t>
      </w:r>
      <w:r>
        <w:rPr>
          <w:i/>
        </w:rPr>
        <w:t xml:space="preserve">See </w:t>
      </w:r>
      <w:r w:rsidRPr="003209A3">
        <w:rPr>
          <w:i/>
        </w:rPr>
        <w:t xml:space="preserve">supra </w:t>
      </w:r>
      <w:r w:rsidRPr="003209A3">
        <w:t>¶</w:t>
      </w:r>
      <w:r w:rsidR="00B675F4" w:rsidRPr="003209A3">
        <w:t>¶</w:t>
      </w:r>
      <w:r w:rsidRPr="003209A3">
        <w:t xml:space="preserve"> </w:t>
      </w:r>
      <w:r w:rsidR="006109BD">
        <w:t>7</w:t>
      </w:r>
      <w:r w:rsidR="00B675F4">
        <w:t>, 10</w:t>
      </w:r>
      <w:r w:rsidRPr="003209A3">
        <w:t>; T-Mobile Reply Comments at 18-</w:t>
      </w:r>
      <w:r w:rsidR="00113E5C" w:rsidRPr="003209A3">
        <w:t>20</w:t>
      </w:r>
      <w:r w:rsidRPr="003209A3">
        <w:t xml:space="preserve">; RWA </w:t>
      </w:r>
      <w:r w:rsidR="00B70F71">
        <w:t xml:space="preserve">Dec. </w:t>
      </w:r>
      <w:r w:rsidR="00A70233">
        <w:t xml:space="preserve">5 </w:t>
      </w:r>
      <w:r w:rsidR="00B70F71">
        <w:rPr>
          <w:i/>
        </w:rPr>
        <w:t xml:space="preserve">Ex Parte </w:t>
      </w:r>
      <w:r w:rsidR="00B70F71">
        <w:t>at 2-3</w:t>
      </w:r>
      <w:r w:rsidRPr="003209A3">
        <w:t xml:space="preserve">; CCA </w:t>
      </w:r>
      <w:r w:rsidR="00923102" w:rsidRPr="003209A3">
        <w:rPr>
          <w:i/>
        </w:rPr>
        <w:t>Ex Parte</w:t>
      </w:r>
      <w:r w:rsidRPr="003209A3">
        <w:t xml:space="preserve"> at </w:t>
      </w:r>
      <w:r w:rsidR="00923102" w:rsidRPr="003209A3">
        <w:t>2-3</w:t>
      </w:r>
      <w:r w:rsidRPr="003209A3">
        <w:t xml:space="preserve">; AT&amp;T Opposition at 10-16; Verizon Comments at </w:t>
      </w:r>
      <w:r w:rsidR="00923102" w:rsidRPr="003209A3">
        <w:t>7</w:t>
      </w:r>
      <w:r w:rsidRPr="003209A3">
        <w:t>-9.</w:t>
      </w:r>
      <w:r w:rsidR="007446E8" w:rsidRPr="003209A3">
        <w:t xml:space="preserve"> </w:t>
      </w:r>
    </w:p>
  </w:footnote>
  <w:footnote w:id="67">
    <w:p w:rsidR="00485579" w:rsidRPr="00F600CB" w:rsidRDefault="00485579" w:rsidP="008804EA">
      <w:pPr>
        <w:pStyle w:val="FootnoteText"/>
      </w:pPr>
      <w:r w:rsidRPr="00F600CB">
        <w:rPr>
          <w:rStyle w:val="FootnoteReference"/>
        </w:rPr>
        <w:footnoteRef/>
      </w:r>
      <w:r w:rsidRPr="00F600CB">
        <w:t xml:space="preserve"> </w:t>
      </w:r>
      <w:r w:rsidRPr="00F600CB">
        <w:rPr>
          <w:i/>
        </w:rPr>
        <w:t xml:space="preserve">See </w:t>
      </w:r>
      <w:r>
        <w:t>T-Mobile Petition</w:t>
      </w:r>
      <w:r w:rsidRPr="00F600CB">
        <w:rPr>
          <w:i/>
        </w:rPr>
        <w:t xml:space="preserve"> </w:t>
      </w:r>
      <w:r w:rsidRPr="00F600CB">
        <w:t xml:space="preserve">at </w:t>
      </w:r>
      <w:r>
        <w:t>16-23.</w:t>
      </w:r>
    </w:p>
  </w:footnote>
  <w:footnote w:id="68">
    <w:p w:rsidR="00485579" w:rsidRPr="006459C3" w:rsidRDefault="00485579" w:rsidP="00C43F82">
      <w:pPr>
        <w:pStyle w:val="FootnoteText"/>
      </w:pPr>
      <w:r>
        <w:rPr>
          <w:rStyle w:val="FootnoteReference"/>
        </w:rPr>
        <w:footnoteRef/>
      </w:r>
      <w:r>
        <w:t xml:space="preserve"> </w:t>
      </w:r>
      <w:r>
        <w:rPr>
          <w:i/>
        </w:rPr>
        <w:t xml:space="preserve">See, e.g., </w:t>
      </w:r>
      <w:r>
        <w:t xml:space="preserve">T-Mobile Petition at 19-23; Sprint Comments at 5-6; RWA Comments at 4-5; </w:t>
      </w:r>
      <w:r w:rsidRPr="00B63C39">
        <w:rPr>
          <w:i/>
        </w:rPr>
        <w:t>b</w:t>
      </w:r>
      <w:r w:rsidRPr="002D53AE">
        <w:rPr>
          <w:i/>
        </w:rPr>
        <w:t xml:space="preserve">ut </w:t>
      </w:r>
      <w:r>
        <w:rPr>
          <w:i/>
        </w:rPr>
        <w:t xml:space="preserve">see </w:t>
      </w:r>
      <w:r>
        <w:t>AT&amp;T Opposition at 18-23; Verizon Comments at 14-16.</w:t>
      </w:r>
    </w:p>
  </w:footnote>
  <w:footnote w:id="69">
    <w:p w:rsidR="00485579" w:rsidRDefault="00485579" w:rsidP="001A7DCB">
      <w:pPr>
        <w:pStyle w:val="FootnoteText"/>
      </w:pPr>
      <w:r>
        <w:rPr>
          <w:rStyle w:val="FootnoteReference"/>
        </w:rPr>
        <w:footnoteRef/>
      </w:r>
      <w:r>
        <w:t xml:space="preserve"> </w:t>
      </w:r>
      <w:r>
        <w:rPr>
          <w:i/>
        </w:rPr>
        <w:t xml:space="preserve">Data Roaming Order, </w:t>
      </w:r>
      <w:r>
        <w:t>26 FCC Rcd at 5451 ¶ 81.</w:t>
      </w:r>
      <w:r w:rsidR="00FD487A">
        <w:t xml:space="preserve"> </w:t>
      </w:r>
      <w:r>
        <w:t xml:space="preserve"> </w:t>
      </w:r>
    </w:p>
  </w:footnote>
  <w:footnote w:id="70">
    <w:p w:rsidR="0015736D" w:rsidRDefault="0015736D">
      <w:pPr>
        <w:pStyle w:val="FootnoteText"/>
      </w:pPr>
      <w:r>
        <w:rPr>
          <w:rStyle w:val="FootnoteReference"/>
        </w:rPr>
        <w:footnoteRef/>
      </w:r>
      <w:r>
        <w:t xml:space="preserve"> </w:t>
      </w:r>
      <w:r w:rsidR="0084125A">
        <w:rPr>
          <w:i/>
        </w:rPr>
        <w:t>Id.</w:t>
      </w:r>
      <w:r>
        <w:t xml:space="preserve"> </w:t>
      </w:r>
    </w:p>
  </w:footnote>
  <w:footnote w:id="71">
    <w:p w:rsidR="00EA4517" w:rsidRDefault="00EA4517" w:rsidP="00EA4517">
      <w:pPr>
        <w:pStyle w:val="FootnoteText"/>
      </w:pPr>
      <w:r>
        <w:rPr>
          <w:rStyle w:val="FootnoteReference"/>
        </w:rPr>
        <w:footnoteRef/>
      </w:r>
      <w:r>
        <w:t xml:space="preserve"> AT&amp;T argues that the presumption of reasonableness attaches to any agreements “negotiated after the issuance of the data roaming rules and that were never challenged.”  AT&amp;T Opposition at 18;</w:t>
      </w:r>
      <w:r w:rsidRPr="003A5112">
        <w:t xml:space="preserve"> </w:t>
      </w:r>
      <w:r w:rsidR="004946D0">
        <w:t xml:space="preserve">AT&amp;T </w:t>
      </w:r>
      <w:r w:rsidR="004946D0">
        <w:rPr>
          <w:i/>
        </w:rPr>
        <w:t xml:space="preserve">Ex Parte </w:t>
      </w:r>
      <w:r>
        <w:t xml:space="preserve">at 2.  To the extent that the terms in such an agreement are the subject of negotiation of a subsequent agreement, they would not be presumed to be reasonable.  </w:t>
      </w:r>
    </w:p>
  </w:footnote>
  <w:footnote w:id="72">
    <w:p w:rsidR="00EA4517" w:rsidRPr="004F7066" w:rsidRDefault="00EA4517" w:rsidP="00EA4517">
      <w:pPr>
        <w:pStyle w:val="FootnoteText"/>
      </w:pPr>
      <w:r>
        <w:rPr>
          <w:rStyle w:val="FootnoteReference"/>
        </w:rPr>
        <w:footnoteRef/>
      </w:r>
      <w:r>
        <w:t xml:space="preserve"> </w:t>
      </w:r>
      <w:r>
        <w:rPr>
          <w:i/>
        </w:rPr>
        <w:t>See</w:t>
      </w:r>
      <w:r w:rsidR="006F4C8D">
        <w:rPr>
          <w:i/>
        </w:rPr>
        <w:t>,</w:t>
      </w:r>
      <w:r>
        <w:rPr>
          <w:i/>
        </w:rPr>
        <w:t xml:space="preserve"> </w:t>
      </w:r>
      <w:r w:rsidR="006F4C8D">
        <w:rPr>
          <w:i/>
        </w:rPr>
        <w:t>e.g.,</w:t>
      </w:r>
      <w:r w:rsidR="007F1BD7">
        <w:rPr>
          <w:i/>
        </w:rPr>
        <w:t xml:space="preserve"> </w:t>
      </w:r>
      <w:r>
        <w:t xml:space="preserve">T-Mobile Petition at 21; Sprint Comments at 5-6; </w:t>
      </w:r>
      <w:r w:rsidR="006F4C8D">
        <w:t xml:space="preserve">C Spire Comments </w:t>
      </w:r>
      <w:r>
        <w:t xml:space="preserve">at </w:t>
      </w:r>
      <w:r w:rsidR="006F4C8D">
        <w:t>8</w:t>
      </w:r>
      <w:r>
        <w:t>-</w:t>
      </w:r>
      <w:r w:rsidR="006F4C8D">
        <w:t>9</w:t>
      </w:r>
      <w:r>
        <w:t xml:space="preserve">.  </w:t>
      </w:r>
    </w:p>
  </w:footnote>
  <w:footnote w:id="73">
    <w:p w:rsidR="00EA4517" w:rsidRDefault="00EA4517" w:rsidP="00EA4517">
      <w:pPr>
        <w:pStyle w:val="FootnoteText"/>
      </w:pPr>
      <w:r>
        <w:rPr>
          <w:rStyle w:val="FootnoteReference"/>
        </w:rPr>
        <w:footnoteRef/>
      </w:r>
      <w:r>
        <w:t xml:space="preserve"> </w:t>
      </w:r>
      <w:r w:rsidR="00051CCA">
        <w:t xml:space="preserve">Of course, an agreement signed prior to the effective date of the new rule would not have been negotiated pursuant to “the standard of commercial reasonableness” upon which the </w:t>
      </w:r>
      <w:r w:rsidR="00051CCA">
        <w:rPr>
          <w:i/>
        </w:rPr>
        <w:t xml:space="preserve">Data Roaming Order </w:t>
      </w:r>
      <w:r w:rsidR="00051CCA">
        <w:t>relied in establishing its presumption.  Thus, it would not appear to be consistent with the Commission’s intent to attach any such presumption to its terms in evaluating later proposed terms and conditions.</w:t>
      </w:r>
    </w:p>
  </w:footnote>
  <w:footnote w:id="74">
    <w:p w:rsidR="001D14F3" w:rsidRDefault="001D14F3" w:rsidP="001D14F3">
      <w:pPr>
        <w:pStyle w:val="FootnoteText"/>
      </w:pPr>
      <w:r>
        <w:rPr>
          <w:rStyle w:val="FootnoteReference"/>
        </w:rPr>
        <w:footnoteRef/>
      </w:r>
      <w:r>
        <w:t xml:space="preserve"> </w:t>
      </w:r>
      <w:r w:rsidRPr="004F49B8">
        <w:rPr>
          <w:i/>
        </w:rPr>
        <w:t>Data Roaming Order</w:t>
      </w:r>
      <w:r>
        <w:t xml:space="preserve">, 26 FCC Rcd at </w:t>
      </w:r>
      <w:r w:rsidR="00976C8D">
        <w:t>5452-53</w:t>
      </w:r>
      <w:r>
        <w:t xml:space="preserve"> ¶ 86. </w:t>
      </w:r>
    </w:p>
  </w:footnote>
  <w:footnote w:id="75">
    <w:p w:rsidR="001D14F3" w:rsidRDefault="001D14F3" w:rsidP="001D14F3">
      <w:pPr>
        <w:pStyle w:val="FootnoteText"/>
      </w:pPr>
      <w:r>
        <w:rPr>
          <w:rStyle w:val="FootnoteReference"/>
        </w:rPr>
        <w:footnoteRef/>
      </w:r>
      <w:r w:rsidR="00BC4E34">
        <w:rPr>
          <w:i/>
        </w:rPr>
        <w:t xml:space="preserve"> </w:t>
      </w:r>
      <w:r w:rsidR="0063128A">
        <w:rPr>
          <w:i/>
        </w:rPr>
        <w:t>See also i</w:t>
      </w:r>
      <w:r w:rsidR="003B1F76">
        <w:rPr>
          <w:i/>
        </w:rPr>
        <w:t>d.</w:t>
      </w:r>
      <w:r w:rsidR="003B1F76" w:rsidRPr="003A5112">
        <w:rPr>
          <w:i/>
        </w:rPr>
        <w:t xml:space="preserve"> </w:t>
      </w:r>
      <w:r>
        <w:t xml:space="preserve">(explaining how the </w:t>
      </w:r>
      <w:r>
        <w:rPr>
          <w:szCs w:val="22"/>
        </w:rPr>
        <w:t xml:space="preserve">Commission will consider as one of the listed factors “whether the providers involved have had previous data roaming arrangements with similar terms”). </w:t>
      </w:r>
    </w:p>
  </w:footnote>
  <w:footnote w:id="76">
    <w:p w:rsidR="00EA4517" w:rsidRPr="00D6105D" w:rsidRDefault="00EA4517" w:rsidP="00EA4517">
      <w:pPr>
        <w:pStyle w:val="FootnoteText"/>
      </w:pPr>
      <w:r>
        <w:rPr>
          <w:rStyle w:val="FootnoteReference"/>
        </w:rPr>
        <w:footnoteRef/>
      </w:r>
      <w:r>
        <w:t xml:space="preserve"> </w:t>
      </w:r>
      <w:r>
        <w:rPr>
          <w:i/>
        </w:rPr>
        <w:t xml:space="preserve">See </w:t>
      </w:r>
      <w:r w:rsidR="003B1F76">
        <w:rPr>
          <w:i/>
        </w:rPr>
        <w:t>id.</w:t>
      </w:r>
      <w:r w:rsidR="003B1F76" w:rsidRPr="003A5112">
        <w:rPr>
          <w:i/>
        </w:rPr>
        <w:t xml:space="preserve"> </w:t>
      </w:r>
      <w:r>
        <w:t>at 5450-51 ¶ 80.</w:t>
      </w:r>
    </w:p>
  </w:footnote>
  <w:footnote w:id="77">
    <w:p w:rsidR="00EA4517" w:rsidRPr="00B11D5E" w:rsidRDefault="00EA4517" w:rsidP="00EA4517">
      <w:pPr>
        <w:pStyle w:val="FootnoteText"/>
        <w:rPr>
          <w:i/>
        </w:rPr>
      </w:pPr>
      <w:r>
        <w:rPr>
          <w:rStyle w:val="FootnoteReference"/>
        </w:rPr>
        <w:footnoteRef/>
      </w:r>
      <w:r>
        <w:t xml:space="preserve"> </w:t>
      </w:r>
      <w:r>
        <w:rPr>
          <w:i/>
        </w:rPr>
        <w:t>See id.</w:t>
      </w:r>
    </w:p>
  </w:footnote>
  <w:footnote w:id="78">
    <w:p w:rsidR="00051CCA" w:rsidRPr="004F49B8" w:rsidRDefault="00051CCA" w:rsidP="00051CCA">
      <w:pPr>
        <w:pStyle w:val="FootnoteText"/>
        <w:rPr>
          <w:i/>
        </w:rPr>
      </w:pPr>
      <w:r>
        <w:rPr>
          <w:rStyle w:val="FootnoteReference"/>
        </w:rPr>
        <w:footnoteRef/>
      </w:r>
      <w:r>
        <w:t xml:space="preserve"> </w:t>
      </w:r>
      <w:r>
        <w:rPr>
          <w:i/>
        </w:rPr>
        <w:t xml:space="preserve">See </w:t>
      </w:r>
      <w:r w:rsidR="00393204">
        <w:rPr>
          <w:i/>
        </w:rPr>
        <w:t>supra ¶</w:t>
      </w:r>
      <w:r w:rsidR="009D05B1">
        <w:rPr>
          <w:i/>
        </w:rPr>
        <w:t>¶</w:t>
      </w:r>
      <w:r w:rsidR="00393204">
        <w:rPr>
          <w:i/>
        </w:rPr>
        <w:t xml:space="preserve"> </w:t>
      </w:r>
      <w:r w:rsidR="00CC2B7C">
        <w:t>13-14</w:t>
      </w:r>
      <w:r>
        <w:rPr>
          <w:i/>
        </w:rPr>
        <w:t xml:space="preserve">.  </w:t>
      </w:r>
    </w:p>
  </w:footnote>
  <w:footnote w:id="79">
    <w:p w:rsidR="00485579" w:rsidRDefault="00485579">
      <w:pPr>
        <w:pStyle w:val="FootnoteText"/>
      </w:pPr>
      <w:r>
        <w:rPr>
          <w:rStyle w:val="FootnoteReference"/>
        </w:rPr>
        <w:footnoteRef/>
      </w:r>
      <w:r>
        <w:t xml:space="preserve"> T-Mobile Petition at 22.</w:t>
      </w:r>
    </w:p>
  </w:footnote>
  <w:footnote w:id="80">
    <w:p w:rsidR="00485579" w:rsidRDefault="00485579">
      <w:pPr>
        <w:pStyle w:val="FootnoteText"/>
      </w:pPr>
      <w:r>
        <w:rPr>
          <w:rStyle w:val="FootnoteReference"/>
        </w:rPr>
        <w:footnoteRef/>
      </w:r>
      <w:r>
        <w:t xml:space="preserve"> </w:t>
      </w:r>
      <w:r w:rsidR="00CF2C8D">
        <w:rPr>
          <w:i/>
        </w:rPr>
        <w:t>See</w:t>
      </w:r>
      <w:r w:rsidR="00CF2C8D" w:rsidRPr="003A5112">
        <w:rPr>
          <w:i/>
        </w:rPr>
        <w:t xml:space="preserve"> </w:t>
      </w:r>
      <w:r w:rsidRPr="00C25109">
        <w:rPr>
          <w:i/>
        </w:rPr>
        <w:t>Data Roaming Order</w:t>
      </w:r>
      <w:r w:rsidRPr="00C25109">
        <w:t>, 26 FCC Rcd at 5421 ¶ 18</w:t>
      </w:r>
      <w:r>
        <w:t>;</w:t>
      </w:r>
      <w:r w:rsidRPr="00C25109">
        <w:t xml:space="preserve"> </w:t>
      </w:r>
      <w:r w:rsidRPr="00C25109">
        <w:rPr>
          <w:i/>
        </w:rPr>
        <w:t xml:space="preserve">see also </w:t>
      </w:r>
      <w:r>
        <w:rPr>
          <w:i/>
        </w:rPr>
        <w:t>id</w:t>
      </w:r>
      <w:r w:rsidRPr="00591874">
        <w:t>.</w:t>
      </w:r>
      <w:r w:rsidRPr="00C25109">
        <w:t xml:space="preserve"> at 5435-36 ¶ 51 (declining AT&amp;T’s request for a “substantial network” requirement and noting the role of roaming in build-out).</w:t>
      </w:r>
    </w:p>
  </w:footnote>
  <w:footnote w:id="81">
    <w:p w:rsidR="00A3720B" w:rsidRDefault="00A3720B" w:rsidP="00A3720B">
      <w:pPr>
        <w:pStyle w:val="FootnoteText"/>
      </w:pPr>
      <w:r>
        <w:rPr>
          <w:rStyle w:val="FootnoteReference"/>
        </w:rPr>
        <w:footnoteRef/>
      </w:r>
      <w:r>
        <w:t xml:space="preserve"> </w:t>
      </w:r>
      <w:r w:rsidRPr="00C25109">
        <w:rPr>
          <w:i/>
        </w:rPr>
        <w:t>See</w:t>
      </w:r>
      <w:r w:rsidRPr="00C25109">
        <w:t xml:space="preserve"> </w:t>
      </w:r>
      <w:r w:rsidR="00CC2B7C">
        <w:rPr>
          <w:i/>
        </w:rPr>
        <w:t>id.</w:t>
      </w:r>
      <w:r w:rsidR="00CC2B7C" w:rsidRPr="003A5112">
        <w:rPr>
          <w:i/>
        </w:rPr>
        <w:t xml:space="preserve"> </w:t>
      </w:r>
      <w:r w:rsidRPr="00C25109">
        <w:t xml:space="preserve">at </w:t>
      </w:r>
      <w:r>
        <w:t>5419 n.51</w:t>
      </w:r>
      <w:r w:rsidRPr="00C25109">
        <w:t>.</w:t>
      </w:r>
    </w:p>
  </w:footnote>
  <w:footnote w:id="82">
    <w:p w:rsidR="00A3720B" w:rsidRDefault="00A3720B" w:rsidP="00A3720B">
      <w:pPr>
        <w:pStyle w:val="FootnoteText"/>
      </w:pPr>
      <w:r>
        <w:rPr>
          <w:rStyle w:val="FootnoteReference"/>
        </w:rPr>
        <w:footnoteRef/>
      </w:r>
      <w:r>
        <w:t xml:space="preserve"> </w:t>
      </w:r>
      <w:r w:rsidR="0084125A">
        <w:rPr>
          <w:i/>
        </w:rPr>
        <w:t>See id.</w:t>
      </w:r>
      <w:r w:rsidR="0084125A" w:rsidRPr="003A5112">
        <w:rPr>
          <w:i/>
        </w:rPr>
        <w:t xml:space="preserve"> </w:t>
      </w:r>
      <w:r w:rsidRPr="00512E59">
        <w:t>at 5452-53 ¶¶ 85-86.</w:t>
      </w:r>
    </w:p>
  </w:footnote>
  <w:footnote w:id="83">
    <w:p w:rsidR="00485579" w:rsidRPr="00D55D9E" w:rsidRDefault="00485579">
      <w:pPr>
        <w:pStyle w:val="FootnoteText"/>
      </w:pPr>
      <w:r>
        <w:rPr>
          <w:rStyle w:val="FootnoteReference"/>
        </w:rPr>
        <w:footnoteRef/>
      </w:r>
      <w:r>
        <w:t xml:space="preserve"> </w:t>
      </w:r>
      <w:r w:rsidRPr="00D55D9E">
        <w:t>AT&amp;T Opposition at 22-23.</w:t>
      </w:r>
    </w:p>
  </w:footnote>
  <w:footnote w:id="84">
    <w:p w:rsidR="00591DF9" w:rsidRPr="00D55D9E" w:rsidRDefault="00591DF9" w:rsidP="00591DF9">
      <w:pPr>
        <w:pStyle w:val="FootnoteText"/>
      </w:pPr>
      <w:r w:rsidRPr="00D55D9E">
        <w:rPr>
          <w:rStyle w:val="FootnoteReference"/>
        </w:rPr>
        <w:footnoteRef/>
      </w:r>
      <w:r w:rsidRPr="00D55D9E">
        <w:t xml:space="preserve"> </w:t>
      </w:r>
      <w:r w:rsidRPr="00D55D9E">
        <w:rPr>
          <w:i/>
        </w:rPr>
        <w:t xml:space="preserve">See Data Roaming Order, </w:t>
      </w:r>
      <w:r w:rsidRPr="00D55D9E">
        <w:t>26 FCC Rcd at 5419 n.51</w:t>
      </w:r>
      <w:r w:rsidR="00626724" w:rsidRPr="00D55D9E">
        <w:t xml:space="preserve">; </w:t>
      </w:r>
      <w:r w:rsidR="00626724" w:rsidRPr="00D55D9E">
        <w:rPr>
          <w:i/>
        </w:rPr>
        <w:t xml:space="preserve">see also </w:t>
      </w:r>
      <w:r w:rsidR="004B79A2" w:rsidRPr="00D55D9E">
        <w:rPr>
          <w:i/>
        </w:rPr>
        <w:t xml:space="preserve">Mobile Spectrum Holdings </w:t>
      </w:r>
      <w:r w:rsidR="00626724" w:rsidRPr="00D55D9E">
        <w:rPr>
          <w:i/>
        </w:rPr>
        <w:t>Report and Order</w:t>
      </w:r>
      <w:r w:rsidR="004B79A2" w:rsidRPr="00D55D9E">
        <w:t xml:space="preserve">, 29 FCC Rcd at </w:t>
      </w:r>
      <w:r w:rsidR="00F359DA">
        <w:t>6146</w:t>
      </w:r>
      <w:r w:rsidR="004B79A2" w:rsidRPr="00D55D9E">
        <w:t xml:space="preserve"> ¶ 60</w:t>
      </w:r>
      <w:r w:rsidRPr="00D55D9E">
        <w:t>.</w:t>
      </w:r>
    </w:p>
  </w:footnote>
  <w:footnote w:id="85">
    <w:p w:rsidR="00591DF9" w:rsidRDefault="00591DF9" w:rsidP="00591DF9">
      <w:pPr>
        <w:pStyle w:val="FootnoteText"/>
      </w:pPr>
      <w:r w:rsidRPr="00D55D9E">
        <w:rPr>
          <w:rStyle w:val="FootnoteReference"/>
        </w:rPr>
        <w:footnoteRef/>
      </w:r>
      <w:r w:rsidRPr="00D55D9E">
        <w:t xml:space="preserve"> The Commission</w:t>
      </w:r>
      <w:r>
        <w:t xml:space="preserve"> took a similar approach in the voice roaming context when it modified its rules with respect to automatic roaming by eliminating the home roaming exclusion</w:t>
      </w:r>
      <w:r w:rsidR="00871AA6">
        <w:t xml:space="preserve"> that had excluded from the automatic roaming obligation any request for roaming in a location where the requesting party held spectrum suitable for the provision of CMRS service</w:t>
      </w:r>
      <w:r>
        <w:t xml:space="preserve">.  </w:t>
      </w:r>
      <w:r w:rsidR="00717D72">
        <w:rPr>
          <w:i/>
        </w:rPr>
        <w:t xml:space="preserve">Voice </w:t>
      </w:r>
      <w:r>
        <w:rPr>
          <w:i/>
        </w:rPr>
        <w:t>Roaming Order on Reconsideration</w:t>
      </w:r>
      <w:r>
        <w:t xml:space="preserve">, 25 FCC Rcd at </w:t>
      </w:r>
      <w:r w:rsidR="00B3530B">
        <w:t xml:space="preserve">4190, 4197 </w:t>
      </w:r>
      <w:r>
        <w:t>¶</w:t>
      </w:r>
      <w:r w:rsidR="00871AA6">
        <w:t xml:space="preserve">¶ </w:t>
      </w:r>
      <w:r>
        <w:t>18</w:t>
      </w:r>
      <w:r w:rsidR="00871AA6">
        <w:t>, 31</w:t>
      </w:r>
      <w:r>
        <w:t xml:space="preserve">.  </w:t>
      </w:r>
    </w:p>
  </w:footnote>
  <w:footnote w:id="86">
    <w:p w:rsidR="004303D9" w:rsidRDefault="004303D9" w:rsidP="004303D9">
      <w:pPr>
        <w:pStyle w:val="FootnoteText"/>
      </w:pPr>
      <w:r>
        <w:rPr>
          <w:rStyle w:val="FootnoteReference"/>
        </w:rPr>
        <w:footnoteRef/>
      </w:r>
      <w:r>
        <w:t xml:space="preserve"> </w:t>
      </w:r>
      <w:r w:rsidRPr="00B11D5E">
        <w:rPr>
          <w:i/>
        </w:rPr>
        <w:t>See, e.g</w:t>
      </w:r>
      <w:r>
        <w:t xml:space="preserve">., RWA Comments at </w:t>
      </w:r>
      <w:r w:rsidR="00F061E1">
        <w:t>7-</w:t>
      </w:r>
      <w:r>
        <w:t>8 (</w:t>
      </w:r>
      <w:r w:rsidR="005868FD">
        <w:t xml:space="preserve">arguing that the </w:t>
      </w:r>
      <w:r w:rsidR="00233F11">
        <w:t xml:space="preserve">Commission should find that a data roaming rate is </w:t>
      </w:r>
      <w:r w:rsidR="00233F11" w:rsidRPr="00BC4E34">
        <w:rPr>
          <w:i/>
        </w:rPr>
        <w:t>per se</w:t>
      </w:r>
      <w:r w:rsidR="00233F11">
        <w:t xml:space="preserve"> commercially unreasonable if it exceeds the retail data rate the requesting </w:t>
      </w:r>
      <w:r w:rsidR="00696FAD">
        <w:t>provider</w:t>
      </w:r>
      <w:r w:rsidR="00233F11">
        <w:t xml:space="preserve"> charges its retail customers)</w:t>
      </w:r>
      <w:r>
        <w:t xml:space="preserve">; Pinpoint Comments at </w:t>
      </w:r>
      <w:r w:rsidR="00090C93">
        <w:t>3-5, 10</w:t>
      </w:r>
      <w:r>
        <w:t xml:space="preserve"> (</w:t>
      </w:r>
      <w:r w:rsidR="005868FD">
        <w:t xml:space="preserve">arguing that the </w:t>
      </w:r>
      <w:r w:rsidR="00090C93">
        <w:t xml:space="preserve">Commission should find that a data roaming rate is </w:t>
      </w:r>
      <w:r w:rsidR="00090C93" w:rsidRPr="00BC4E34">
        <w:rPr>
          <w:i/>
        </w:rPr>
        <w:t>de facto</w:t>
      </w:r>
      <w:r w:rsidR="00090C93">
        <w:t xml:space="preserve"> commercially unreasonable if it exceeds retail or MVNO rates or rates charged to foreign </w:t>
      </w:r>
      <w:r w:rsidR="00696FAD">
        <w:t>providers</w:t>
      </w:r>
      <w:r>
        <w:t>).</w:t>
      </w:r>
    </w:p>
  </w:footnote>
  <w:footnote w:id="87">
    <w:p w:rsidR="004303D9" w:rsidRDefault="004303D9" w:rsidP="004303D9">
      <w:pPr>
        <w:pStyle w:val="FootnoteText"/>
      </w:pPr>
      <w:r>
        <w:rPr>
          <w:rStyle w:val="FootnoteReference"/>
        </w:rPr>
        <w:footnoteRef/>
      </w:r>
      <w:r>
        <w:t xml:space="preserve"> </w:t>
      </w:r>
      <w:r w:rsidRPr="00FE314A">
        <w:rPr>
          <w:i/>
        </w:rPr>
        <w:t>See, e.g</w:t>
      </w:r>
      <w:r>
        <w:t>., RWA Comments at 9 (</w:t>
      </w:r>
      <w:r w:rsidR="005868FD">
        <w:t>arguing that t</w:t>
      </w:r>
      <w:r w:rsidR="00233F11">
        <w:t xml:space="preserve">he Commission should </w:t>
      </w:r>
      <w:r>
        <w:t xml:space="preserve">endorse </w:t>
      </w:r>
      <w:r w:rsidR="00233F11">
        <w:t xml:space="preserve">the </w:t>
      </w:r>
      <w:r>
        <w:t xml:space="preserve">RWA Model Roaming Agreement). </w:t>
      </w:r>
    </w:p>
  </w:footnote>
  <w:footnote w:id="88">
    <w:p w:rsidR="004303D9" w:rsidRDefault="004303D9" w:rsidP="004303D9">
      <w:pPr>
        <w:pStyle w:val="FootnoteText"/>
      </w:pPr>
      <w:r>
        <w:rPr>
          <w:rStyle w:val="FootnoteReference"/>
        </w:rPr>
        <w:footnoteRef/>
      </w:r>
      <w:r w:rsidR="00976C8D">
        <w:rPr>
          <w:i/>
        </w:rPr>
        <w:t xml:space="preserve"> </w:t>
      </w:r>
      <w:r w:rsidRPr="00FE314A">
        <w:rPr>
          <w:i/>
        </w:rPr>
        <w:t>See, e.g</w:t>
      </w:r>
      <w:r>
        <w:t>., RWA Comments at 9-10; NTCH, Flat Wireless and Blue Wireless Comments at 2-3; Pinpoint Comments at 8-9.</w:t>
      </w:r>
    </w:p>
  </w:footnote>
  <w:footnote w:id="89">
    <w:p w:rsidR="004303D9" w:rsidRDefault="004303D9" w:rsidP="004303D9">
      <w:pPr>
        <w:pStyle w:val="FootnoteText"/>
      </w:pPr>
      <w:r>
        <w:rPr>
          <w:rStyle w:val="FootnoteReference"/>
        </w:rPr>
        <w:footnoteRef/>
      </w:r>
      <w:r>
        <w:t xml:space="preserve"> </w:t>
      </w:r>
      <w:r>
        <w:rPr>
          <w:i/>
        </w:rPr>
        <w:t xml:space="preserve">See, e.g., </w:t>
      </w:r>
      <w:r>
        <w:t>NTCA Comments at 6-8; Blooston Comments at</w:t>
      </w:r>
      <w:r w:rsidR="00D405F6">
        <w:t xml:space="preserve"> </w:t>
      </w:r>
      <w:r>
        <w:t xml:space="preserve">1-3.  </w:t>
      </w:r>
    </w:p>
  </w:footnote>
  <w:footnote w:id="90">
    <w:p w:rsidR="004303D9" w:rsidRPr="00710290" w:rsidRDefault="004303D9" w:rsidP="004303D9">
      <w:pPr>
        <w:pStyle w:val="FootnoteText"/>
        <w:rPr>
          <w:b/>
        </w:rPr>
      </w:pPr>
      <w:r>
        <w:rPr>
          <w:rStyle w:val="FootnoteReference"/>
        </w:rPr>
        <w:footnoteRef/>
      </w:r>
      <w:r>
        <w:t xml:space="preserve"> </w:t>
      </w:r>
      <w:r w:rsidR="00BC1E51">
        <w:t>Under our delegated authority pursuant to 47 C.F.R. § 1.429</w:t>
      </w:r>
      <w:r w:rsidR="00BC1E51" w:rsidRPr="00583E3A">
        <w:t>(</w:t>
      </w:r>
      <w:r w:rsidR="00583E3A">
        <w:t>l</w:t>
      </w:r>
      <w:r w:rsidR="00BC1E51" w:rsidRPr="00583E3A">
        <w:t>),</w:t>
      </w:r>
      <w:r w:rsidR="00BC1E51">
        <w:t xml:space="preserve"> w</w:t>
      </w:r>
      <w:r w:rsidR="00BC1E51" w:rsidRPr="002155CE">
        <w:t>e</w:t>
      </w:r>
      <w:r w:rsidR="00BC1E51">
        <w:t xml:space="preserve"> also have already denied </w:t>
      </w:r>
      <w:r>
        <w:t xml:space="preserve">a petition for reconsideration of the Commission’s determination in the </w:t>
      </w:r>
      <w:r>
        <w:rPr>
          <w:i/>
        </w:rPr>
        <w:t xml:space="preserve">Data Roaming Order </w:t>
      </w:r>
      <w:r>
        <w:t>to reject such a shot clock</w:t>
      </w:r>
      <w:r w:rsidR="00ED0827">
        <w:t xml:space="preserve"> on the basis </w:t>
      </w:r>
      <w:r w:rsidR="00F359DA">
        <w:t xml:space="preserve">that </w:t>
      </w:r>
      <w:r w:rsidR="00ED0827">
        <w:t>the data roaming rule allow</w:t>
      </w:r>
      <w:r w:rsidR="00F359DA">
        <w:t>s</w:t>
      </w:r>
      <w:r w:rsidR="00ED0827" w:rsidRPr="00ED0827">
        <w:t xml:space="preserve"> </w:t>
      </w:r>
      <w:r w:rsidR="00ED0827">
        <w:t>“individual providers to seek expedited intervention by the Commission when a provider is unduly delaying the course of a data roaming negotiation” irrespective of any specific time frame for negotiations</w:t>
      </w:r>
      <w:r>
        <w:t xml:space="preserve">.  </w:t>
      </w:r>
      <w:r w:rsidRPr="00B11D5E">
        <w:rPr>
          <w:i/>
        </w:rPr>
        <w:t>See</w:t>
      </w:r>
      <w:r>
        <w:t xml:space="preserve"> Reexamination of Roaming Obligations of Commercial Mobile Radio Service Providers and Other </w:t>
      </w:r>
      <w:r w:rsidR="00F359DA">
        <w:t>P</w:t>
      </w:r>
      <w:r>
        <w:t xml:space="preserve">roviders of Mobile Data Services, </w:t>
      </w:r>
      <w:r>
        <w:rPr>
          <w:i/>
        </w:rPr>
        <w:t xml:space="preserve">Order on Reconsideration, </w:t>
      </w:r>
      <w:r>
        <w:t>29 FCC Rcd 7515</w:t>
      </w:r>
      <w:r w:rsidR="00D405F6">
        <w:t xml:space="preserve">, 7520 </w:t>
      </w:r>
      <w:r w:rsidR="00D405F6" w:rsidRPr="00D55D9E">
        <w:t>¶</w:t>
      </w:r>
      <w:r w:rsidR="00D405F6">
        <w:t xml:space="preserve"> 12 </w:t>
      </w:r>
      <w:r>
        <w:t>(WTB 2014).</w:t>
      </w:r>
    </w:p>
  </w:footnote>
  <w:footnote w:id="91">
    <w:p w:rsidR="002C2713" w:rsidRPr="002C2713" w:rsidRDefault="002C2713">
      <w:pPr>
        <w:pStyle w:val="FootnoteText"/>
      </w:pPr>
      <w:r>
        <w:rPr>
          <w:rStyle w:val="FootnoteReference"/>
        </w:rPr>
        <w:footnoteRef/>
      </w:r>
      <w:r>
        <w:t xml:space="preserve"> </w:t>
      </w:r>
      <w:r>
        <w:rPr>
          <w:i/>
        </w:rPr>
        <w:t xml:space="preserve">Data Roaming Order, </w:t>
      </w:r>
      <w:r>
        <w:t>26 FCC Rcd at 5451 ¶ 82 (“delegated authority to resolve . . . disputes with respect to the data roaming rule”).</w:t>
      </w:r>
    </w:p>
  </w:footnote>
  <w:footnote w:id="92">
    <w:p w:rsidR="002C2713" w:rsidRPr="001F2354" w:rsidRDefault="002C2713">
      <w:pPr>
        <w:pStyle w:val="FootnoteText"/>
      </w:pPr>
      <w:r>
        <w:rPr>
          <w:rStyle w:val="FootnoteReference"/>
        </w:rPr>
        <w:footnoteRef/>
      </w:r>
      <w:r>
        <w:t xml:space="preserve"> </w:t>
      </w:r>
      <w:r>
        <w:rPr>
          <w:i/>
        </w:rPr>
        <w:t xml:space="preserve">See also </w:t>
      </w:r>
      <w:r w:rsidR="001F2354">
        <w:rPr>
          <w:i/>
        </w:rPr>
        <w:t xml:space="preserve">Charles County Broadcasting Co., </w:t>
      </w:r>
      <w:r w:rsidR="001F2354">
        <w:t xml:space="preserve">25 R.R. 903, 906-07 (1963) (confirming Review Board’s authority with respect to “consideration or interpretation of existing Commission policy,” and “consider[ation of] the extension of present policies to include new factual situations without making new, or changing old, policy”).  </w:t>
      </w:r>
      <w:r w:rsidR="001F2354">
        <w:rPr>
          <w:i/>
        </w:rPr>
        <w:t xml:space="preserve">See generally </w:t>
      </w:r>
      <w:r w:rsidR="001F2354">
        <w:t xml:space="preserve">R. Pierce, Administrative Law Treatise § 2.7 (2010), quoting 107 Cong. Rec. 5847, 5849 (1961) (remarks of President Kennedy) (need for “reduction of existing delays in our regulatory agencies” through subdelegation, leading to enactment of 47 U.S.C. § </w:t>
      </w:r>
      <w:r w:rsidR="005E41AD">
        <w:t>155(c)).</w:t>
      </w:r>
      <w:r w:rsidR="001F235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AE" w:rsidRDefault="00C16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9" w:rsidRDefault="00485579" w:rsidP="00810B6F">
    <w:pPr>
      <w:pStyle w:val="Header"/>
      <w:rPr>
        <w:b w:val="0"/>
      </w:rPr>
    </w:pPr>
    <w:r>
      <w:tab/>
      <w:t>Federal Communications Commission</w:t>
    </w:r>
    <w:r>
      <w:tab/>
      <w:t xml:space="preserve">DA </w:t>
    </w:r>
    <w:r w:rsidR="009027AF">
      <w:t>14-1865</w:t>
    </w:r>
  </w:p>
  <w:p w:rsidR="00485579" w:rsidRDefault="0048557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2ED8157" wp14:editId="3C87AFD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85579" w:rsidRDefault="0048557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9" w:rsidRDefault="0048557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482921A" wp14:editId="502BE50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 xml:space="preserve">DA </w:t>
    </w:r>
    <w:r w:rsidR="009027AF">
      <w:t>14-1865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251"/>
    <w:multiLevelType w:val="hybridMultilevel"/>
    <w:tmpl w:val="62302848"/>
    <w:lvl w:ilvl="0" w:tplc="D0CC9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BB5526"/>
    <w:multiLevelType w:val="hybridMultilevel"/>
    <w:tmpl w:val="C4EACC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F351EA2"/>
    <w:multiLevelType w:val="hybridMultilevel"/>
    <w:tmpl w:val="C94863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lvlOverride w:ilvl="0">
      <w:startOverride w:val="1"/>
    </w:lvlOverride>
  </w:num>
  <w:num w:numId="11">
    <w:abstractNumId w:val="7"/>
  </w:num>
  <w:num w:numId="12">
    <w:abstractNumId w:val="0"/>
  </w:num>
  <w:num w:numId="13">
    <w:abstractNumId w:val="7"/>
  </w:num>
  <w:num w:numId="14">
    <w:abstractNumId w:val="7"/>
    <w:lvlOverride w:ilvl="0">
      <w:startOverride w:val="1"/>
    </w:lvlOverride>
  </w:num>
  <w:num w:numId="15">
    <w:abstractNumId w:val="7"/>
  </w:num>
  <w:num w:numId="16">
    <w:abstractNumId w:val="3"/>
  </w:num>
  <w:num w:numId="17">
    <w:abstractNumId w:val="6"/>
  </w:num>
  <w:num w:numId="18">
    <w:abstractNumId w:val="4"/>
  </w:num>
  <w:num w:numId="19">
    <w:abstractNumId w:val="1"/>
  </w:num>
  <w:num w:numId="20">
    <w:abstractNumId w:val="7"/>
    <w:lvlOverride w:ilvl="0">
      <w:startOverride w:val="1"/>
    </w:lvlOverride>
  </w:num>
  <w:num w:numId="21">
    <w:abstractNumId w:val="7"/>
  </w:num>
  <w:num w:numId="22">
    <w:abstractNumId w:val="8"/>
  </w:num>
  <w:num w:numId="23">
    <w:abstractNumId w:val="7"/>
    <w:lvlOverride w:ilvl="0">
      <w:startOverride w:val="1"/>
    </w:lvlOverride>
  </w:num>
  <w:num w:numId="24">
    <w:abstractNumId w:val="7"/>
    <w:lvlOverride w:ilvl="0">
      <w:startOverride w:val="1"/>
    </w:lvlOverride>
  </w:num>
  <w:num w:numId="25">
    <w:abstractNumId w:val="7"/>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9"/>
    <w:rsid w:val="00000BAF"/>
    <w:rsid w:val="00002253"/>
    <w:rsid w:val="000044AC"/>
    <w:rsid w:val="00013753"/>
    <w:rsid w:val="00014752"/>
    <w:rsid w:val="000163B4"/>
    <w:rsid w:val="0001797A"/>
    <w:rsid w:val="00021C93"/>
    <w:rsid w:val="000227E1"/>
    <w:rsid w:val="00030C6A"/>
    <w:rsid w:val="000328D2"/>
    <w:rsid w:val="00033BA7"/>
    <w:rsid w:val="00036039"/>
    <w:rsid w:val="000362F3"/>
    <w:rsid w:val="000363D6"/>
    <w:rsid w:val="00037F90"/>
    <w:rsid w:val="000411B6"/>
    <w:rsid w:val="00042580"/>
    <w:rsid w:val="00042862"/>
    <w:rsid w:val="00045295"/>
    <w:rsid w:val="00046080"/>
    <w:rsid w:val="00050B17"/>
    <w:rsid w:val="0005181B"/>
    <w:rsid w:val="00051CCA"/>
    <w:rsid w:val="000561FF"/>
    <w:rsid w:val="00060B6A"/>
    <w:rsid w:val="00074463"/>
    <w:rsid w:val="0007707E"/>
    <w:rsid w:val="00077C66"/>
    <w:rsid w:val="00080B75"/>
    <w:rsid w:val="00080FEE"/>
    <w:rsid w:val="0008171F"/>
    <w:rsid w:val="00082038"/>
    <w:rsid w:val="0008209A"/>
    <w:rsid w:val="000824FA"/>
    <w:rsid w:val="00082FE4"/>
    <w:rsid w:val="00083861"/>
    <w:rsid w:val="00083898"/>
    <w:rsid w:val="000875BF"/>
    <w:rsid w:val="00090C93"/>
    <w:rsid w:val="00091397"/>
    <w:rsid w:val="0009390F"/>
    <w:rsid w:val="00093C1C"/>
    <w:rsid w:val="00096D8C"/>
    <w:rsid w:val="00097C8F"/>
    <w:rsid w:val="000A0E7F"/>
    <w:rsid w:val="000A440E"/>
    <w:rsid w:val="000A5D30"/>
    <w:rsid w:val="000A6885"/>
    <w:rsid w:val="000B1EE9"/>
    <w:rsid w:val="000B336C"/>
    <w:rsid w:val="000B4B03"/>
    <w:rsid w:val="000C0B65"/>
    <w:rsid w:val="000C18FD"/>
    <w:rsid w:val="000C5B56"/>
    <w:rsid w:val="000C7706"/>
    <w:rsid w:val="000D091A"/>
    <w:rsid w:val="000D34B8"/>
    <w:rsid w:val="000D479A"/>
    <w:rsid w:val="000E05FE"/>
    <w:rsid w:val="000E3D42"/>
    <w:rsid w:val="000E42EB"/>
    <w:rsid w:val="000E55FC"/>
    <w:rsid w:val="000E60CD"/>
    <w:rsid w:val="000F120C"/>
    <w:rsid w:val="000F402B"/>
    <w:rsid w:val="000F6A4C"/>
    <w:rsid w:val="000F7914"/>
    <w:rsid w:val="00100E1F"/>
    <w:rsid w:val="00105AB6"/>
    <w:rsid w:val="00110D49"/>
    <w:rsid w:val="00112DF3"/>
    <w:rsid w:val="00113E5C"/>
    <w:rsid w:val="00117C59"/>
    <w:rsid w:val="00120441"/>
    <w:rsid w:val="00122BD5"/>
    <w:rsid w:val="00123374"/>
    <w:rsid w:val="001265F8"/>
    <w:rsid w:val="00131AED"/>
    <w:rsid w:val="00133F79"/>
    <w:rsid w:val="00136316"/>
    <w:rsid w:val="00137F3B"/>
    <w:rsid w:val="0014019A"/>
    <w:rsid w:val="001416EC"/>
    <w:rsid w:val="001425C9"/>
    <w:rsid w:val="0014607C"/>
    <w:rsid w:val="00152738"/>
    <w:rsid w:val="0015736D"/>
    <w:rsid w:val="00157940"/>
    <w:rsid w:val="0016395B"/>
    <w:rsid w:val="00164385"/>
    <w:rsid w:val="00167C2C"/>
    <w:rsid w:val="00170AAE"/>
    <w:rsid w:val="00176DA5"/>
    <w:rsid w:val="00177513"/>
    <w:rsid w:val="001909F0"/>
    <w:rsid w:val="00192D71"/>
    <w:rsid w:val="00194A66"/>
    <w:rsid w:val="001A16AB"/>
    <w:rsid w:val="001A7DCB"/>
    <w:rsid w:val="001B0A57"/>
    <w:rsid w:val="001B0C88"/>
    <w:rsid w:val="001B2A43"/>
    <w:rsid w:val="001B3345"/>
    <w:rsid w:val="001B47F9"/>
    <w:rsid w:val="001B5619"/>
    <w:rsid w:val="001C2F44"/>
    <w:rsid w:val="001C3191"/>
    <w:rsid w:val="001C3F00"/>
    <w:rsid w:val="001C5626"/>
    <w:rsid w:val="001D062B"/>
    <w:rsid w:val="001D0DE8"/>
    <w:rsid w:val="001D14F3"/>
    <w:rsid w:val="001D25A1"/>
    <w:rsid w:val="001D6BCF"/>
    <w:rsid w:val="001E01CA"/>
    <w:rsid w:val="001E0889"/>
    <w:rsid w:val="001E1E57"/>
    <w:rsid w:val="001E4816"/>
    <w:rsid w:val="001E4E72"/>
    <w:rsid w:val="001F002E"/>
    <w:rsid w:val="001F0B59"/>
    <w:rsid w:val="001F2354"/>
    <w:rsid w:val="002101A5"/>
    <w:rsid w:val="00214AF6"/>
    <w:rsid w:val="00217BC8"/>
    <w:rsid w:val="00220694"/>
    <w:rsid w:val="002210B3"/>
    <w:rsid w:val="00221BAA"/>
    <w:rsid w:val="0022231E"/>
    <w:rsid w:val="00223368"/>
    <w:rsid w:val="00224256"/>
    <w:rsid w:val="0023331D"/>
    <w:rsid w:val="002334C1"/>
    <w:rsid w:val="00233F11"/>
    <w:rsid w:val="0023697D"/>
    <w:rsid w:val="00236F82"/>
    <w:rsid w:val="002370A7"/>
    <w:rsid w:val="00244A52"/>
    <w:rsid w:val="002547FA"/>
    <w:rsid w:val="00256AB7"/>
    <w:rsid w:val="002574AD"/>
    <w:rsid w:val="00262069"/>
    <w:rsid w:val="00263B18"/>
    <w:rsid w:val="00266159"/>
    <w:rsid w:val="00270A8B"/>
    <w:rsid w:val="00272AFE"/>
    <w:rsid w:val="0027572D"/>
    <w:rsid w:val="00275CF5"/>
    <w:rsid w:val="002816C7"/>
    <w:rsid w:val="00282DD3"/>
    <w:rsid w:val="0028301F"/>
    <w:rsid w:val="00285017"/>
    <w:rsid w:val="00286FB7"/>
    <w:rsid w:val="00287A0C"/>
    <w:rsid w:val="002928D2"/>
    <w:rsid w:val="00293B52"/>
    <w:rsid w:val="002942A0"/>
    <w:rsid w:val="00294C29"/>
    <w:rsid w:val="002952EC"/>
    <w:rsid w:val="00295573"/>
    <w:rsid w:val="002A2D2E"/>
    <w:rsid w:val="002A4475"/>
    <w:rsid w:val="002A59E7"/>
    <w:rsid w:val="002B1805"/>
    <w:rsid w:val="002B29C2"/>
    <w:rsid w:val="002B61CD"/>
    <w:rsid w:val="002B63D9"/>
    <w:rsid w:val="002B69B2"/>
    <w:rsid w:val="002C00E8"/>
    <w:rsid w:val="002C13B7"/>
    <w:rsid w:val="002C2713"/>
    <w:rsid w:val="002C3367"/>
    <w:rsid w:val="002C6BE1"/>
    <w:rsid w:val="002D31FF"/>
    <w:rsid w:val="002D4D06"/>
    <w:rsid w:val="002D53AE"/>
    <w:rsid w:val="002D60F8"/>
    <w:rsid w:val="002D75F4"/>
    <w:rsid w:val="002E39CA"/>
    <w:rsid w:val="002E5113"/>
    <w:rsid w:val="002F1039"/>
    <w:rsid w:val="002F662A"/>
    <w:rsid w:val="002F6B5F"/>
    <w:rsid w:val="0030247F"/>
    <w:rsid w:val="003061DE"/>
    <w:rsid w:val="00306E56"/>
    <w:rsid w:val="00311B7B"/>
    <w:rsid w:val="00313F6F"/>
    <w:rsid w:val="00314FB1"/>
    <w:rsid w:val="00317CEE"/>
    <w:rsid w:val="003209A3"/>
    <w:rsid w:val="00325DE9"/>
    <w:rsid w:val="003301B9"/>
    <w:rsid w:val="00330DFC"/>
    <w:rsid w:val="0033218A"/>
    <w:rsid w:val="00334E66"/>
    <w:rsid w:val="0034152E"/>
    <w:rsid w:val="003417FB"/>
    <w:rsid w:val="00343749"/>
    <w:rsid w:val="00346612"/>
    <w:rsid w:val="00350547"/>
    <w:rsid w:val="00356312"/>
    <w:rsid w:val="003609F0"/>
    <w:rsid w:val="003639B7"/>
    <w:rsid w:val="0036412A"/>
    <w:rsid w:val="003660ED"/>
    <w:rsid w:val="00366817"/>
    <w:rsid w:val="0036686A"/>
    <w:rsid w:val="00370D76"/>
    <w:rsid w:val="00371325"/>
    <w:rsid w:val="00371E4B"/>
    <w:rsid w:val="003727C4"/>
    <w:rsid w:val="00375431"/>
    <w:rsid w:val="003765C5"/>
    <w:rsid w:val="00376F1D"/>
    <w:rsid w:val="0037723C"/>
    <w:rsid w:val="00381412"/>
    <w:rsid w:val="00393204"/>
    <w:rsid w:val="003934DE"/>
    <w:rsid w:val="00395852"/>
    <w:rsid w:val="0039723D"/>
    <w:rsid w:val="003A0055"/>
    <w:rsid w:val="003A3203"/>
    <w:rsid w:val="003A5112"/>
    <w:rsid w:val="003A590D"/>
    <w:rsid w:val="003A6EA7"/>
    <w:rsid w:val="003B0550"/>
    <w:rsid w:val="003B0720"/>
    <w:rsid w:val="003B1F46"/>
    <w:rsid w:val="003B1F76"/>
    <w:rsid w:val="003B335A"/>
    <w:rsid w:val="003B3B80"/>
    <w:rsid w:val="003B694F"/>
    <w:rsid w:val="003C0BAB"/>
    <w:rsid w:val="003C1696"/>
    <w:rsid w:val="003D324D"/>
    <w:rsid w:val="003D4268"/>
    <w:rsid w:val="003D611C"/>
    <w:rsid w:val="003D61A1"/>
    <w:rsid w:val="003D704F"/>
    <w:rsid w:val="003E6629"/>
    <w:rsid w:val="003F0934"/>
    <w:rsid w:val="003F171C"/>
    <w:rsid w:val="003F2736"/>
    <w:rsid w:val="003F35EC"/>
    <w:rsid w:val="003F4367"/>
    <w:rsid w:val="0040042C"/>
    <w:rsid w:val="00400F8B"/>
    <w:rsid w:val="0040314C"/>
    <w:rsid w:val="004040FD"/>
    <w:rsid w:val="00404CA9"/>
    <w:rsid w:val="00405469"/>
    <w:rsid w:val="00412FC5"/>
    <w:rsid w:val="00422276"/>
    <w:rsid w:val="004242F1"/>
    <w:rsid w:val="004250D4"/>
    <w:rsid w:val="004261DA"/>
    <w:rsid w:val="004303D9"/>
    <w:rsid w:val="00430637"/>
    <w:rsid w:val="0043202B"/>
    <w:rsid w:val="00432229"/>
    <w:rsid w:val="0043446E"/>
    <w:rsid w:val="004344B7"/>
    <w:rsid w:val="004368A5"/>
    <w:rsid w:val="00437088"/>
    <w:rsid w:val="00442A49"/>
    <w:rsid w:val="00445A00"/>
    <w:rsid w:val="00447649"/>
    <w:rsid w:val="00450DE1"/>
    <w:rsid w:val="00451B0F"/>
    <w:rsid w:val="0045201B"/>
    <w:rsid w:val="00455263"/>
    <w:rsid w:val="0046374B"/>
    <w:rsid w:val="00464183"/>
    <w:rsid w:val="00464A14"/>
    <w:rsid w:val="0046704B"/>
    <w:rsid w:val="00472117"/>
    <w:rsid w:val="0047402D"/>
    <w:rsid w:val="00475114"/>
    <w:rsid w:val="004759F8"/>
    <w:rsid w:val="00475EF2"/>
    <w:rsid w:val="004767E6"/>
    <w:rsid w:val="00480A90"/>
    <w:rsid w:val="00485579"/>
    <w:rsid w:val="004875F4"/>
    <w:rsid w:val="00487763"/>
    <w:rsid w:val="0048792C"/>
    <w:rsid w:val="00490388"/>
    <w:rsid w:val="00490D27"/>
    <w:rsid w:val="00493823"/>
    <w:rsid w:val="004946D0"/>
    <w:rsid w:val="00495579"/>
    <w:rsid w:val="00496D69"/>
    <w:rsid w:val="004973FC"/>
    <w:rsid w:val="004A1C5B"/>
    <w:rsid w:val="004A33EB"/>
    <w:rsid w:val="004A454B"/>
    <w:rsid w:val="004A4DE6"/>
    <w:rsid w:val="004A5B3E"/>
    <w:rsid w:val="004A70B0"/>
    <w:rsid w:val="004B148A"/>
    <w:rsid w:val="004B3EF8"/>
    <w:rsid w:val="004B5132"/>
    <w:rsid w:val="004B79A2"/>
    <w:rsid w:val="004C2174"/>
    <w:rsid w:val="004C2579"/>
    <w:rsid w:val="004C2EE3"/>
    <w:rsid w:val="004C3211"/>
    <w:rsid w:val="004C7EEF"/>
    <w:rsid w:val="004D10BF"/>
    <w:rsid w:val="004D16F4"/>
    <w:rsid w:val="004D182F"/>
    <w:rsid w:val="004D5181"/>
    <w:rsid w:val="004D55D5"/>
    <w:rsid w:val="004D6CB3"/>
    <w:rsid w:val="004D74CA"/>
    <w:rsid w:val="004D759A"/>
    <w:rsid w:val="004D7E5F"/>
    <w:rsid w:val="004E1C10"/>
    <w:rsid w:val="004E2F1A"/>
    <w:rsid w:val="004E3241"/>
    <w:rsid w:val="004E346E"/>
    <w:rsid w:val="004E4A22"/>
    <w:rsid w:val="004E4B5E"/>
    <w:rsid w:val="004E5BC3"/>
    <w:rsid w:val="004E7241"/>
    <w:rsid w:val="004F7066"/>
    <w:rsid w:val="004F79B3"/>
    <w:rsid w:val="00501817"/>
    <w:rsid w:val="00501B21"/>
    <w:rsid w:val="0050747C"/>
    <w:rsid w:val="005077A3"/>
    <w:rsid w:val="00511968"/>
    <w:rsid w:val="00512E59"/>
    <w:rsid w:val="005159C0"/>
    <w:rsid w:val="005162DB"/>
    <w:rsid w:val="0052107E"/>
    <w:rsid w:val="00521B38"/>
    <w:rsid w:val="00524CB0"/>
    <w:rsid w:val="00524EA7"/>
    <w:rsid w:val="00527002"/>
    <w:rsid w:val="0053035B"/>
    <w:rsid w:val="00531C4C"/>
    <w:rsid w:val="00531C7D"/>
    <w:rsid w:val="00533ADD"/>
    <w:rsid w:val="00534DFE"/>
    <w:rsid w:val="005355F5"/>
    <w:rsid w:val="00537B80"/>
    <w:rsid w:val="0054047A"/>
    <w:rsid w:val="00540DF7"/>
    <w:rsid w:val="0054289C"/>
    <w:rsid w:val="00545EC4"/>
    <w:rsid w:val="005527E6"/>
    <w:rsid w:val="0055614C"/>
    <w:rsid w:val="00557957"/>
    <w:rsid w:val="00557E7E"/>
    <w:rsid w:val="00560DAA"/>
    <w:rsid w:val="005618F7"/>
    <w:rsid w:val="00562EDE"/>
    <w:rsid w:val="00565844"/>
    <w:rsid w:val="00570CB9"/>
    <w:rsid w:val="005733F7"/>
    <w:rsid w:val="00574B22"/>
    <w:rsid w:val="0058052E"/>
    <w:rsid w:val="005818DA"/>
    <w:rsid w:val="00583E3A"/>
    <w:rsid w:val="005868FD"/>
    <w:rsid w:val="00586B79"/>
    <w:rsid w:val="00591874"/>
    <w:rsid w:val="00591DF9"/>
    <w:rsid w:val="00594857"/>
    <w:rsid w:val="00595290"/>
    <w:rsid w:val="00595674"/>
    <w:rsid w:val="00595D96"/>
    <w:rsid w:val="005A52AF"/>
    <w:rsid w:val="005B0D87"/>
    <w:rsid w:val="005B3DC6"/>
    <w:rsid w:val="005B469E"/>
    <w:rsid w:val="005B59EA"/>
    <w:rsid w:val="005B6E72"/>
    <w:rsid w:val="005C02E3"/>
    <w:rsid w:val="005D123A"/>
    <w:rsid w:val="005D4E70"/>
    <w:rsid w:val="005E14C2"/>
    <w:rsid w:val="005E41AD"/>
    <w:rsid w:val="005E4956"/>
    <w:rsid w:val="005E775E"/>
    <w:rsid w:val="005E7D29"/>
    <w:rsid w:val="005F76D3"/>
    <w:rsid w:val="005F7BCB"/>
    <w:rsid w:val="00603332"/>
    <w:rsid w:val="006039D2"/>
    <w:rsid w:val="00604368"/>
    <w:rsid w:val="00605B0A"/>
    <w:rsid w:val="006077B9"/>
    <w:rsid w:val="00607BA5"/>
    <w:rsid w:val="006109BD"/>
    <w:rsid w:val="00610FA9"/>
    <w:rsid w:val="0061180A"/>
    <w:rsid w:val="006155BD"/>
    <w:rsid w:val="00616F3D"/>
    <w:rsid w:val="00617565"/>
    <w:rsid w:val="00617A35"/>
    <w:rsid w:val="00620DCF"/>
    <w:rsid w:val="00621F7B"/>
    <w:rsid w:val="0062396A"/>
    <w:rsid w:val="00626724"/>
    <w:rsid w:val="00626EB6"/>
    <w:rsid w:val="00630D4F"/>
    <w:rsid w:val="0063128A"/>
    <w:rsid w:val="00632C3E"/>
    <w:rsid w:val="00633247"/>
    <w:rsid w:val="006412BD"/>
    <w:rsid w:val="00642E46"/>
    <w:rsid w:val="006459C3"/>
    <w:rsid w:val="00646AF4"/>
    <w:rsid w:val="006470E9"/>
    <w:rsid w:val="00650E0C"/>
    <w:rsid w:val="00651650"/>
    <w:rsid w:val="0065296A"/>
    <w:rsid w:val="00655D03"/>
    <w:rsid w:val="00656091"/>
    <w:rsid w:val="00661510"/>
    <w:rsid w:val="00661D59"/>
    <w:rsid w:val="00662F25"/>
    <w:rsid w:val="00663690"/>
    <w:rsid w:val="00666BA2"/>
    <w:rsid w:val="00670DB7"/>
    <w:rsid w:val="00671DFA"/>
    <w:rsid w:val="00671F0E"/>
    <w:rsid w:val="00671F71"/>
    <w:rsid w:val="00674778"/>
    <w:rsid w:val="006754D2"/>
    <w:rsid w:val="006805CD"/>
    <w:rsid w:val="00681AFF"/>
    <w:rsid w:val="00681DEF"/>
    <w:rsid w:val="00683388"/>
    <w:rsid w:val="00683F84"/>
    <w:rsid w:val="00690CA6"/>
    <w:rsid w:val="0069142A"/>
    <w:rsid w:val="00691954"/>
    <w:rsid w:val="00693644"/>
    <w:rsid w:val="00693C1B"/>
    <w:rsid w:val="00696FAD"/>
    <w:rsid w:val="006A01CC"/>
    <w:rsid w:val="006A4376"/>
    <w:rsid w:val="006A6A81"/>
    <w:rsid w:val="006B01E3"/>
    <w:rsid w:val="006B1584"/>
    <w:rsid w:val="006B1EA6"/>
    <w:rsid w:val="006B64E0"/>
    <w:rsid w:val="006C147C"/>
    <w:rsid w:val="006C1EB8"/>
    <w:rsid w:val="006C3286"/>
    <w:rsid w:val="006D06B5"/>
    <w:rsid w:val="006D12ED"/>
    <w:rsid w:val="006D1430"/>
    <w:rsid w:val="006D5090"/>
    <w:rsid w:val="006D56D9"/>
    <w:rsid w:val="006D5884"/>
    <w:rsid w:val="006E25D8"/>
    <w:rsid w:val="006E2C04"/>
    <w:rsid w:val="006E2FBB"/>
    <w:rsid w:val="006E4AC7"/>
    <w:rsid w:val="006E57DC"/>
    <w:rsid w:val="006F36FE"/>
    <w:rsid w:val="006F4AA8"/>
    <w:rsid w:val="006F4C8D"/>
    <w:rsid w:val="006F7393"/>
    <w:rsid w:val="0070224F"/>
    <w:rsid w:val="0070437C"/>
    <w:rsid w:val="0070452F"/>
    <w:rsid w:val="007045FF"/>
    <w:rsid w:val="00710290"/>
    <w:rsid w:val="007115F7"/>
    <w:rsid w:val="00713635"/>
    <w:rsid w:val="00713C4F"/>
    <w:rsid w:val="00717D72"/>
    <w:rsid w:val="007252BB"/>
    <w:rsid w:val="00725702"/>
    <w:rsid w:val="00727C9F"/>
    <w:rsid w:val="00733B3F"/>
    <w:rsid w:val="0073606C"/>
    <w:rsid w:val="00736743"/>
    <w:rsid w:val="007379C5"/>
    <w:rsid w:val="007446E8"/>
    <w:rsid w:val="0074545E"/>
    <w:rsid w:val="0075200E"/>
    <w:rsid w:val="00756C91"/>
    <w:rsid w:val="00757857"/>
    <w:rsid w:val="007642DD"/>
    <w:rsid w:val="00764AE1"/>
    <w:rsid w:val="0076661E"/>
    <w:rsid w:val="00770DAA"/>
    <w:rsid w:val="00773432"/>
    <w:rsid w:val="00776F29"/>
    <w:rsid w:val="007770A6"/>
    <w:rsid w:val="00785689"/>
    <w:rsid w:val="00786FBD"/>
    <w:rsid w:val="007915C3"/>
    <w:rsid w:val="007917B8"/>
    <w:rsid w:val="0079617A"/>
    <w:rsid w:val="0079754B"/>
    <w:rsid w:val="007A1E6D"/>
    <w:rsid w:val="007A222F"/>
    <w:rsid w:val="007A7D9C"/>
    <w:rsid w:val="007B0996"/>
    <w:rsid w:val="007B0EB2"/>
    <w:rsid w:val="007B2D52"/>
    <w:rsid w:val="007B47AF"/>
    <w:rsid w:val="007B52F3"/>
    <w:rsid w:val="007B6437"/>
    <w:rsid w:val="007B6EF1"/>
    <w:rsid w:val="007B750C"/>
    <w:rsid w:val="007C3C79"/>
    <w:rsid w:val="007C6FD3"/>
    <w:rsid w:val="007D111A"/>
    <w:rsid w:val="007D1FE1"/>
    <w:rsid w:val="007D319D"/>
    <w:rsid w:val="007D596D"/>
    <w:rsid w:val="007D7795"/>
    <w:rsid w:val="007E39E6"/>
    <w:rsid w:val="007E3E0E"/>
    <w:rsid w:val="007E5564"/>
    <w:rsid w:val="007E5E84"/>
    <w:rsid w:val="007E62FF"/>
    <w:rsid w:val="007F0DF9"/>
    <w:rsid w:val="007F1BD7"/>
    <w:rsid w:val="007F3E51"/>
    <w:rsid w:val="007F46A6"/>
    <w:rsid w:val="007F4C88"/>
    <w:rsid w:val="007F7EA1"/>
    <w:rsid w:val="00803D1F"/>
    <w:rsid w:val="00803D4B"/>
    <w:rsid w:val="00804858"/>
    <w:rsid w:val="00804AD0"/>
    <w:rsid w:val="008079DA"/>
    <w:rsid w:val="00810B6F"/>
    <w:rsid w:val="00815BBF"/>
    <w:rsid w:val="00815ECB"/>
    <w:rsid w:val="00816F61"/>
    <w:rsid w:val="008223FD"/>
    <w:rsid w:val="00822CE0"/>
    <w:rsid w:val="008235A5"/>
    <w:rsid w:val="00824021"/>
    <w:rsid w:val="008264CA"/>
    <w:rsid w:val="0084125A"/>
    <w:rsid w:val="00841AB1"/>
    <w:rsid w:val="008432B6"/>
    <w:rsid w:val="00844495"/>
    <w:rsid w:val="00845B6E"/>
    <w:rsid w:val="00847CD3"/>
    <w:rsid w:val="008528AC"/>
    <w:rsid w:val="008528B6"/>
    <w:rsid w:val="00852A3E"/>
    <w:rsid w:val="00852AAE"/>
    <w:rsid w:val="00852AEB"/>
    <w:rsid w:val="00852FE3"/>
    <w:rsid w:val="00852FFF"/>
    <w:rsid w:val="00862651"/>
    <w:rsid w:val="008650BE"/>
    <w:rsid w:val="008654E5"/>
    <w:rsid w:val="00866453"/>
    <w:rsid w:val="0086747B"/>
    <w:rsid w:val="008709FC"/>
    <w:rsid w:val="00871137"/>
    <w:rsid w:val="00871AA6"/>
    <w:rsid w:val="00873014"/>
    <w:rsid w:val="00873334"/>
    <w:rsid w:val="00877099"/>
    <w:rsid w:val="00877232"/>
    <w:rsid w:val="008804EA"/>
    <w:rsid w:val="00880625"/>
    <w:rsid w:val="00886086"/>
    <w:rsid w:val="00895385"/>
    <w:rsid w:val="008953C5"/>
    <w:rsid w:val="008A3F6C"/>
    <w:rsid w:val="008A5A97"/>
    <w:rsid w:val="008A7934"/>
    <w:rsid w:val="008B39C4"/>
    <w:rsid w:val="008B572B"/>
    <w:rsid w:val="008C1A88"/>
    <w:rsid w:val="008C68F1"/>
    <w:rsid w:val="008C7084"/>
    <w:rsid w:val="008D5301"/>
    <w:rsid w:val="008D6157"/>
    <w:rsid w:val="008D66C2"/>
    <w:rsid w:val="008E4050"/>
    <w:rsid w:val="008E4CCD"/>
    <w:rsid w:val="008E6288"/>
    <w:rsid w:val="008F373F"/>
    <w:rsid w:val="008F4DDB"/>
    <w:rsid w:val="009016C6"/>
    <w:rsid w:val="009027AF"/>
    <w:rsid w:val="00905E25"/>
    <w:rsid w:val="00905FF3"/>
    <w:rsid w:val="00907A36"/>
    <w:rsid w:val="009131F2"/>
    <w:rsid w:val="00921803"/>
    <w:rsid w:val="00923102"/>
    <w:rsid w:val="00924417"/>
    <w:rsid w:val="00924BAD"/>
    <w:rsid w:val="00925A69"/>
    <w:rsid w:val="00926503"/>
    <w:rsid w:val="009303EB"/>
    <w:rsid w:val="009323E3"/>
    <w:rsid w:val="009338EB"/>
    <w:rsid w:val="00935779"/>
    <w:rsid w:val="00940AC4"/>
    <w:rsid w:val="00944982"/>
    <w:rsid w:val="00945C31"/>
    <w:rsid w:val="00962299"/>
    <w:rsid w:val="00962DC7"/>
    <w:rsid w:val="0097014D"/>
    <w:rsid w:val="0097109C"/>
    <w:rsid w:val="009726D8"/>
    <w:rsid w:val="009748FA"/>
    <w:rsid w:val="00976C8D"/>
    <w:rsid w:val="00977C7C"/>
    <w:rsid w:val="00981F84"/>
    <w:rsid w:val="009824F7"/>
    <w:rsid w:val="009838C5"/>
    <w:rsid w:val="0098394B"/>
    <w:rsid w:val="0098510F"/>
    <w:rsid w:val="009860A6"/>
    <w:rsid w:val="009909D8"/>
    <w:rsid w:val="009A30E2"/>
    <w:rsid w:val="009B03EE"/>
    <w:rsid w:val="009B1C91"/>
    <w:rsid w:val="009B477F"/>
    <w:rsid w:val="009B4930"/>
    <w:rsid w:val="009B5A63"/>
    <w:rsid w:val="009B7681"/>
    <w:rsid w:val="009C0056"/>
    <w:rsid w:val="009C0649"/>
    <w:rsid w:val="009C09B6"/>
    <w:rsid w:val="009C290D"/>
    <w:rsid w:val="009C6206"/>
    <w:rsid w:val="009D05B1"/>
    <w:rsid w:val="009D1008"/>
    <w:rsid w:val="009E0C27"/>
    <w:rsid w:val="009E14A5"/>
    <w:rsid w:val="009E1BA3"/>
    <w:rsid w:val="009E52A8"/>
    <w:rsid w:val="009E6A91"/>
    <w:rsid w:val="009E6FB5"/>
    <w:rsid w:val="009F319F"/>
    <w:rsid w:val="009F5B34"/>
    <w:rsid w:val="009F76DB"/>
    <w:rsid w:val="00A00B2E"/>
    <w:rsid w:val="00A03F7E"/>
    <w:rsid w:val="00A10AE4"/>
    <w:rsid w:val="00A11119"/>
    <w:rsid w:val="00A11EB9"/>
    <w:rsid w:val="00A147CC"/>
    <w:rsid w:val="00A16538"/>
    <w:rsid w:val="00A168EA"/>
    <w:rsid w:val="00A16FB0"/>
    <w:rsid w:val="00A22299"/>
    <w:rsid w:val="00A224DE"/>
    <w:rsid w:val="00A238A0"/>
    <w:rsid w:val="00A258B9"/>
    <w:rsid w:val="00A2658D"/>
    <w:rsid w:val="00A26604"/>
    <w:rsid w:val="00A32C3B"/>
    <w:rsid w:val="00A364A7"/>
    <w:rsid w:val="00A36DA2"/>
    <w:rsid w:val="00A3720B"/>
    <w:rsid w:val="00A4198F"/>
    <w:rsid w:val="00A42FB0"/>
    <w:rsid w:val="00A434C3"/>
    <w:rsid w:val="00A440E6"/>
    <w:rsid w:val="00A44C60"/>
    <w:rsid w:val="00A45B4F"/>
    <w:rsid w:val="00A45F4F"/>
    <w:rsid w:val="00A4741F"/>
    <w:rsid w:val="00A51FBF"/>
    <w:rsid w:val="00A600A9"/>
    <w:rsid w:val="00A60B23"/>
    <w:rsid w:val="00A60F32"/>
    <w:rsid w:val="00A611E7"/>
    <w:rsid w:val="00A63972"/>
    <w:rsid w:val="00A67B0F"/>
    <w:rsid w:val="00A70233"/>
    <w:rsid w:val="00A70CFA"/>
    <w:rsid w:val="00A72C64"/>
    <w:rsid w:val="00A75AA2"/>
    <w:rsid w:val="00A75CC0"/>
    <w:rsid w:val="00A802EC"/>
    <w:rsid w:val="00A81E6F"/>
    <w:rsid w:val="00A82E03"/>
    <w:rsid w:val="00A83ACA"/>
    <w:rsid w:val="00A8680F"/>
    <w:rsid w:val="00A86D3D"/>
    <w:rsid w:val="00A87D73"/>
    <w:rsid w:val="00A90009"/>
    <w:rsid w:val="00A91677"/>
    <w:rsid w:val="00A92F6C"/>
    <w:rsid w:val="00A932C7"/>
    <w:rsid w:val="00A95E39"/>
    <w:rsid w:val="00A970DC"/>
    <w:rsid w:val="00A97C79"/>
    <w:rsid w:val="00AA3526"/>
    <w:rsid w:val="00AA3F07"/>
    <w:rsid w:val="00AA55B7"/>
    <w:rsid w:val="00AA5B9E"/>
    <w:rsid w:val="00AB01DD"/>
    <w:rsid w:val="00AB2407"/>
    <w:rsid w:val="00AB26C5"/>
    <w:rsid w:val="00AB39F1"/>
    <w:rsid w:val="00AB4850"/>
    <w:rsid w:val="00AB53DF"/>
    <w:rsid w:val="00AC239A"/>
    <w:rsid w:val="00AC33CE"/>
    <w:rsid w:val="00AC39C0"/>
    <w:rsid w:val="00AC3DE1"/>
    <w:rsid w:val="00AC6307"/>
    <w:rsid w:val="00AD16F2"/>
    <w:rsid w:val="00AD35C2"/>
    <w:rsid w:val="00AD6578"/>
    <w:rsid w:val="00AE1B23"/>
    <w:rsid w:val="00AE1E3C"/>
    <w:rsid w:val="00AF132A"/>
    <w:rsid w:val="00AF2840"/>
    <w:rsid w:val="00AF527E"/>
    <w:rsid w:val="00B04395"/>
    <w:rsid w:val="00B07E5C"/>
    <w:rsid w:val="00B07FE5"/>
    <w:rsid w:val="00B149ED"/>
    <w:rsid w:val="00B14A84"/>
    <w:rsid w:val="00B21A20"/>
    <w:rsid w:val="00B21FC0"/>
    <w:rsid w:val="00B24407"/>
    <w:rsid w:val="00B308A5"/>
    <w:rsid w:val="00B31E7F"/>
    <w:rsid w:val="00B32C60"/>
    <w:rsid w:val="00B32E50"/>
    <w:rsid w:val="00B3530B"/>
    <w:rsid w:val="00B36B52"/>
    <w:rsid w:val="00B36BC9"/>
    <w:rsid w:val="00B42AC7"/>
    <w:rsid w:val="00B44A27"/>
    <w:rsid w:val="00B51684"/>
    <w:rsid w:val="00B518FF"/>
    <w:rsid w:val="00B52445"/>
    <w:rsid w:val="00B5279D"/>
    <w:rsid w:val="00B52A37"/>
    <w:rsid w:val="00B55DF6"/>
    <w:rsid w:val="00B56FCD"/>
    <w:rsid w:val="00B61CDF"/>
    <w:rsid w:val="00B63C39"/>
    <w:rsid w:val="00B6499C"/>
    <w:rsid w:val="00B6701C"/>
    <w:rsid w:val="00B675F4"/>
    <w:rsid w:val="00B7027E"/>
    <w:rsid w:val="00B70F71"/>
    <w:rsid w:val="00B719CD"/>
    <w:rsid w:val="00B71EAA"/>
    <w:rsid w:val="00B811F7"/>
    <w:rsid w:val="00B81C5B"/>
    <w:rsid w:val="00B86D14"/>
    <w:rsid w:val="00B90131"/>
    <w:rsid w:val="00BA576A"/>
    <w:rsid w:val="00BA5DC6"/>
    <w:rsid w:val="00BA6196"/>
    <w:rsid w:val="00BA717B"/>
    <w:rsid w:val="00BA74F7"/>
    <w:rsid w:val="00BB1B6B"/>
    <w:rsid w:val="00BC1E51"/>
    <w:rsid w:val="00BC22ED"/>
    <w:rsid w:val="00BC2C01"/>
    <w:rsid w:val="00BC4E34"/>
    <w:rsid w:val="00BC683E"/>
    <w:rsid w:val="00BC6D8C"/>
    <w:rsid w:val="00BC7E12"/>
    <w:rsid w:val="00BD20E5"/>
    <w:rsid w:val="00BD2286"/>
    <w:rsid w:val="00BD361E"/>
    <w:rsid w:val="00BE21A9"/>
    <w:rsid w:val="00BE3CFD"/>
    <w:rsid w:val="00BE516E"/>
    <w:rsid w:val="00BE709C"/>
    <w:rsid w:val="00BE712F"/>
    <w:rsid w:val="00BF1854"/>
    <w:rsid w:val="00BF343D"/>
    <w:rsid w:val="00BF5C85"/>
    <w:rsid w:val="00BF7526"/>
    <w:rsid w:val="00BF76EA"/>
    <w:rsid w:val="00BF789A"/>
    <w:rsid w:val="00BF7E9A"/>
    <w:rsid w:val="00C0073E"/>
    <w:rsid w:val="00C07A6F"/>
    <w:rsid w:val="00C161AE"/>
    <w:rsid w:val="00C170BC"/>
    <w:rsid w:val="00C1791B"/>
    <w:rsid w:val="00C2117D"/>
    <w:rsid w:val="00C21970"/>
    <w:rsid w:val="00C21BA7"/>
    <w:rsid w:val="00C22378"/>
    <w:rsid w:val="00C225C8"/>
    <w:rsid w:val="00C30C0A"/>
    <w:rsid w:val="00C32E6A"/>
    <w:rsid w:val="00C34006"/>
    <w:rsid w:val="00C34D84"/>
    <w:rsid w:val="00C37049"/>
    <w:rsid w:val="00C400F5"/>
    <w:rsid w:val="00C4044F"/>
    <w:rsid w:val="00C41F98"/>
    <w:rsid w:val="00C42342"/>
    <w:rsid w:val="00C426B1"/>
    <w:rsid w:val="00C43F82"/>
    <w:rsid w:val="00C44DEF"/>
    <w:rsid w:val="00C46A5C"/>
    <w:rsid w:val="00C508D2"/>
    <w:rsid w:val="00C52F54"/>
    <w:rsid w:val="00C530D3"/>
    <w:rsid w:val="00C5312A"/>
    <w:rsid w:val="00C53796"/>
    <w:rsid w:val="00C53AAE"/>
    <w:rsid w:val="00C53C13"/>
    <w:rsid w:val="00C61D35"/>
    <w:rsid w:val="00C632A4"/>
    <w:rsid w:val="00C65B48"/>
    <w:rsid w:val="00C66160"/>
    <w:rsid w:val="00C721AC"/>
    <w:rsid w:val="00C7345D"/>
    <w:rsid w:val="00C76EC2"/>
    <w:rsid w:val="00C77275"/>
    <w:rsid w:val="00C776F0"/>
    <w:rsid w:val="00C80E83"/>
    <w:rsid w:val="00C83BB0"/>
    <w:rsid w:val="00C83ED4"/>
    <w:rsid w:val="00C90D6A"/>
    <w:rsid w:val="00C95729"/>
    <w:rsid w:val="00CA12A1"/>
    <w:rsid w:val="00CA145E"/>
    <w:rsid w:val="00CA1780"/>
    <w:rsid w:val="00CA247E"/>
    <w:rsid w:val="00CA2F16"/>
    <w:rsid w:val="00CA6FB8"/>
    <w:rsid w:val="00CB05CF"/>
    <w:rsid w:val="00CB1238"/>
    <w:rsid w:val="00CB1CA9"/>
    <w:rsid w:val="00CB2EE4"/>
    <w:rsid w:val="00CB30D7"/>
    <w:rsid w:val="00CB4139"/>
    <w:rsid w:val="00CB43CD"/>
    <w:rsid w:val="00CC0166"/>
    <w:rsid w:val="00CC1497"/>
    <w:rsid w:val="00CC21FF"/>
    <w:rsid w:val="00CC2620"/>
    <w:rsid w:val="00CC2B7C"/>
    <w:rsid w:val="00CC72B6"/>
    <w:rsid w:val="00CD2AC5"/>
    <w:rsid w:val="00CD4ACD"/>
    <w:rsid w:val="00CE162C"/>
    <w:rsid w:val="00CE3F18"/>
    <w:rsid w:val="00CE6FD0"/>
    <w:rsid w:val="00CE70F2"/>
    <w:rsid w:val="00CF2C8D"/>
    <w:rsid w:val="00CF5A97"/>
    <w:rsid w:val="00CF635E"/>
    <w:rsid w:val="00D013F4"/>
    <w:rsid w:val="00D0218D"/>
    <w:rsid w:val="00D038B6"/>
    <w:rsid w:val="00D06359"/>
    <w:rsid w:val="00D073AC"/>
    <w:rsid w:val="00D07FC7"/>
    <w:rsid w:val="00D1157C"/>
    <w:rsid w:val="00D13D1F"/>
    <w:rsid w:val="00D152D4"/>
    <w:rsid w:val="00D24645"/>
    <w:rsid w:val="00D253A9"/>
    <w:rsid w:val="00D25FB5"/>
    <w:rsid w:val="00D263CF"/>
    <w:rsid w:val="00D3278A"/>
    <w:rsid w:val="00D33879"/>
    <w:rsid w:val="00D37A30"/>
    <w:rsid w:val="00D40460"/>
    <w:rsid w:val="00D405F6"/>
    <w:rsid w:val="00D41DF1"/>
    <w:rsid w:val="00D44223"/>
    <w:rsid w:val="00D44D92"/>
    <w:rsid w:val="00D464E3"/>
    <w:rsid w:val="00D50245"/>
    <w:rsid w:val="00D50B43"/>
    <w:rsid w:val="00D516EC"/>
    <w:rsid w:val="00D5198D"/>
    <w:rsid w:val="00D55D85"/>
    <w:rsid w:val="00D55D9E"/>
    <w:rsid w:val="00D57963"/>
    <w:rsid w:val="00D6019A"/>
    <w:rsid w:val="00D6176A"/>
    <w:rsid w:val="00D62C29"/>
    <w:rsid w:val="00D67437"/>
    <w:rsid w:val="00D73F3F"/>
    <w:rsid w:val="00D7501B"/>
    <w:rsid w:val="00D771DA"/>
    <w:rsid w:val="00D81140"/>
    <w:rsid w:val="00D83E12"/>
    <w:rsid w:val="00D858C3"/>
    <w:rsid w:val="00D910FD"/>
    <w:rsid w:val="00D9249D"/>
    <w:rsid w:val="00DA1DE8"/>
    <w:rsid w:val="00DA2529"/>
    <w:rsid w:val="00DB0536"/>
    <w:rsid w:val="00DB08DD"/>
    <w:rsid w:val="00DB130A"/>
    <w:rsid w:val="00DB2BFD"/>
    <w:rsid w:val="00DB2EBB"/>
    <w:rsid w:val="00DB38F1"/>
    <w:rsid w:val="00DB4CCE"/>
    <w:rsid w:val="00DB7002"/>
    <w:rsid w:val="00DC10A1"/>
    <w:rsid w:val="00DC1923"/>
    <w:rsid w:val="00DC655F"/>
    <w:rsid w:val="00DD0B59"/>
    <w:rsid w:val="00DD0CCB"/>
    <w:rsid w:val="00DD353A"/>
    <w:rsid w:val="00DD6776"/>
    <w:rsid w:val="00DD7EBD"/>
    <w:rsid w:val="00DE0957"/>
    <w:rsid w:val="00DE3E5F"/>
    <w:rsid w:val="00DF0322"/>
    <w:rsid w:val="00DF0ACC"/>
    <w:rsid w:val="00DF50EB"/>
    <w:rsid w:val="00DF62B6"/>
    <w:rsid w:val="00E000A9"/>
    <w:rsid w:val="00E0092D"/>
    <w:rsid w:val="00E0164E"/>
    <w:rsid w:val="00E05A03"/>
    <w:rsid w:val="00E07225"/>
    <w:rsid w:val="00E075D1"/>
    <w:rsid w:val="00E10183"/>
    <w:rsid w:val="00E11633"/>
    <w:rsid w:val="00E17B12"/>
    <w:rsid w:val="00E214FA"/>
    <w:rsid w:val="00E21B9C"/>
    <w:rsid w:val="00E250D1"/>
    <w:rsid w:val="00E27303"/>
    <w:rsid w:val="00E30EC1"/>
    <w:rsid w:val="00E3144C"/>
    <w:rsid w:val="00E37D72"/>
    <w:rsid w:val="00E434A9"/>
    <w:rsid w:val="00E43BEA"/>
    <w:rsid w:val="00E45BA5"/>
    <w:rsid w:val="00E468DB"/>
    <w:rsid w:val="00E5409F"/>
    <w:rsid w:val="00E57236"/>
    <w:rsid w:val="00E60B17"/>
    <w:rsid w:val="00E64CE3"/>
    <w:rsid w:val="00E679AB"/>
    <w:rsid w:val="00E70747"/>
    <w:rsid w:val="00E70DEC"/>
    <w:rsid w:val="00E71BF1"/>
    <w:rsid w:val="00E73EB3"/>
    <w:rsid w:val="00E80E5D"/>
    <w:rsid w:val="00E912F0"/>
    <w:rsid w:val="00E93FA9"/>
    <w:rsid w:val="00E9570C"/>
    <w:rsid w:val="00E96803"/>
    <w:rsid w:val="00E96918"/>
    <w:rsid w:val="00EA4517"/>
    <w:rsid w:val="00EA6A3D"/>
    <w:rsid w:val="00EA6E2A"/>
    <w:rsid w:val="00EA6F76"/>
    <w:rsid w:val="00EB102B"/>
    <w:rsid w:val="00EB278F"/>
    <w:rsid w:val="00EB5020"/>
    <w:rsid w:val="00EB6931"/>
    <w:rsid w:val="00EC0298"/>
    <w:rsid w:val="00EC2765"/>
    <w:rsid w:val="00EC30BA"/>
    <w:rsid w:val="00ED06D5"/>
    <w:rsid w:val="00ED0827"/>
    <w:rsid w:val="00ED21BE"/>
    <w:rsid w:val="00ED2DB1"/>
    <w:rsid w:val="00ED4CCA"/>
    <w:rsid w:val="00ED7BA8"/>
    <w:rsid w:val="00EE019D"/>
    <w:rsid w:val="00EE0585"/>
    <w:rsid w:val="00EE35A5"/>
    <w:rsid w:val="00EE4CDD"/>
    <w:rsid w:val="00EE51C4"/>
    <w:rsid w:val="00EE6488"/>
    <w:rsid w:val="00EF2653"/>
    <w:rsid w:val="00EF30FE"/>
    <w:rsid w:val="00EF468B"/>
    <w:rsid w:val="00EF4EE5"/>
    <w:rsid w:val="00EF58F8"/>
    <w:rsid w:val="00F009EB"/>
    <w:rsid w:val="00F00AEF"/>
    <w:rsid w:val="00F021FA"/>
    <w:rsid w:val="00F034B3"/>
    <w:rsid w:val="00F0360A"/>
    <w:rsid w:val="00F05345"/>
    <w:rsid w:val="00F061E1"/>
    <w:rsid w:val="00F166BC"/>
    <w:rsid w:val="00F17729"/>
    <w:rsid w:val="00F17EB4"/>
    <w:rsid w:val="00F2196D"/>
    <w:rsid w:val="00F21A99"/>
    <w:rsid w:val="00F2365F"/>
    <w:rsid w:val="00F34870"/>
    <w:rsid w:val="00F359DA"/>
    <w:rsid w:val="00F35FA4"/>
    <w:rsid w:val="00F41D30"/>
    <w:rsid w:val="00F501B0"/>
    <w:rsid w:val="00F5133B"/>
    <w:rsid w:val="00F54F92"/>
    <w:rsid w:val="00F61509"/>
    <w:rsid w:val="00F61D96"/>
    <w:rsid w:val="00F62E97"/>
    <w:rsid w:val="00F6367F"/>
    <w:rsid w:val="00F64209"/>
    <w:rsid w:val="00F64733"/>
    <w:rsid w:val="00F712FD"/>
    <w:rsid w:val="00F71BEA"/>
    <w:rsid w:val="00F71C26"/>
    <w:rsid w:val="00F731B9"/>
    <w:rsid w:val="00F74CDD"/>
    <w:rsid w:val="00F77EB4"/>
    <w:rsid w:val="00F80DCC"/>
    <w:rsid w:val="00F8223E"/>
    <w:rsid w:val="00F823E0"/>
    <w:rsid w:val="00F82D83"/>
    <w:rsid w:val="00F854CC"/>
    <w:rsid w:val="00F87F3F"/>
    <w:rsid w:val="00F93BF5"/>
    <w:rsid w:val="00F96D80"/>
    <w:rsid w:val="00FA1664"/>
    <w:rsid w:val="00FA2D38"/>
    <w:rsid w:val="00FB2C96"/>
    <w:rsid w:val="00FB32FD"/>
    <w:rsid w:val="00FB5C42"/>
    <w:rsid w:val="00FB6851"/>
    <w:rsid w:val="00FC77B9"/>
    <w:rsid w:val="00FD487A"/>
    <w:rsid w:val="00FE42A6"/>
    <w:rsid w:val="00FF27BE"/>
    <w:rsid w:val="00FF28B7"/>
    <w:rsid w:val="00FF4DF7"/>
    <w:rsid w:val="00FF6540"/>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247"/>
    <w:pPr>
      <w:widowControl w:val="0"/>
    </w:pPr>
    <w:rPr>
      <w:snapToGrid w:val="0"/>
      <w:kern w:val="28"/>
      <w:sz w:val="22"/>
    </w:rPr>
  </w:style>
  <w:style w:type="paragraph" w:styleId="Heading1">
    <w:name w:val="heading 1"/>
    <w:basedOn w:val="Normal"/>
    <w:next w:val="ParaNum"/>
    <w:link w:val="Heading1Char"/>
    <w:qFormat/>
    <w:rsid w:val="0063324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3247"/>
    <w:pPr>
      <w:keepNext/>
      <w:numPr>
        <w:ilvl w:val="1"/>
        <w:numId w:val="2"/>
      </w:numPr>
      <w:spacing w:after="120"/>
      <w:outlineLvl w:val="1"/>
    </w:pPr>
    <w:rPr>
      <w:b/>
    </w:rPr>
  </w:style>
  <w:style w:type="paragraph" w:styleId="Heading3">
    <w:name w:val="heading 3"/>
    <w:basedOn w:val="Normal"/>
    <w:next w:val="ParaNum"/>
    <w:qFormat/>
    <w:rsid w:val="00633247"/>
    <w:pPr>
      <w:keepNext/>
      <w:numPr>
        <w:ilvl w:val="2"/>
        <w:numId w:val="2"/>
      </w:numPr>
      <w:tabs>
        <w:tab w:val="left" w:pos="2160"/>
      </w:tabs>
      <w:spacing w:after="120"/>
      <w:outlineLvl w:val="2"/>
    </w:pPr>
    <w:rPr>
      <w:b/>
    </w:rPr>
  </w:style>
  <w:style w:type="paragraph" w:styleId="Heading4">
    <w:name w:val="heading 4"/>
    <w:basedOn w:val="Normal"/>
    <w:next w:val="ParaNum"/>
    <w:qFormat/>
    <w:rsid w:val="00633247"/>
    <w:pPr>
      <w:keepNext/>
      <w:numPr>
        <w:ilvl w:val="3"/>
        <w:numId w:val="2"/>
      </w:numPr>
      <w:tabs>
        <w:tab w:val="left" w:pos="2880"/>
      </w:tabs>
      <w:spacing w:after="120"/>
      <w:outlineLvl w:val="3"/>
    </w:pPr>
    <w:rPr>
      <w:b/>
    </w:rPr>
  </w:style>
  <w:style w:type="paragraph" w:styleId="Heading5">
    <w:name w:val="heading 5"/>
    <w:basedOn w:val="Normal"/>
    <w:next w:val="ParaNum"/>
    <w:qFormat/>
    <w:rsid w:val="0063324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33247"/>
    <w:pPr>
      <w:numPr>
        <w:ilvl w:val="5"/>
        <w:numId w:val="2"/>
      </w:numPr>
      <w:tabs>
        <w:tab w:val="left" w:pos="4320"/>
      </w:tabs>
      <w:spacing w:after="120"/>
      <w:outlineLvl w:val="5"/>
    </w:pPr>
    <w:rPr>
      <w:b/>
    </w:rPr>
  </w:style>
  <w:style w:type="paragraph" w:styleId="Heading7">
    <w:name w:val="heading 7"/>
    <w:basedOn w:val="Normal"/>
    <w:next w:val="ParaNum"/>
    <w:qFormat/>
    <w:rsid w:val="0063324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3324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3324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32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3247"/>
  </w:style>
  <w:style w:type="paragraph" w:customStyle="1" w:styleId="ParaNum">
    <w:name w:val="ParaNum"/>
    <w:basedOn w:val="Normal"/>
    <w:link w:val="ParaNumChar"/>
    <w:rsid w:val="00633247"/>
    <w:pPr>
      <w:numPr>
        <w:numId w:val="1"/>
      </w:numPr>
      <w:tabs>
        <w:tab w:val="clear" w:pos="1080"/>
        <w:tab w:val="num" w:pos="1440"/>
      </w:tabs>
      <w:spacing w:after="120"/>
    </w:pPr>
  </w:style>
  <w:style w:type="paragraph" w:styleId="EndnoteText">
    <w:name w:val="endnote text"/>
    <w:basedOn w:val="Normal"/>
    <w:semiHidden/>
    <w:rsid w:val="00633247"/>
    <w:rPr>
      <w:sz w:val="20"/>
    </w:rPr>
  </w:style>
  <w:style w:type="character" w:styleId="EndnoteReference">
    <w:name w:val="endnote reference"/>
    <w:semiHidden/>
    <w:rsid w:val="00633247"/>
    <w:rPr>
      <w:vertAlign w:val="superscript"/>
    </w:rPr>
  </w:style>
  <w:style w:type="paragraph" w:styleId="FootnoteText">
    <w:name w:val="footnote text"/>
    <w:aliases w:val="ft,Footnote Text Char1,Footnote Text Char Char,Footnote Text Char1 Char Char,Footnote Text Char Char Char Char,Footnote Text Char3 Char,Footnote Text Char2 Char Char,Footnote Text Char Char1 Char Char,Footnote Text Char2 Char Char1 Char Ch"/>
    <w:link w:val="FootnoteTextChar"/>
    <w:rsid w:val="00633247"/>
    <w:pPr>
      <w:spacing w:after="120"/>
    </w:pPr>
  </w:style>
  <w:style w:type="character" w:styleId="FootnoteReference">
    <w:name w:val="footnote reference"/>
    <w:aliases w:val="o,fr,Appel note de bas de p,Style 12,(NECG) Footnote Reference,Style 124,Style 3,Style 17,FR,Style 13,Footnote Reference/,Style 6,Style 7,Style 4,Footnote Reference1"/>
    <w:rsid w:val="00633247"/>
    <w:rPr>
      <w:rFonts w:ascii="Times New Roman" w:hAnsi="Times New Roman"/>
      <w:dstrike w:val="0"/>
      <w:color w:val="auto"/>
      <w:sz w:val="20"/>
      <w:vertAlign w:val="superscript"/>
    </w:rPr>
  </w:style>
  <w:style w:type="paragraph" w:styleId="TOC1">
    <w:name w:val="toc 1"/>
    <w:basedOn w:val="Normal"/>
    <w:next w:val="Normal"/>
    <w:semiHidden/>
    <w:rsid w:val="006332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3247"/>
    <w:pPr>
      <w:tabs>
        <w:tab w:val="left" w:pos="720"/>
        <w:tab w:val="right" w:leader="dot" w:pos="9360"/>
      </w:tabs>
      <w:suppressAutoHyphens/>
      <w:ind w:left="720" w:right="720" w:hanging="360"/>
    </w:pPr>
    <w:rPr>
      <w:noProof/>
    </w:rPr>
  </w:style>
  <w:style w:type="paragraph" w:styleId="TOC3">
    <w:name w:val="toc 3"/>
    <w:basedOn w:val="Normal"/>
    <w:next w:val="Normal"/>
    <w:semiHidden/>
    <w:rsid w:val="006332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32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32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32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32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32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32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3247"/>
    <w:pPr>
      <w:tabs>
        <w:tab w:val="right" w:pos="9360"/>
      </w:tabs>
      <w:suppressAutoHyphens/>
    </w:pPr>
  </w:style>
  <w:style w:type="character" w:customStyle="1" w:styleId="EquationCaption">
    <w:name w:val="_Equation Caption"/>
    <w:rsid w:val="00633247"/>
  </w:style>
  <w:style w:type="paragraph" w:styleId="Header">
    <w:name w:val="header"/>
    <w:basedOn w:val="Normal"/>
    <w:autoRedefine/>
    <w:rsid w:val="00633247"/>
    <w:pPr>
      <w:tabs>
        <w:tab w:val="center" w:pos="4680"/>
        <w:tab w:val="right" w:pos="9360"/>
      </w:tabs>
    </w:pPr>
    <w:rPr>
      <w:b/>
    </w:rPr>
  </w:style>
  <w:style w:type="paragraph" w:styleId="Footer">
    <w:name w:val="footer"/>
    <w:basedOn w:val="Normal"/>
    <w:rsid w:val="00633247"/>
    <w:pPr>
      <w:tabs>
        <w:tab w:val="center" w:pos="4320"/>
        <w:tab w:val="right" w:pos="8640"/>
      </w:tabs>
    </w:pPr>
  </w:style>
  <w:style w:type="character" w:styleId="PageNumber">
    <w:name w:val="page number"/>
    <w:basedOn w:val="DefaultParagraphFont"/>
    <w:rsid w:val="00633247"/>
  </w:style>
  <w:style w:type="paragraph" w:styleId="BlockText">
    <w:name w:val="Block Text"/>
    <w:basedOn w:val="Normal"/>
    <w:rsid w:val="00633247"/>
    <w:pPr>
      <w:spacing w:after="240"/>
      <w:ind w:left="1440" w:right="1440"/>
    </w:pPr>
  </w:style>
  <w:style w:type="paragraph" w:customStyle="1" w:styleId="Paratitle">
    <w:name w:val="Para title"/>
    <w:basedOn w:val="Normal"/>
    <w:rsid w:val="00633247"/>
    <w:pPr>
      <w:tabs>
        <w:tab w:val="center" w:pos="9270"/>
      </w:tabs>
      <w:spacing w:after="240"/>
    </w:pPr>
    <w:rPr>
      <w:spacing w:val="-2"/>
    </w:rPr>
  </w:style>
  <w:style w:type="paragraph" w:customStyle="1" w:styleId="Bullet">
    <w:name w:val="Bullet"/>
    <w:basedOn w:val="Normal"/>
    <w:rsid w:val="00633247"/>
    <w:pPr>
      <w:tabs>
        <w:tab w:val="left" w:pos="2160"/>
      </w:tabs>
      <w:spacing w:after="220"/>
      <w:ind w:left="2160" w:hanging="720"/>
    </w:pPr>
  </w:style>
  <w:style w:type="paragraph" w:customStyle="1" w:styleId="TableFormat">
    <w:name w:val="TableFormat"/>
    <w:basedOn w:val="Bullet"/>
    <w:rsid w:val="00633247"/>
    <w:pPr>
      <w:tabs>
        <w:tab w:val="clear" w:pos="2160"/>
        <w:tab w:val="left" w:pos="5040"/>
      </w:tabs>
      <w:ind w:left="5040" w:hanging="3600"/>
    </w:pPr>
  </w:style>
  <w:style w:type="paragraph" w:customStyle="1" w:styleId="TOCTitle">
    <w:name w:val="TOC Title"/>
    <w:basedOn w:val="Normal"/>
    <w:rsid w:val="006332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3247"/>
    <w:pPr>
      <w:jc w:val="center"/>
    </w:pPr>
    <w:rPr>
      <w:rFonts w:ascii="Times New Roman Bold" w:hAnsi="Times New Roman Bold"/>
      <w:b/>
      <w:bCs/>
      <w:caps/>
      <w:szCs w:val="22"/>
    </w:rPr>
  </w:style>
  <w:style w:type="character" w:styleId="Hyperlink">
    <w:name w:val="Hyperlink"/>
    <w:rsid w:val="00633247"/>
    <w:rPr>
      <w:color w:val="0000FF"/>
      <w:u w:val="single"/>
    </w:rPr>
  </w:style>
  <w:style w:type="character" w:customStyle="1" w:styleId="Heading1Char">
    <w:name w:val="Heading 1 Char"/>
    <w:link w:val="Heading1"/>
    <w:rsid w:val="00D33879"/>
    <w:rPr>
      <w:rFonts w:ascii="Times New Roman Bold" w:hAnsi="Times New Roman Bold"/>
      <w:b/>
      <w:caps/>
      <w:snapToGrid w:val="0"/>
      <w:kern w:val="28"/>
      <w:sz w:val="22"/>
    </w:rPr>
  </w:style>
  <w:style w:type="character" w:customStyle="1" w:styleId="FootnoteTextChar">
    <w:name w:val="Footnote Text Char"/>
    <w:aliases w:val="ft Char,Footnote Text Char1 Char,Footnote Text Char Char Char,Footnote Text Char1 Char Char Char,Footnote Text Char Char Char Char Char,Footnote Text Char3 Char Char,Footnote Text Char2 Char Char Char"/>
    <w:link w:val="FootnoteText"/>
    <w:rsid w:val="00D33879"/>
  </w:style>
  <w:style w:type="character" w:customStyle="1" w:styleId="ParaNumChar">
    <w:name w:val="ParaNum Char"/>
    <w:link w:val="ParaNum"/>
    <w:rsid w:val="00D33879"/>
    <w:rPr>
      <w:snapToGrid w:val="0"/>
      <w:kern w:val="28"/>
      <w:sz w:val="22"/>
    </w:rPr>
  </w:style>
  <w:style w:type="paragraph" w:styleId="ListParagraph">
    <w:name w:val="List Paragraph"/>
    <w:basedOn w:val="Normal"/>
    <w:uiPriority w:val="34"/>
    <w:qFormat/>
    <w:rsid w:val="00464A14"/>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unhideWhenUsed/>
    <w:rsid w:val="00464A14"/>
    <w:rPr>
      <w:sz w:val="16"/>
      <w:szCs w:val="16"/>
    </w:rPr>
  </w:style>
  <w:style w:type="paragraph" w:styleId="CommentText">
    <w:name w:val="annotation text"/>
    <w:basedOn w:val="Normal"/>
    <w:link w:val="CommentTextChar"/>
    <w:uiPriority w:val="99"/>
    <w:unhideWhenUsed/>
    <w:rsid w:val="00464A14"/>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464A14"/>
    <w:rPr>
      <w:rFonts w:asciiTheme="minorHAnsi" w:eastAsiaTheme="minorHAnsi" w:hAnsiTheme="minorHAnsi" w:cstheme="minorBidi"/>
    </w:rPr>
  </w:style>
  <w:style w:type="paragraph" w:styleId="BalloonText">
    <w:name w:val="Balloon Text"/>
    <w:basedOn w:val="Normal"/>
    <w:link w:val="BalloonTextChar"/>
    <w:rsid w:val="00464A14"/>
    <w:rPr>
      <w:rFonts w:ascii="Tahoma" w:hAnsi="Tahoma" w:cs="Tahoma"/>
      <w:sz w:val="16"/>
      <w:szCs w:val="16"/>
    </w:rPr>
  </w:style>
  <w:style w:type="character" w:customStyle="1" w:styleId="BalloonTextChar">
    <w:name w:val="Balloon Text Char"/>
    <w:basedOn w:val="DefaultParagraphFont"/>
    <w:link w:val="BalloonText"/>
    <w:rsid w:val="00464A14"/>
    <w:rPr>
      <w:rFonts w:ascii="Tahoma" w:hAnsi="Tahoma" w:cs="Tahoma"/>
      <w:snapToGrid w:val="0"/>
      <w:kern w:val="28"/>
      <w:sz w:val="16"/>
      <w:szCs w:val="16"/>
    </w:rPr>
  </w:style>
  <w:style w:type="paragraph" w:styleId="CommentSubject">
    <w:name w:val="annotation subject"/>
    <w:basedOn w:val="CommentText"/>
    <w:next w:val="CommentText"/>
    <w:link w:val="CommentSubjectChar"/>
    <w:rsid w:val="00B52A37"/>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B52A37"/>
    <w:rPr>
      <w:rFonts w:asciiTheme="minorHAnsi" w:eastAsiaTheme="minorHAnsi" w:hAnsiTheme="minorHAnsi" w:cstheme="minorBidi"/>
      <w:b/>
      <w:bCs/>
      <w:snapToGrid w:val="0"/>
      <w:kern w:val="28"/>
    </w:rPr>
  </w:style>
  <w:style w:type="character" w:customStyle="1" w:styleId="FootnoteTextCharCharChar1">
    <w:name w:val="Footnote Text Char Char Char1"/>
    <w:aliases w:val="Footnote Text Char5 Char Char Char1,Footnote Text Char Char Char Char Char1,Footnote Text Char4 Char Char1 Char Char Char1,Footnote Text Char2 Char Char2 Char2 Char Char Char1"/>
    <w:basedOn w:val="DefaultParagraphFont"/>
    <w:uiPriority w:val="99"/>
    <w:rsid w:val="00F82D83"/>
    <w:rPr>
      <w:sz w:val="20"/>
      <w:szCs w:val="20"/>
    </w:rPr>
  </w:style>
  <w:style w:type="character" w:customStyle="1" w:styleId="ParaNumChar1">
    <w:name w:val="ParaNum Char1"/>
    <w:basedOn w:val="DefaultParagraphFont"/>
    <w:locked/>
    <w:rsid w:val="00733B3F"/>
    <w:rPr>
      <w:snapToGrid w:val="0"/>
      <w:kern w:val="28"/>
      <w:sz w:val="22"/>
    </w:rPr>
  </w:style>
  <w:style w:type="paragraph" w:styleId="Revision">
    <w:name w:val="Revision"/>
    <w:hidden/>
    <w:uiPriority w:val="99"/>
    <w:semiHidden/>
    <w:rsid w:val="00091397"/>
    <w:rPr>
      <w:snapToGrid w:val="0"/>
      <w:kern w:val="28"/>
      <w:sz w:val="22"/>
    </w:rPr>
  </w:style>
  <w:style w:type="paragraph" w:customStyle="1" w:styleId="Default">
    <w:name w:val="Default"/>
    <w:rsid w:val="003209A3"/>
    <w:pPr>
      <w:autoSpaceDE w:val="0"/>
      <w:autoSpaceDN w:val="0"/>
      <w:adjustRightInd w:val="0"/>
    </w:pPr>
    <w:rPr>
      <w:rFonts w:ascii="Garamond" w:eastAsiaTheme="minorHAns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247"/>
    <w:pPr>
      <w:widowControl w:val="0"/>
    </w:pPr>
    <w:rPr>
      <w:snapToGrid w:val="0"/>
      <w:kern w:val="28"/>
      <w:sz w:val="22"/>
    </w:rPr>
  </w:style>
  <w:style w:type="paragraph" w:styleId="Heading1">
    <w:name w:val="heading 1"/>
    <w:basedOn w:val="Normal"/>
    <w:next w:val="ParaNum"/>
    <w:link w:val="Heading1Char"/>
    <w:qFormat/>
    <w:rsid w:val="0063324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3247"/>
    <w:pPr>
      <w:keepNext/>
      <w:numPr>
        <w:ilvl w:val="1"/>
        <w:numId w:val="2"/>
      </w:numPr>
      <w:spacing w:after="120"/>
      <w:outlineLvl w:val="1"/>
    </w:pPr>
    <w:rPr>
      <w:b/>
    </w:rPr>
  </w:style>
  <w:style w:type="paragraph" w:styleId="Heading3">
    <w:name w:val="heading 3"/>
    <w:basedOn w:val="Normal"/>
    <w:next w:val="ParaNum"/>
    <w:qFormat/>
    <w:rsid w:val="00633247"/>
    <w:pPr>
      <w:keepNext/>
      <w:numPr>
        <w:ilvl w:val="2"/>
        <w:numId w:val="2"/>
      </w:numPr>
      <w:tabs>
        <w:tab w:val="left" w:pos="2160"/>
      </w:tabs>
      <w:spacing w:after="120"/>
      <w:outlineLvl w:val="2"/>
    </w:pPr>
    <w:rPr>
      <w:b/>
    </w:rPr>
  </w:style>
  <w:style w:type="paragraph" w:styleId="Heading4">
    <w:name w:val="heading 4"/>
    <w:basedOn w:val="Normal"/>
    <w:next w:val="ParaNum"/>
    <w:qFormat/>
    <w:rsid w:val="00633247"/>
    <w:pPr>
      <w:keepNext/>
      <w:numPr>
        <w:ilvl w:val="3"/>
        <w:numId w:val="2"/>
      </w:numPr>
      <w:tabs>
        <w:tab w:val="left" w:pos="2880"/>
      </w:tabs>
      <w:spacing w:after="120"/>
      <w:outlineLvl w:val="3"/>
    </w:pPr>
    <w:rPr>
      <w:b/>
    </w:rPr>
  </w:style>
  <w:style w:type="paragraph" w:styleId="Heading5">
    <w:name w:val="heading 5"/>
    <w:basedOn w:val="Normal"/>
    <w:next w:val="ParaNum"/>
    <w:qFormat/>
    <w:rsid w:val="0063324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33247"/>
    <w:pPr>
      <w:numPr>
        <w:ilvl w:val="5"/>
        <w:numId w:val="2"/>
      </w:numPr>
      <w:tabs>
        <w:tab w:val="left" w:pos="4320"/>
      </w:tabs>
      <w:spacing w:after="120"/>
      <w:outlineLvl w:val="5"/>
    </w:pPr>
    <w:rPr>
      <w:b/>
    </w:rPr>
  </w:style>
  <w:style w:type="paragraph" w:styleId="Heading7">
    <w:name w:val="heading 7"/>
    <w:basedOn w:val="Normal"/>
    <w:next w:val="ParaNum"/>
    <w:qFormat/>
    <w:rsid w:val="0063324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3324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3324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32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3247"/>
  </w:style>
  <w:style w:type="paragraph" w:customStyle="1" w:styleId="ParaNum">
    <w:name w:val="ParaNum"/>
    <w:basedOn w:val="Normal"/>
    <w:link w:val="ParaNumChar"/>
    <w:rsid w:val="00633247"/>
    <w:pPr>
      <w:numPr>
        <w:numId w:val="1"/>
      </w:numPr>
      <w:tabs>
        <w:tab w:val="clear" w:pos="1080"/>
        <w:tab w:val="num" w:pos="1440"/>
      </w:tabs>
      <w:spacing w:after="120"/>
    </w:pPr>
  </w:style>
  <w:style w:type="paragraph" w:styleId="EndnoteText">
    <w:name w:val="endnote text"/>
    <w:basedOn w:val="Normal"/>
    <w:semiHidden/>
    <w:rsid w:val="00633247"/>
    <w:rPr>
      <w:sz w:val="20"/>
    </w:rPr>
  </w:style>
  <w:style w:type="character" w:styleId="EndnoteReference">
    <w:name w:val="endnote reference"/>
    <w:semiHidden/>
    <w:rsid w:val="00633247"/>
    <w:rPr>
      <w:vertAlign w:val="superscript"/>
    </w:rPr>
  </w:style>
  <w:style w:type="paragraph" w:styleId="FootnoteText">
    <w:name w:val="footnote text"/>
    <w:aliases w:val="ft,Footnote Text Char1,Footnote Text Char Char,Footnote Text Char1 Char Char,Footnote Text Char Char Char Char,Footnote Text Char3 Char,Footnote Text Char2 Char Char,Footnote Text Char Char1 Char Char,Footnote Text Char2 Char Char1 Char Ch"/>
    <w:link w:val="FootnoteTextChar"/>
    <w:rsid w:val="00633247"/>
    <w:pPr>
      <w:spacing w:after="120"/>
    </w:pPr>
  </w:style>
  <w:style w:type="character" w:styleId="FootnoteReference">
    <w:name w:val="footnote reference"/>
    <w:aliases w:val="o,fr,Appel note de bas de p,Style 12,(NECG) Footnote Reference,Style 124,Style 3,Style 17,FR,Style 13,Footnote Reference/,Style 6,Style 7,Style 4,Footnote Reference1"/>
    <w:rsid w:val="00633247"/>
    <w:rPr>
      <w:rFonts w:ascii="Times New Roman" w:hAnsi="Times New Roman"/>
      <w:dstrike w:val="0"/>
      <w:color w:val="auto"/>
      <w:sz w:val="20"/>
      <w:vertAlign w:val="superscript"/>
    </w:rPr>
  </w:style>
  <w:style w:type="paragraph" w:styleId="TOC1">
    <w:name w:val="toc 1"/>
    <w:basedOn w:val="Normal"/>
    <w:next w:val="Normal"/>
    <w:semiHidden/>
    <w:rsid w:val="006332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3247"/>
    <w:pPr>
      <w:tabs>
        <w:tab w:val="left" w:pos="720"/>
        <w:tab w:val="right" w:leader="dot" w:pos="9360"/>
      </w:tabs>
      <w:suppressAutoHyphens/>
      <w:ind w:left="720" w:right="720" w:hanging="360"/>
    </w:pPr>
    <w:rPr>
      <w:noProof/>
    </w:rPr>
  </w:style>
  <w:style w:type="paragraph" w:styleId="TOC3">
    <w:name w:val="toc 3"/>
    <w:basedOn w:val="Normal"/>
    <w:next w:val="Normal"/>
    <w:semiHidden/>
    <w:rsid w:val="006332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32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32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32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32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32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32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3247"/>
    <w:pPr>
      <w:tabs>
        <w:tab w:val="right" w:pos="9360"/>
      </w:tabs>
      <w:suppressAutoHyphens/>
    </w:pPr>
  </w:style>
  <w:style w:type="character" w:customStyle="1" w:styleId="EquationCaption">
    <w:name w:val="_Equation Caption"/>
    <w:rsid w:val="00633247"/>
  </w:style>
  <w:style w:type="paragraph" w:styleId="Header">
    <w:name w:val="header"/>
    <w:basedOn w:val="Normal"/>
    <w:autoRedefine/>
    <w:rsid w:val="00633247"/>
    <w:pPr>
      <w:tabs>
        <w:tab w:val="center" w:pos="4680"/>
        <w:tab w:val="right" w:pos="9360"/>
      </w:tabs>
    </w:pPr>
    <w:rPr>
      <w:b/>
    </w:rPr>
  </w:style>
  <w:style w:type="paragraph" w:styleId="Footer">
    <w:name w:val="footer"/>
    <w:basedOn w:val="Normal"/>
    <w:rsid w:val="00633247"/>
    <w:pPr>
      <w:tabs>
        <w:tab w:val="center" w:pos="4320"/>
        <w:tab w:val="right" w:pos="8640"/>
      </w:tabs>
    </w:pPr>
  </w:style>
  <w:style w:type="character" w:styleId="PageNumber">
    <w:name w:val="page number"/>
    <w:basedOn w:val="DefaultParagraphFont"/>
    <w:rsid w:val="00633247"/>
  </w:style>
  <w:style w:type="paragraph" w:styleId="BlockText">
    <w:name w:val="Block Text"/>
    <w:basedOn w:val="Normal"/>
    <w:rsid w:val="00633247"/>
    <w:pPr>
      <w:spacing w:after="240"/>
      <w:ind w:left="1440" w:right="1440"/>
    </w:pPr>
  </w:style>
  <w:style w:type="paragraph" w:customStyle="1" w:styleId="Paratitle">
    <w:name w:val="Para title"/>
    <w:basedOn w:val="Normal"/>
    <w:rsid w:val="00633247"/>
    <w:pPr>
      <w:tabs>
        <w:tab w:val="center" w:pos="9270"/>
      </w:tabs>
      <w:spacing w:after="240"/>
    </w:pPr>
    <w:rPr>
      <w:spacing w:val="-2"/>
    </w:rPr>
  </w:style>
  <w:style w:type="paragraph" w:customStyle="1" w:styleId="Bullet">
    <w:name w:val="Bullet"/>
    <w:basedOn w:val="Normal"/>
    <w:rsid w:val="00633247"/>
    <w:pPr>
      <w:tabs>
        <w:tab w:val="left" w:pos="2160"/>
      </w:tabs>
      <w:spacing w:after="220"/>
      <w:ind w:left="2160" w:hanging="720"/>
    </w:pPr>
  </w:style>
  <w:style w:type="paragraph" w:customStyle="1" w:styleId="TableFormat">
    <w:name w:val="TableFormat"/>
    <w:basedOn w:val="Bullet"/>
    <w:rsid w:val="00633247"/>
    <w:pPr>
      <w:tabs>
        <w:tab w:val="clear" w:pos="2160"/>
        <w:tab w:val="left" w:pos="5040"/>
      </w:tabs>
      <w:ind w:left="5040" w:hanging="3600"/>
    </w:pPr>
  </w:style>
  <w:style w:type="paragraph" w:customStyle="1" w:styleId="TOCTitle">
    <w:name w:val="TOC Title"/>
    <w:basedOn w:val="Normal"/>
    <w:rsid w:val="006332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3247"/>
    <w:pPr>
      <w:jc w:val="center"/>
    </w:pPr>
    <w:rPr>
      <w:rFonts w:ascii="Times New Roman Bold" w:hAnsi="Times New Roman Bold"/>
      <w:b/>
      <w:bCs/>
      <w:caps/>
      <w:szCs w:val="22"/>
    </w:rPr>
  </w:style>
  <w:style w:type="character" w:styleId="Hyperlink">
    <w:name w:val="Hyperlink"/>
    <w:rsid w:val="00633247"/>
    <w:rPr>
      <w:color w:val="0000FF"/>
      <w:u w:val="single"/>
    </w:rPr>
  </w:style>
  <w:style w:type="character" w:customStyle="1" w:styleId="Heading1Char">
    <w:name w:val="Heading 1 Char"/>
    <w:link w:val="Heading1"/>
    <w:rsid w:val="00D33879"/>
    <w:rPr>
      <w:rFonts w:ascii="Times New Roman Bold" w:hAnsi="Times New Roman Bold"/>
      <w:b/>
      <w:caps/>
      <w:snapToGrid w:val="0"/>
      <w:kern w:val="28"/>
      <w:sz w:val="22"/>
    </w:rPr>
  </w:style>
  <w:style w:type="character" w:customStyle="1" w:styleId="FootnoteTextChar">
    <w:name w:val="Footnote Text Char"/>
    <w:aliases w:val="ft Char,Footnote Text Char1 Char,Footnote Text Char Char Char,Footnote Text Char1 Char Char Char,Footnote Text Char Char Char Char Char,Footnote Text Char3 Char Char,Footnote Text Char2 Char Char Char"/>
    <w:link w:val="FootnoteText"/>
    <w:rsid w:val="00D33879"/>
  </w:style>
  <w:style w:type="character" w:customStyle="1" w:styleId="ParaNumChar">
    <w:name w:val="ParaNum Char"/>
    <w:link w:val="ParaNum"/>
    <w:rsid w:val="00D33879"/>
    <w:rPr>
      <w:snapToGrid w:val="0"/>
      <w:kern w:val="28"/>
      <w:sz w:val="22"/>
    </w:rPr>
  </w:style>
  <w:style w:type="paragraph" w:styleId="ListParagraph">
    <w:name w:val="List Paragraph"/>
    <w:basedOn w:val="Normal"/>
    <w:uiPriority w:val="34"/>
    <w:qFormat/>
    <w:rsid w:val="00464A14"/>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unhideWhenUsed/>
    <w:rsid w:val="00464A14"/>
    <w:rPr>
      <w:sz w:val="16"/>
      <w:szCs w:val="16"/>
    </w:rPr>
  </w:style>
  <w:style w:type="paragraph" w:styleId="CommentText">
    <w:name w:val="annotation text"/>
    <w:basedOn w:val="Normal"/>
    <w:link w:val="CommentTextChar"/>
    <w:uiPriority w:val="99"/>
    <w:unhideWhenUsed/>
    <w:rsid w:val="00464A14"/>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464A14"/>
    <w:rPr>
      <w:rFonts w:asciiTheme="minorHAnsi" w:eastAsiaTheme="minorHAnsi" w:hAnsiTheme="minorHAnsi" w:cstheme="minorBidi"/>
    </w:rPr>
  </w:style>
  <w:style w:type="paragraph" w:styleId="BalloonText">
    <w:name w:val="Balloon Text"/>
    <w:basedOn w:val="Normal"/>
    <w:link w:val="BalloonTextChar"/>
    <w:rsid w:val="00464A14"/>
    <w:rPr>
      <w:rFonts w:ascii="Tahoma" w:hAnsi="Tahoma" w:cs="Tahoma"/>
      <w:sz w:val="16"/>
      <w:szCs w:val="16"/>
    </w:rPr>
  </w:style>
  <w:style w:type="character" w:customStyle="1" w:styleId="BalloonTextChar">
    <w:name w:val="Balloon Text Char"/>
    <w:basedOn w:val="DefaultParagraphFont"/>
    <w:link w:val="BalloonText"/>
    <w:rsid w:val="00464A14"/>
    <w:rPr>
      <w:rFonts w:ascii="Tahoma" w:hAnsi="Tahoma" w:cs="Tahoma"/>
      <w:snapToGrid w:val="0"/>
      <w:kern w:val="28"/>
      <w:sz w:val="16"/>
      <w:szCs w:val="16"/>
    </w:rPr>
  </w:style>
  <w:style w:type="paragraph" w:styleId="CommentSubject">
    <w:name w:val="annotation subject"/>
    <w:basedOn w:val="CommentText"/>
    <w:next w:val="CommentText"/>
    <w:link w:val="CommentSubjectChar"/>
    <w:rsid w:val="00B52A37"/>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B52A37"/>
    <w:rPr>
      <w:rFonts w:asciiTheme="minorHAnsi" w:eastAsiaTheme="minorHAnsi" w:hAnsiTheme="minorHAnsi" w:cstheme="minorBidi"/>
      <w:b/>
      <w:bCs/>
      <w:snapToGrid w:val="0"/>
      <w:kern w:val="28"/>
    </w:rPr>
  </w:style>
  <w:style w:type="character" w:customStyle="1" w:styleId="FootnoteTextCharCharChar1">
    <w:name w:val="Footnote Text Char Char Char1"/>
    <w:aliases w:val="Footnote Text Char5 Char Char Char1,Footnote Text Char Char Char Char Char1,Footnote Text Char4 Char Char1 Char Char Char1,Footnote Text Char2 Char Char2 Char2 Char Char Char1"/>
    <w:basedOn w:val="DefaultParagraphFont"/>
    <w:uiPriority w:val="99"/>
    <w:rsid w:val="00F82D83"/>
    <w:rPr>
      <w:sz w:val="20"/>
      <w:szCs w:val="20"/>
    </w:rPr>
  </w:style>
  <w:style w:type="character" w:customStyle="1" w:styleId="ParaNumChar1">
    <w:name w:val="ParaNum Char1"/>
    <w:basedOn w:val="DefaultParagraphFont"/>
    <w:locked/>
    <w:rsid w:val="00733B3F"/>
    <w:rPr>
      <w:snapToGrid w:val="0"/>
      <w:kern w:val="28"/>
      <w:sz w:val="22"/>
    </w:rPr>
  </w:style>
  <w:style w:type="paragraph" w:styleId="Revision">
    <w:name w:val="Revision"/>
    <w:hidden/>
    <w:uiPriority w:val="99"/>
    <w:semiHidden/>
    <w:rsid w:val="00091397"/>
    <w:rPr>
      <w:snapToGrid w:val="0"/>
      <w:kern w:val="28"/>
      <w:sz w:val="22"/>
    </w:rPr>
  </w:style>
  <w:style w:type="paragraph" w:customStyle="1" w:styleId="Default">
    <w:name w:val="Default"/>
    <w:rsid w:val="003209A3"/>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783">
      <w:bodyDiv w:val="1"/>
      <w:marLeft w:val="0"/>
      <w:marRight w:val="0"/>
      <w:marTop w:val="0"/>
      <w:marBottom w:val="0"/>
      <w:divBdr>
        <w:top w:val="none" w:sz="0" w:space="0" w:color="auto"/>
        <w:left w:val="none" w:sz="0" w:space="0" w:color="auto"/>
        <w:bottom w:val="none" w:sz="0" w:space="0" w:color="auto"/>
        <w:right w:val="none" w:sz="0" w:space="0" w:color="auto"/>
      </w:divBdr>
    </w:div>
    <w:div w:id="379283558">
      <w:bodyDiv w:val="1"/>
      <w:marLeft w:val="0"/>
      <w:marRight w:val="0"/>
      <w:marTop w:val="0"/>
      <w:marBottom w:val="0"/>
      <w:divBdr>
        <w:top w:val="none" w:sz="0" w:space="0" w:color="auto"/>
        <w:left w:val="none" w:sz="0" w:space="0" w:color="auto"/>
        <w:bottom w:val="none" w:sz="0" w:space="0" w:color="auto"/>
        <w:right w:val="none" w:sz="0" w:space="0" w:color="auto"/>
      </w:divBdr>
    </w:div>
    <w:div w:id="573205928">
      <w:bodyDiv w:val="1"/>
      <w:marLeft w:val="0"/>
      <w:marRight w:val="0"/>
      <w:marTop w:val="0"/>
      <w:marBottom w:val="0"/>
      <w:divBdr>
        <w:top w:val="none" w:sz="0" w:space="0" w:color="auto"/>
        <w:left w:val="none" w:sz="0" w:space="0" w:color="auto"/>
        <w:bottom w:val="none" w:sz="0" w:space="0" w:color="auto"/>
        <w:right w:val="none" w:sz="0" w:space="0" w:color="auto"/>
      </w:divBdr>
    </w:div>
    <w:div w:id="705252962">
      <w:bodyDiv w:val="1"/>
      <w:marLeft w:val="0"/>
      <w:marRight w:val="0"/>
      <w:marTop w:val="0"/>
      <w:marBottom w:val="0"/>
      <w:divBdr>
        <w:top w:val="none" w:sz="0" w:space="0" w:color="auto"/>
        <w:left w:val="none" w:sz="0" w:space="0" w:color="auto"/>
        <w:bottom w:val="none" w:sz="0" w:space="0" w:color="auto"/>
        <w:right w:val="none" w:sz="0" w:space="0" w:color="auto"/>
      </w:divBdr>
    </w:div>
    <w:div w:id="980765290">
      <w:bodyDiv w:val="1"/>
      <w:marLeft w:val="0"/>
      <w:marRight w:val="0"/>
      <w:marTop w:val="0"/>
      <w:marBottom w:val="0"/>
      <w:divBdr>
        <w:top w:val="none" w:sz="0" w:space="0" w:color="auto"/>
        <w:left w:val="none" w:sz="0" w:space="0" w:color="auto"/>
        <w:bottom w:val="none" w:sz="0" w:space="0" w:color="auto"/>
        <w:right w:val="none" w:sz="0" w:space="0" w:color="auto"/>
      </w:divBdr>
    </w:div>
    <w:div w:id="1137062611">
      <w:bodyDiv w:val="1"/>
      <w:marLeft w:val="0"/>
      <w:marRight w:val="0"/>
      <w:marTop w:val="0"/>
      <w:marBottom w:val="0"/>
      <w:divBdr>
        <w:top w:val="none" w:sz="0" w:space="0" w:color="auto"/>
        <w:left w:val="none" w:sz="0" w:space="0" w:color="auto"/>
        <w:bottom w:val="none" w:sz="0" w:space="0" w:color="auto"/>
        <w:right w:val="none" w:sz="0" w:space="0" w:color="auto"/>
      </w:divBdr>
    </w:div>
    <w:div w:id="1742486286">
      <w:bodyDiv w:val="1"/>
      <w:marLeft w:val="0"/>
      <w:marRight w:val="0"/>
      <w:marTop w:val="0"/>
      <w:marBottom w:val="0"/>
      <w:divBdr>
        <w:top w:val="none" w:sz="0" w:space="0" w:color="auto"/>
        <w:left w:val="none" w:sz="0" w:space="0" w:color="auto"/>
        <w:bottom w:val="none" w:sz="0" w:space="0" w:color="auto"/>
        <w:right w:val="none" w:sz="0" w:space="0" w:color="auto"/>
      </w:divBdr>
    </w:div>
    <w:div w:id="1821799660">
      <w:bodyDiv w:val="1"/>
      <w:marLeft w:val="0"/>
      <w:marRight w:val="0"/>
      <w:marTop w:val="0"/>
      <w:marBottom w:val="0"/>
      <w:divBdr>
        <w:top w:val="none" w:sz="0" w:space="0" w:color="auto"/>
        <w:left w:val="none" w:sz="0" w:space="0" w:color="auto"/>
        <w:bottom w:val="none" w:sz="0" w:space="0" w:color="auto"/>
        <w:right w:val="none" w:sz="0" w:space="0" w:color="auto"/>
      </w:divBdr>
    </w:div>
    <w:div w:id="20369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4706</Words>
  <Characters>26496</Characters>
  <Application>Microsoft Office Word</Application>
  <DocSecurity>0</DocSecurity>
  <Lines>362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2014-12-15T19:54:00Z</cp:lastPrinted>
  <dcterms:created xsi:type="dcterms:W3CDTF">2014-12-18T20:45:00Z</dcterms:created>
  <dcterms:modified xsi:type="dcterms:W3CDTF">2014-12-18T20:45:00Z</dcterms:modified>
  <cp:category> </cp:category>
  <cp:contentStatus> </cp:contentStatus>
</cp:coreProperties>
</file>