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8B" w:rsidRPr="00F517E6" w:rsidRDefault="00BA208B" w:rsidP="00D35466">
      <w:pPr>
        <w:ind w:left="6480" w:firstLine="360"/>
        <w:rPr>
          <w:sz w:val="22"/>
          <w:szCs w:val="22"/>
        </w:rPr>
      </w:pPr>
      <w:bookmarkStart w:id="0" w:name="_GoBack"/>
      <w:bookmarkEnd w:id="0"/>
    </w:p>
    <w:p w:rsidR="00441203" w:rsidRPr="00995059" w:rsidRDefault="00441203" w:rsidP="00441203">
      <w:pPr>
        <w:tabs>
          <w:tab w:val="left" w:pos="-1440"/>
          <w:tab w:val="left" w:pos="-720"/>
          <w:tab w:val="left" w:pos="4788"/>
          <w:tab w:val="left" w:pos="5040"/>
          <w:tab w:val="left" w:pos="6480"/>
        </w:tabs>
        <w:suppressAutoHyphens/>
        <w:outlineLvl w:val="0"/>
        <w:rPr>
          <w:b/>
          <w:sz w:val="22"/>
          <w:szCs w:val="22"/>
        </w:rPr>
      </w:pPr>
      <w:r>
        <w:rPr>
          <w:sz w:val="22"/>
          <w:szCs w:val="22"/>
        </w:rPr>
        <w:tab/>
      </w:r>
      <w:r>
        <w:rPr>
          <w:sz w:val="22"/>
          <w:szCs w:val="22"/>
        </w:rPr>
        <w:tab/>
      </w:r>
      <w:r>
        <w:rPr>
          <w:sz w:val="22"/>
          <w:szCs w:val="22"/>
        </w:rPr>
        <w:tab/>
      </w:r>
      <w:r w:rsidRPr="00995059">
        <w:rPr>
          <w:b/>
          <w:sz w:val="22"/>
          <w:szCs w:val="22"/>
        </w:rPr>
        <w:t xml:space="preserve">DA </w:t>
      </w:r>
      <w:r w:rsidR="00995059" w:rsidRPr="00995059">
        <w:rPr>
          <w:b/>
          <w:sz w:val="22"/>
          <w:szCs w:val="22"/>
        </w:rPr>
        <w:t>14-1867</w:t>
      </w:r>
    </w:p>
    <w:p w:rsidR="00441203" w:rsidRPr="00B80467" w:rsidRDefault="00441203" w:rsidP="00441203">
      <w:pPr>
        <w:tabs>
          <w:tab w:val="left" w:pos="-1440"/>
          <w:tab w:val="left" w:pos="-720"/>
          <w:tab w:val="left" w:pos="4788"/>
          <w:tab w:val="left" w:pos="5040"/>
          <w:tab w:val="left" w:pos="6480"/>
        </w:tabs>
        <w:suppressAutoHyphens/>
        <w:outlineLvl w:val="0"/>
        <w:rPr>
          <w:i/>
          <w:sz w:val="22"/>
          <w:szCs w:val="22"/>
        </w:rPr>
      </w:pPr>
      <w:r w:rsidRPr="00B80467">
        <w:rPr>
          <w:sz w:val="22"/>
          <w:szCs w:val="22"/>
        </w:rPr>
        <w:tab/>
      </w:r>
      <w:r w:rsidRPr="00B80467">
        <w:rPr>
          <w:sz w:val="22"/>
          <w:szCs w:val="22"/>
        </w:rPr>
        <w:tab/>
      </w:r>
      <w:r w:rsidRPr="00B80467">
        <w:rPr>
          <w:sz w:val="22"/>
          <w:szCs w:val="22"/>
        </w:rPr>
        <w:tab/>
      </w:r>
      <w:r w:rsidRPr="00B80467">
        <w:rPr>
          <w:i/>
          <w:sz w:val="22"/>
          <w:szCs w:val="22"/>
        </w:rPr>
        <w:t>In Reply Refer to:</w:t>
      </w:r>
    </w:p>
    <w:p w:rsidR="00441203" w:rsidRPr="00B80467" w:rsidRDefault="00441203" w:rsidP="00441203">
      <w:pPr>
        <w:tabs>
          <w:tab w:val="left" w:pos="0"/>
          <w:tab w:val="left" w:pos="6480"/>
        </w:tabs>
        <w:suppressAutoHyphens/>
        <w:outlineLvl w:val="0"/>
        <w:rPr>
          <w:sz w:val="22"/>
          <w:szCs w:val="22"/>
        </w:rPr>
      </w:pPr>
      <w:r w:rsidRPr="00B80467">
        <w:rPr>
          <w:sz w:val="22"/>
          <w:szCs w:val="22"/>
        </w:rPr>
        <w:tab/>
        <w:t>1800B3-HOD</w:t>
      </w:r>
    </w:p>
    <w:p w:rsidR="00441203" w:rsidRPr="00B80467" w:rsidRDefault="00441203" w:rsidP="00441203">
      <w:pPr>
        <w:rPr>
          <w:sz w:val="22"/>
          <w:szCs w:val="22"/>
        </w:rPr>
      </w:pP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t>Released:</w:t>
      </w:r>
      <w:r w:rsidRPr="00B80467">
        <w:rPr>
          <w:b/>
          <w:sz w:val="22"/>
          <w:szCs w:val="22"/>
        </w:rPr>
        <w:t xml:space="preserve">  </w:t>
      </w:r>
      <w:r w:rsidR="00053118">
        <w:rPr>
          <w:sz w:val="22"/>
          <w:szCs w:val="22"/>
        </w:rPr>
        <w:t>December</w:t>
      </w:r>
      <w:r w:rsidR="00053118" w:rsidRPr="00B80467">
        <w:rPr>
          <w:sz w:val="22"/>
          <w:szCs w:val="22"/>
        </w:rPr>
        <w:t xml:space="preserve"> </w:t>
      </w:r>
      <w:r w:rsidR="00D2697C">
        <w:rPr>
          <w:sz w:val="22"/>
          <w:szCs w:val="22"/>
        </w:rPr>
        <w:t>18</w:t>
      </w:r>
      <w:r w:rsidRPr="00B80467">
        <w:rPr>
          <w:sz w:val="22"/>
          <w:szCs w:val="22"/>
        </w:rPr>
        <w:t>, 2014</w:t>
      </w:r>
    </w:p>
    <w:p w:rsidR="00BA208B" w:rsidRPr="00F517E6" w:rsidRDefault="00BA208B" w:rsidP="005C2DB5">
      <w:pPr>
        <w:jc w:val="both"/>
        <w:rPr>
          <w:sz w:val="22"/>
          <w:szCs w:val="22"/>
        </w:rPr>
      </w:pPr>
    </w:p>
    <w:p w:rsidR="00BA208B" w:rsidRPr="00F517E6" w:rsidRDefault="00C71510" w:rsidP="005C2DB5">
      <w:pPr>
        <w:jc w:val="both"/>
        <w:rPr>
          <w:sz w:val="22"/>
          <w:szCs w:val="22"/>
        </w:rPr>
      </w:pPr>
      <w:r>
        <w:rPr>
          <w:sz w:val="22"/>
          <w:szCs w:val="22"/>
        </w:rPr>
        <w:t>John F. Banzhaf III</w:t>
      </w:r>
    </w:p>
    <w:p w:rsidR="00486E7E" w:rsidRPr="00F517E6" w:rsidRDefault="00C71510" w:rsidP="00441203">
      <w:pPr>
        <w:tabs>
          <w:tab w:val="left" w:pos="7230"/>
        </w:tabs>
        <w:jc w:val="both"/>
        <w:rPr>
          <w:sz w:val="22"/>
          <w:szCs w:val="22"/>
        </w:rPr>
      </w:pPr>
      <w:r>
        <w:rPr>
          <w:sz w:val="22"/>
          <w:szCs w:val="22"/>
        </w:rPr>
        <w:t>104 N. Jackson Street</w:t>
      </w:r>
      <w:r w:rsidR="00441203">
        <w:rPr>
          <w:sz w:val="22"/>
          <w:szCs w:val="22"/>
        </w:rPr>
        <w:tab/>
      </w:r>
    </w:p>
    <w:p w:rsidR="00FD3DB2" w:rsidRPr="00F517E6" w:rsidRDefault="00FD3DB2" w:rsidP="005C2DB5">
      <w:pPr>
        <w:jc w:val="both"/>
        <w:rPr>
          <w:sz w:val="22"/>
          <w:szCs w:val="22"/>
        </w:rPr>
      </w:pPr>
      <w:r w:rsidRPr="00F517E6">
        <w:rPr>
          <w:sz w:val="22"/>
          <w:szCs w:val="22"/>
        </w:rPr>
        <w:t xml:space="preserve">Arlington, VA </w:t>
      </w:r>
      <w:r w:rsidR="00C71510">
        <w:rPr>
          <w:sz w:val="22"/>
          <w:szCs w:val="22"/>
        </w:rPr>
        <w:t>22201</w:t>
      </w:r>
    </w:p>
    <w:p w:rsidR="00BC78E2" w:rsidRPr="00F517E6" w:rsidRDefault="00BC78E2" w:rsidP="005C2DB5">
      <w:pPr>
        <w:jc w:val="both"/>
        <w:rPr>
          <w:sz w:val="22"/>
          <w:szCs w:val="22"/>
        </w:rPr>
      </w:pPr>
    </w:p>
    <w:p w:rsidR="00FD3DB2" w:rsidRDefault="00C71510" w:rsidP="005C2DB5">
      <w:pPr>
        <w:jc w:val="both"/>
        <w:rPr>
          <w:sz w:val="22"/>
          <w:szCs w:val="22"/>
        </w:rPr>
      </w:pPr>
      <w:r>
        <w:rPr>
          <w:sz w:val="22"/>
          <w:szCs w:val="22"/>
        </w:rPr>
        <w:t>Andrew G. McBride</w:t>
      </w:r>
    </w:p>
    <w:p w:rsidR="00C71510" w:rsidRDefault="00C71510" w:rsidP="005C2DB5">
      <w:pPr>
        <w:jc w:val="both"/>
        <w:rPr>
          <w:sz w:val="22"/>
          <w:szCs w:val="22"/>
        </w:rPr>
      </w:pPr>
      <w:r>
        <w:rPr>
          <w:sz w:val="22"/>
          <w:szCs w:val="22"/>
        </w:rPr>
        <w:t>Wiley Rein LLP</w:t>
      </w:r>
    </w:p>
    <w:p w:rsidR="00C71510" w:rsidRDefault="00C71510" w:rsidP="005C2DB5">
      <w:pPr>
        <w:jc w:val="both"/>
        <w:rPr>
          <w:sz w:val="22"/>
          <w:szCs w:val="22"/>
        </w:rPr>
      </w:pPr>
      <w:r>
        <w:rPr>
          <w:sz w:val="22"/>
          <w:szCs w:val="22"/>
        </w:rPr>
        <w:t>1776 K Street, NW</w:t>
      </w:r>
    </w:p>
    <w:p w:rsidR="00C71510" w:rsidRPr="00F517E6" w:rsidRDefault="00C71510" w:rsidP="005C2DB5">
      <w:pPr>
        <w:jc w:val="both"/>
        <w:rPr>
          <w:sz w:val="22"/>
          <w:szCs w:val="22"/>
        </w:rPr>
      </w:pPr>
      <w:r>
        <w:rPr>
          <w:sz w:val="22"/>
          <w:szCs w:val="22"/>
        </w:rPr>
        <w:t>Washington, DC 20006</w:t>
      </w:r>
    </w:p>
    <w:p w:rsidR="00FD3DB2" w:rsidRPr="00F517E6" w:rsidRDefault="00FD3DB2" w:rsidP="005C2DB5">
      <w:pPr>
        <w:jc w:val="both"/>
        <w:rPr>
          <w:sz w:val="22"/>
          <w:szCs w:val="22"/>
        </w:rPr>
      </w:pPr>
    </w:p>
    <w:p w:rsidR="00BA208B" w:rsidRPr="00F517E6" w:rsidRDefault="00BA208B" w:rsidP="005C2DB5">
      <w:pPr>
        <w:jc w:val="both"/>
        <w:rPr>
          <w:b/>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In re:</w:t>
      </w:r>
      <w:r w:rsidRPr="00F517E6">
        <w:rPr>
          <w:sz w:val="22"/>
          <w:szCs w:val="22"/>
        </w:rPr>
        <w:tab/>
      </w:r>
      <w:r w:rsidR="00B167EA">
        <w:rPr>
          <w:b/>
          <w:sz w:val="22"/>
          <w:szCs w:val="22"/>
        </w:rPr>
        <w:t>Red Zebra Broadcasting Licensee, LLC</w:t>
      </w:r>
    </w:p>
    <w:p w:rsidR="00BA208B" w:rsidRPr="00F517E6" w:rsidRDefault="00BA208B" w:rsidP="00B167EA">
      <w:pPr>
        <w:jc w:val="both"/>
        <w:rPr>
          <w:sz w:val="22"/>
          <w:szCs w:val="22"/>
        </w:rPr>
      </w:pPr>
      <w:r w:rsidRPr="00F517E6">
        <w:rPr>
          <w:b/>
          <w:sz w:val="22"/>
          <w:szCs w:val="22"/>
        </w:rPr>
        <w:tab/>
      </w:r>
      <w:r w:rsidRPr="00F517E6">
        <w:rPr>
          <w:b/>
          <w:sz w:val="22"/>
          <w:szCs w:val="22"/>
        </w:rPr>
        <w:tab/>
      </w:r>
      <w:r w:rsidRPr="00F517E6">
        <w:rPr>
          <w:b/>
          <w:sz w:val="22"/>
          <w:szCs w:val="22"/>
        </w:rPr>
        <w:tab/>
      </w:r>
      <w:r w:rsidRPr="00F517E6">
        <w:rPr>
          <w:b/>
          <w:sz w:val="22"/>
          <w:szCs w:val="22"/>
        </w:rPr>
        <w:tab/>
      </w:r>
      <w:r w:rsidRPr="00F517E6">
        <w:rPr>
          <w:b/>
          <w:sz w:val="22"/>
          <w:szCs w:val="22"/>
        </w:rPr>
        <w:tab/>
      </w:r>
      <w:r w:rsidRPr="00F517E6">
        <w:rPr>
          <w:b/>
          <w:sz w:val="22"/>
          <w:szCs w:val="22"/>
        </w:rPr>
        <w:tab/>
      </w:r>
      <w:r w:rsidRPr="00F517E6">
        <w:rPr>
          <w:b/>
          <w:sz w:val="22"/>
          <w:szCs w:val="22"/>
        </w:rPr>
        <w:tab/>
      </w:r>
      <w:r w:rsidR="00B167EA" w:rsidRPr="00B167EA">
        <w:rPr>
          <w:sz w:val="22"/>
          <w:szCs w:val="22"/>
        </w:rPr>
        <w:t>WWXX(FM)</w:t>
      </w:r>
      <w:r w:rsidR="006B607C" w:rsidRPr="00B167EA">
        <w:rPr>
          <w:sz w:val="22"/>
          <w:szCs w:val="22"/>
        </w:rPr>
        <w:t xml:space="preserve">, </w:t>
      </w:r>
      <w:r w:rsidR="00B167EA">
        <w:rPr>
          <w:sz w:val="22"/>
          <w:szCs w:val="22"/>
        </w:rPr>
        <w:t>Buckland</w:t>
      </w:r>
      <w:r w:rsidR="00FD3DB2" w:rsidRPr="00F517E6">
        <w:rPr>
          <w:sz w:val="22"/>
          <w:szCs w:val="22"/>
        </w:rPr>
        <w:t xml:space="preserve">, </w:t>
      </w:r>
      <w:r w:rsidR="00B167EA">
        <w:rPr>
          <w:sz w:val="22"/>
          <w:szCs w:val="22"/>
        </w:rPr>
        <w:t>Virginia</w:t>
      </w:r>
    </w:p>
    <w:p w:rsidR="006B607C" w:rsidRPr="00F517E6" w:rsidRDefault="006B607C" w:rsidP="005C2DB5">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Facility ID No. </w:t>
      </w:r>
      <w:r w:rsidR="00B167EA">
        <w:rPr>
          <w:sz w:val="22"/>
          <w:szCs w:val="22"/>
        </w:rPr>
        <w:t>16819</w:t>
      </w:r>
    </w:p>
    <w:p w:rsidR="00FD3DB2" w:rsidRPr="00F517E6" w:rsidRDefault="006B607C" w:rsidP="00B167EA">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File No. </w:t>
      </w:r>
      <w:r w:rsidR="00FD3DB2" w:rsidRPr="00F517E6">
        <w:rPr>
          <w:sz w:val="22"/>
          <w:szCs w:val="22"/>
        </w:rPr>
        <w:t>BR</w:t>
      </w:r>
      <w:r w:rsidR="00B167EA">
        <w:rPr>
          <w:sz w:val="22"/>
          <w:szCs w:val="22"/>
        </w:rPr>
        <w:t>H-20110601ACB</w:t>
      </w:r>
    </w:p>
    <w:p w:rsidR="005E1C31" w:rsidRPr="00F517E6" w:rsidRDefault="005E1C31" w:rsidP="00465B9D">
      <w:pPr>
        <w:jc w:val="center"/>
        <w:rPr>
          <w:sz w:val="22"/>
          <w:szCs w:val="22"/>
        </w:rPr>
      </w:pPr>
    </w:p>
    <w:p w:rsidR="005E1C31" w:rsidRPr="00F517E6" w:rsidRDefault="005E1C31" w:rsidP="005C2DB5">
      <w:pPr>
        <w:jc w:val="both"/>
        <w:rPr>
          <w:b/>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009E1F9A">
        <w:rPr>
          <w:b/>
          <w:sz w:val="22"/>
          <w:szCs w:val="22"/>
        </w:rPr>
        <w:t>Informal Objections</w:t>
      </w:r>
    </w:p>
    <w:p w:rsidR="006B607C" w:rsidRPr="00F517E6" w:rsidRDefault="006B607C" w:rsidP="005C2DB5">
      <w:pPr>
        <w:jc w:val="both"/>
        <w:rPr>
          <w:sz w:val="22"/>
          <w:szCs w:val="22"/>
        </w:rPr>
      </w:pPr>
    </w:p>
    <w:p w:rsidR="00BA208B" w:rsidRPr="00F517E6" w:rsidRDefault="00BA208B" w:rsidP="005C2DB5">
      <w:pPr>
        <w:jc w:val="both"/>
        <w:rPr>
          <w:sz w:val="22"/>
          <w:szCs w:val="22"/>
        </w:rPr>
      </w:pPr>
      <w:r w:rsidRPr="00F517E6">
        <w:rPr>
          <w:sz w:val="22"/>
          <w:szCs w:val="22"/>
        </w:rPr>
        <w:t xml:space="preserve">Dear </w:t>
      </w:r>
      <w:r w:rsidR="009E1F9A">
        <w:rPr>
          <w:sz w:val="22"/>
          <w:szCs w:val="22"/>
        </w:rPr>
        <w:t>Sirs</w:t>
      </w:r>
      <w:r w:rsidRPr="00F517E6">
        <w:rPr>
          <w:sz w:val="22"/>
          <w:szCs w:val="22"/>
        </w:rPr>
        <w:t>:</w:t>
      </w:r>
    </w:p>
    <w:p w:rsidR="00BA208B" w:rsidRPr="00F517E6" w:rsidRDefault="00BA208B" w:rsidP="005C2DB5">
      <w:pPr>
        <w:jc w:val="both"/>
        <w:rPr>
          <w:sz w:val="22"/>
          <w:szCs w:val="22"/>
        </w:rPr>
      </w:pPr>
    </w:p>
    <w:p w:rsidR="00BA208B" w:rsidRDefault="00BA208B" w:rsidP="00B64813">
      <w:pPr>
        <w:jc w:val="both"/>
        <w:rPr>
          <w:sz w:val="22"/>
          <w:szCs w:val="22"/>
        </w:rPr>
      </w:pPr>
      <w:r w:rsidRPr="00F517E6">
        <w:rPr>
          <w:sz w:val="22"/>
          <w:szCs w:val="22"/>
        </w:rPr>
        <w:tab/>
      </w:r>
      <w:r w:rsidR="0051648C" w:rsidRPr="00F517E6">
        <w:rPr>
          <w:sz w:val="22"/>
          <w:szCs w:val="22"/>
        </w:rPr>
        <w:t xml:space="preserve">We have before us </w:t>
      </w:r>
      <w:r w:rsidR="001A43E1">
        <w:rPr>
          <w:sz w:val="22"/>
          <w:szCs w:val="22"/>
        </w:rPr>
        <w:t>the</w:t>
      </w:r>
      <w:r w:rsidR="0051648C" w:rsidRPr="00F517E6">
        <w:rPr>
          <w:sz w:val="22"/>
          <w:szCs w:val="22"/>
        </w:rPr>
        <w:t xml:space="preserve"> application (“Application”) of </w:t>
      </w:r>
      <w:r w:rsidR="009E1F9A">
        <w:rPr>
          <w:sz w:val="22"/>
          <w:szCs w:val="22"/>
        </w:rPr>
        <w:t>Red Zebra Broadcasting Licensee, LLC</w:t>
      </w:r>
      <w:r w:rsidR="0051648C" w:rsidRPr="00F517E6">
        <w:rPr>
          <w:sz w:val="22"/>
          <w:szCs w:val="22"/>
        </w:rPr>
        <w:t xml:space="preserve"> (“</w:t>
      </w:r>
      <w:r w:rsidR="009E1F9A">
        <w:rPr>
          <w:sz w:val="22"/>
          <w:szCs w:val="22"/>
        </w:rPr>
        <w:t>Red Zebra</w:t>
      </w:r>
      <w:r w:rsidR="0051648C" w:rsidRPr="00F517E6">
        <w:rPr>
          <w:sz w:val="22"/>
          <w:szCs w:val="22"/>
        </w:rPr>
        <w:t xml:space="preserve">”) for renewal of </w:t>
      </w:r>
      <w:r w:rsidR="00791377">
        <w:rPr>
          <w:sz w:val="22"/>
          <w:szCs w:val="22"/>
        </w:rPr>
        <w:t>its</w:t>
      </w:r>
      <w:r w:rsidR="0051648C" w:rsidRPr="00F517E6">
        <w:rPr>
          <w:sz w:val="22"/>
          <w:szCs w:val="22"/>
        </w:rPr>
        <w:t xml:space="preserve"> license for</w:t>
      </w:r>
      <w:r w:rsidR="009E1F9A">
        <w:rPr>
          <w:sz w:val="22"/>
          <w:szCs w:val="22"/>
        </w:rPr>
        <w:t xml:space="preserve"> WWXX(FM), Buckland, Virginia (“Station”)</w:t>
      </w:r>
      <w:r w:rsidR="0051648C" w:rsidRPr="00F517E6">
        <w:rPr>
          <w:sz w:val="22"/>
          <w:szCs w:val="22"/>
        </w:rPr>
        <w:t xml:space="preserve">.  </w:t>
      </w:r>
      <w:r w:rsidRPr="00F517E6">
        <w:rPr>
          <w:sz w:val="22"/>
          <w:szCs w:val="22"/>
        </w:rPr>
        <w:t xml:space="preserve">We </w:t>
      </w:r>
      <w:r w:rsidR="0051648C" w:rsidRPr="00F517E6">
        <w:rPr>
          <w:sz w:val="22"/>
          <w:szCs w:val="22"/>
        </w:rPr>
        <w:t xml:space="preserve">also </w:t>
      </w:r>
      <w:r w:rsidRPr="00F517E6">
        <w:rPr>
          <w:sz w:val="22"/>
          <w:szCs w:val="22"/>
        </w:rPr>
        <w:t xml:space="preserve">have before </w:t>
      </w:r>
      <w:r w:rsidR="00E5444A">
        <w:rPr>
          <w:sz w:val="22"/>
          <w:szCs w:val="22"/>
        </w:rPr>
        <w:t xml:space="preserve">us </w:t>
      </w:r>
      <w:r w:rsidR="001038E3">
        <w:rPr>
          <w:sz w:val="22"/>
          <w:szCs w:val="22"/>
        </w:rPr>
        <w:t xml:space="preserve">pleadings </w:t>
      </w:r>
      <w:r w:rsidR="001A43E1">
        <w:rPr>
          <w:sz w:val="22"/>
          <w:szCs w:val="22"/>
        </w:rPr>
        <w:t>(“Objections”)</w:t>
      </w:r>
      <w:r w:rsidR="00E5444A">
        <w:rPr>
          <w:sz w:val="22"/>
          <w:szCs w:val="22"/>
        </w:rPr>
        <w:t xml:space="preserve"> filed by John F. Banzhaf III (“Banzhaf”)</w:t>
      </w:r>
      <w:r w:rsidR="001A43E1">
        <w:rPr>
          <w:sz w:val="22"/>
          <w:szCs w:val="22"/>
        </w:rPr>
        <w:t xml:space="preserve">, </w:t>
      </w:r>
      <w:r w:rsidR="00A92A22">
        <w:rPr>
          <w:sz w:val="22"/>
          <w:szCs w:val="22"/>
        </w:rPr>
        <w:t>Louis Ramon Grimaldi</w:t>
      </w:r>
      <w:r w:rsidR="001A43E1">
        <w:rPr>
          <w:sz w:val="22"/>
          <w:szCs w:val="22"/>
        </w:rPr>
        <w:t xml:space="preserve"> (“Grimaldi”)</w:t>
      </w:r>
      <w:r w:rsidR="00A92A22">
        <w:rPr>
          <w:sz w:val="22"/>
          <w:szCs w:val="22"/>
        </w:rPr>
        <w:t>, Jay Winter Nightwolf</w:t>
      </w:r>
      <w:r w:rsidR="001A43E1">
        <w:rPr>
          <w:sz w:val="22"/>
          <w:szCs w:val="22"/>
        </w:rPr>
        <w:t xml:space="preserve"> (“Nightwolf”)</w:t>
      </w:r>
      <w:r w:rsidR="00A92A22">
        <w:rPr>
          <w:sz w:val="22"/>
          <w:szCs w:val="22"/>
        </w:rPr>
        <w:t>, and Verona Iriarte</w:t>
      </w:r>
      <w:r w:rsidR="001A43E1">
        <w:rPr>
          <w:sz w:val="22"/>
          <w:szCs w:val="22"/>
        </w:rPr>
        <w:t xml:space="preserve"> (“Iriarte”)</w:t>
      </w:r>
      <w:r w:rsidR="00A92A22">
        <w:rPr>
          <w:sz w:val="22"/>
          <w:szCs w:val="22"/>
        </w:rPr>
        <w:t>.</w:t>
      </w:r>
      <w:r w:rsidR="001A43E1">
        <w:rPr>
          <w:rStyle w:val="FootnoteReference"/>
          <w:sz w:val="22"/>
          <w:szCs w:val="22"/>
        </w:rPr>
        <w:footnoteReference w:id="1"/>
      </w:r>
      <w:r w:rsidR="00A92A22">
        <w:rPr>
          <w:sz w:val="22"/>
          <w:szCs w:val="22"/>
        </w:rPr>
        <w:t xml:space="preserve">  </w:t>
      </w:r>
      <w:r w:rsidR="001038E3">
        <w:rPr>
          <w:sz w:val="22"/>
          <w:szCs w:val="22"/>
        </w:rPr>
        <w:t xml:space="preserve">These pleadings purport to be petitions to deny the Application.  </w:t>
      </w:r>
      <w:r w:rsidR="00F312F9" w:rsidRPr="00F517E6">
        <w:rPr>
          <w:sz w:val="22"/>
          <w:szCs w:val="22"/>
        </w:rPr>
        <w:t>As discussed below, we d</w:t>
      </w:r>
      <w:r w:rsidR="004F63E6">
        <w:rPr>
          <w:sz w:val="22"/>
          <w:szCs w:val="22"/>
        </w:rPr>
        <w:t xml:space="preserve">ismiss the </w:t>
      </w:r>
      <w:r w:rsidR="001038E3">
        <w:rPr>
          <w:sz w:val="22"/>
          <w:szCs w:val="22"/>
        </w:rPr>
        <w:t>pleadings</w:t>
      </w:r>
      <w:r w:rsidR="004F63E6">
        <w:rPr>
          <w:sz w:val="22"/>
          <w:szCs w:val="22"/>
        </w:rPr>
        <w:t xml:space="preserve"> as petitions to deny, d</w:t>
      </w:r>
      <w:r w:rsidR="00F312F9" w:rsidRPr="00F517E6">
        <w:rPr>
          <w:sz w:val="22"/>
          <w:szCs w:val="22"/>
        </w:rPr>
        <w:t>eny the</w:t>
      </w:r>
      <w:r w:rsidR="004F63E6">
        <w:rPr>
          <w:sz w:val="22"/>
          <w:szCs w:val="22"/>
        </w:rPr>
        <w:t>m when considered as informal ob</w:t>
      </w:r>
      <w:r w:rsidR="00A92A22">
        <w:rPr>
          <w:sz w:val="22"/>
          <w:szCs w:val="22"/>
        </w:rPr>
        <w:t>jections</w:t>
      </w:r>
      <w:r w:rsidR="00913166">
        <w:rPr>
          <w:sz w:val="22"/>
          <w:szCs w:val="22"/>
        </w:rPr>
        <w:t>, and grant</w:t>
      </w:r>
      <w:r w:rsidR="0051648C" w:rsidRPr="00F517E6">
        <w:rPr>
          <w:sz w:val="22"/>
          <w:szCs w:val="22"/>
        </w:rPr>
        <w:t xml:space="preserve"> the Application</w:t>
      </w:r>
      <w:r w:rsidR="00F312F9" w:rsidRPr="00F517E6">
        <w:rPr>
          <w:sz w:val="22"/>
          <w:szCs w:val="22"/>
        </w:rPr>
        <w:t>.</w:t>
      </w:r>
    </w:p>
    <w:p w:rsidR="004F63E6" w:rsidRDefault="004F63E6" w:rsidP="00B64813">
      <w:pPr>
        <w:jc w:val="both"/>
        <w:rPr>
          <w:sz w:val="22"/>
          <w:szCs w:val="22"/>
        </w:rPr>
      </w:pPr>
    </w:p>
    <w:p w:rsidR="00C02982" w:rsidRPr="00F517E6" w:rsidRDefault="00BA208B" w:rsidP="00B64813">
      <w:pPr>
        <w:jc w:val="both"/>
        <w:rPr>
          <w:sz w:val="22"/>
          <w:szCs w:val="22"/>
        </w:rPr>
      </w:pPr>
      <w:r w:rsidRPr="00F517E6">
        <w:rPr>
          <w:i/>
          <w:sz w:val="22"/>
          <w:szCs w:val="22"/>
        </w:rPr>
        <w:tab/>
      </w:r>
      <w:r w:rsidRPr="00F517E6">
        <w:rPr>
          <w:b/>
          <w:sz w:val="22"/>
          <w:szCs w:val="22"/>
        </w:rPr>
        <w:t>Background</w:t>
      </w:r>
      <w:r w:rsidRPr="00F517E6">
        <w:rPr>
          <w:i/>
          <w:sz w:val="22"/>
          <w:szCs w:val="22"/>
        </w:rPr>
        <w:t xml:space="preserve">. </w:t>
      </w:r>
      <w:r w:rsidR="004F63E6">
        <w:rPr>
          <w:sz w:val="22"/>
          <w:szCs w:val="22"/>
        </w:rPr>
        <w:t xml:space="preserve">Red Zebra timely filed the Application on </w:t>
      </w:r>
      <w:r w:rsidR="000C4B9C">
        <w:rPr>
          <w:sz w:val="22"/>
          <w:szCs w:val="22"/>
        </w:rPr>
        <w:t>June 1, 2011</w:t>
      </w:r>
      <w:r w:rsidR="00085939" w:rsidRPr="00F517E6">
        <w:rPr>
          <w:sz w:val="22"/>
          <w:szCs w:val="22"/>
        </w:rPr>
        <w:t>.</w:t>
      </w:r>
      <w:r w:rsidR="000C4B9C">
        <w:rPr>
          <w:sz w:val="22"/>
          <w:szCs w:val="22"/>
        </w:rPr>
        <w:t xml:space="preserve">  </w:t>
      </w:r>
      <w:r w:rsidR="00585FFF">
        <w:rPr>
          <w:sz w:val="22"/>
          <w:szCs w:val="22"/>
        </w:rPr>
        <w:t>O</w:t>
      </w:r>
      <w:r w:rsidR="000C4B9C">
        <w:rPr>
          <w:sz w:val="22"/>
          <w:szCs w:val="22"/>
        </w:rPr>
        <w:t xml:space="preserve">n September 2, 2014, Banzhaf filed </w:t>
      </w:r>
      <w:r w:rsidR="001A43E1">
        <w:rPr>
          <w:sz w:val="22"/>
          <w:szCs w:val="22"/>
        </w:rPr>
        <w:t>his pleading</w:t>
      </w:r>
      <w:r w:rsidR="000C4B9C">
        <w:rPr>
          <w:sz w:val="22"/>
          <w:szCs w:val="22"/>
        </w:rPr>
        <w:t xml:space="preserve">.  Banzhaf urges us to deny the Application because </w:t>
      </w:r>
      <w:r w:rsidR="001038E3">
        <w:rPr>
          <w:sz w:val="22"/>
          <w:szCs w:val="22"/>
        </w:rPr>
        <w:t xml:space="preserve">Red Zebra </w:t>
      </w:r>
      <w:r w:rsidR="008B7669">
        <w:rPr>
          <w:sz w:val="22"/>
          <w:szCs w:val="22"/>
        </w:rPr>
        <w:t xml:space="preserve">permits </w:t>
      </w:r>
      <w:r w:rsidR="001038E3">
        <w:rPr>
          <w:sz w:val="22"/>
          <w:szCs w:val="22"/>
        </w:rPr>
        <w:t>the Station’s broadcast of</w:t>
      </w:r>
      <w:r w:rsidR="000C4B9C">
        <w:rPr>
          <w:sz w:val="22"/>
          <w:szCs w:val="22"/>
        </w:rPr>
        <w:t xml:space="preserve"> the word “Redskins”</w:t>
      </w:r>
      <w:r w:rsidR="00585FFF">
        <w:rPr>
          <w:sz w:val="22"/>
          <w:szCs w:val="22"/>
        </w:rPr>
        <w:t xml:space="preserve"> to identify the professional football team named the Washington Redskins.  </w:t>
      </w:r>
      <w:r w:rsidR="00AE63F1">
        <w:rPr>
          <w:sz w:val="22"/>
          <w:szCs w:val="22"/>
        </w:rPr>
        <w:t>In addition</w:t>
      </w:r>
      <w:r w:rsidR="000C4B9C">
        <w:rPr>
          <w:sz w:val="22"/>
          <w:szCs w:val="22"/>
        </w:rPr>
        <w:t>, Banzhaf questions whether Daniel Snyder</w:t>
      </w:r>
      <w:r w:rsidR="002E77B1">
        <w:rPr>
          <w:sz w:val="22"/>
          <w:szCs w:val="22"/>
        </w:rPr>
        <w:t xml:space="preserve"> (“Snyder”)</w:t>
      </w:r>
      <w:r w:rsidR="000C4B9C">
        <w:rPr>
          <w:sz w:val="22"/>
          <w:szCs w:val="22"/>
        </w:rPr>
        <w:t>, the managing member of Red Zebra’s parent company</w:t>
      </w:r>
      <w:r w:rsidR="001038E3">
        <w:rPr>
          <w:sz w:val="22"/>
          <w:szCs w:val="22"/>
        </w:rPr>
        <w:t xml:space="preserve"> and the </w:t>
      </w:r>
      <w:r w:rsidR="00023B0E">
        <w:rPr>
          <w:sz w:val="22"/>
          <w:szCs w:val="22"/>
        </w:rPr>
        <w:t xml:space="preserve">majority </w:t>
      </w:r>
      <w:r w:rsidR="001038E3">
        <w:rPr>
          <w:sz w:val="22"/>
          <w:szCs w:val="22"/>
        </w:rPr>
        <w:t>owner of the Washington Redskins</w:t>
      </w:r>
      <w:r w:rsidR="000C4B9C">
        <w:rPr>
          <w:sz w:val="22"/>
          <w:szCs w:val="22"/>
        </w:rPr>
        <w:t xml:space="preserve">, possesses the character qualifications required of a Commission licensee.  </w:t>
      </w:r>
      <w:r w:rsidR="001038E3">
        <w:rPr>
          <w:sz w:val="22"/>
          <w:szCs w:val="22"/>
        </w:rPr>
        <w:t xml:space="preserve">Grimaldi, Nightwolf and Iriarte filed their pleadings </w:t>
      </w:r>
      <w:r w:rsidR="000C4B9C">
        <w:rPr>
          <w:sz w:val="22"/>
          <w:szCs w:val="22"/>
        </w:rPr>
        <w:t xml:space="preserve">on October 13, 2014.  </w:t>
      </w:r>
      <w:r w:rsidR="001038E3">
        <w:rPr>
          <w:sz w:val="22"/>
          <w:szCs w:val="22"/>
        </w:rPr>
        <w:t xml:space="preserve">These pleadings adopt and incorporate by reference the Banzhaf pleading.  </w:t>
      </w:r>
      <w:r w:rsidR="00BE3C2C">
        <w:rPr>
          <w:sz w:val="22"/>
          <w:szCs w:val="22"/>
        </w:rPr>
        <w:t>They do not contain any additional arguments, assertions or allegations of fact.</w:t>
      </w:r>
      <w:r w:rsidR="002E77B1">
        <w:rPr>
          <w:rStyle w:val="FootnoteReference"/>
          <w:sz w:val="22"/>
          <w:szCs w:val="22"/>
        </w:rPr>
        <w:footnoteReference w:id="2"/>
      </w:r>
      <w:r w:rsidR="00BE3C2C">
        <w:rPr>
          <w:sz w:val="22"/>
          <w:szCs w:val="22"/>
        </w:rPr>
        <w:t xml:space="preserve">  </w:t>
      </w:r>
      <w:r w:rsidR="000C4B9C">
        <w:rPr>
          <w:sz w:val="22"/>
          <w:szCs w:val="22"/>
        </w:rPr>
        <w:t xml:space="preserve">Red Zebra </w:t>
      </w:r>
      <w:r w:rsidR="00B64813">
        <w:rPr>
          <w:sz w:val="22"/>
          <w:szCs w:val="22"/>
        </w:rPr>
        <w:t xml:space="preserve">filed a response to all of the pleadings (“Red Zebra Response”) </w:t>
      </w:r>
      <w:r w:rsidR="000C4B9C">
        <w:rPr>
          <w:sz w:val="22"/>
          <w:szCs w:val="22"/>
        </w:rPr>
        <w:t xml:space="preserve">on October 17, 2014.  </w:t>
      </w:r>
    </w:p>
    <w:p w:rsidR="002E77B1" w:rsidRDefault="002E77B1" w:rsidP="00B64813">
      <w:pPr>
        <w:ind w:firstLine="720"/>
        <w:jc w:val="both"/>
        <w:rPr>
          <w:b/>
          <w:sz w:val="22"/>
          <w:szCs w:val="22"/>
        </w:rPr>
      </w:pPr>
    </w:p>
    <w:p w:rsidR="00273E5F" w:rsidRDefault="00BA208B" w:rsidP="00B64813">
      <w:pPr>
        <w:ind w:firstLine="720"/>
        <w:jc w:val="both"/>
        <w:rPr>
          <w:sz w:val="22"/>
          <w:szCs w:val="22"/>
        </w:rPr>
      </w:pPr>
      <w:r w:rsidRPr="00F517E6">
        <w:rPr>
          <w:b/>
          <w:sz w:val="22"/>
          <w:szCs w:val="22"/>
        </w:rPr>
        <w:lastRenderedPageBreak/>
        <w:t>Discussion</w:t>
      </w:r>
      <w:r w:rsidR="00CB2E22" w:rsidRPr="00F517E6">
        <w:rPr>
          <w:sz w:val="22"/>
          <w:szCs w:val="22"/>
        </w:rPr>
        <w:t>.</w:t>
      </w:r>
      <w:r w:rsidR="00CE096A" w:rsidRPr="00F517E6">
        <w:rPr>
          <w:sz w:val="22"/>
          <w:szCs w:val="22"/>
        </w:rPr>
        <w:t xml:space="preserve">  </w:t>
      </w:r>
      <w:r w:rsidR="001D60B6" w:rsidRPr="00271AC9">
        <w:rPr>
          <w:b/>
          <w:sz w:val="22"/>
          <w:szCs w:val="22"/>
        </w:rPr>
        <w:t>Procedural Issue</w:t>
      </w:r>
      <w:r w:rsidR="00273E5F" w:rsidRPr="00271AC9">
        <w:rPr>
          <w:b/>
          <w:sz w:val="22"/>
          <w:szCs w:val="22"/>
        </w:rPr>
        <w:t>s</w:t>
      </w:r>
      <w:r w:rsidR="001D60B6" w:rsidRPr="00271AC9">
        <w:rPr>
          <w:b/>
          <w:sz w:val="22"/>
          <w:szCs w:val="22"/>
        </w:rPr>
        <w:t>.</w:t>
      </w:r>
      <w:r w:rsidR="001D60B6" w:rsidRPr="00273E5F">
        <w:rPr>
          <w:i/>
          <w:sz w:val="22"/>
          <w:szCs w:val="22"/>
        </w:rPr>
        <w:t xml:space="preserve">  </w:t>
      </w:r>
      <w:r w:rsidR="00273E5F" w:rsidRPr="00273E5F">
        <w:rPr>
          <w:sz w:val="22"/>
          <w:szCs w:val="22"/>
        </w:rPr>
        <w:t>P</w:t>
      </w:r>
      <w:r w:rsidR="00441899" w:rsidRPr="00273E5F">
        <w:rPr>
          <w:sz w:val="22"/>
          <w:szCs w:val="22"/>
        </w:rPr>
        <w:t>etitions to deny a renewal application must be filed by the first day of the last full calendar month of the expiring license term.</w:t>
      </w:r>
      <w:r w:rsidR="005A1630" w:rsidRPr="00273E5F">
        <w:rPr>
          <w:rStyle w:val="FootnoteReference"/>
          <w:sz w:val="22"/>
          <w:szCs w:val="22"/>
        </w:rPr>
        <w:footnoteReference w:id="3"/>
      </w:r>
      <w:r w:rsidR="00A646E2" w:rsidRPr="00273E5F">
        <w:rPr>
          <w:sz w:val="22"/>
          <w:szCs w:val="22"/>
        </w:rPr>
        <w:t xml:space="preserve">  </w:t>
      </w:r>
      <w:r w:rsidR="00273E5F">
        <w:rPr>
          <w:sz w:val="22"/>
          <w:szCs w:val="22"/>
        </w:rPr>
        <w:t>The deadline for filing</w:t>
      </w:r>
      <w:r w:rsidR="005A1630" w:rsidRPr="00273E5F">
        <w:rPr>
          <w:sz w:val="22"/>
          <w:szCs w:val="22"/>
        </w:rPr>
        <w:t xml:space="preserve"> </w:t>
      </w:r>
      <w:r w:rsidR="00441899" w:rsidRPr="00273E5F">
        <w:rPr>
          <w:sz w:val="22"/>
          <w:szCs w:val="22"/>
        </w:rPr>
        <w:t>petition</w:t>
      </w:r>
      <w:r w:rsidR="005A1630" w:rsidRPr="00273E5F">
        <w:rPr>
          <w:sz w:val="22"/>
          <w:szCs w:val="22"/>
        </w:rPr>
        <w:t>s</w:t>
      </w:r>
      <w:r w:rsidR="00441899" w:rsidRPr="00273E5F">
        <w:rPr>
          <w:sz w:val="22"/>
          <w:szCs w:val="22"/>
        </w:rPr>
        <w:t xml:space="preserve"> to deny </w:t>
      </w:r>
      <w:r w:rsidR="005A1630" w:rsidRPr="00273E5F">
        <w:rPr>
          <w:sz w:val="22"/>
          <w:szCs w:val="22"/>
        </w:rPr>
        <w:t xml:space="preserve">the Application </w:t>
      </w:r>
      <w:r w:rsidR="00273E5F">
        <w:rPr>
          <w:sz w:val="22"/>
          <w:szCs w:val="22"/>
        </w:rPr>
        <w:t>was</w:t>
      </w:r>
      <w:r w:rsidR="00441899" w:rsidRPr="00273E5F">
        <w:rPr>
          <w:sz w:val="22"/>
          <w:szCs w:val="22"/>
        </w:rPr>
        <w:t xml:space="preserve"> </w:t>
      </w:r>
      <w:r w:rsidR="00A646E2" w:rsidRPr="00273E5F">
        <w:rPr>
          <w:sz w:val="22"/>
          <w:szCs w:val="22"/>
        </w:rPr>
        <w:t>September 1</w:t>
      </w:r>
      <w:r w:rsidR="005A1630" w:rsidRPr="00273E5F">
        <w:rPr>
          <w:sz w:val="22"/>
          <w:szCs w:val="22"/>
        </w:rPr>
        <w:t>, 2011</w:t>
      </w:r>
      <w:r w:rsidR="00441899" w:rsidRPr="00273E5F">
        <w:rPr>
          <w:sz w:val="22"/>
          <w:szCs w:val="22"/>
        </w:rPr>
        <w:t>.</w:t>
      </w:r>
      <w:r w:rsidR="002E77B1">
        <w:rPr>
          <w:sz w:val="22"/>
          <w:szCs w:val="22"/>
        </w:rPr>
        <w:t xml:space="preserve"> </w:t>
      </w:r>
      <w:r w:rsidR="00441899" w:rsidRPr="00273E5F">
        <w:rPr>
          <w:sz w:val="22"/>
          <w:szCs w:val="22"/>
        </w:rPr>
        <w:t xml:space="preserve"> </w:t>
      </w:r>
      <w:r w:rsidR="005A1630" w:rsidRPr="00273E5F">
        <w:rPr>
          <w:sz w:val="22"/>
          <w:szCs w:val="22"/>
        </w:rPr>
        <w:t>Banzhaf, Grimaldi, Nightwolf, and Iriarte each</w:t>
      </w:r>
      <w:r w:rsidR="00441899" w:rsidRPr="00273E5F">
        <w:rPr>
          <w:sz w:val="22"/>
          <w:szCs w:val="22"/>
        </w:rPr>
        <w:t xml:space="preserve"> filed </w:t>
      </w:r>
      <w:r w:rsidR="00BE3C2C" w:rsidRPr="00273E5F">
        <w:rPr>
          <w:sz w:val="22"/>
          <w:szCs w:val="22"/>
        </w:rPr>
        <w:t xml:space="preserve">their pleadings </w:t>
      </w:r>
      <w:r w:rsidR="005A1630" w:rsidRPr="00273E5F">
        <w:rPr>
          <w:sz w:val="22"/>
          <w:szCs w:val="22"/>
        </w:rPr>
        <w:t>more than 3 years after</w:t>
      </w:r>
      <w:r w:rsidR="00441899" w:rsidRPr="00273E5F">
        <w:rPr>
          <w:sz w:val="22"/>
          <w:szCs w:val="22"/>
        </w:rPr>
        <w:t xml:space="preserve"> </w:t>
      </w:r>
      <w:r w:rsidR="00757F28" w:rsidRPr="00273E5F">
        <w:rPr>
          <w:sz w:val="22"/>
          <w:szCs w:val="22"/>
        </w:rPr>
        <w:t xml:space="preserve">this deadline.  </w:t>
      </w:r>
      <w:r w:rsidR="00273E5F">
        <w:rPr>
          <w:sz w:val="22"/>
          <w:szCs w:val="22"/>
        </w:rPr>
        <w:t>For this reason, the pleadings are</w:t>
      </w:r>
      <w:r w:rsidR="00757F28" w:rsidRPr="00273E5F">
        <w:rPr>
          <w:sz w:val="22"/>
          <w:szCs w:val="22"/>
        </w:rPr>
        <w:t xml:space="preserve"> procedurally defective.  </w:t>
      </w:r>
      <w:r w:rsidR="00273E5F" w:rsidRPr="00273E5F">
        <w:rPr>
          <w:sz w:val="22"/>
          <w:szCs w:val="22"/>
        </w:rPr>
        <w:t>Accordingly, we dismiss all of the</w:t>
      </w:r>
      <w:r w:rsidR="00791377">
        <w:rPr>
          <w:sz w:val="22"/>
          <w:szCs w:val="22"/>
        </w:rPr>
        <w:t xml:space="preserve"> pleadings as petitions to deny.  We will, however, </w:t>
      </w:r>
      <w:r w:rsidR="00273E5F" w:rsidRPr="00273E5F">
        <w:rPr>
          <w:sz w:val="22"/>
          <w:szCs w:val="22"/>
        </w:rPr>
        <w:t xml:space="preserve">consider them as </w:t>
      </w:r>
      <w:r w:rsidR="00273E5F" w:rsidRPr="00273E5F">
        <w:rPr>
          <w:rStyle w:val="term1"/>
          <w:b w:val="0"/>
          <w:sz w:val="22"/>
          <w:szCs w:val="22"/>
        </w:rPr>
        <w:t>informal objections</w:t>
      </w:r>
      <w:r w:rsidR="00273E5F" w:rsidRPr="00273E5F">
        <w:rPr>
          <w:sz w:val="22"/>
          <w:szCs w:val="22"/>
        </w:rPr>
        <w:t xml:space="preserve"> under Section 73.3587 of the</w:t>
      </w:r>
      <w:r w:rsidR="003A6C8D">
        <w:rPr>
          <w:sz w:val="22"/>
          <w:szCs w:val="22"/>
        </w:rPr>
        <w:t xml:space="preserve"> Commission’s r</w:t>
      </w:r>
      <w:r w:rsidR="00273E5F" w:rsidRPr="00273E5F">
        <w:rPr>
          <w:sz w:val="22"/>
          <w:szCs w:val="22"/>
        </w:rPr>
        <w:t>ules</w:t>
      </w:r>
      <w:r w:rsidR="003A6C8D">
        <w:rPr>
          <w:sz w:val="22"/>
          <w:szCs w:val="22"/>
        </w:rPr>
        <w:t xml:space="preserve"> (“Rules”)</w:t>
      </w:r>
      <w:r w:rsidR="00273E5F" w:rsidRPr="00273E5F">
        <w:rPr>
          <w:sz w:val="22"/>
          <w:szCs w:val="22"/>
        </w:rPr>
        <w:t>.</w:t>
      </w:r>
      <w:r w:rsidR="00273E5F" w:rsidRPr="00273E5F">
        <w:rPr>
          <w:rStyle w:val="FootnoteReference"/>
          <w:sz w:val="22"/>
          <w:szCs w:val="22"/>
        </w:rPr>
        <w:footnoteReference w:id="4"/>
      </w:r>
      <w:r w:rsidR="00273E5F" w:rsidRPr="00A646E2">
        <w:rPr>
          <w:rFonts w:ascii="Verdana" w:hAnsi="Verdana"/>
        </w:rPr>
        <w:t xml:space="preserve">  </w:t>
      </w:r>
    </w:p>
    <w:p w:rsidR="00273E5F" w:rsidRDefault="00273E5F" w:rsidP="00B64813">
      <w:pPr>
        <w:ind w:firstLine="720"/>
        <w:jc w:val="both"/>
        <w:rPr>
          <w:sz w:val="22"/>
          <w:szCs w:val="22"/>
        </w:rPr>
      </w:pPr>
    </w:p>
    <w:p w:rsidR="00877D1B" w:rsidRDefault="001D60B6" w:rsidP="00B64813">
      <w:pPr>
        <w:ind w:firstLine="720"/>
        <w:jc w:val="both"/>
        <w:rPr>
          <w:sz w:val="22"/>
          <w:szCs w:val="22"/>
        </w:rPr>
      </w:pPr>
      <w:r w:rsidRPr="00271AC9">
        <w:rPr>
          <w:b/>
          <w:sz w:val="22"/>
          <w:szCs w:val="22"/>
        </w:rPr>
        <w:t>Substantive Issues.</w:t>
      </w:r>
      <w:r w:rsidRPr="00877D1B">
        <w:rPr>
          <w:i/>
          <w:sz w:val="22"/>
          <w:szCs w:val="22"/>
        </w:rPr>
        <w:t xml:space="preserve"> </w:t>
      </w:r>
      <w:r w:rsidR="00D623E9">
        <w:rPr>
          <w:sz w:val="22"/>
          <w:szCs w:val="22"/>
        </w:rPr>
        <w:t xml:space="preserve"> Under longstanding Commission precedent,</w:t>
      </w:r>
      <w:r w:rsidRPr="00877D1B">
        <w:rPr>
          <w:i/>
          <w:sz w:val="22"/>
          <w:szCs w:val="22"/>
        </w:rPr>
        <w:t xml:space="preserve"> </w:t>
      </w:r>
      <w:r w:rsidR="00D623E9">
        <w:rPr>
          <w:rStyle w:val="term1"/>
          <w:b w:val="0"/>
          <w:sz w:val="22"/>
          <w:szCs w:val="22"/>
        </w:rPr>
        <w:t>i</w:t>
      </w:r>
      <w:r w:rsidR="00877D1B" w:rsidRPr="00877D1B">
        <w:rPr>
          <w:rStyle w:val="term1"/>
          <w:b w:val="0"/>
          <w:sz w:val="22"/>
          <w:szCs w:val="22"/>
        </w:rPr>
        <w:t>nformal objections</w:t>
      </w:r>
      <w:r w:rsidR="00877D1B" w:rsidRPr="00877D1B">
        <w:rPr>
          <w:sz w:val="22"/>
          <w:szCs w:val="22"/>
        </w:rPr>
        <w:t xml:space="preserve"> to license </w:t>
      </w:r>
      <w:r w:rsidR="00877D1B" w:rsidRPr="00877D1B">
        <w:rPr>
          <w:rStyle w:val="term1"/>
          <w:b w:val="0"/>
          <w:sz w:val="22"/>
          <w:szCs w:val="22"/>
        </w:rPr>
        <w:t>renewal</w:t>
      </w:r>
      <w:r w:rsidR="00877D1B" w:rsidRPr="00877D1B">
        <w:rPr>
          <w:sz w:val="22"/>
          <w:szCs w:val="22"/>
        </w:rPr>
        <w:t xml:space="preserve"> applications must provide properly </w:t>
      </w:r>
      <w:r w:rsidR="00877D1B" w:rsidRPr="00DE3761">
        <w:rPr>
          <w:sz w:val="22"/>
          <w:szCs w:val="22"/>
        </w:rPr>
        <w:t xml:space="preserve">supported </w:t>
      </w:r>
      <w:r w:rsidR="00877D1B" w:rsidRPr="00DE3761">
        <w:rPr>
          <w:rStyle w:val="term1"/>
          <w:b w:val="0"/>
          <w:sz w:val="22"/>
          <w:szCs w:val="22"/>
        </w:rPr>
        <w:t>allegations</w:t>
      </w:r>
      <w:r w:rsidR="00877D1B" w:rsidRPr="00DE3761">
        <w:rPr>
          <w:sz w:val="22"/>
          <w:szCs w:val="22"/>
        </w:rPr>
        <w:t xml:space="preserve"> of fact that, if true, would establish that grant of the application would be </w:t>
      </w:r>
      <w:r w:rsidR="00877D1B" w:rsidRPr="00DE3761">
        <w:rPr>
          <w:i/>
          <w:iCs/>
          <w:sz w:val="22"/>
          <w:szCs w:val="22"/>
        </w:rPr>
        <w:t>prima facie</w:t>
      </w:r>
      <w:r w:rsidR="00877D1B" w:rsidRPr="00DE3761">
        <w:rPr>
          <w:sz w:val="22"/>
          <w:szCs w:val="22"/>
        </w:rPr>
        <w:t xml:space="preserve"> inconsistent with Section 309(k) of the</w:t>
      </w:r>
      <w:r w:rsidR="0022581D" w:rsidRPr="00DE3761">
        <w:rPr>
          <w:sz w:val="22"/>
          <w:szCs w:val="22"/>
        </w:rPr>
        <w:t xml:space="preserve"> Act</w:t>
      </w:r>
      <w:r w:rsidR="00877D1B" w:rsidRPr="00DE3761">
        <w:rPr>
          <w:sz w:val="22"/>
          <w:szCs w:val="22"/>
        </w:rPr>
        <w:t>, which governs our evaluation of an application for license renewal.</w:t>
      </w:r>
      <w:r w:rsidR="00877D1B" w:rsidRPr="00DE3761">
        <w:rPr>
          <w:rStyle w:val="FootnoteReference"/>
          <w:sz w:val="22"/>
          <w:szCs w:val="22"/>
        </w:rPr>
        <w:footnoteReference w:id="5"/>
      </w:r>
      <w:r w:rsidR="00877D1B" w:rsidRPr="00DE3761">
        <w:rPr>
          <w:sz w:val="22"/>
          <w:szCs w:val="22"/>
        </w:rPr>
        <w:t xml:space="preserve">  </w:t>
      </w:r>
      <w:r w:rsidR="00C02982" w:rsidRPr="00DE3761">
        <w:rPr>
          <w:sz w:val="22"/>
          <w:szCs w:val="22"/>
        </w:rPr>
        <w:t xml:space="preserve">Section 309(k)(1) provides that we are to grant </w:t>
      </w:r>
      <w:r w:rsidRPr="00DE3761">
        <w:rPr>
          <w:sz w:val="22"/>
          <w:szCs w:val="22"/>
        </w:rPr>
        <w:t>a</w:t>
      </w:r>
      <w:r w:rsidR="00C02982" w:rsidRPr="00DE3761">
        <w:rPr>
          <w:sz w:val="22"/>
          <w:szCs w:val="22"/>
        </w:rPr>
        <w:t xml:space="preserve"> renewal application if, upon consideration of the application and pleadings, we find that (1) the station has served the public interest, convenience, and necessity; (2) there have been no serious violations of the Act or the Rules; and (3) there have been no other violations that, taken together, constitute a pattern of abuse.</w:t>
      </w:r>
      <w:r w:rsidR="00C02982" w:rsidRPr="00DE3761">
        <w:rPr>
          <w:rStyle w:val="FootnoteReference"/>
          <w:sz w:val="22"/>
          <w:szCs w:val="22"/>
        </w:rPr>
        <w:footnoteReference w:id="6"/>
      </w:r>
      <w:r w:rsidR="00C02982" w:rsidRPr="00DE3761">
        <w:rPr>
          <w:sz w:val="22"/>
          <w:szCs w:val="22"/>
        </w:rPr>
        <w:t xml:space="preserve">  </w:t>
      </w:r>
      <w:r w:rsidR="00877D1B" w:rsidRPr="00DE3761">
        <w:rPr>
          <w:sz w:val="22"/>
          <w:szCs w:val="22"/>
        </w:rPr>
        <w:t>If such a finding cannot be made on the basis of the application and pleadings</w:t>
      </w:r>
      <w:r w:rsidR="0052122B">
        <w:rPr>
          <w:sz w:val="22"/>
          <w:szCs w:val="22"/>
        </w:rPr>
        <w:t xml:space="preserve"> and grant with conditions is not appropriate under the circumstances</w:t>
      </w:r>
      <w:r w:rsidR="00877D1B" w:rsidRPr="00DE3761">
        <w:rPr>
          <w:sz w:val="22"/>
          <w:szCs w:val="22"/>
        </w:rPr>
        <w:t>, Section 309(k) provides that the license renewal application is to be designated for a hearing.</w:t>
      </w:r>
    </w:p>
    <w:p w:rsidR="00C36F3E" w:rsidRDefault="00C36F3E" w:rsidP="00B64813">
      <w:pPr>
        <w:ind w:firstLine="720"/>
        <w:jc w:val="both"/>
        <w:rPr>
          <w:sz w:val="22"/>
          <w:szCs w:val="22"/>
        </w:rPr>
      </w:pPr>
    </w:p>
    <w:p w:rsidR="00C36F3E" w:rsidRPr="00DA7F02" w:rsidRDefault="00C36F3E" w:rsidP="00B64813">
      <w:pPr>
        <w:ind w:firstLine="720"/>
        <w:jc w:val="both"/>
        <w:rPr>
          <w:i/>
          <w:sz w:val="22"/>
          <w:szCs w:val="22"/>
        </w:rPr>
      </w:pPr>
      <w:r w:rsidRPr="00133B8D">
        <w:rPr>
          <w:i/>
          <w:sz w:val="22"/>
          <w:szCs w:val="22"/>
        </w:rPr>
        <w:t>Programming Complaints</w:t>
      </w:r>
      <w:r w:rsidRPr="00133B8D">
        <w:rPr>
          <w:b/>
          <w:i/>
          <w:sz w:val="22"/>
          <w:szCs w:val="22"/>
        </w:rPr>
        <w:t>.</w:t>
      </w:r>
      <w:r>
        <w:rPr>
          <w:i/>
          <w:sz w:val="22"/>
          <w:szCs w:val="22"/>
        </w:rPr>
        <w:t xml:space="preserve">  </w:t>
      </w:r>
      <w:r>
        <w:rPr>
          <w:sz w:val="22"/>
          <w:szCs w:val="22"/>
        </w:rPr>
        <w:t xml:space="preserve">Banzhaf objects to the Station’s use of the word “Redskins” </w:t>
      </w:r>
      <w:r w:rsidR="002664F2">
        <w:rPr>
          <w:sz w:val="22"/>
          <w:szCs w:val="22"/>
        </w:rPr>
        <w:t>– w</w:t>
      </w:r>
      <w:r w:rsidR="00DA7F02">
        <w:rPr>
          <w:sz w:val="22"/>
          <w:szCs w:val="22"/>
        </w:rPr>
        <w:t xml:space="preserve">hich he characterizes as “a derogatory racial and ethnic slur” – </w:t>
      </w:r>
      <w:r>
        <w:rPr>
          <w:sz w:val="22"/>
          <w:szCs w:val="22"/>
        </w:rPr>
        <w:t>during its coverage of the professional football team named the Washington Redskins.</w:t>
      </w:r>
      <w:r w:rsidR="00DA7F02">
        <w:rPr>
          <w:rStyle w:val="FootnoteReference"/>
          <w:sz w:val="22"/>
          <w:szCs w:val="22"/>
        </w:rPr>
        <w:footnoteReference w:id="7"/>
      </w:r>
      <w:r>
        <w:rPr>
          <w:sz w:val="22"/>
          <w:szCs w:val="22"/>
        </w:rPr>
        <w:t xml:space="preserve">  He </w:t>
      </w:r>
      <w:r w:rsidR="00FE5797">
        <w:rPr>
          <w:sz w:val="22"/>
          <w:szCs w:val="22"/>
        </w:rPr>
        <w:t xml:space="preserve">contends that this conduct </w:t>
      </w:r>
      <w:r w:rsidR="003A6C8D">
        <w:rPr>
          <w:sz w:val="22"/>
          <w:szCs w:val="22"/>
        </w:rPr>
        <w:t>demonstrates that the Station has not served the public interest, convenience and necessity and/or has violated the law or the Rules</w:t>
      </w:r>
      <w:r w:rsidR="00FE5797">
        <w:rPr>
          <w:sz w:val="22"/>
          <w:szCs w:val="22"/>
        </w:rPr>
        <w:t>, and therefore that the Commission should deny the Application</w:t>
      </w:r>
      <w:r>
        <w:rPr>
          <w:sz w:val="22"/>
          <w:szCs w:val="22"/>
        </w:rPr>
        <w:t xml:space="preserve">.  We address </w:t>
      </w:r>
      <w:r w:rsidR="002664F2">
        <w:rPr>
          <w:sz w:val="22"/>
          <w:szCs w:val="22"/>
        </w:rPr>
        <w:t xml:space="preserve">and reject </w:t>
      </w:r>
      <w:r>
        <w:rPr>
          <w:sz w:val="22"/>
          <w:szCs w:val="22"/>
        </w:rPr>
        <w:t xml:space="preserve">each of these arguments in turn below.  </w:t>
      </w:r>
    </w:p>
    <w:p w:rsidR="00CF44EB" w:rsidRPr="001D60B6" w:rsidRDefault="00CF44EB" w:rsidP="00B64813">
      <w:pPr>
        <w:ind w:firstLine="720"/>
        <w:jc w:val="both"/>
        <w:rPr>
          <w:i/>
          <w:sz w:val="22"/>
          <w:szCs w:val="22"/>
        </w:rPr>
      </w:pPr>
    </w:p>
    <w:p w:rsidR="001B7927" w:rsidRPr="001B7927" w:rsidRDefault="00AE63F1" w:rsidP="00B64813">
      <w:pPr>
        <w:ind w:firstLine="720"/>
        <w:jc w:val="both"/>
        <w:rPr>
          <w:sz w:val="22"/>
          <w:szCs w:val="22"/>
        </w:rPr>
      </w:pPr>
      <w:r w:rsidRPr="00644FA3">
        <w:rPr>
          <w:sz w:val="22"/>
          <w:szCs w:val="22"/>
          <w:u w:val="single"/>
        </w:rPr>
        <w:t>Obscenity</w:t>
      </w:r>
      <w:r w:rsidR="00A646E2" w:rsidRPr="00AE63F1">
        <w:rPr>
          <w:sz w:val="22"/>
          <w:szCs w:val="22"/>
        </w:rPr>
        <w:t>.</w:t>
      </w:r>
      <w:r w:rsidR="00530632" w:rsidRPr="00733B53">
        <w:rPr>
          <w:i/>
          <w:sz w:val="22"/>
          <w:szCs w:val="22"/>
        </w:rPr>
        <w:t xml:space="preserve"> </w:t>
      </w:r>
      <w:r w:rsidR="009E0CC3" w:rsidRPr="00965F88">
        <w:rPr>
          <w:sz w:val="22"/>
          <w:szCs w:val="22"/>
        </w:rPr>
        <w:t xml:space="preserve">  </w:t>
      </w:r>
      <w:r w:rsidR="007B7F02" w:rsidRPr="007B7F02">
        <w:rPr>
          <w:sz w:val="22"/>
          <w:szCs w:val="22"/>
        </w:rPr>
        <w:t>Section 1464 of Title 18 of the United States Code – which the Commission enforces – prohibits the broadcast of "obscene” language.</w:t>
      </w:r>
      <w:r w:rsidR="009323AE">
        <w:rPr>
          <w:rStyle w:val="FootnoteReference"/>
          <w:sz w:val="22"/>
          <w:szCs w:val="22"/>
        </w:rPr>
        <w:footnoteReference w:id="8"/>
      </w:r>
      <w:r w:rsidR="007B7F02" w:rsidRPr="007B7F02">
        <w:rPr>
          <w:sz w:val="22"/>
          <w:szCs w:val="22"/>
        </w:rPr>
        <w:t xml:space="preserve">  </w:t>
      </w:r>
      <w:r w:rsidR="009E0CC3" w:rsidRPr="007E2B42">
        <w:rPr>
          <w:sz w:val="22"/>
          <w:szCs w:val="22"/>
        </w:rPr>
        <w:t>Banzhaf alleges that the term “Redskins” is akin to obscenity.</w:t>
      </w:r>
      <w:r w:rsidR="00D361DB">
        <w:rPr>
          <w:rStyle w:val="FootnoteReference"/>
          <w:sz w:val="22"/>
          <w:szCs w:val="22"/>
        </w:rPr>
        <w:footnoteReference w:id="9"/>
      </w:r>
      <w:r w:rsidR="009E0CC3" w:rsidRPr="007E2B42">
        <w:rPr>
          <w:sz w:val="22"/>
          <w:szCs w:val="22"/>
        </w:rPr>
        <w:t xml:space="preserve">  </w:t>
      </w:r>
      <w:r w:rsidR="00530632" w:rsidRPr="007E2B42">
        <w:rPr>
          <w:sz w:val="22"/>
          <w:szCs w:val="22"/>
        </w:rPr>
        <w:t xml:space="preserve">The Supreme Court of the United States has held </w:t>
      </w:r>
      <w:r w:rsidR="00530632" w:rsidRPr="001B7927">
        <w:rPr>
          <w:sz w:val="22"/>
          <w:szCs w:val="22"/>
        </w:rPr>
        <w:t>that to be obscene</w:t>
      </w:r>
      <w:r w:rsidR="00453F0E" w:rsidRPr="001B7927">
        <w:rPr>
          <w:sz w:val="22"/>
          <w:szCs w:val="22"/>
        </w:rPr>
        <w:t>, material must, among other things, depict or describe sexual conduct.</w:t>
      </w:r>
      <w:r w:rsidR="00453F0E" w:rsidRPr="001B7927">
        <w:rPr>
          <w:rStyle w:val="FootnoteReference"/>
          <w:sz w:val="22"/>
          <w:szCs w:val="22"/>
        </w:rPr>
        <w:footnoteReference w:id="10"/>
      </w:r>
      <w:r w:rsidR="001B7927" w:rsidRPr="001B7927">
        <w:rPr>
          <w:sz w:val="22"/>
          <w:szCs w:val="22"/>
        </w:rPr>
        <w:t xml:space="preserve">  Banzhaf does not allege that the term “Redskins” </w:t>
      </w:r>
      <w:r w:rsidR="001B7927" w:rsidRPr="001B7927">
        <w:rPr>
          <w:sz w:val="22"/>
          <w:szCs w:val="22"/>
        </w:rPr>
        <w:lastRenderedPageBreak/>
        <w:t xml:space="preserve">depicts or describes sexual conduct in any way.  Accordingly, we reject his argument that the term “Redskins” </w:t>
      </w:r>
      <w:r w:rsidR="00A16FAC">
        <w:rPr>
          <w:sz w:val="22"/>
          <w:szCs w:val="22"/>
        </w:rPr>
        <w:t>is akin to obscenity</w:t>
      </w:r>
      <w:r w:rsidR="001B7927" w:rsidRPr="001B7927">
        <w:rPr>
          <w:sz w:val="22"/>
          <w:szCs w:val="22"/>
        </w:rPr>
        <w:t xml:space="preserve">. </w:t>
      </w:r>
      <w:r w:rsidR="00453F0E" w:rsidRPr="001B7927">
        <w:rPr>
          <w:sz w:val="22"/>
          <w:szCs w:val="22"/>
        </w:rPr>
        <w:t xml:space="preserve"> </w:t>
      </w:r>
    </w:p>
    <w:p w:rsidR="001B7927" w:rsidRPr="001B7927" w:rsidRDefault="001B7927" w:rsidP="00B64813">
      <w:pPr>
        <w:ind w:firstLine="720"/>
        <w:jc w:val="both"/>
        <w:rPr>
          <w:sz w:val="22"/>
          <w:szCs w:val="22"/>
        </w:rPr>
      </w:pPr>
    </w:p>
    <w:p w:rsidR="00A646E2" w:rsidRPr="001B7927" w:rsidRDefault="001B7927" w:rsidP="00B64813">
      <w:pPr>
        <w:ind w:firstLine="720"/>
        <w:jc w:val="both"/>
        <w:rPr>
          <w:sz w:val="22"/>
          <w:szCs w:val="22"/>
        </w:rPr>
      </w:pPr>
      <w:r w:rsidRPr="001B7927">
        <w:rPr>
          <w:sz w:val="22"/>
          <w:szCs w:val="22"/>
          <w:u w:val="single"/>
        </w:rPr>
        <w:t>Profanity</w:t>
      </w:r>
      <w:r w:rsidRPr="001B7927">
        <w:rPr>
          <w:sz w:val="22"/>
          <w:szCs w:val="22"/>
        </w:rPr>
        <w:t>.</w:t>
      </w:r>
      <w:r w:rsidRPr="001B7927">
        <w:rPr>
          <w:rStyle w:val="FootnoteReference"/>
          <w:sz w:val="22"/>
          <w:szCs w:val="22"/>
        </w:rPr>
        <w:footnoteReference w:id="11"/>
      </w:r>
      <w:r w:rsidRPr="001B7927">
        <w:rPr>
          <w:sz w:val="22"/>
          <w:szCs w:val="22"/>
        </w:rPr>
        <w:t xml:space="preserve">  </w:t>
      </w:r>
      <w:r w:rsidR="00530632" w:rsidRPr="001B7927">
        <w:rPr>
          <w:sz w:val="22"/>
          <w:szCs w:val="22"/>
        </w:rPr>
        <w:t xml:space="preserve">The Commission defined profanity </w:t>
      </w:r>
      <w:r w:rsidR="00FF1D95">
        <w:rPr>
          <w:sz w:val="22"/>
          <w:szCs w:val="22"/>
        </w:rPr>
        <w:t xml:space="preserve">in 2006 </w:t>
      </w:r>
      <w:r w:rsidR="00530632" w:rsidRPr="001B7927">
        <w:rPr>
          <w:sz w:val="22"/>
          <w:szCs w:val="22"/>
        </w:rPr>
        <w:t>as “</w:t>
      </w:r>
      <w:r w:rsidR="00530632" w:rsidRPr="001B7927">
        <w:rPr>
          <w:sz w:val="22"/>
          <w:szCs w:val="22"/>
          <w:lang w:val="en"/>
        </w:rPr>
        <w:t>language so grossly offensive to members of the public who actually hear it as to amount to a nuisance.”</w:t>
      </w:r>
      <w:r w:rsidR="007E2B42" w:rsidRPr="001B7927">
        <w:rPr>
          <w:rStyle w:val="FootnoteReference"/>
          <w:sz w:val="22"/>
          <w:szCs w:val="22"/>
          <w:lang w:val="en"/>
        </w:rPr>
        <w:footnoteReference w:id="12"/>
      </w:r>
      <w:r w:rsidR="007E2B42" w:rsidRPr="001B7927">
        <w:rPr>
          <w:sz w:val="22"/>
          <w:szCs w:val="22"/>
          <w:lang w:val="en"/>
        </w:rPr>
        <w:t xml:space="preserve">  </w:t>
      </w:r>
      <w:r w:rsidR="00FF1D95">
        <w:rPr>
          <w:sz w:val="22"/>
          <w:szCs w:val="22"/>
          <w:lang w:val="en"/>
        </w:rPr>
        <w:t>Due</w:t>
      </w:r>
      <w:r w:rsidRPr="001B7927">
        <w:rPr>
          <w:sz w:val="22"/>
          <w:szCs w:val="22"/>
          <w:lang w:val="en"/>
        </w:rPr>
        <w:t xml:space="preserve"> to “the sensitive First Amendment implications in this area,” the</w:t>
      </w:r>
      <w:r w:rsidR="00530632" w:rsidRPr="001B7927">
        <w:rPr>
          <w:sz w:val="22"/>
          <w:szCs w:val="22"/>
        </w:rPr>
        <w:t xml:space="preserve"> Commission</w:t>
      </w:r>
      <w:r w:rsidRPr="001B7927">
        <w:rPr>
          <w:sz w:val="22"/>
          <w:szCs w:val="22"/>
        </w:rPr>
        <w:t xml:space="preserve"> </w:t>
      </w:r>
      <w:r w:rsidR="007E2B42" w:rsidRPr="001B7927">
        <w:rPr>
          <w:sz w:val="22"/>
          <w:szCs w:val="22"/>
        </w:rPr>
        <w:t>limited</w:t>
      </w:r>
      <w:r w:rsidR="00530632" w:rsidRPr="001B7927">
        <w:rPr>
          <w:sz w:val="22"/>
          <w:szCs w:val="22"/>
        </w:rPr>
        <w:t xml:space="preserve"> its regulation of profane language to </w:t>
      </w:r>
      <w:r w:rsidR="007E2B42" w:rsidRPr="001B7927">
        <w:rPr>
          <w:sz w:val="22"/>
          <w:szCs w:val="22"/>
        </w:rPr>
        <w:t>“</w:t>
      </w:r>
      <w:r w:rsidR="00530632" w:rsidRPr="001B7927">
        <w:rPr>
          <w:sz w:val="22"/>
          <w:szCs w:val="22"/>
        </w:rPr>
        <w:t>the universe of words that are sexual or excretory in nature or are derived from such terms</w:t>
      </w:r>
      <w:r w:rsidR="007E2B42" w:rsidRPr="001B7927">
        <w:rPr>
          <w:sz w:val="22"/>
          <w:szCs w:val="22"/>
        </w:rPr>
        <w:t>.”</w:t>
      </w:r>
      <w:r w:rsidR="00530632" w:rsidRPr="001B7927">
        <w:rPr>
          <w:rStyle w:val="FootnoteReference"/>
          <w:sz w:val="22"/>
          <w:szCs w:val="22"/>
        </w:rPr>
        <w:footnoteReference w:id="13"/>
      </w:r>
      <w:r w:rsidR="00530632" w:rsidRPr="001B7927">
        <w:rPr>
          <w:sz w:val="22"/>
          <w:szCs w:val="22"/>
        </w:rPr>
        <w:t xml:space="preserve">  </w:t>
      </w:r>
      <w:r w:rsidR="00FF1D95">
        <w:rPr>
          <w:sz w:val="22"/>
          <w:szCs w:val="22"/>
        </w:rPr>
        <w:t>However, even that limited definition was invalidated by the Court of Appeals for the Second Circuit.</w:t>
      </w:r>
      <w:r w:rsidR="00FF1D95">
        <w:rPr>
          <w:rStyle w:val="FootnoteReference"/>
          <w:sz w:val="22"/>
          <w:szCs w:val="22"/>
        </w:rPr>
        <w:footnoteReference w:id="14"/>
      </w:r>
      <w:r w:rsidR="00FF1D95">
        <w:rPr>
          <w:sz w:val="22"/>
          <w:szCs w:val="22"/>
        </w:rPr>
        <w:t xml:space="preserve">  </w:t>
      </w:r>
      <w:r>
        <w:rPr>
          <w:sz w:val="22"/>
          <w:szCs w:val="22"/>
        </w:rPr>
        <w:t>Banzhaf</w:t>
      </w:r>
      <w:r w:rsidRPr="007E2B42">
        <w:rPr>
          <w:sz w:val="22"/>
          <w:szCs w:val="22"/>
        </w:rPr>
        <w:t xml:space="preserve"> argues that the </w:t>
      </w:r>
      <w:r>
        <w:rPr>
          <w:sz w:val="22"/>
          <w:szCs w:val="22"/>
        </w:rPr>
        <w:t>word</w:t>
      </w:r>
      <w:r w:rsidRPr="007E2B42">
        <w:rPr>
          <w:sz w:val="22"/>
          <w:szCs w:val="22"/>
        </w:rPr>
        <w:t xml:space="preserve"> “Redskins” constitutes profanity.</w:t>
      </w:r>
      <w:r w:rsidR="00D361DB">
        <w:rPr>
          <w:rStyle w:val="FootnoteReference"/>
          <w:sz w:val="22"/>
          <w:szCs w:val="22"/>
        </w:rPr>
        <w:footnoteReference w:id="15"/>
      </w:r>
      <w:r w:rsidRPr="007E2B42">
        <w:rPr>
          <w:sz w:val="22"/>
          <w:szCs w:val="22"/>
        </w:rPr>
        <w:t xml:space="preserve">  </w:t>
      </w:r>
      <w:r>
        <w:rPr>
          <w:sz w:val="22"/>
          <w:szCs w:val="22"/>
        </w:rPr>
        <w:t>He</w:t>
      </w:r>
      <w:r w:rsidR="00050399" w:rsidRPr="001B7927">
        <w:rPr>
          <w:sz w:val="22"/>
          <w:szCs w:val="22"/>
        </w:rPr>
        <w:t xml:space="preserve"> </w:t>
      </w:r>
      <w:r w:rsidR="000B0CC2" w:rsidRPr="001B7927">
        <w:rPr>
          <w:sz w:val="22"/>
          <w:szCs w:val="22"/>
        </w:rPr>
        <w:t>does not allege</w:t>
      </w:r>
      <w:r>
        <w:rPr>
          <w:sz w:val="22"/>
          <w:szCs w:val="22"/>
        </w:rPr>
        <w:t>, however,</w:t>
      </w:r>
      <w:r w:rsidR="00050399" w:rsidRPr="001B7927">
        <w:rPr>
          <w:sz w:val="22"/>
          <w:szCs w:val="22"/>
        </w:rPr>
        <w:t xml:space="preserve"> that the </w:t>
      </w:r>
      <w:r>
        <w:rPr>
          <w:sz w:val="22"/>
          <w:szCs w:val="22"/>
        </w:rPr>
        <w:t>word</w:t>
      </w:r>
      <w:r w:rsidR="00050399" w:rsidRPr="001B7927">
        <w:rPr>
          <w:sz w:val="22"/>
          <w:szCs w:val="22"/>
        </w:rPr>
        <w:t xml:space="preserve"> is sexual </w:t>
      </w:r>
      <w:r w:rsidRPr="001B7927">
        <w:rPr>
          <w:sz w:val="22"/>
          <w:szCs w:val="22"/>
        </w:rPr>
        <w:t xml:space="preserve">or excretory </w:t>
      </w:r>
      <w:r w:rsidR="00050399" w:rsidRPr="001B7927">
        <w:rPr>
          <w:sz w:val="22"/>
          <w:szCs w:val="22"/>
        </w:rPr>
        <w:t>in nature or derived from terms that are.</w:t>
      </w:r>
      <w:r w:rsidR="000B0CC2" w:rsidRPr="001B7927">
        <w:rPr>
          <w:sz w:val="22"/>
          <w:szCs w:val="22"/>
        </w:rPr>
        <w:t xml:space="preserve">  Instead, </w:t>
      </w:r>
      <w:r>
        <w:rPr>
          <w:sz w:val="22"/>
          <w:szCs w:val="22"/>
        </w:rPr>
        <w:t>he</w:t>
      </w:r>
      <w:r w:rsidR="00050399" w:rsidRPr="001B7927">
        <w:rPr>
          <w:sz w:val="22"/>
          <w:szCs w:val="22"/>
        </w:rPr>
        <w:t xml:space="preserve"> </w:t>
      </w:r>
      <w:r w:rsidR="000B0CC2" w:rsidRPr="001B7927">
        <w:rPr>
          <w:sz w:val="22"/>
          <w:szCs w:val="22"/>
        </w:rPr>
        <w:t>asserts</w:t>
      </w:r>
      <w:r w:rsidR="00050399" w:rsidRPr="001B7927">
        <w:rPr>
          <w:sz w:val="22"/>
          <w:szCs w:val="22"/>
        </w:rPr>
        <w:t xml:space="preserve"> that the </w:t>
      </w:r>
      <w:r w:rsidR="00CB2D03">
        <w:rPr>
          <w:sz w:val="22"/>
          <w:szCs w:val="22"/>
        </w:rPr>
        <w:t>word</w:t>
      </w:r>
      <w:r w:rsidR="00050399" w:rsidRPr="001B7927">
        <w:rPr>
          <w:sz w:val="22"/>
          <w:szCs w:val="22"/>
        </w:rPr>
        <w:t xml:space="preserve"> “Redskins” is racially derogatory.   </w:t>
      </w:r>
      <w:r w:rsidR="00334CFA">
        <w:rPr>
          <w:sz w:val="22"/>
          <w:szCs w:val="22"/>
        </w:rPr>
        <w:t xml:space="preserve">While </w:t>
      </w:r>
      <w:r w:rsidR="00050399" w:rsidRPr="001B7927">
        <w:rPr>
          <w:sz w:val="22"/>
          <w:szCs w:val="22"/>
        </w:rPr>
        <w:t>the Commission has</w:t>
      </w:r>
      <w:r w:rsidR="00453F0E" w:rsidRPr="001B7927">
        <w:rPr>
          <w:sz w:val="22"/>
          <w:szCs w:val="22"/>
        </w:rPr>
        <w:t xml:space="preserve"> “recognize[d] that additional words, such as language conveying racial or religious epithets, are considered offensive by most Americans</w:t>
      </w:r>
      <w:r w:rsidR="00334CFA">
        <w:rPr>
          <w:sz w:val="22"/>
          <w:szCs w:val="22"/>
        </w:rPr>
        <w:t>,</w:t>
      </w:r>
      <w:r w:rsidR="00453F0E" w:rsidRPr="001B7927">
        <w:rPr>
          <w:sz w:val="22"/>
          <w:szCs w:val="22"/>
        </w:rPr>
        <w:t xml:space="preserve">” </w:t>
      </w:r>
      <w:r w:rsidR="00334CFA">
        <w:rPr>
          <w:sz w:val="22"/>
          <w:szCs w:val="22"/>
        </w:rPr>
        <w:t>it made clear its intent “</w:t>
      </w:r>
      <w:r w:rsidR="0066772E">
        <w:rPr>
          <w:sz w:val="22"/>
          <w:szCs w:val="22"/>
        </w:rPr>
        <w:t>t</w:t>
      </w:r>
      <w:r w:rsidR="00334CFA">
        <w:rPr>
          <w:sz w:val="22"/>
          <w:szCs w:val="22"/>
        </w:rPr>
        <w:t>o avoid</w:t>
      </w:r>
      <w:r w:rsidR="0066772E">
        <w:rPr>
          <w:sz w:val="22"/>
          <w:szCs w:val="22"/>
        </w:rPr>
        <w:t xml:space="preserve"> </w:t>
      </w:r>
      <w:r w:rsidR="00050399" w:rsidRPr="001B7927">
        <w:rPr>
          <w:sz w:val="22"/>
          <w:szCs w:val="22"/>
        </w:rPr>
        <w:t xml:space="preserve"> extend</w:t>
      </w:r>
      <w:r w:rsidR="00334CFA">
        <w:rPr>
          <w:sz w:val="22"/>
          <w:szCs w:val="22"/>
        </w:rPr>
        <w:t>ing</w:t>
      </w:r>
      <w:r w:rsidR="00453F0E" w:rsidRPr="001B7927">
        <w:rPr>
          <w:sz w:val="22"/>
          <w:szCs w:val="22"/>
        </w:rPr>
        <w:t xml:space="preserve"> the bounds of profanity to reach such language given constitutional considerations.”</w:t>
      </w:r>
      <w:r w:rsidR="00050399" w:rsidRPr="001B7927">
        <w:rPr>
          <w:rStyle w:val="FootnoteReference"/>
          <w:sz w:val="22"/>
          <w:szCs w:val="22"/>
        </w:rPr>
        <w:footnoteReference w:id="16"/>
      </w:r>
      <w:r w:rsidR="00217197" w:rsidRPr="001B7927">
        <w:rPr>
          <w:sz w:val="22"/>
          <w:szCs w:val="22"/>
        </w:rPr>
        <w:t xml:space="preserve">  </w:t>
      </w:r>
      <w:r w:rsidR="00293CF5">
        <w:rPr>
          <w:sz w:val="22"/>
          <w:szCs w:val="22"/>
        </w:rPr>
        <w:t>Accordingly, we rej</w:t>
      </w:r>
      <w:r w:rsidR="00FC25F7">
        <w:rPr>
          <w:sz w:val="22"/>
          <w:szCs w:val="22"/>
        </w:rPr>
        <w:t>e</w:t>
      </w:r>
      <w:r w:rsidR="00293CF5">
        <w:rPr>
          <w:sz w:val="22"/>
          <w:szCs w:val="22"/>
        </w:rPr>
        <w:t xml:space="preserve">ct the argument </w:t>
      </w:r>
      <w:r w:rsidR="00217197" w:rsidRPr="001B7927">
        <w:rPr>
          <w:sz w:val="22"/>
          <w:szCs w:val="22"/>
        </w:rPr>
        <w:t xml:space="preserve">that the </w:t>
      </w:r>
      <w:r w:rsidR="00CB2D03">
        <w:rPr>
          <w:sz w:val="22"/>
          <w:szCs w:val="22"/>
        </w:rPr>
        <w:t>word</w:t>
      </w:r>
      <w:r w:rsidR="00217197" w:rsidRPr="001B7927">
        <w:rPr>
          <w:sz w:val="22"/>
          <w:szCs w:val="22"/>
        </w:rPr>
        <w:t xml:space="preserve"> “Redskins” fall</w:t>
      </w:r>
      <w:r w:rsidR="00293CF5">
        <w:rPr>
          <w:sz w:val="22"/>
          <w:szCs w:val="22"/>
        </w:rPr>
        <w:t>s</w:t>
      </w:r>
      <w:r w:rsidR="00217197" w:rsidRPr="001B7927">
        <w:rPr>
          <w:sz w:val="22"/>
          <w:szCs w:val="22"/>
        </w:rPr>
        <w:t xml:space="preserve"> within the Commission’s definition of profanity</w:t>
      </w:r>
      <w:r w:rsidR="008B7669">
        <w:rPr>
          <w:sz w:val="22"/>
          <w:szCs w:val="22"/>
        </w:rPr>
        <w:t>.</w:t>
      </w:r>
    </w:p>
    <w:p w:rsidR="001B5998" w:rsidRDefault="001B5998" w:rsidP="00B64813">
      <w:pPr>
        <w:ind w:firstLine="720"/>
        <w:jc w:val="both"/>
        <w:rPr>
          <w:color w:val="333333"/>
          <w:sz w:val="22"/>
        </w:rPr>
      </w:pPr>
    </w:p>
    <w:p w:rsidR="00AF66B3" w:rsidRDefault="00AF66B3" w:rsidP="00B64813">
      <w:pPr>
        <w:ind w:firstLine="720"/>
        <w:jc w:val="both"/>
        <w:rPr>
          <w:sz w:val="22"/>
          <w:szCs w:val="22"/>
        </w:rPr>
      </w:pPr>
      <w:r w:rsidRPr="00133B8D">
        <w:rPr>
          <w:sz w:val="22"/>
          <w:szCs w:val="22"/>
          <w:u w:val="single"/>
        </w:rPr>
        <w:t>Public Interest, Convenience and Necessity</w:t>
      </w:r>
      <w:r>
        <w:rPr>
          <w:sz w:val="22"/>
          <w:szCs w:val="22"/>
        </w:rPr>
        <w:t xml:space="preserve">.  </w:t>
      </w:r>
      <w:r w:rsidRPr="00AE1A52">
        <w:rPr>
          <w:sz w:val="22"/>
          <w:szCs w:val="22"/>
        </w:rPr>
        <w:t>Banzhaf states that “repeated and unnecessary exposure” to the word “Redskins” causes “psychological harm, not only to Indian and non-Indian children, but also to Indian adults.”</w:t>
      </w:r>
      <w:r>
        <w:rPr>
          <w:rStyle w:val="FootnoteReference"/>
          <w:sz w:val="22"/>
          <w:szCs w:val="22"/>
        </w:rPr>
        <w:footnoteReference w:id="17"/>
      </w:r>
      <w:r w:rsidRPr="00AE1A52">
        <w:rPr>
          <w:sz w:val="22"/>
          <w:szCs w:val="22"/>
        </w:rPr>
        <w:t xml:space="preserve">  He </w:t>
      </w:r>
      <w:r>
        <w:rPr>
          <w:sz w:val="22"/>
          <w:szCs w:val="22"/>
        </w:rPr>
        <w:t>asserts that</w:t>
      </w:r>
      <w:r w:rsidRPr="00AE1A52">
        <w:rPr>
          <w:sz w:val="22"/>
          <w:szCs w:val="22"/>
        </w:rPr>
        <w:t xml:space="preserve">, for </w:t>
      </w:r>
      <w:r>
        <w:rPr>
          <w:sz w:val="22"/>
          <w:szCs w:val="22"/>
        </w:rPr>
        <w:t>these</w:t>
      </w:r>
      <w:r w:rsidRPr="00AE1A52">
        <w:rPr>
          <w:sz w:val="22"/>
          <w:szCs w:val="22"/>
        </w:rPr>
        <w:t xml:space="preserve"> reason</w:t>
      </w:r>
      <w:r>
        <w:rPr>
          <w:sz w:val="22"/>
          <w:szCs w:val="22"/>
        </w:rPr>
        <w:t>s</w:t>
      </w:r>
      <w:r w:rsidRPr="00AE1A52">
        <w:rPr>
          <w:sz w:val="22"/>
          <w:szCs w:val="22"/>
        </w:rPr>
        <w:t>, it is contrary to the mandate that broadcasters operate in the public interest, convenience and necessity for the Station to broadcast the word in its coverage of Washington’s professional football team</w:t>
      </w:r>
      <w:r>
        <w:rPr>
          <w:sz w:val="22"/>
          <w:szCs w:val="22"/>
        </w:rPr>
        <w:t>.  Thus, Banzhaf urges us to find that the Station failed to serve the public interest, convenience and necessity, and deny the Application</w:t>
      </w:r>
      <w:r w:rsidR="002D6946">
        <w:rPr>
          <w:sz w:val="22"/>
          <w:szCs w:val="22"/>
        </w:rPr>
        <w:t>.</w:t>
      </w:r>
    </w:p>
    <w:p w:rsidR="00AF66B3" w:rsidRPr="006931FE" w:rsidRDefault="00AF66B3" w:rsidP="00B64813">
      <w:pPr>
        <w:ind w:firstLine="720"/>
        <w:jc w:val="both"/>
        <w:rPr>
          <w:sz w:val="22"/>
          <w:szCs w:val="22"/>
        </w:rPr>
      </w:pPr>
    </w:p>
    <w:p w:rsidR="00AF66B3" w:rsidRPr="006931FE" w:rsidRDefault="00AF66B3" w:rsidP="00B64813">
      <w:pPr>
        <w:ind w:left="90" w:firstLine="630"/>
        <w:jc w:val="both"/>
        <w:rPr>
          <w:sz w:val="22"/>
          <w:szCs w:val="22"/>
        </w:rPr>
      </w:pPr>
      <w:r w:rsidRPr="006931FE">
        <w:rPr>
          <w:sz w:val="22"/>
          <w:szCs w:val="22"/>
        </w:rPr>
        <w:t xml:space="preserve">We </w:t>
      </w:r>
      <w:r w:rsidR="00FC25F7">
        <w:rPr>
          <w:sz w:val="22"/>
          <w:szCs w:val="22"/>
        </w:rPr>
        <w:t>reject</w:t>
      </w:r>
      <w:r w:rsidRPr="006931FE">
        <w:rPr>
          <w:sz w:val="22"/>
          <w:szCs w:val="22"/>
        </w:rPr>
        <w:t xml:space="preserve"> Banzhaf’s position </w:t>
      </w:r>
      <w:r w:rsidR="007E4635">
        <w:rPr>
          <w:sz w:val="22"/>
          <w:szCs w:val="22"/>
        </w:rPr>
        <w:t>in light of</w:t>
      </w:r>
      <w:r w:rsidR="007E4635" w:rsidRPr="006931FE">
        <w:rPr>
          <w:sz w:val="22"/>
          <w:szCs w:val="22"/>
        </w:rPr>
        <w:t xml:space="preserve"> </w:t>
      </w:r>
      <w:r w:rsidRPr="00AF66B3">
        <w:rPr>
          <w:sz w:val="22"/>
          <w:szCs w:val="22"/>
        </w:rPr>
        <w:t xml:space="preserve">the First Amendment to the United States Constitution </w:t>
      </w:r>
      <w:r w:rsidR="00FC25F7">
        <w:rPr>
          <w:sz w:val="22"/>
          <w:szCs w:val="22"/>
        </w:rPr>
        <w:t xml:space="preserve">and </w:t>
      </w:r>
      <w:r w:rsidRPr="006931FE">
        <w:rPr>
          <w:sz w:val="22"/>
          <w:szCs w:val="22"/>
        </w:rPr>
        <w:t>Section 326 of the Act.</w:t>
      </w:r>
      <w:r w:rsidRPr="006931FE">
        <w:rPr>
          <w:rStyle w:val="FootnoteReference"/>
          <w:sz w:val="22"/>
          <w:szCs w:val="22"/>
        </w:rPr>
        <w:footnoteReference w:id="18"/>
      </w:r>
      <w:r w:rsidRPr="006931FE">
        <w:rPr>
          <w:sz w:val="22"/>
          <w:szCs w:val="22"/>
        </w:rPr>
        <w:t xml:space="preserve">  The First Amendment and </w:t>
      </w:r>
      <w:r w:rsidRPr="006931FE">
        <w:rPr>
          <w:rStyle w:val="term1"/>
          <w:b w:val="0"/>
          <w:sz w:val="22"/>
          <w:szCs w:val="22"/>
        </w:rPr>
        <w:t>Section 326</w:t>
      </w:r>
      <w:r w:rsidRPr="006931FE">
        <w:rPr>
          <w:sz w:val="22"/>
          <w:szCs w:val="22"/>
        </w:rPr>
        <w:t xml:space="preserve"> prohibit the Commission from censoring program material or interfering with broadcasters</w:t>
      </w:r>
      <w:r w:rsidR="0064122A">
        <w:rPr>
          <w:sz w:val="22"/>
          <w:szCs w:val="22"/>
        </w:rPr>
        <w:t>’</w:t>
      </w:r>
      <w:r w:rsidRPr="006931FE">
        <w:rPr>
          <w:sz w:val="22"/>
          <w:szCs w:val="22"/>
        </w:rPr>
        <w:t xml:space="preserve"> free speech rights.  In view of this, the Commission has stated that it will not take </w:t>
      </w:r>
      <w:r w:rsidR="00AC5DFD">
        <w:rPr>
          <w:sz w:val="22"/>
          <w:szCs w:val="22"/>
        </w:rPr>
        <w:t>“</w:t>
      </w:r>
      <w:r w:rsidRPr="006931FE">
        <w:rPr>
          <w:sz w:val="22"/>
          <w:szCs w:val="22"/>
        </w:rPr>
        <w:t xml:space="preserve">adverse action on a license renewal application based </w:t>
      </w:r>
      <w:r w:rsidR="00AC5DFD">
        <w:rPr>
          <w:sz w:val="22"/>
          <w:szCs w:val="22"/>
        </w:rPr>
        <w:t xml:space="preserve">only </w:t>
      </w:r>
      <w:r w:rsidRPr="006931FE">
        <w:rPr>
          <w:sz w:val="22"/>
          <w:szCs w:val="22"/>
        </w:rPr>
        <w:t>upon the subjective determination of a listener or group of listeners as to what constitutes appropriate programming.”</w:t>
      </w:r>
      <w:r w:rsidRPr="006931FE">
        <w:rPr>
          <w:rStyle w:val="FootnoteReference"/>
          <w:sz w:val="22"/>
          <w:szCs w:val="22"/>
        </w:rPr>
        <w:footnoteReference w:id="19"/>
      </w:r>
      <w:r w:rsidRPr="006931FE">
        <w:rPr>
          <w:sz w:val="22"/>
          <w:szCs w:val="22"/>
        </w:rPr>
        <w:t xml:space="preserve">  It has recognized that</w:t>
      </w:r>
      <w:r w:rsidR="00785090">
        <w:rPr>
          <w:sz w:val="22"/>
          <w:szCs w:val="22"/>
        </w:rPr>
        <w:t>:  “L</w:t>
      </w:r>
      <w:r w:rsidRPr="006931FE">
        <w:rPr>
          <w:sz w:val="22"/>
          <w:szCs w:val="22"/>
        </w:rPr>
        <w:t>icensees have broad discretion – based on their right to free speech –</w:t>
      </w:r>
      <w:r w:rsidR="0079375D">
        <w:rPr>
          <w:sz w:val="22"/>
          <w:szCs w:val="22"/>
        </w:rPr>
        <w:t xml:space="preserve"> </w:t>
      </w:r>
      <w:r w:rsidRPr="006931FE">
        <w:rPr>
          <w:sz w:val="22"/>
          <w:szCs w:val="22"/>
        </w:rPr>
        <w:t>to choose, in good faith, the programming they believe serves the needs and interests of their communities.  This holds true even if the material broadcast is insulting to a particular minority or ethnic group in a station’s community.”</w:t>
      </w:r>
      <w:r w:rsidRPr="006931FE">
        <w:rPr>
          <w:rStyle w:val="FootnoteReference"/>
          <w:sz w:val="22"/>
          <w:szCs w:val="22"/>
        </w:rPr>
        <w:t xml:space="preserve"> </w:t>
      </w:r>
      <w:r w:rsidRPr="006931FE">
        <w:rPr>
          <w:rStyle w:val="FootnoteReference"/>
          <w:sz w:val="22"/>
          <w:szCs w:val="22"/>
        </w:rPr>
        <w:footnoteReference w:id="20"/>
      </w:r>
      <w:r w:rsidRPr="006931FE">
        <w:rPr>
          <w:sz w:val="22"/>
          <w:szCs w:val="22"/>
        </w:rPr>
        <w:t xml:space="preserve">  Indeed, the Commission has held that “if there is to be free speech, it must be free for speech that we abhor and hate as well as for speech that we find tolerable and congenial.”</w:t>
      </w:r>
      <w:r w:rsidRPr="006931FE">
        <w:rPr>
          <w:rStyle w:val="FootnoteReference"/>
          <w:sz w:val="22"/>
          <w:szCs w:val="22"/>
        </w:rPr>
        <w:footnoteReference w:id="21"/>
      </w:r>
      <w:r w:rsidR="00990F86">
        <w:rPr>
          <w:sz w:val="22"/>
          <w:szCs w:val="22"/>
        </w:rPr>
        <w:t xml:space="preserve"> </w:t>
      </w:r>
    </w:p>
    <w:p w:rsidR="00AF66B3" w:rsidRPr="00AE1A52" w:rsidRDefault="00AF66B3" w:rsidP="00B64813">
      <w:pPr>
        <w:ind w:firstLine="720"/>
        <w:jc w:val="both"/>
        <w:rPr>
          <w:sz w:val="22"/>
          <w:szCs w:val="22"/>
        </w:rPr>
      </w:pPr>
    </w:p>
    <w:p w:rsidR="00AF66B3" w:rsidRPr="00AE1A52" w:rsidRDefault="00AF66B3" w:rsidP="00B64813">
      <w:pPr>
        <w:ind w:firstLine="720"/>
        <w:jc w:val="both"/>
        <w:rPr>
          <w:sz w:val="22"/>
          <w:szCs w:val="22"/>
        </w:rPr>
      </w:pPr>
      <w:r w:rsidRPr="00AE1A52">
        <w:rPr>
          <w:sz w:val="22"/>
          <w:szCs w:val="22"/>
        </w:rPr>
        <w:t xml:space="preserve">Banzhaf cites a number of Commission decisions </w:t>
      </w:r>
      <w:r w:rsidR="00D06B87">
        <w:rPr>
          <w:sz w:val="22"/>
          <w:szCs w:val="22"/>
        </w:rPr>
        <w:t>that</w:t>
      </w:r>
      <w:r w:rsidR="00D06B87" w:rsidRPr="00AE1A52">
        <w:rPr>
          <w:sz w:val="22"/>
          <w:szCs w:val="22"/>
        </w:rPr>
        <w:t xml:space="preserve"> </w:t>
      </w:r>
      <w:r w:rsidRPr="00AE1A52">
        <w:rPr>
          <w:sz w:val="22"/>
          <w:szCs w:val="22"/>
        </w:rPr>
        <w:t xml:space="preserve">he asserts demonstrate the Commission has utilized the public interest standard to regulate content.  These cases, however, do not support </w:t>
      </w:r>
      <w:r w:rsidR="00D06B87">
        <w:rPr>
          <w:sz w:val="22"/>
          <w:szCs w:val="22"/>
        </w:rPr>
        <w:t xml:space="preserve">denial of the Station’s license renewal in this case </w:t>
      </w:r>
      <w:r w:rsidR="00D416F8">
        <w:rPr>
          <w:sz w:val="22"/>
          <w:szCs w:val="22"/>
        </w:rPr>
        <w:t>based on the fact that</w:t>
      </w:r>
      <w:r w:rsidR="00D06B87">
        <w:rPr>
          <w:sz w:val="22"/>
          <w:szCs w:val="22"/>
        </w:rPr>
        <w:t xml:space="preserve"> the Station broadcast the name “Redskins.”</w:t>
      </w:r>
      <w:r w:rsidRPr="00AE1A52">
        <w:rPr>
          <w:sz w:val="22"/>
          <w:szCs w:val="22"/>
        </w:rPr>
        <w:t xml:space="preserve">  For instance, Banzhaf cites </w:t>
      </w:r>
      <w:r w:rsidRPr="00AE1A52">
        <w:rPr>
          <w:i/>
          <w:sz w:val="22"/>
          <w:szCs w:val="22"/>
        </w:rPr>
        <w:t>FCC v. Fox Television Stations, Inc</w:t>
      </w:r>
      <w:r w:rsidR="000B498F">
        <w:rPr>
          <w:i/>
          <w:sz w:val="22"/>
          <w:szCs w:val="22"/>
        </w:rPr>
        <w:t>.</w:t>
      </w:r>
      <w:r w:rsidR="00CB2D03">
        <w:rPr>
          <w:i/>
          <w:sz w:val="22"/>
          <w:szCs w:val="22"/>
        </w:rPr>
        <w:t xml:space="preserve"> </w:t>
      </w:r>
      <w:r w:rsidR="00CB2D03">
        <w:rPr>
          <w:sz w:val="22"/>
          <w:szCs w:val="22"/>
        </w:rPr>
        <w:t>(“</w:t>
      </w:r>
      <w:r w:rsidR="00CB2D03">
        <w:rPr>
          <w:i/>
          <w:sz w:val="22"/>
          <w:szCs w:val="22"/>
        </w:rPr>
        <w:t>Fox</w:t>
      </w:r>
      <w:r w:rsidR="00CB2D03">
        <w:rPr>
          <w:sz w:val="22"/>
          <w:szCs w:val="22"/>
        </w:rPr>
        <w:t>”)</w:t>
      </w:r>
      <w:r w:rsidR="00D06B87">
        <w:rPr>
          <w:sz w:val="22"/>
          <w:szCs w:val="22"/>
        </w:rPr>
        <w:t>,</w:t>
      </w:r>
      <w:r w:rsidRPr="00AE1A52">
        <w:rPr>
          <w:rStyle w:val="FootnoteReference"/>
          <w:sz w:val="22"/>
          <w:szCs w:val="22"/>
        </w:rPr>
        <w:footnoteReference w:id="22"/>
      </w:r>
      <w:r w:rsidRPr="00AE1A52">
        <w:rPr>
          <w:sz w:val="22"/>
          <w:szCs w:val="22"/>
        </w:rPr>
        <w:t xml:space="preserve"> and suggests that, therein, the</w:t>
      </w:r>
      <w:r>
        <w:rPr>
          <w:sz w:val="22"/>
          <w:szCs w:val="22"/>
        </w:rPr>
        <w:t xml:space="preserve"> </w:t>
      </w:r>
      <w:r w:rsidRPr="00AE1A52">
        <w:rPr>
          <w:sz w:val="22"/>
          <w:szCs w:val="22"/>
        </w:rPr>
        <w:t xml:space="preserve">Supreme Court </w:t>
      </w:r>
      <w:r>
        <w:rPr>
          <w:sz w:val="22"/>
          <w:szCs w:val="22"/>
        </w:rPr>
        <w:t xml:space="preserve">of the United States </w:t>
      </w:r>
      <w:r w:rsidRPr="00AE1A52">
        <w:rPr>
          <w:sz w:val="22"/>
          <w:szCs w:val="22"/>
        </w:rPr>
        <w:t>affirmed that the Commission could rely on its public interest authority to expand the definition of “indecency” to include language that neither depicted nor described sexual or excretory organs or functions.</w:t>
      </w:r>
      <w:r w:rsidRPr="00AE1A52">
        <w:rPr>
          <w:rStyle w:val="FootnoteReference"/>
          <w:sz w:val="22"/>
          <w:szCs w:val="22"/>
        </w:rPr>
        <w:footnoteReference w:id="23"/>
      </w:r>
      <w:r w:rsidRPr="00AE1A52">
        <w:rPr>
          <w:sz w:val="22"/>
          <w:szCs w:val="22"/>
        </w:rPr>
        <w:t xml:space="preserve">  In fact, the court simply observed that its opinion left “the Commission free to modify its current indecency policy in light of its determination of the public interest and applicable legal requirements” and left “the courts free to review the current policy or any modified policy in light of its content and application.”</w:t>
      </w:r>
      <w:r>
        <w:rPr>
          <w:rStyle w:val="FootnoteReference"/>
          <w:sz w:val="22"/>
          <w:szCs w:val="22"/>
        </w:rPr>
        <w:footnoteReference w:id="24"/>
      </w:r>
      <w:r w:rsidRPr="00AE1A52">
        <w:rPr>
          <w:sz w:val="22"/>
          <w:szCs w:val="22"/>
        </w:rPr>
        <w:t xml:space="preserve">  Moreover, we note that, contrary to Banzhaf’s assertion, in the</w:t>
      </w:r>
      <w:r>
        <w:rPr>
          <w:sz w:val="22"/>
          <w:szCs w:val="22"/>
        </w:rPr>
        <w:t xml:space="preserve"> underlying</w:t>
      </w:r>
      <w:r w:rsidRPr="00AE1A52">
        <w:rPr>
          <w:sz w:val="22"/>
          <w:szCs w:val="22"/>
        </w:rPr>
        <w:t xml:space="preserve"> decision, the Commission </w:t>
      </w:r>
      <w:r>
        <w:rPr>
          <w:sz w:val="22"/>
          <w:szCs w:val="22"/>
        </w:rPr>
        <w:t>did not expand the definition of “indecency.”</w:t>
      </w:r>
      <w:r w:rsidRPr="00AE1A52">
        <w:rPr>
          <w:rStyle w:val="FootnoteReference"/>
          <w:sz w:val="22"/>
          <w:szCs w:val="22"/>
        </w:rPr>
        <w:footnoteReference w:id="25"/>
      </w:r>
      <w:r w:rsidRPr="00AE1A52">
        <w:rPr>
          <w:sz w:val="22"/>
          <w:szCs w:val="22"/>
        </w:rPr>
        <w:t xml:space="preserve">  </w:t>
      </w:r>
      <w:r w:rsidR="00D06B87">
        <w:rPr>
          <w:sz w:val="22"/>
          <w:szCs w:val="22"/>
        </w:rPr>
        <w:t xml:space="preserve">The name “Washington Redskins” does not fall within that definition.  </w:t>
      </w:r>
    </w:p>
    <w:p w:rsidR="00AF66B3" w:rsidRPr="00AE1A52" w:rsidRDefault="00AF66B3" w:rsidP="00B64813">
      <w:pPr>
        <w:ind w:firstLine="720"/>
        <w:jc w:val="both"/>
        <w:rPr>
          <w:sz w:val="22"/>
          <w:szCs w:val="22"/>
        </w:rPr>
      </w:pPr>
    </w:p>
    <w:p w:rsidR="00AF66B3" w:rsidRPr="00AE1A52" w:rsidRDefault="00AF66B3" w:rsidP="00B64813">
      <w:pPr>
        <w:ind w:firstLine="720"/>
        <w:jc w:val="both"/>
        <w:rPr>
          <w:sz w:val="22"/>
          <w:szCs w:val="22"/>
        </w:rPr>
      </w:pPr>
      <w:r w:rsidRPr="00AE1A52">
        <w:rPr>
          <w:sz w:val="22"/>
          <w:szCs w:val="22"/>
        </w:rPr>
        <w:t xml:space="preserve">Banzhaf likewise mischaracterizes </w:t>
      </w:r>
      <w:r w:rsidRPr="00AE1A52">
        <w:rPr>
          <w:i/>
          <w:sz w:val="22"/>
          <w:szCs w:val="22"/>
        </w:rPr>
        <w:t>Yale Broadcasting Company v. FCC</w:t>
      </w:r>
      <w:r w:rsidRPr="00AE1A52">
        <w:rPr>
          <w:sz w:val="22"/>
          <w:szCs w:val="22"/>
        </w:rPr>
        <w:t>,</w:t>
      </w:r>
      <w:r w:rsidRPr="00AE1A52">
        <w:rPr>
          <w:rStyle w:val="FootnoteReference"/>
          <w:sz w:val="22"/>
          <w:szCs w:val="22"/>
        </w:rPr>
        <w:footnoteReference w:id="26"/>
      </w:r>
      <w:r w:rsidRPr="00AE1A52">
        <w:rPr>
          <w:sz w:val="22"/>
          <w:szCs w:val="22"/>
        </w:rPr>
        <w:t xml:space="preserve"> arguing that therein the U.S. Court of Appeals for the District of Columbia Circuit affirmed the Commission’s use of the public interest standard to </w:t>
      </w:r>
      <w:r>
        <w:rPr>
          <w:sz w:val="22"/>
          <w:szCs w:val="22"/>
        </w:rPr>
        <w:t>regulate the broadcast of songs</w:t>
      </w:r>
      <w:r w:rsidRPr="00AE1A52">
        <w:rPr>
          <w:sz w:val="22"/>
          <w:szCs w:val="22"/>
        </w:rPr>
        <w:t xml:space="preserve"> that might promote or glorify the use of illegal drugs.  In fact, as the court noted, the Commission </w:t>
      </w:r>
      <w:r>
        <w:rPr>
          <w:sz w:val="22"/>
          <w:szCs w:val="22"/>
        </w:rPr>
        <w:t>merely</w:t>
      </w:r>
      <w:r w:rsidRPr="00AE1A52">
        <w:rPr>
          <w:sz w:val="22"/>
          <w:szCs w:val="22"/>
        </w:rPr>
        <w:t xml:space="preserve"> reminded broadcasters that they must make “reasonable efforts” to determine the meaning of a song’s lyrics prior to broadcasting the song.</w:t>
      </w:r>
      <w:r w:rsidRPr="00AE1A52">
        <w:rPr>
          <w:rStyle w:val="FootnoteReference"/>
          <w:sz w:val="22"/>
          <w:szCs w:val="22"/>
        </w:rPr>
        <w:footnoteReference w:id="27"/>
      </w:r>
      <w:r w:rsidRPr="00AE1A52">
        <w:rPr>
          <w:sz w:val="22"/>
          <w:szCs w:val="22"/>
        </w:rPr>
        <w:t xml:space="preserve">  </w:t>
      </w:r>
      <w:r>
        <w:rPr>
          <w:sz w:val="22"/>
          <w:szCs w:val="22"/>
        </w:rPr>
        <w:t>Moreover</w:t>
      </w:r>
      <w:r w:rsidRPr="00AE1A52">
        <w:rPr>
          <w:sz w:val="22"/>
          <w:szCs w:val="22"/>
        </w:rPr>
        <w:t>, the Commission specifically clarified that it was not banning the broadcast of “drug-oriented” songs.</w:t>
      </w:r>
      <w:r w:rsidRPr="00AE1A52">
        <w:rPr>
          <w:rStyle w:val="FootnoteReference"/>
          <w:sz w:val="22"/>
          <w:szCs w:val="22"/>
        </w:rPr>
        <w:footnoteReference w:id="28"/>
      </w:r>
      <w:r w:rsidRPr="00AE1A52">
        <w:rPr>
          <w:sz w:val="22"/>
          <w:szCs w:val="22"/>
        </w:rPr>
        <w:t xml:space="preserve">  </w:t>
      </w:r>
    </w:p>
    <w:p w:rsidR="00AF66B3" w:rsidRPr="00AE1A52" w:rsidRDefault="00AF66B3" w:rsidP="00B64813">
      <w:pPr>
        <w:ind w:firstLine="720"/>
        <w:jc w:val="both"/>
        <w:rPr>
          <w:sz w:val="22"/>
          <w:szCs w:val="22"/>
        </w:rPr>
      </w:pPr>
    </w:p>
    <w:p w:rsidR="00AF66B3" w:rsidRPr="00AE1A52" w:rsidRDefault="00AF66B3" w:rsidP="00B64813">
      <w:pPr>
        <w:ind w:firstLine="720"/>
        <w:jc w:val="both"/>
        <w:rPr>
          <w:sz w:val="22"/>
          <w:szCs w:val="22"/>
        </w:rPr>
      </w:pPr>
      <w:r w:rsidRPr="00AE1A52">
        <w:rPr>
          <w:sz w:val="22"/>
          <w:szCs w:val="22"/>
        </w:rPr>
        <w:t xml:space="preserve">Banzhaf also cites </w:t>
      </w:r>
      <w:r w:rsidRPr="00AE1A52">
        <w:rPr>
          <w:i/>
          <w:sz w:val="22"/>
          <w:szCs w:val="22"/>
        </w:rPr>
        <w:t>Office of Communication of the United Church of Christ v. FCC</w:t>
      </w:r>
      <w:r w:rsidRPr="00AE1A52">
        <w:rPr>
          <w:sz w:val="22"/>
          <w:szCs w:val="22"/>
        </w:rPr>
        <w:t xml:space="preserve"> (“</w:t>
      </w:r>
      <w:r w:rsidRPr="00AE1A52">
        <w:rPr>
          <w:i/>
          <w:sz w:val="22"/>
          <w:szCs w:val="22"/>
        </w:rPr>
        <w:t>UCC</w:t>
      </w:r>
      <w:r w:rsidRPr="00AE1A52">
        <w:rPr>
          <w:sz w:val="22"/>
          <w:szCs w:val="22"/>
        </w:rPr>
        <w:t>”),</w:t>
      </w:r>
      <w:r w:rsidRPr="00AE1A52">
        <w:rPr>
          <w:rStyle w:val="FootnoteReference"/>
          <w:sz w:val="22"/>
          <w:szCs w:val="22"/>
        </w:rPr>
        <w:footnoteReference w:id="29"/>
      </w:r>
      <w:r w:rsidRPr="00AE1A52">
        <w:rPr>
          <w:sz w:val="22"/>
          <w:szCs w:val="22"/>
        </w:rPr>
        <w:t xml:space="preserve"> and </w:t>
      </w:r>
      <w:r w:rsidRPr="00AE1A52">
        <w:rPr>
          <w:i/>
          <w:sz w:val="22"/>
          <w:szCs w:val="22"/>
        </w:rPr>
        <w:t>Stone v. FCC</w:t>
      </w:r>
      <w:r w:rsidRPr="00AE1A52">
        <w:rPr>
          <w:sz w:val="22"/>
          <w:szCs w:val="22"/>
        </w:rPr>
        <w:t xml:space="preserve"> (“</w:t>
      </w:r>
      <w:r w:rsidRPr="00AE1A52">
        <w:rPr>
          <w:i/>
          <w:sz w:val="22"/>
          <w:szCs w:val="22"/>
        </w:rPr>
        <w:t>Stone</w:t>
      </w:r>
      <w:r w:rsidRPr="00AE1A52">
        <w:rPr>
          <w:sz w:val="22"/>
          <w:szCs w:val="22"/>
        </w:rPr>
        <w:t>”).</w:t>
      </w:r>
      <w:r w:rsidRPr="00AE1A52">
        <w:rPr>
          <w:rStyle w:val="FootnoteReference"/>
          <w:sz w:val="22"/>
          <w:szCs w:val="22"/>
        </w:rPr>
        <w:footnoteReference w:id="30"/>
      </w:r>
      <w:r w:rsidRPr="00AE1A52">
        <w:rPr>
          <w:sz w:val="22"/>
          <w:szCs w:val="22"/>
        </w:rPr>
        <w:t xml:space="preserve">  He </w:t>
      </w:r>
      <w:r>
        <w:rPr>
          <w:sz w:val="22"/>
          <w:szCs w:val="22"/>
        </w:rPr>
        <w:t>argues</w:t>
      </w:r>
      <w:r w:rsidRPr="00AE1A52">
        <w:rPr>
          <w:sz w:val="22"/>
          <w:szCs w:val="22"/>
        </w:rPr>
        <w:t xml:space="preserve"> that these cases confirm the Commission’s authority to deny renewal of a station’s license based on the content it broadcast during its license term.  </w:t>
      </w:r>
      <w:r w:rsidR="00950BD2">
        <w:rPr>
          <w:sz w:val="22"/>
          <w:szCs w:val="22"/>
        </w:rPr>
        <w:t>But the circumstances of those cases are very different from those presented here</w:t>
      </w:r>
      <w:r w:rsidRPr="00AE1A52">
        <w:rPr>
          <w:sz w:val="22"/>
          <w:szCs w:val="22"/>
        </w:rPr>
        <w:t xml:space="preserve">.  </w:t>
      </w:r>
      <w:r w:rsidRPr="00AE63F1">
        <w:rPr>
          <w:i/>
          <w:sz w:val="22"/>
          <w:szCs w:val="22"/>
        </w:rPr>
        <w:t>UCC</w:t>
      </w:r>
      <w:r w:rsidRPr="00AE1A52">
        <w:rPr>
          <w:sz w:val="22"/>
          <w:szCs w:val="22"/>
        </w:rPr>
        <w:t xml:space="preserve"> involved allegations that a station had violated the Commission’s now defunct fairness doctrine</w:t>
      </w:r>
      <w:r w:rsidR="007D6CEA">
        <w:rPr>
          <w:sz w:val="22"/>
          <w:szCs w:val="22"/>
        </w:rPr>
        <w:t xml:space="preserve"> and otherwise failed to </w:t>
      </w:r>
      <w:r w:rsidR="00D35087">
        <w:rPr>
          <w:sz w:val="22"/>
          <w:szCs w:val="22"/>
        </w:rPr>
        <w:t xml:space="preserve">air programming that served </w:t>
      </w:r>
      <w:r w:rsidR="007D6CEA">
        <w:rPr>
          <w:sz w:val="22"/>
          <w:szCs w:val="22"/>
        </w:rPr>
        <w:t>the needs of its community.</w:t>
      </w:r>
      <w:r w:rsidR="00D35087">
        <w:rPr>
          <w:sz w:val="22"/>
          <w:szCs w:val="22"/>
        </w:rPr>
        <w:t xml:space="preserve">  Nothing in that case suggests that the Commission could deny renewal of a broadcast license because particular words or programming broadcast by the licensee offended some viewers.</w:t>
      </w:r>
      <w:r w:rsidRPr="00AE1A52">
        <w:rPr>
          <w:rStyle w:val="FootnoteReference"/>
          <w:sz w:val="22"/>
          <w:szCs w:val="22"/>
        </w:rPr>
        <w:footnoteReference w:id="31"/>
      </w:r>
      <w:r w:rsidRPr="00AE1A52">
        <w:rPr>
          <w:sz w:val="22"/>
          <w:szCs w:val="22"/>
        </w:rPr>
        <w:t xml:space="preserve"> </w:t>
      </w:r>
      <w:r w:rsidR="009601BF">
        <w:rPr>
          <w:sz w:val="22"/>
          <w:szCs w:val="22"/>
        </w:rPr>
        <w:t xml:space="preserve"> </w:t>
      </w:r>
      <w:r w:rsidR="008B7669">
        <w:rPr>
          <w:i/>
          <w:sz w:val="22"/>
          <w:szCs w:val="22"/>
        </w:rPr>
        <w:t xml:space="preserve">Stone </w:t>
      </w:r>
      <w:r w:rsidR="008B7669">
        <w:rPr>
          <w:sz w:val="22"/>
          <w:szCs w:val="22"/>
        </w:rPr>
        <w:t>noted that</w:t>
      </w:r>
      <w:r w:rsidRPr="00AE1A52">
        <w:rPr>
          <w:sz w:val="22"/>
          <w:szCs w:val="22"/>
        </w:rPr>
        <w:t xml:space="preserve"> “such generalized criticisms </w:t>
      </w:r>
      <w:r w:rsidR="006B62D3">
        <w:rPr>
          <w:sz w:val="22"/>
          <w:szCs w:val="22"/>
        </w:rPr>
        <w:t xml:space="preserve">[of a station’s programming] </w:t>
      </w:r>
      <w:r w:rsidRPr="00AE1A52">
        <w:rPr>
          <w:sz w:val="22"/>
          <w:szCs w:val="22"/>
        </w:rPr>
        <w:t>run the risk of turning the FCC into a censorship board, a goal clearly not in the public interest.”</w:t>
      </w:r>
      <w:r w:rsidRPr="00AE1A52">
        <w:rPr>
          <w:rStyle w:val="FootnoteReference"/>
          <w:sz w:val="22"/>
          <w:szCs w:val="22"/>
        </w:rPr>
        <w:footnoteReference w:id="32"/>
      </w:r>
      <w:r w:rsidRPr="00AE1A52">
        <w:rPr>
          <w:sz w:val="22"/>
          <w:szCs w:val="22"/>
        </w:rPr>
        <w:t xml:space="preserve">  </w:t>
      </w:r>
    </w:p>
    <w:p w:rsidR="00AF66B3" w:rsidRPr="00AE1A52" w:rsidRDefault="00AF66B3" w:rsidP="00B64813">
      <w:pPr>
        <w:ind w:firstLine="720"/>
        <w:jc w:val="both"/>
        <w:rPr>
          <w:sz w:val="22"/>
          <w:szCs w:val="22"/>
        </w:rPr>
      </w:pPr>
    </w:p>
    <w:p w:rsidR="00AF66B3" w:rsidRPr="00AF66B3" w:rsidRDefault="00AF66B3" w:rsidP="00B64813">
      <w:pPr>
        <w:jc w:val="both"/>
        <w:rPr>
          <w:sz w:val="22"/>
          <w:szCs w:val="22"/>
        </w:rPr>
      </w:pPr>
      <w:r w:rsidRPr="00AE1A52">
        <w:rPr>
          <w:sz w:val="22"/>
          <w:szCs w:val="22"/>
        </w:rPr>
        <w:tab/>
      </w:r>
      <w:r w:rsidRPr="00AF66B3">
        <w:rPr>
          <w:sz w:val="22"/>
          <w:szCs w:val="22"/>
        </w:rPr>
        <w:t xml:space="preserve">Banzhaf has not demonstrated that the Commission has ever </w:t>
      </w:r>
      <w:r w:rsidR="00F74508">
        <w:rPr>
          <w:sz w:val="22"/>
          <w:szCs w:val="22"/>
        </w:rPr>
        <w:t xml:space="preserve">denied renewal of a broadcast license based on </w:t>
      </w:r>
      <w:r w:rsidR="00FF02D9">
        <w:rPr>
          <w:sz w:val="22"/>
          <w:szCs w:val="22"/>
        </w:rPr>
        <w:t xml:space="preserve">the broadcast of </w:t>
      </w:r>
      <w:r w:rsidR="00F74508">
        <w:rPr>
          <w:sz w:val="22"/>
          <w:szCs w:val="22"/>
        </w:rPr>
        <w:t xml:space="preserve">programming </w:t>
      </w:r>
      <w:r w:rsidR="008B7669">
        <w:rPr>
          <w:sz w:val="22"/>
          <w:szCs w:val="22"/>
        </w:rPr>
        <w:t xml:space="preserve">or </w:t>
      </w:r>
      <w:r w:rsidR="00F74508">
        <w:rPr>
          <w:sz w:val="22"/>
          <w:szCs w:val="22"/>
        </w:rPr>
        <w:t>individual words</w:t>
      </w:r>
      <w:r w:rsidR="008B7669">
        <w:rPr>
          <w:sz w:val="22"/>
          <w:szCs w:val="22"/>
        </w:rPr>
        <w:t xml:space="preserve"> </w:t>
      </w:r>
      <w:r w:rsidR="00F74508">
        <w:rPr>
          <w:sz w:val="22"/>
          <w:szCs w:val="22"/>
        </w:rPr>
        <w:t>that do</w:t>
      </w:r>
      <w:r w:rsidRPr="00AF66B3">
        <w:rPr>
          <w:sz w:val="22"/>
          <w:szCs w:val="22"/>
        </w:rPr>
        <w:t xml:space="preserve"> not violate the Act or the Commission’s rules.  Given the First Amendment</w:t>
      </w:r>
      <w:r w:rsidR="002D6946">
        <w:rPr>
          <w:sz w:val="22"/>
          <w:szCs w:val="22"/>
        </w:rPr>
        <w:t xml:space="preserve"> and Section 326 of the Act,</w:t>
      </w:r>
      <w:r w:rsidRPr="00AF66B3">
        <w:rPr>
          <w:sz w:val="22"/>
          <w:szCs w:val="22"/>
        </w:rPr>
        <w:t xml:space="preserve"> and </w:t>
      </w:r>
      <w:r w:rsidR="00705D73">
        <w:rPr>
          <w:sz w:val="22"/>
          <w:szCs w:val="22"/>
        </w:rPr>
        <w:t>the Commission’s repeated</w:t>
      </w:r>
      <w:r w:rsidRPr="00AF66B3">
        <w:rPr>
          <w:sz w:val="22"/>
          <w:szCs w:val="22"/>
        </w:rPr>
        <w:t xml:space="preserve"> statements that </w:t>
      </w:r>
      <w:r w:rsidR="00705D73">
        <w:rPr>
          <w:sz w:val="22"/>
          <w:szCs w:val="22"/>
        </w:rPr>
        <w:t>its</w:t>
      </w:r>
      <w:r w:rsidRPr="00AF66B3">
        <w:rPr>
          <w:sz w:val="22"/>
          <w:szCs w:val="22"/>
        </w:rPr>
        <w:t xml:space="preserve"> “role in overseeing program content is very limited,”</w:t>
      </w:r>
      <w:r w:rsidRPr="00AF66B3">
        <w:rPr>
          <w:rStyle w:val="FootnoteReference"/>
          <w:sz w:val="22"/>
          <w:szCs w:val="22"/>
        </w:rPr>
        <w:footnoteReference w:id="33"/>
      </w:r>
      <w:r w:rsidRPr="00AF66B3">
        <w:rPr>
          <w:sz w:val="22"/>
          <w:szCs w:val="22"/>
        </w:rPr>
        <w:t xml:space="preserve"> we decline to do so here.</w:t>
      </w:r>
    </w:p>
    <w:p w:rsidR="00AF66B3" w:rsidRDefault="00AF66B3" w:rsidP="00B64813">
      <w:pPr>
        <w:jc w:val="both"/>
        <w:rPr>
          <w:sz w:val="22"/>
          <w:szCs w:val="22"/>
        </w:rPr>
      </w:pPr>
    </w:p>
    <w:p w:rsidR="00AF66B3" w:rsidRPr="00C242C7" w:rsidRDefault="00AF66B3" w:rsidP="00B64813">
      <w:pPr>
        <w:ind w:firstLine="720"/>
        <w:jc w:val="both"/>
        <w:rPr>
          <w:sz w:val="22"/>
          <w:szCs w:val="22"/>
        </w:rPr>
      </w:pPr>
      <w:r w:rsidRPr="00644FA3">
        <w:rPr>
          <w:sz w:val="22"/>
          <w:szCs w:val="22"/>
          <w:u w:val="single"/>
        </w:rPr>
        <w:t>Hate Speech</w:t>
      </w:r>
      <w:r w:rsidRPr="00AE63F1">
        <w:rPr>
          <w:sz w:val="22"/>
          <w:szCs w:val="22"/>
        </w:rPr>
        <w:t>.</w:t>
      </w:r>
      <w:r>
        <w:rPr>
          <w:i/>
          <w:sz w:val="22"/>
          <w:szCs w:val="22"/>
        </w:rPr>
        <w:t xml:space="preserve">  </w:t>
      </w:r>
      <w:r w:rsidRPr="00C242C7">
        <w:rPr>
          <w:sz w:val="22"/>
          <w:szCs w:val="22"/>
        </w:rPr>
        <w:t>Banzhaf asserts that the term “Redskins” constitutes hate speech and incites violence against Indians.</w:t>
      </w:r>
      <w:r w:rsidRPr="00C242C7">
        <w:rPr>
          <w:rStyle w:val="FootnoteReference"/>
          <w:sz w:val="22"/>
          <w:szCs w:val="22"/>
        </w:rPr>
        <w:footnoteReference w:id="34"/>
      </w:r>
      <w:r>
        <w:rPr>
          <w:sz w:val="22"/>
          <w:szCs w:val="22"/>
        </w:rPr>
        <w:t xml:space="preserve">  </w:t>
      </w:r>
      <w:r w:rsidR="0089161E">
        <w:rPr>
          <w:sz w:val="22"/>
          <w:szCs w:val="22"/>
        </w:rPr>
        <w:t>There are no provisions in the Act or the Commission’s rules banning hate speech.</w:t>
      </w:r>
      <w:r>
        <w:rPr>
          <w:sz w:val="22"/>
          <w:szCs w:val="22"/>
        </w:rPr>
        <w:t xml:space="preserve">  We have</w:t>
      </w:r>
      <w:r w:rsidRPr="00C242C7">
        <w:rPr>
          <w:sz w:val="22"/>
          <w:szCs w:val="22"/>
        </w:rPr>
        <w:t xml:space="preserve"> recognized that</w:t>
      </w:r>
      <w:r>
        <w:rPr>
          <w:sz w:val="22"/>
          <w:szCs w:val="22"/>
        </w:rPr>
        <w:t xml:space="preserve">, under the principles enunciated in </w:t>
      </w:r>
      <w:r>
        <w:rPr>
          <w:i/>
          <w:sz w:val="22"/>
          <w:szCs w:val="22"/>
        </w:rPr>
        <w:t xml:space="preserve">Brandenburg v. Ohio </w:t>
      </w:r>
      <w:r>
        <w:rPr>
          <w:sz w:val="22"/>
          <w:szCs w:val="22"/>
        </w:rPr>
        <w:t>(“</w:t>
      </w:r>
      <w:r>
        <w:rPr>
          <w:i/>
          <w:sz w:val="22"/>
          <w:szCs w:val="22"/>
        </w:rPr>
        <w:t>Brandenburg</w:t>
      </w:r>
      <w:r>
        <w:rPr>
          <w:sz w:val="22"/>
          <w:szCs w:val="22"/>
        </w:rPr>
        <w:t>”),</w:t>
      </w:r>
      <w:r w:rsidRPr="00C242C7">
        <w:rPr>
          <w:sz w:val="22"/>
          <w:szCs w:val="22"/>
        </w:rPr>
        <w:t xml:space="preserve"> </w:t>
      </w:r>
      <w:r>
        <w:rPr>
          <w:sz w:val="22"/>
          <w:szCs w:val="22"/>
        </w:rPr>
        <w:t>the Commission</w:t>
      </w:r>
      <w:r w:rsidRPr="00C242C7">
        <w:rPr>
          <w:sz w:val="22"/>
          <w:szCs w:val="22"/>
        </w:rPr>
        <w:t xml:space="preserve"> </w:t>
      </w:r>
      <w:r>
        <w:rPr>
          <w:sz w:val="22"/>
          <w:szCs w:val="22"/>
        </w:rPr>
        <w:t>can</w:t>
      </w:r>
      <w:r w:rsidRPr="00C242C7">
        <w:rPr>
          <w:sz w:val="22"/>
          <w:szCs w:val="22"/>
        </w:rPr>
        <w:t xml:space="preserve"> </w:t>
      </w:r>
      <w:r w:rsidR="001623DD">
        <w:rPr>
          <w:sz w:val="22"/>
          <w:szCs w:val="22"/>
        </w:rPr>
        <w:t>take enforcement action based on broadcast</w:t>
      </w:r>
      <w:r w:rsidR="001623DD" w:rsidRPr="00C242C7">
        <w:rPr>
          <w:sz w:val="22"/>
          <w:szCs w:val="22"/>
        </w:rPr>
        <w:t xml:space="preserve"> </w:t>
      </w:r>
      <w:r w:rsidRPr="00C242C7">
        <w:rPr>
          <w:sz w:val="22"/>
          <w:szCs w:val="22"/>
        </w:rPr>
        <w:t xml:space="preserve">speech </w:t>
      </w:r>
      <w:r>
        <w:rPr>
          <w:sz w:val="22"/>
          <w:szCs w:val="22"/>
        </w:rPr>
        <w:t>that</w:t>
      </w:r>
      <w:r w:rsidRPr="00C242C7">
        <w:rPr>
          <w:sz w:val="22"/>
          <w:szCs w:val="22"/>
        </w:rPr>
        <w:t xml:space="preserve"> “</w:t>
      </w:r>
      <w:r>
        <w:rPr>
          <w:sz w:val="22"/>
          <w:szCs w:val="22"/>
        </w:rPr>
        <w:t xml:space="preserve">is </w:t>
      </w:r>
      <w:r w:rsidRPr="00C242C7">
        <w:rPr>
          <w:sz w:val="22"/>
          <w:szCs w:val="22"/>
        </w:rPr>
        <w:t>directed to inciting or producing imminent lawless action and is likely t</w:t>
      </w:r>
      <w:r>
        <w:rPr>
          <w:sz w:val="22"/>
          <w:szCs w:val="22"/>
        </w:rPr>
        <w:t>o incite or produce such action.</w:t>
      </w:r>
      <w:r w:rsidRPr="00C242C7">
        <w:rPr>
          <w:sz w:val="22"/>
          <w:szCs w:val="22"/>
        </w:rPr>
        <w:t>”</w:t>
      </w:r>
      <w:r>
        <w:rPr>
          <w:rStyle w:val="FootnoteReference"/>
          <w:sz w:val="22"/>
          <w:szCs w:val="22"/>
        </w:rPr>
        <w:footnoteReference w:id="35"/>
      </w:r>
      <w:r>
        <w:rPr>
          <w:sz w:val="22"/>
          <w:szCs w:val="22"/>
        </w:rPr>
        <w:t xml:space="preserve">  </w:t>
      </w:r>
      <w:r w:rsidRPr="00AE63F1">
        <w:rPr>
          <w:sz w:val="22"/>
          <w:szCs w:val="22"/>
        </w:rPr>
        <w:t xml:space="preserve">We will not do so, </w:t>
      </w:r>
      <w:r w:rsidR="008B7669">
        <w:rPr>
          <w:sz w:val="22"/>
          <w:szCs w:val="22"/>
        </w:rPr>
        <w:t>however</w:t>
      </w:r>
      <w:r w:rsidRPr="00AE63F1">
        <w:rPr>
          <w:sz w:val="22"/>
          <w:szCs w:val="22"/>
        </w:rPr>
        <w:t>, unless a local court of competent jurisdiction has determined that the speech at</w:t>
      </w:r>
      <w:r>
        <w:rPr>
          <w:sz w:val="22"/>
          <w:szCs w:val="22"/>
        </w:rPr>
        <w:t xml:space="preserve"> issue meets the </w:t>
      </w:r>
      <w:r>
        <w:rPr>
          <w:i/>
          <w:sz w:val="22"/>
          <w:szCs w:val="22"/>
        </w:rPr>
        <w:t xml:space="preserve">Brandenburg </w:t>
      </w:r>
      <w:r>
        <w:rPr>
          <w:sz w:val="22"/>
          <w:szCs w:val="22"/>
        </w:rPr>
        <w:t>test</w:t>
      </w:r>
      <w:r w:rsidRPr="00C242C7">
        <w:rPr>
          <w:sz w:val="22"/>
          <w:szCs w:val="22"/>
        </w:rPr>
        <w:t>.</w:t>
      </w:r>
      <w:r w:rsidR="00F07B43">
        <w:rPr>
          <w:rStyle w:val="FootnoteReference"/>
          <w:sz w:val="22"/>
          <w:szCs w:val="22"/>
        </w:rPr>
        <w:footnoteReference w:id="36"/>
      </w:r>
      <w:r w:rsidRPr="00C242C7">
        <w:rPr>
          <w:sz w:val="22"/>
          <w:szCs w:val="22"/>
        </w:rPr>
        <w:t xml:space="preserve">  </w:t>
      </w:r>
      <w:r>
        <w:rPr>
          <w:sz w:val="22"/>
          <w:szCs w:val="22"/>
        </w:rPr>
        <w:t xml:space="preserve">Here, </w:t>
      </w:r>
      <w:r w:rsidRPr="00C242C7">
        <w:rPr>
          <w:sz w:val="22"/>
          <w:szCs w:val="22"/>
        </w:rPr>
        <w:t xml:space="preserve">Banzhaf has not proffered any evidence that </w:t>
      </w:r>
      <w:r w:rsidR="00F07B43">
        <w:rPr>
          <w:sz w:val="22"/>
          <w:szCs w:val="22"/>
        </w:rPr>
        <w:t>a court</w:t>
      </w:r>
      <w:r w:rsidRPr="00C242C7">
        <w:rPr>
          <w:sz w:val="22"/>
          <w:szCs w:val="22"/>
        </w:rPr>
        <w:t xml:space="preserve"> has found broadcasting the </w:t>
      </w:r>
      <w:r>
        <w:rPr>
          <w:sz w:val="22"/>
          <w:szCs w:val="22"/>
        </w:rPr>
        <w:t>word</w:t>
      </w:r>
      <w:r w:rsidRPr="00C242C7">
        <w:rPr>
          <w:sz w:val="22"/>
          <w:szCs w:val="22"/>
        </w:rPr>
        <w:t xml:space="preserve"> “Redskins” </w:t>
      </w:r>
      <w:r>
        <w:rPr>
          <w:sz w:val="22"/>
          <w:szCs w:val="22"/>
        </w:rPr>
        <w:t>to meet</w:t>
      </w:r>
      <w:r w:rsidRPr="00C242C7">
        <w:rPr>
          <w:sz w:val="22"/>
          <w:szCs w:val="22"/>
        </w:rPr>
        <w:t xml:space="preserve"> the </w:t>
      </w:r>
      <w:r>
        <w:rPr>
          <w:i/>
          <w:sz w:val="22"/>
          <w:szCs w:val="22"/>
        </w:rPr>
        <w:t>Brandenbu</w:t>
      </w:r>
      <w:r w:rsidRPr="00C242C7">
        <w:rPr>
          <w:i/>
          <w:sz w:val="22"/>
          <w:szCs w:val="22"/>
        </w:rPr>
        <w:t xml:space="preserve">rg </w:t>
      </w:r>
      <w:r w:rsidRPr="00C242C7">
        <w:rPr>
          <w:sz w:val="22"/>
          <w:szCs w:val="22"/>
        </w:rPr>
        <w:t>test.</w:t>
      </w:r>
    </w:p>
    <w:p w:rsidR="00AF66B3" w:rsidRDefault="00AF66B3" w:rsidP="00B64813">
      <w:pPr>
        <w:ind w:firstLine="720"/>
        <w:jc w:val="both"/>
        <w:rPr>
          <w:i/>
          <w:sz w:val="22"/>
          <w:szCs w:val="22"/>
        </w:rPr>
      </w:pPr>
    </w:p>
    <w:p w:rsidR="00AC5F30" w:rsidRDefault="001D60B6" w:rsidP="00B64813">
      <w:pPr>
        <w:ind w:firstLine="720"/>
        <w:jc w:val="both"/>
        <w:rPr>
          <w:sz w:val="22"/>
          <w:szCs w:val="22"/>
        </w:rPr>
      </w:pPr>
      <w:r>
        <w:rPr>
          <w:i/>
          <w:sz w:val="22"/>
          <w:szCs w:val="22"/>
        </w:rPr>
        <w:t>Character Qualifications.</w:t>
      </w:r>
      <w:r w:rsidR="001B5998">
        <w:rPr>
          <w:i/>
          <w:sz w:val="22"/>
          <w:szCs w:val="22"/>
        </w:rPr>
        <w:t xml:space="preserve">  </w:t>
      </w:r>
      <w:r w:rsidR="00AC5F30" w:rsidRPr="00924503">
        <w:rPr>
          <w:sz w:val="22"/>
          <w:szCs w:val="22"/>
        </w:rPr>
        <w:t>In evaluating an applicant’s character qualifications, the Commission considers misconduct which violates the Act or a Commission rule or policy</w:t>
      </w:r>
      <w:r w:rsidR="00924503" w:rsidRPr="00924503">
        <w:rPr>
          <w:sz w:val="22"/>
          <w:szCs w:val="22"/>
        </w:rPr>
        <w:t>.</w:t>
      </w:r>
      <w:r w:rsidR="00924503" w:rsidRPr="00924503">
        <w:rPr>
          <w:rStyle w:val="FootnoteReference"/>
          <w:sz w:val="22"/>
          <w:szCs w:val="22"/>
        </w:rPr>
        <w:footnoteReference w:id="37"/>
      </w:r>
      <w:r w:rsidR="00924503" w:rsidRPr="00924503">
        <w:rPr>
          <w:sz w:val="22"/>
          <w:szCs w:val="22"/>
        </w:rPr>
        <w:t xml:space="preserve">  The Commission also takes into account </w:t>
      </w:r>
      <w:r w:rsidR="00AC5F30" w:rsidRPr="00924503">
        <w:rPr>
          <w:sz w:val="22"/>
          <w:szCs w:val="22"/>
        </w:rPr>
        <w:t xml:space="preserve">certain </w:t>
      </w:r>
      <w:r w:rsidR="00924503" w:rsidRPr="00924503">
        <w:rPr>
          <w:sz w:val="22"/>
          <w:szCs w:val="22"/>
        </w:rPr>
        <w:t xml:space="preserve">adjudicated </w:t>
      </w:r>
      <w:r w:rsidR="00AC5F30" w:rsidRPr="00924503">
        <w:rPr>
          <w:sz w:val="22"/>
          <w:szCs w:val="22"/>
        </w:rPr>
        <w:t>non-</w:t>
      </w:r>
      <w:r w:rsidR="00924503" w:rsidRPr="00924503">
        <w:rPr>
          <w:sz w:val="22"/>
          <w:szCs w:val="22"/>
        </w:rPr>
        <w:t>Commission</w:t>
      </w:r>
      <w:r w:rsidR="00AC5F30" w:rsidRPr="00924503">
        <w:rPr>
          <w:sz w:val="22"/>
          <w:szCs w:val="22"/>
        </w:rPr>
        <w:t xml:space="preserve"> misconduct.</w:t>
      </w:r>
      <w:r w:rsidR="00924503" w:rsidRPr="00924503">
        <w:rPr>
          <w:sz w:val="22"/>
          <w:szCs w:val="22"/>
        </w:rPr>
        <w:t xml:space="preserve">  The Commission generally considers only three types of non-Commission misconduct:  felony convictions; fraudulent misrepresentations to governmental units; and violations of antitrust or other laws protecting competition.</w:t>
      </w:r>
      <w:r w:rsidR="00924503" w:rsidRPr="00924503">
        <w:rPr>
          <w:rStyle w:val="FootnoteReference"/>
          <w:sz w:val="22"/>
          <w:szCs w:val="22"/>
        </w:rPr>
        <w:footnoteReference w:id="38"/>
      </w:r>
      <w:r w:rsidR="00924503" w:rsidRPr="00BC42D3">
        <w:rPr>
          <w:szCs w:val="22"/>
        </w:rPr>
        <w:t xml:space="preserve">  </w:t>
      </w:r>
    </w:p>
    <w:p w:rsidR="00AC5F30" w:rsidRDefault="00AC5F30" w:rsidP="00B64813">
      <w:pPr>
        <w:ind w:firstLine="720"/>
        <w:jc w:val="both"/>
        <w:rPr>
          <w:sz w:val="22"/>
          <w:szCs w:val="22"/>
        </w:rPr>
      </w:pPr>
    </w:p>
    <w:p w:rsidR="00AC5F30" w:rsidRPr="00720986" w:rsidRDefault="00AC5F30" w:rsidP="00B64813">
      <w:pPr>
        <w:ind w:firstLine="720"/>
        <w:jc w:val="both"/>
        <w:rPr>
          <w:sz w:val="22"/>
          <w:szCs w:val="22"/>
        </w:rPr>
      </w:pPr>
      <w:r>
        <w:rPr>
          <w:sz w:val="22"/>
          <w:szCs w:val="22"/>
        </w:rPr>
        <w:t>Banzhaf alleges that Snyder</w:t>
      </w:r>
      <w:r w:rsidR="00510E33">
        <w:rPr>
          <w:sz w:val="22"/>
          <w:szCs w:val="22"/>
        </w:rPr>
        <w:t xml:space="preserve"> – and thus Red Zebra –</w:t>
      </w:r>
      <w:r>
        <w:rPr>
          <w:sz w:val="22"/>
          <w:szCs w:val="22"/>
        </w:rPr>
        <w:t xml:space="preserve"> lacks the character qualifications required of a Commission licensee.  </w:t>
      </w:r>
      <w:r w:rsidR="00510E33">
        <w:rPr>
          <w:sz w:val="22"/>
          <w:szCs w:val="22"/>
        </w:rPr>
        <w:t xml:space="preserve">To support his claim, </w:t>
      </w:r>
      <w:r w:rsidR="00720986">
        <w:rPr>
          <w:sz w:val="22"/>
          <w:szCs w:val="22"/>
        </w:rPr>
        <w:t>Banzhaf</w:t>
      </w:r>
      <w:r w:rsidR="00510E33">
        <w:rPr>
          <w:sz w:val="22"/>
          <w:szCs w:val="22"/>
        </w:rPr>
        <w:t xml:space="preserve"> </w:t>
      </w:r>
      <w:r w:rsidR="00720986">
        <w:rPr>
          <w:sz w:val="22"/>
          <w:szCs w:val="22"/>
        </w:rPr>
        <w:t xml:space="preserve">cites the Station’s broadcast of the </w:t>
      </w:r>
      <w:r w:rsidR="00136657">
        <w:rPr>
          <w:sz w:val="22"/>
          <w:szCs w:val="22"/>
        </w:rPr>
        <w:t>word</w:t>
      </w:r>
      <w:r w:rsidR="00720986">
        <w:rPr>
          <w:sz w:val="22"/>
          <w:szCs w:val="22"/>
        </w:rPr>
        <w:t xml:space="preserve"> “Redskins,” which he characterizes as a “racist and derogatory term</w:t>
      </w:r>
      <w:r w:rsidR="006B7A50">
        <w:rPr>
          <w:sz w:val="22"/>
          <w:szCs w:val="22"/>
        </w:rPr>
        <w:t>.</w:t>
      </w:r>
      <w:r w:rsidR="00720986">
        <w:rPr>
          <w:sz w:val="22"/>
          <w:szCs w:val="22"/>
        </w:rPr>
        <w:t>”</w:t>
      </w:r>
      <w:r w:rsidR="006B7A50">
        <w:rPr>
          <w:rStyle w:val="FootnoteReference"/>
          <w:sz w:val="22"/>
          <w:szCs w:val="22"/>
        </w:rPr>
        <w:footnoteReference w:id="39"/>
      </w:r>
      <w:r w:rsidR="006B7A50">
        <w:rPr>
          <w:sz w:val="22"/>
          <w:szCs w:val="22"/>
        </w:rPr>
        <w:t xml:space="preserve"> </w:t>
      </w:r>
      <w:r w:rsidR="00924503">
        <w:rPr>
          <w:sz w:val="22"/>
          <w:szCs w:val="22"/>
        </w:rPr>
        <w:t xml:space="preserve"> </w:t>
      </w:r>
      <w:r w:rsidR="0013009D">
        <w:rPr>
          <w:sz w:val="22"/>
          <w:szCs w:val="22"/>
        </w:rPr>
        <w:t xml:space="preserve">However, as </w:t>
      </w:r>
      <w:r w:rsidR="00510E33">
        <w:rPr>
          <w:sz w:val="22"/>
          <w:szCs w:val="22"/>
        </w:rPr>
        <w:t>discussed</w:t>
      </w:r>
      <w:r w:rsidR="0013009D">
        <w:rPr>
          <w:sz w:val="22"/>
          <w:szCs w:val="22"/>
        </w:rPr>
        <w:t xml:space="preserve"> above, </w:t>
      </w:r>
      <w:r w:rsidR="00924503">
        <w:rPr>
          <w:sz w:val="22"/>
          <w:szCs w:val="22"/>
        </w:rPr>
        <w:t xml:space="preserve">the broadcast of this </w:t>
      </w:r>
      <w:r w:rsidR="00B64813">
        <w:rPr>
          <w:sz w:val="22"/>
          <w:szCs w:val="22"/>
        </w:rPr>
        <w:t>word</w:t>
      </w:r>
      <w:r w:rsidR="00924503">
        <w:rPr>
          <w:sz w:val="22"/>
          <w:szCs w:val="22"/>
        </w:rPr>
        <w:t xml:space="preserve"> does not violate the Act or any Commission rule or polic</w:t>
      </w:r>
      <w:r w:rsidR="0013009D">
        <w:rPr>
          <w:sz w:val="22"/>
          <w:szCs w:val="22"/>
        </w:rPr>
        <w:t xml:space="preserve">y.  Further, </w:t>
      </w:r>
      <w:r w:rsidR="006B7A50">
        <w:rPr>
          <w:sz w:val="22"/>
          <w:szCs w:val="22"/>
        </w:rPr>
        <w:t xml:space="preserve">Banzhaf has not </w:t>
      </w:r>
      <w:r w:rsidR="00351653">
        <w:rPr>
          <w:sz w:val="22"/>
          <w:szCs w:val="22"/>
        </w:rPr>
        <w:t xml:space="preserve">offered any evidence of adjudications that </w:t>
      </w:r>
      <w:r w:rsidR="0013009D">
        <w:rPr>
          <w:sz w:val="22"/>
          <w:szCs w:val="22"/>
        </w:rPr>
        <w:t>the Station’s</w:t>
      </w:r>
      <w:r w:rsidR="00351653">
        <w:rPr>
          <w:sz w:val="22"/>
          <w:szCs w:val="22"/>
        </w:rPr>
        <w:t xml:space="preserve"> broadcast</w:t>
      </w:r>
      <w:r w:rsidR="0013009D">
        <w:rPr>
          <w:sz w:val="22"/>
          <w:szCs w:val="22"/>
        </w:rPr>
        <w:t xml:space="preserve"> of the </w:t>
      </w:r>
      <w:r w:rsidR="00B64813">
        <w:rPr>
          <w:sz w:val="22"/>
          <w:szCs w:val="22"/>
        </w:rPr>
        <w:t>word “Redskins”</w:t>
      </w:r>
      <w:r w:rsidR="00351653">
        <w:rPr>
          <w:sz w:val="22"/>
          <w:szCs w:val="22"/>
        </w:rPr>
        <w:t xml:space="preserve"> violate</w:t>
      </w:r>
      <w:r w:rsidR="0013009D">
        <w:rPr>
          <w:sz w:val="22"/>
          <w:szCs w:val="22"/>
        </w:rPr>
        <w:t>s</w:t>
      </w:r>
      <w:r w:rsidR="00351653">
        <w:rPr>
          <w:sz w:val="22"/>
          <w:szCs w:val="22"/>
        </w:rPr>
        <w:t xml:space="preserve"> any other laws.</w:t>
      </w:r>
      <w:r w:rsidR="00B64813">
        <w:rPr>
          <w:sz w:val="22"/>
          <w:szCs w:val="22"/>
        </w:rPr>
        <w:t xml:space="preserve">  </w:t>
      </w:r>
      <w:r w:rsidR="00351653">
        <w:rPr>
          <w:sz w:val="22"/>
          <w:szCs w:val="22"/>
        </w:rPr>
        <w:t>Banzhaf also points</w:t>
      </w:r>
      <w:r w:rsidR="00720986">
        <w:rPr>
          <w:sz w:val="22"/>
          <w:szCs w:val="22"/>
        </w:rPr>
        <w:t xml:space="preserve"> to a news</w:t>
      </w:r>
      <w:r w:rsidR="00B64813">
        <w:rPr>
          <w:sz w:val="22"/>
          <w:szCs w:val="22"/>
        </w:rPr>
        <w:t>paper</w:t>
      </w:r>
      <w:r w:rsidR="00720986">
        <w:rPr>
          <w:sz w:val="22"/>
          <w:szCs w:val="22"/>
        </w:rPr>
        <w:t xml:space="preserve"> article that accused Snyder of various transgressions.</w:t>
      </w:r>
      <w:r w:rsidR="00B64813">
        <w:rPr>
          <w:rStyle w:val="FootnoteReference"/>
          <w:sz w:val="22"/>
          <w:szCs w:val="22"/>
        </w:rPr>
        <w:footnoteReference w:id="40"/>
      </w:r>
      <w:r w:rsidR="00351653">
        <w:rPr>
          <w:sz w:val="22"/>
          <w:szCs w:val="22"/>
        </w:rPr>
        <w:t xml:space="preserve">  Banzhaf does not proffer </w:t>
      </w:r>
      <w:r w:rsidR="0079375D">
        <w:rPr>
          <w:sz w:val="22"/>
          <w:szCs w:val="22"/>
        </w:rPr>
        <w:t xml:space="preserve">any </w:t>
      </w:r>
      <w:r w:rsidR="00351653">
        <w:rPr>
          <w:sz w:val="22"/>
          <w:szCs w:val="22"/>
        </w:rPr>
        <w:t xml:space="preserve">evidence </w:t>
      </w:r>
      <w:r w:rsidR="0079375D">
        <w:rPr>
          <w:sz w:val="22"/>
          <w:szCs w:val="22"/>
        </w:rPr>
        <w:t>regarding</w:t>
      </w:r>
      <w:r w:rsidR="00351653">
        <w:rPr>
          <w:sz w:val="22"/>
          <w:szCs w:val="22"/>
        </w:rPr>
        <w:t xml:space="preserve"> these </w:t>
      </w:r>
      <w:r w:rsidR="001E5667">
        <w:rPr>
          <w:sz w:val="22"/>
          <w:szCs w:val="22"/>
        </w:rPr>
        <w:t xml:space="preserve">alleged </w:t>
      </w:r>
      <w:r w:rsidR="001D562C">
        <w:rPr>
          <w:sz w:val="22"/>
          <w:szCs w:val="22"/>
        </w:rPr>
        <w:t xml:space="preserve">non-FCC </w:t>
      </w:r>
      <w:r w:rsidR="00351653">
        <w:rPr>
          <w:sz w:val="22"/>
          <w:szCs w:val="22"/>
        </w:rPr>
        <w:t xml:space="preserve">transgressions.  </w:t>
      </w:r>
      <w:r w:rsidR="00B64813">
        <w:rPr>
          <w:sz w:val="22"/>
          <w:szCs w:val="22"/>
        </w:rPr>
        <w:t>In any event</w:t>
      </w:r>
      <w:r w:rsidR="00351653">
        <w:rPr>
          <w:sz w:val="22"/>
          <w:szCs w:val="22"/>
        </w:rPr>
        <w:t xml:space="preserve">, Red Zebra rebutted </w:t>
      </w:r>
      <w:r w:rsidR="00351653" w:rsidRPr="0013009D">
        <w:rPr>
          <w:sz w:val="22"/>
          <w:szCs w:val="22"/>
        </w:rPr>
        <w:t>Banzhaf’s claims.</w:t>
      </w:r>
      <w:r w:rsidR="00351653" w:rsidRPr="0013009D">
        <w:rPr>
          <w:rStyle w:val="FootnoteReference"/>
          <w:sz w:val="22"/>
          <w:szCs w:val="22"/>
        </w:rPr>
        <w:footnoteReference w:id="41"/>
      </w:r>
      <w:r w:rsidR="00351653" w:rsidRPr="0013009D">
        <w:rPr>
          <w:sz w:val="22"/>
          <w:szCs w:val="22"/>
        </w:rPr>
        <w:t xml:space="preserve">  </w:t>
      </w:r>
      <w:r w:rsidR="00510E33">
        <w:rPr>
          <w:sz w:val="22"/>
          <w:szCs w:val="22"/>
        </w:rPr>
        <w:t>Accordingly, w</w:t>
      </w:r>
      <w:r w:rsidRPr="0013009D">
        <w:rPr>
          <w:sz w:val="22"/>
          <w:szCs w:val="22"/>
        </w:rPr>
        <w:t xml:space="preserve">e find that </w:t>
      </w:r>
      <w:r w:rsidR="000A06B0" w:rsidRPr="0013009D">
        <w:rPr>
          <w:sz w:val="22"/>
          <w:szCs w:val="22"/>
        </w:rPr>
        <w:t>Banzhaf has not</w:t>
      </w:r>
      <w:r w:rsidRPr="0013009D">
        <w:rPr>
          <w:sz w:val="22"/>
          <w:szCs w:val="22"/>
        </w:rPr>
        <w:t xml:space="preserve"> </w:t>
      </w:r>
      <w:r w:rsidR="001623DD">
        <w:rPr>
          <w:sz w:val="22"/>
          <w:szCs w:val="22"/>
        </w:rPr>
        <w:t>established a prima facie case that Red Zebra lacks the</w:t>
      </w:r>
      <w:r w:rsidRPr="0013009D">
        <w:rPr>
          <w:sz w:val="22"/>
          <w:szCs w:val="22"/>
        </w:rPr>
        <w:t xml:space="preserve"> character qualifications</w:t>
      </w:r>
      <w:r w:rsidR="001623DD">
        <w:rPr>
          <w:sz w:val="22"/>
          <w:szCs w:val="22"/>
        </w:rPr>
        <w:t xml:space="preserve"> to be a Commission licensee</w:t>
      </w:r>
      <w:r w:rsidRPr="0013009D">
        <w:rPr>
          <w:sz w:val="22"/>
          <w:szCs w:val="22"/>
        </w:rPr>
        <w:t>.</w:t>
      </w:r>
    </w:p>
    <w:p w:rsidR="002E6915" w:rsidRPr="001D60B6" w:rsidRDefault="002E6915" w:rsidP="00B64813">
      <w:pPr>
        <w:jc w:val="both"/>
        <w:rPr>
          <w:i/>
          <w:sz w:val="22"/>
          <w:szCs w:val="22"/>
        </w:rPr>
      </w:pPr>
    </w:p>
    <w:p w:rsidR="002E6915" w:rsidRPr="001D60B6" w:rsidRDefault="00885E99" w:rsidP="00B64813">
      <w:pPr>
        <w:jc w:val="both"/>
        <w:rPr>
          <w:sz w:val="22"/>
          <w:szCs w:val="22"/>
        </w:rPr>
      </w:pPr>
      <w:r w:rsidRPr="001D60B6">
        <w:rPr>
          <w:i/>
          <w:sz w:val="22"/>
          <w:szCs w:val="22"/>
        </w:rPr>
        <w:tab/>
      </w:r>
      <w:r w:rsidR="0078025F" w:rsidRPr="001D60B6">
        <w:rPr>
          <w:b/>
          <w:sz w:val="22"/>
          <w:szCs w:val="22"/>
        </w:rPr>
        <w:t>Conclusion</w:t>
      </w:r>
      <w:r w:rsidR="0078025F" w:rsidRPr="001D60B6">
        <w:rPr>
          <w:b/>
          <w:i/>
          <w:sz w:val="22"/>
          <w:szCs w:val="22"/>
        </w:rPr>
        <w:t>.</w:t>
      </w:r>
      <w:r w:rsidR="0078025F" w:rsidRPr="001D60B6">
        <w:rPr>
          <w:i/>
          <w:sz w:val="22"/>
          <w:szCs w:val="22"/>
        </w:rPr>
        <w:t xml:space="preserve">  </w:t>
      </w:r>
      <w:r w:rsidR="00C02982" w:rsidRPr="001D60B6">
        <w:rPr>
          <w:sz w:val="22"/>
          <w:szCs w:val="22"/>
        </w:rPr>
        <w:t xml:space="preserve">We have evaluated the </w:t>
      </w:r>
      <w:r w:rsidR="00B64813">
        <w:rPr>
          <w:sz w:val="22"/>
          <w:szCs w:val="22"/>
        </w:rPr>
        <w:t>Application</w:t>
      </w:r>
      <w:r w:rsidR="00C02982" w:rsidRPr="001D60B6">
        <w:rPr>
          <w:sz w:val="22"/>
          <w:szCs w:val="22"/>
        </w:rPr>
        <w:t xml:space="preserve"> pursuant to Section 309(k) of the Act, and we find that </w:t>
      </w:r>
      <w:r w:rsidR="002E6915" w:rsidRPr="001D60B6">
        <w:rPr>
          <w:sz w:val="22"/>
          <w:szCs w:val="22"/>
        </w:rPr>
        <w:t>the Station ha</w:t>
      </w:r>
      <w:r w:rsidR="001D60B6" w:rsidRPr="001D60B6">
        <w:rPr>
          <w:sz w:val="22"/>
          <w:szCs w:val="22"/>
        </w:rPr>
        <w:t>s</w:t>
      </w:r>
      <w:r w:rsidR="00C02982" w:rsidRPr="001D60B6">
        <w:rPr>
          <w:sz w:val="22"/>
          <w:szCs w:val="22"/>
        </w:rPr>
        <w:t xml:space="preserve"> served the public interest, convenience, and necessity during </w:t>
      </w:r>
      <w:r w:rsidR="002E6915" w:rsidRPr="001D60B6">
        <w:rPr>
          <w:sz w:val="22"/>
          <w:szCs w:val="22"/>
        </w:rPr>
        <w:t xml:space="preserve">the most recent license term.  </w:t>
      </w:r>
      <w:r w:rsidR="00C02982" w:rsidRPr="001D60B6">
        <w:rPr>
          <w:sz w:val="22"/>
          <w:szCs w:val="22"/>
        </w:rPr>
        <w:t xml:space="preserve">Moreover, we find that there have been no serious violations of the Act or the Rules involving </w:t>
      </w:r>
      <w:r w:rsidR="002E6915" w:rsidRPr="001D60B6">
        <w:rPr>
          <w:sz w:val="22"/>
          <w:szCs w:val="22"/>
        </w:rPr>
        <w:t>the Station</w:t>
      </w:r>
      <w:r w:rsidR="00C02982" w:rsidRPr="001D60B6">
        <w:rPr>
          <w:sz w:val="22"/>
          <w:szCs w:val="22"/>
        </w:rPr>
        <w:t xml:space="preserve"> </w:t>
      </w:r>
      <w:r w:rsidR="001E5667">
        <w:rPr>
          <w:sz w:val="22"/>
          <w:szCs w:val="22"/>
        </w:rPr>
        <w:t>or any other violations that</w:t>
      </w:r>
      <w:r w:rsidR="00C02982" w:rsidRPr="001D60B6">
        <w:rPr>
          <w:sz w:val="22"/>
          <w:szCs w:val="22"/>
        </w:rPr>
        <w:t xml:space="preserve">, taken together, would constitute a pattern of abuse. </w:t>
      </w:r>
      <w:r w:rsidR="00495EC5" w:rsidRPr="001D60B6">
        <w:rPr>
          <w:sz w:val="22"/>
          <w:szCs w:val="22"/>
        </w:rPr>
        <w:t xml:space="preserve"> </w:t>
      </w:r>
      <w:r w:rsidR="00C02982" w:rsidRPr="001D60B6">
        <w:rPr>
          <w:sz w:val="22"/>
          <w:szCs w:val="22"/>
        </w:rPr>
        <w:t xml:space="preserve">In light of the foregoing, we will grant the </w:t>
      </w:r>
      <w:r w:rsidR="002E6915" w:rsidRPr="001D60B6">
        <w:rPr>
          <w:sz w:val="22"/>
          <w:szCs w:val="22"/>
        </w:rPr>
        <w:t>A</w:t>
      </w:r>
      <w:r w:rsidR="00C02982" w:rsidRPr="001D60B6">
        <w:rPr>
          <w:sz w:val="22"/>
          <w:szCs w:val="22"/>
        </w:rPr>
        <w:t>pplication</w:t>
      </w:r>
      <w:r w:rsidR="002E6915" w:rsidRPr="001D60B6">
        <w:rPr>
          <w:sz w:val="22"/>
          <w:szCs w:val="22"/>
        </w:rPr>
        <w:t xml:space="preserve"> and renew the Station’</w:t>
      </w:r>
      <w:r w:rsidR="001D60B6" w:rsidRPr="001D60B6">
        <w:rPr>
          <w:sz w:val="22"/>
          <w:szCs w:val="22"/>
        </w:rPr>
        <w:t>s license</w:t>
      </w:r>
      <w:r w:rsidR="00C02982" w:rsidRPr="001D60B6">
        <w:rPr>
          <w:sz w:val="22"/>
          <w:szCs w:val="22"/>
        </w:rPr>
        <w:t xml:space="preserve">. </w:t>
      </w:r>
    </w:p>
    <w:p w:rsidR="002E6915" w:rsidRPr="001D60B6" w:rsidRDefault="002E6915" w:rsidP="00B64813">
      <w:pPr>
        <w:jc w:val="both"/>
        <w:rPr>
          <w:i/>
          <w:sz w:val="22"/>
          <w:szCs w:val="22"/>
        </w:rPr>
      </w:pPr>
    </w:p>
    <w:p w:rsidR="00C02982" w:rsidRPr="00737337" w:rsidRDefault="00C02982" w:rsidP="00B64813">
      <w:pPr>
        <w:ind w:firstLine="720"/>
        <w:jc w:val="both"/>
        <w:rPr>
          <w:sz w:val="22"/>
          <w:szCs w:val="22"/>
        </w:rPr>
      </w:pPr>
      <w:r w:rsidRPr="00737337">
        <w:rPr>
          <w:sz w:val="22"/>
          <w:szCs w:val="22"/>
        </w:rPr>
        <w:t xml:space="preserve">Accordingly, IT IS ORDERED that the </w:t>
      </w:r>
      <w:r w:rsidR="00737337" w:rsidRPr="00737337">
        <w:rPr>
          <w:sz w:val="22"/>
          <w:szCs w:val="22"/>
        </w:rPr>
        <w:t>petitions to deny</w:t>
      </w:r>
      <w:r w:rsidRPr="00737337">
        <w:rPr>
          <w:sz w:val="22"/>
          <w:szCs w:val="22"/>
        </w:rPr>
        <w:t xml:space="preserve"> filed</w:t>
      </w:r>
      <w:r w:rsidR="00887F3C" w:rsidRPr="00737337">
        <w:rPr>
          <w:sz w:val="22"/>
          <w:szCs w:val="22"/>
        </w:rPr>
        <w:t xml:space="preserve"> </w:t>
      </w:r>
      <w:r w:rsidRPr="00737337">
        <w:rPr>
          <w:sz w:val="22"/>
          <w:szCs w:val="22"/>
        </w:rPr>
        <w:t>by</w:t>
      </w:r>
      <w:r w:rsidR="00887F3C" w:rsidRPr="00737337">
        <w:rPr>
          <w:sz w:val="22"/>
          <w:szCs w:val="22"/>
        </w:rPr>
        <w:t xml:space="preserve"> John F. Banzhaf III, Louis Ramon Grimaldi, Jay Winter Nightwolf, and Verona Iriarte</w:t>
      </w:r>
      <w:r w:rsidRPr="00737337">
        <w:rPr>
          <w:sz w:val="22"/>
          <w:szCs w:val="22"/>
        </w:rPr>
        <w:t xml:space="preserve"> </w:t>
      </w:r>
      <w:r w:rsidR="00737337" w:rsidRPr="00737337">
        <w:rPr>
          <w:sz w:val="22"/>
          <w:szCs w:val="22"/>
        </w:rPr>
        <w:t>ARE DISMISSED and, when considered as informal objections, ARE</w:t>
      </w:r>
      <w:r w:rsidR="00BE3351" w:rsidRPr="00737337">
        <w:rPr>
          <w:sz w:val="22"/>
          <w:szCs w:val="22"/>
        </w:rPr>
        <w:t xml:space="preserve"> DENIED.  </w:t>
      </w:r>
      <w:r w:rsidRPr="00737337">
        <w:rPr>
          <w:sz w:val="22"/>
          <w:szCs w:val="22"/>
        </w:rPr>
        <w:t>IT IS FURTHER ORDERED</w:t>
      </w:r>
      <w:r w:rsidR="00BE3351" w:rsidRPr="00737337">
        <w:rPr>
          <w:sz w:val="22"/>
          <w:szCs w:val="22"/>
        </w:rPr>
        <w:t xml:space="preserve"> that, pursuant to Section 309(k) of the Communications Act of 1934, as amended, the license renewal application of </w:t>
      </w:r>
      <w:r w:rsidR="00737337" w:rsidRPr="00737337">
        <w:rPr>
          <w:sz w:val="22"/>
          <w:szCs w:val="22"/>
        </w:rPr>
        <w:t>Red Zebra Broadcasting Licensee, LLC</w:t>
      </w:r>
      <w:r w:rsidR="00BE3351" w:rsidRPr="00737337">
        <w:rPr>
          <w:sz w:val="22"/>
          <w:szCs w:val="22"/>
        </w:rPr>
        <w:t xml:space="preserve"> for Station </w:t>
      </w:r>
      <w:r w:rsidR="00737337" w:rsidRPr="00737337">
        <w:rPr>
          <w:sz w:val="22"/>
          <w:szCs w:val="22"/>
        </w:rPr>
        <w:t>WWXX</w:t>
      </w:r>
      <w:r w:rsidR="00BE3351" w:rsidRPr="00737337">
        <w:rPr>
          <w:sz w:val="22"/>
          <w:szCs w:val="22"/>
        </w:rPr>
        <w:t>(</w:t>
      </w:r>
      <w:r w:rsidR="00737337" w:rsidRPr="00737337">
        <w:rPr>
          <w:sz w:val="22"/>
          <w:szCs w:val="22"/>
        </w:rPr>
        <w:t>F</w:t>
      </w:r>
      <w:r w:rsidR="00BE3351" w:rsidRPr="00737337">
        <w:rPr>
          <w:sz w:val="22"/>
          <w:szCs w:val="22"/>
        </w:rPr>
        <w:t xml:space="preserve">M), </w:t>
      </w:r>
      <w:r w:rsidR="00737337" w:rsidRPr="00737337">
        <w:rPr>
          <w:sz w:val="22"/>
          <w:szCs w:val="22"/>
        </w:rPr>
        <w:t>Buckland</w:t>
      </w:r>
      <w:r w:rsidR="00BE3351" w:rsidRPr="00737337">
        <w:rPr>
          <w:sz w:val="22"/>
          <w:szCs w:val="22"/>
        </w:rPr>
        <w:t xml:space="preserve">, </w:t>
      </w:r>
      <w:r w:rsidR="00737337" w:rsidRPr="00737337">
        <w:rPr>
          <w:sz w:val="22"/>
          <w:szCs w:val="22"/>
        </w:rPr>
        <w:t>Virginia</w:t>
      </w:r>
      <w:r w:rsidR="00BE3351" w:rsidRPr="00737337">
        <w:rPr>
          <w:sz w:val="22"/>
          <w:szCs w:val="22"/>
        </w:rPr>
        <w:t xml:space="preserve"> (File No. BR</w:t>
      </w:r>
      <w:r w:rsidR="00737337" w:rsidRPr="00737337">
        <w:rPr>
          <w:sz w:val="22"/>
          <w:szCs w:val="22"/>
        </w:rPr>
        <w:t>H</w:t>
      </w:r>
      <w:r w:rsidR="00BE3351" w:rsidRPr="00737337">
        <w:rPr>
          <w:sz w:val="22"/>
          <w:szCs w:val="22"/>
        </w:rPr>
        <w:t>-</w:t>
      </w:r>
      <w:r w:rsidR="00737337" w:rsidRPr="00737337">
        <w:rPr>
          <w:sz w:val="22"/>
          <w:szCs w:val="22"/>
        </w:rPr>
        <w:t>20110601ACB) IS</w:t>
      </w:r>
      <w:r w:rsidRPr="00737337">
        <w:rPr>
          <w:sz w:val="22"/>
          <w:szCs w:val="22"/>
        </w:rPr>
        <w:t xml:space="preserve"> GRANTED.</w:t>
      </w:r>
    </w:p>
    <w:p w:rsidR="00C02982" w:rsidRPr="00F517E6" w:rsidRDefault="00C02982" w:rsidP="00205060">
      <w:pPr>
        <w:jc w:val="both"/>
        <w:rPr>
          <w:sz w:val="22"/>
          <w:szCs w:val="22"/>
        </w:rPr>
      </w:pPr>
    </w:p>
    <w:p w:rsidR="00BA208B" w:rsidRPr="00F517E6" w:rsidRDefault="00BA208B" w:rsidP="00205060">
      <w:pPr>
        <w:tabs>
          <w:tab w:val="left" w:pos="720"/>
          <w:tab w:val="left" w:pos="5040"/>
          <w:tab w:val="left" w:pos="7665"/>
        </w:tabs>
        <w:jc w:val="both"/>
        <w:rPr>
          <w:b/>
          <w:sz w:val="22"/>
          <w:szCs w:val="22"/>
        </w:rPr>
      </w:pPr>
      <w:r w:rsidRPr="00F517E6">
        <w:rPr>
          <w:sz w:val="22"/>
          <w:szCs w:val="22"/>
        </w:rPr>
        <w:tab/>
      </w:r>
      <w:r w:rsidRPr="00F517E6">
        <w:rPr>
          <w:sz w:val="22"/>
          <w:szCs w:val="22"/>
        </w:rPr>
        <w:tab/>
        <w:t>Sincerely,</w:t>
      </w:r>
    </w:p>
    <w:p w:rsidR="00BA208B" w:rsidRPr="00F517E6" w:rsidRDefault="00BA208B" w:rsidP="00205060">
      <w:pPr>
        <w:tabs>
          <w:tab w:val="left" w:pos="720"/>
          <w:tab w:val="left" w:pos="5040"/>
          <w:tab w:val="left" w:pos="7665"/>
        </w:tabs>
        <w:jc w:val="both"/>
        <w:rPr>
          <w:sz w:val="22"/>
          <w:szCs w:val="22"/>
        </w:rPr>
      </w:pPr>
    </w:p>
    <w:p w:rsidR="00BA208B" w:rsidRPr="00F517E6" w:rsidRDefault="00BA208B" w:rsidP="00205060">
      <w:pPr>
        <w:tabs>
          <w:tab w:val="left" w:pos="720"/>
          <w:tab w:val="left" w:pos="5040"/>
          <w:tab w:val="left" w:pos="7665"/>
        </w:tabs>
        <w:jc w:val="both"/>
        <w:rPr>
          <w:sz w:val="22"/>
          <w:szCs w:val="22"/>
        </w:rPr>
      </w:pPr>
      <w:r w:rsidRPr="00F517E6">
        <w:rPr>
          <w:sz w:val="22"/>
          <w:szCs w:val="22"/>
        </w:rPr>
        <w:tab/>
      </w:r>
    </w:p>
    <w:p w:rsidR="00BA208B" w:rsidRPr="00F517E6" w:rsidRDefault="00BA208B" w:rsidP="00205060">
      <w:pPr>
        <w:tabs>
          <w:tab w:val="left" w:pos="720"/>
          <w:tab w:val="left" w:pos="5040"/>
          <w:tab w:val="left" w:pos="7665"/>
        </w:tabs>
        <w:jc w:val="both"/>
        <w:rPr>
          <w:sz w:val="22"/>
          <w:szCs w:val="22"/>
        </w:rPr>
      </w:pPr>
    </w:p>
    <w:p w:rsidR="00BA208B" w:rsidRPr="00F517E6" w:rsidRDefault="00BA208B" w:rsidP="00205060">
      <w:pPr>
        <w:tabs>
          <w:tab w:val="left" w:pos="720"/>
          <w:tab w:val="left" w:pos="5040"/>
          <w:tab w:val="left" w:pos="7665"/>
        </w:tabs>
        <w:jc w:val="both"/>
        <w:rPr>
          <w:sz w:val="22"/>
          <w:szCs w:val="22"/>
        </w:rPr>
      </w:pPr>
      <w:r w:rsidRPr="00F517E6">
        <w:rPr>
          <w:sz w:val="22"/>
          <w:szCs w:val="22"/>
        </w:rPr>
        <w:tab/>
      </w:r>
      <w:r w:rsidRPr="00F517E6">
        <w:rPr>
          <w:sz w:val="22"/>
          <w:szCs w:val="22"/>
        </w:rPr>
        <w:tab/>
        <w:t>Peter H. Doyle</w:t>
      </w:r>
    </w:p>
    <w:p w:rsidR="00BA208B" w:rsidRPr="00F517E6" w:rsidRDefault="00BA208B" w:rsidP="00205060">
      <w:pPr>
        <w:tabs>
          <w:tab w:val="left" w:pos="720"/>
          <w:tab w:val="left" w:pos="5040"/>
          <w:tab w:val="left" w:pos="7665"/>
        </w:tabs>
        <w:jc w:val="both"/>
        <w:rPr>
          <w:sz w:val="22"/>
          <w:szCs w:val="22"/>
        </w:rPr>
      </w:pPr>
      <w:r w:rsidRPr="00F517E6">
        <w:rPr>
          <w:sz w:val="22"/>
          <w:szCs w:val="22"/>
        </w:rPr>
        <w:tab/>
      </w:r>
      <w:r w:rsidRPr="00F517E6">
        <w:rPr>
          <w:sz w:val="22"/>
          <w:szCs w:val="22"/>
        </w:rPr>
        <w:tab/>
        <w:t>Chief, Audio Division</w:t>
      </w:r>
    </w:p>
    <w:p w:rsidR="007C5F8B" w:rsidRPr="00F517E6" w:rsidRDefault="00BA208B" w:rsidP="00205060">
      <w:pPr>
        <w:tabs>
          <w:tab w:val="left" w:pos="720"/>
          <w:tab w:val="left" w:pos="5040"/>
          <w:tab w:val="left" w:pos="7665"/>
        </w:tabs>
        <w:jc w:val="both"/>
        <w:rPr>
          <w:sz w:val="22"/>
          <w:szCs w:val="22"/>
          <w:lang w:val="es-ES"/>
        </w:rPr>
      </w:pPr>
      <w:r w:rsidRPr="00F517E6">
        <w:rPr>
          <w:sz w:val="22"/>
          <w:szCs w:val="22"/>
        </w:rPr>
        <w:tab/>
      </w:r>
      <w:r w:rsidRPr="00F517E6">
        <w:rPr>
          <w:sz w:val="22"/>
          <w:szCs w:val="22"/>
        </w:rPr>
        <w:tab/>
      </w:r>
      <w:r w:rsidRPr="00F517E6">
        <w:rPr>
          <w:sz w:val="22"/>
          <w:szCs w:val="22"/>
          <w:lang w:val="es-ES"/>
        </w:rPr>
        <w:t>Media Bureau</w:t>
      </w:r>
      <w:r w:rsidRPr="00F517E6">
        <w:rPr>
          <w:sz w:val="22"/>
          <w:szCs w:val="22"/>
          <w:lang w:val="es-ES"/>
        </w:rPr>
        <w:tab/>
      </w:r>
    </w:p>
    <w:sectPr w:rsidR="007C5F8B" w:rsidRPr="00F517E6">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55" w:rsidRDefault="00B12655">
      <w:r>
        <w:separator/>
      </w:r>
    </w:p>
  </w:endnote>
  <w:endnote w:type="continuationSeparator" w:id="0">
    <w:p w:rsidR="00B12655" w:rsidRDefault="00B1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45" w:rsidRDefault="001A2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2C45" w:rsidRDefault="001A2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45" w:rsidRDefault="001A2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6B00">
      <w:rPr>
        <w:rStyle w:val="PageNumber"/>
        <w:noProof/>
      </w:rPr>
      <w:t>2</w:t>
    </w:r>
    <w:r>
      <w:rPr>
        <w:rStyle w:val="PageNumber"/>
      </w:rPr>
      <w:fldChar w:fldCharType="end"/>
    </w:r>
  </w:p>
  <w:p w:rsidR="001A2C45" w:rsidRDefault="001A2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C0" w:rsidRDefault="00930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55" w:rsidRDefault="00B12655">
      <w:r>
        <w:separator/>
      </w:r>
    </w:p>
  </w:footnote>
  <w:footnote w:type="continuationSeparator" w:id="0">
    <w:p w:rsidR="00B12655" w:rsidRDefault="00B12655">
      <w:r>
        <w:continuationSeparator/>
      </w:r>
    </w:p>
  </w:footnote>
  <w:footnote w:id="1">
    <w:p w:rsidR="001A43E1" w:rsidRPr="00723305" w:rsidRDefault="001A43E1" w:rsidP="00B64813">
      <w:pPr>
        <w:pStyle w:val="FootnoteText"/>
        <w:spacing w:after="120"/>
        <w:jc w:val="both"/>
      </w:pPr>
      <w:r w:rsidRPr="00723305">
        <w:rPr>
          <w:rStyle w:val="FootnoteReference"/>
        </w:rPr>
        <w:footnoteRef/>
      </w:r>
      <w:r w:rsidRPr="00723305">
        <w:t xml:space="preserve"> Banzhaf filed his pleading</w:t>
      </w:r>
      <w:r w:rsidR="00877D1B" w:rsidRPr="00723305">
        <w:t xml:space="preserve"> (“Banzhaf Objection”)</w:t>
      </w:r>
      <w:r w:rsidRPr="00723305">
        <w:t xml:space="preserve"> on September 2, 2014.  The others submitted their pleadings on October 13, 2014.</w:t>
      </w:r>
      <w:r w:rsidR="001038E3" w:rsidRPr="00723305">
        <w:t xml:space="preserve">  </w:t>
      </w:r>
    </w:p>
  </w:footnote>
  <w:footnote w:id="2">
    <w:p w:rsidR="002E77B1" w:rsidRPr="00723305" w:rsidRDefault="002E77B1" w:rsidP="00B64813">
      <w:pPr>
        <w:pStyle w:val="FootnoteText"/>
        <w:spacing w:after="120"/>
        <w:jc w:val="both"/>
      </w:pPr>
      <w:r w:rsidRPr="00723305">
        <w:rPr>
          <w:rStyle w:val="FootnoteReference"/>
        </w:rPr>
        <w:footnoteRef/>
      </w:r>
      <w:r w:rsidRPr="00723305">
        <w:t xml:space="preserve"> It is for this reason that we discuss only arguments, assertions or allegations made by Banzhaf herein.</w:t>
      </w:r>
    </w:p>
  </w:footnote>
  <w:footnote w:id="3">
    <w:p w:rsidR="005A1630" w:rsidRPr="00723305" w:rsidRDefault="005A1630" w:rsidP="00B64813">
      <w:pPr>
        <w:pStyle w:val="FootnoteText"/>
        <w:spacing w:after="120"/>
        <w:jc w:val="both"/>
      </w:pPr>
      <w:r w:rsidRPr="00723305">
        <w:rPr>
          <w:rStyle w:val="FootnoteReference"/>
        </w:rPr>
        <w:footnoteRef/>
      </w:r>
      <w:r w:rsidRPr="00723305">
        <w:t xml:space="preserve"> 47 C.F.R. § 73.3516(e).</w:t>
      </w:r>
    </w:p>
  </w:footnote>
  <w:footnote w:id="4">
    <w:p w:rsidR="00273E5F" w:rsidRPr="00723305" w:rsidRDefault="00273E5F" w:rsidP="00B64813">
      <w:pPr>
        <w:pStyle w:val="FootnoteText"/>
        <w:spacing w:after="120"/>
        <w:jc w:val="both"/>
      </w:pPr>
      <w:r w:rsidRPr="00723305">
        <w:rPr>
          <w:rStyle w:val="FootnoteReference"/>
        </w:rPr>
        <w:footnoteRef/>
      </w:r>
      <w:r w:rsidRPr="00723305">
        <w:t xml:space="preserve"> 47 C.F.R. § 73.3587.  </w:t>
      </w:r>
    </w:p>
  </w:footnote>
  <w:footnote w:id="5">
    <w:p w:rsidR="00877D1B" w:rsidRPr="00723305" w:rsidRDefault="00877D1B" w:rsidP="00B64813">
      <w:pPr>
        <w:pStyle w:val="FootnoteText"/>
        <w:spacing w:after="120"/>
        <w:jc w:val="both"/>
      </w:pPr>
      <w:r w:rsidRPr="00723305">
        <w:rPr>
          <w:rStyle w:val="FootnoteReference"/>
        </w:rPr>
        <w:footnoteRef/>
      </w:r>
      <w:r w:rsidRPr="00723305">
        <w:t xml:space="preserve"> 47 U.S.C. § 309</w:t>
      </w:r>
      <w:r w:rsidR="0052122B" w:rsidRPr="00723305">
        <w:t xml:space="preserve">(d)(1).  </w:t>
      </w:r>
      <w:r w:rsidRPr="00723305">
        <w:t xml:space="preserve"> </w:t>
      </w:r>
      <w:r w:rsidR="0092017C" w:rsidRPr="00723305">
        <w:rPr>
          <w:i/>
          <w:iCs/>
        </w:rPr>
        <w:t xml:space="preserve">See, e.g., </w:t>
      </w:r>
      <w:r w:rsidR="0092017C" w:rsidRPr="00723305">
        <w:rPr>
          <w:i/>
        </w:rPr>
        <w:t>Applications of Cumulus Licensing, Corp. (Assignor) and Clear Channel Broadcasting Licenses, Inc. (Assignee)</w:t>
      </w:r>
      <w:r w:rsidR="0092017C" w:rsidRPr="00723305">
        <w:t xml:space="preserve">, Order, 16 FCC Rcd 1052, 1054 n.5 (2001) (stating that the Commission follows the same two-step analysis in assessing the merits of a petition to deny or informal objection and noting that the first step of the analysis is to determine whether “the pleading makes specific allegations of fact which, if true, would demonstrate that grant of the applicant would be </w:t>
      </w:r>
      <w:r w:rsidR="0092017C" w:rsidRPr="00723305">
        <w:rPr>
          <w:i/>
        </w:rPr>
        <w:t>prima facie</w:t>
      </w:r>
      <w:r w:rsidR="0092017C" w:rsidRPr="00723305">
        <w:t xml:space="preserve"> inconsistent with the public interest”); </w:t>
      </w:r>
      <w:r w:rsidR="0092017C" w:rsidRPr="00723305">
        <w:rPr>
          <w:i/>
          <w:iCs/>
        </w:rPr>
        <w:t>Area Christian Television, Inc</w:t>
      </w:r>
      <w:r w:rsidR="0092017C" w:rsidRPr="00723305">
        <w:t>., Memorandum Opinion and Order, 60 RR 2d 862, 864 (1989) (</w:t>
      </w:r>
      <w:r w:rsidR="0092017C" w:rsidRPr="00723305">
        <w:rPr>
          <w:rStyle w:val="term1"/>
          <w:b w:val="0"/>
        </w:rPr>
        <w:t>informal objection</w:t>
      </w:r>
      <w:r w:rsidR="0092017C" w:rsidRPr="00723305">
        <w:t xml:space="preserve"> must contain adequate and specific factual </w:t>
      </w:r>
      <w:r w:rsidR="0092017C" w:rsidRPr="00723305">
        <w:rPr>
          <w:rStyle w:val="term1"/>
          <w:b w:val="0"/>
        </w:rPr>
        <w:t>allegations</w:t>
      </w:r>
      <w:r w:rsidR="0092017C" w:rsidRPr="00723305">
        <w:t xml:space="preserve"> sufficient to warrant the relief requested).</w:t>
      </w:r>
    </w:p>
  </w:footnote>
  <w:footnote w:id="6">
    <w:p w:rsidR="00C02982" w:rsidRPr="00723305" w:rsidRDefault="00C02982" w:rsidP="00B64813">
      <w:pPr>
        <w:pStyle w:val="FootnoteText"/>
        <w:spacing w:after="120"/>
        <w:jc w:val="both"/>
      </w:pPr>
      <w:r w:rsidRPr="00723305">
        <w:rPr>
          <w:rStyle w:val="FootnoteReference"/>
        </w:rPr>
        <w:footnoteRef/>
      </w:r>
      <w:r w:rsidRPr="00723305">
        <w:t xml:space="preserve"> 47 U.S.C. § 309(k)(1). </w:t>
      </w:r>
    </w:p>
  </w:footnote>
  <w:footnote w:id="7">
    <w:p w:rsidR="00DA7F02" w:rsidRPr="00723305" w:rsidRDefault="00DA7F02" w:rsidP="00B64813">
      <w:pPr>
        <w:pStyle w:val="FootnoteText"/>
        <w:spacing w:after="120"/>
        <w:jc w:val="both"/>
      </w:pPr>
      <w:r w:rsidRPr="00723305">
        <w:rPr>
          <w:rStyle w:val="FootnoteReference"/>
        </w:rPr>
        <w:footnoteRef/>
      </w:r>
      <w:r w:rsidRPr="00723305">
        <w:t xml:space="preserve"> Banzhaf Objection at 1.</w:t>
      </w:r>
      <w:r w:rsidR="008F1D68" w:rsidRPr="00723305">
        <w:t xml:space="preserve">  </w:t>
      </w:r>
    </w:p>
  </w:footnote>
  <w:footnote w:id="8">
    <w:p w:rsidR="009323AE" w:rsidRDefault="009323AE" w:rsidP="009323AE">
      <w:pPr>
        <w:pStyle w:val="FootnoteText"/>
        <w:spacing w:after="120"/>
      </w:pPr>
      <w:r>
        <w:rPr>
          <w:rStyle w:val="FootnoteReference"/>
        </w:rPr>
        <w:footnoteRef/>
      </w:r>
      <w:r>
        <w:t xml:space="preserve"> </w:t>
      </w:r>
      <w:r w:rsidRPr="009323AE">
        <w:t xml:space="preserve">18 U.S.C. § 1464.  </w:t>
      </w:r>
      <w:r w:rsidR="00B503D6" w:rsidRPr="00DC5C1D">
        <w:rPr>
          <w:i/>
        </w:rPr>
        <w:t>See also</w:t>
      </w:r>
      <w:r w:rsidR="00B503D6">
        <w:t xml:space="preserve"> 47 U.S.C.</w:t>
      </w:r>
      <w:r w:rsidR="00B503D6" w:rsidRPr="009323AE">
        <w:t xml:space="preserve"> §</w:t>
      </w:r>
      <w:r w:rsidR="00B503D6">
        <w:t xml:space="preserve"> 503(b)(1)(D).</w:t>
      </w:r>
    </w:p>
  </w:footnote>
  <w:footnote w:id="9">
    <w:p w:rsidR="00D361DB" w:rsidRPr="00723305" w:rsidRDefault="00D361DB" w:rsidP="00B64813">
      <w:pPr>
        <w:pStyle w:val="FootnoteText"/>
        <w:spacing w:after="120"/>
        <w:jc w:val="both"/>
      </w:pPr>
      <w:r w:rsidRPr="00723305">
        <w:rPr>
          <w:rStyle w:val="FootnoteReference"/>
        </w:rPr>
        <w:footnoteRef/>
      </w:r>
      <w:r w:rsidRPr="00723305">
        <w:t xml:space="preserve"> Banzhaf Objection at 5-6.</w:t>
      </w:r>
      <w:r w:rsidR="008F1D68" w:rsidRPr="00723305">
        <w:t xml:space="preserve">  </w:t>
      </w:r>
    </w:p>
  </w:footnote>
  <w:footnote w:id="10">
    <w:p w:rsidR="00453F0E" w:rsidRPr="00723305" w:rsidRDefault="00453F0E" w:rsidP="00B64813">
      <w:pPr>
        <w:spacing w:after="120"/>
        <w:jc w:val="both"/>
      </w:pPr>
      <w:r w:rsidRPr="00723305">
        <w:rPr>
          <w:rStyle w:val="FootnoteReference"/>
        </w:rPr>
        <w:footnoteRef/>
      </w:r>
      <w:r w:rsidRPr="00723305">
        <w:t xml:space="preserve"> To be obscene, material must satisfy the three-part test set out in </w:t>
      </w:r>
      <w:r w:rsidRPr="00723305">
        <w:rPr>
          <w:i/>
        </w:rPr>
        <w:t>Miller v. California</w:t>
      </w:r>
      <w:r w:rsidRPr="00723305">
        <w:rPr>
          <w:i/>
          <w:iCs/>
        </w:rPr>
        <w:t>,</w:t>
      </w:r>
      <w:r w:rsidRPr="00723305">
        <w:t xml:space="preserve"> 413 U.S. 15, 24 (1973).  The test requires that (1) an average person, applying contemporary community standards, would find that the material, as a whole, appeals to the prurient interest; (2) the material depicts or describes, in a patently offensive way, sexual conduct specifically </w:t>
      </w:r>
      <w:r w:rsidRPr="00723305">
        <w:rPr>
          <w:rStyle w:val="term1"/>
          <w:b w:val="0"/>
        </w:rPr>
        <w:t>defined</w:t>
      </w:r>
      <w:r w:rsidRPr="00723305">
        <w:t xml:space="preserve"> by applicable law; and (3) the material, taken as a whole, lacks serious literary, artistic, political, or scientific value. </w:t>
      </w:r>
      <w:r w:rsidRPr="00723305">
        <w:rPr>
          <w:i/>
        </w:rPr>
        <w:t xml:space="preserve">  </w:t>
      </w:r>
    </w:p>
  </w:footnote>
  <w:footnote w:id="11">
    <w:p w:rsidR="001B7927" w:rsidRPr="00723305" w:rsidRDefault="001B7927" w:rsidP="00B64813">
      <w:pPr>
        <w:pStyle w:val="FootnoteText"/>
        <w:spacing w:after="120"/>
        <w:jc w:val="both"/>
      </w:pPr>
      <w:r w:rsidRPr="00723305">
        <w:rPr>
          <w:rStyle w:val="FootnoteReference"/>
        </w:rPr>
        <w:footnoteRef/>
      </w:r>
      <w:r w:rsidRPr="00723305">
        <w:t xml:space="preserve"> Section 1464 of Title 18 of the United States Code – which, as noted above, the Commission enforces – also prohibits the </w:t>
      </w:r>
      <w:r w:rsidR="00C23760" w:rsidRPr="00723305">
        <w:t>broadcast</w:t>
      </w:r>
      <w:r w:rsidRPr="00723305">
        <w:t xml:space="preserve"> of </w:t>
      </w:r>
      <w:r w:rsidR="00C23760" w:rsidRPr="00723305">
        <w:t>“</w:t>
      </w:r>
      <w:r w:rsidRPr="00723305">
        <w:t>profane” language.  18 U.S.C. § 1464.</w:t>
      </w:r>
    </w:p>
  </w:footnote>
  <w:footnote w:id="12">
    <w:p w:rsidR="007E2B42" w:rsidRPr="00723305" w:rsidRDefault="007E2B42" w:rsidP="00B64813">
      <w:pPr>
        <w:pStyle w:val="FootnoteText"/>
        <w:spacing w:after="120"/>
        <w:jc w:val="both"/>
      </w:pPr>
      <w:r w:rsidRPr="00723305">
        <w:rPr>
          <w:rStyle w:val="FootnoteReference"/>
        </w:rPr>
        <w:footnoteRef/>
      </w:r>
      <w:r w:rsidRPr="00723305">
        <w:t xml:space="preserve"> </w:t>
      </w:r>
      <w:r w:rsidRPr="00723305">
        <w:rPr>
          <w:i/>
        </w:rPr>
        <w:t>Complaints Regarding Various Television Broadcasts Between February 2, 2002 and March 8, 2005</w:t>
      </w:r>
      <w:r w:rsidRPr="00723305">
        <w:t xml:space="preserve">, Notices of Apparent Liability and Memorandum Opinion and Order, 21 FCC Rcd 2664, </w:t>
      </w:r>
      <w:r w:rsidR="00CF6773" w:rsidRPr="00723305">
        <w:t xml:space="preserve">2669 </w:t>
      </w:r>
      <w:r w:rsidRPr="00723305">
        <w:t>¶ 17 (2006)</w:t>
      </w:r>
      <w:r w:rsidR="0083087D" w:rsidRPr="00723305">
        <w:t xml:space="preserve"> (“</w:t>
      </w:r>
      <w:r w:rsidR="0083087D" w:rsidRPr="00723305">
        <w:rPr>
          <w:i/>
        </w:rPr>
        <w:t>2006 Indecency Order</w:t>
      </w:r>
      <w:r w:rsidR="0083087D" w:rsidRPr="00723305">
        <w:t>”)</w:t>
      </w:r>
      <w:r w:rsidR="00FF1D95" w:rsidRPr="00723305">
        <w:t xml:space="preserve">, </w:t>
      </w:r>
      <w:r w:rsidR="00FF1D95" w:rsidRPr="00723305">
        <w:rPr>
          <w:i/>
        </w:rPr>
        <w:t>partially vacated and revised</w:t>
      </w:r>
      <w:r w:rsidR="00FF1D95" w:rsidRPr="00723305">
        <w:t xml:space="preserve">, 21 FCC Rcd 13299 n.121 (2006), </w:t>
      </w:r>
      <w:r w:rsidR="00FF1D95" w:rsidRPr="00723305">
        <w:rPr>
          <w:i/>
        </w:rPr>
        <w:t xml:space="preserve">rev’d, Fox Television Stations, Inc. v. FCC, </w:t>
      </w:r>
      <w:r w:rsidR="00FF1D95" w:rsidRPr="00723305">
        <w:t xml:space="preserve">489 F.3d 444, 461-462 (2d. Cir. 2007), </w:t>
      </w:r>
      <w:r w:rsidR="00FF1D95" w:rsidRPr="00723305">
        <w:rPr>
          <w:i/>
        </w:rPr>
        <w:t>rev’d and remanded</w:t>
      </w:r>
      <w:r w:rsidR="00FF1D95" w:rsidRPr="00723305">
        <w:t>, 552 U.S. 502 (2009)</w:t>
      </w:r>
      <w:r w:rsidRPr="00723305">
        <w:t>.</w:t>
      </w:r>
    </w:p>
  </w:footnote>
  <w:footnote w:id="13">
    <w:p w:rsidR="00530632" w:rsidRPr="00723305" w:rsidRDefault="00530632" w:rsidP="00B64813">
      <w:pPr>
        <w:pStyle w:val="FootnoteText"/>
        <w:spacing w:after="120"/>
        <w:jc w:val="both"/>
      </w:pPr>
      <w:r w:rsidRPr="00723305">
        <w:rPr>
          <w:rStyle w:val="FootnoteReference"/>
        </w:rPr>
        <w:footnoteRef/>
      </w:r>
      <w:r w:rsidRPr="00723305">
        <w:t xml:space="preserve"> </w:t>
      </w:r>
      <w:r w:rsidR="00FF1D95" w:rsidRPr="00723305">
        <w:rPr>
          <w:i/>
        </w:rPr>
        <w:t xml:space="preserve">See id.  </w:t>
      </w:r>
    </w:p>
  </w:footnote>
  <w:footnote w:id="14">
    <w:p w:rsidR="00FF1D95" w:rsidRPr="00723305" w:rsidRDefault="00FF1D95">
      <w:pPr>
        <w:pStyle w:val="FootnoteText"/>
      </w:pPr>
      <w:r w:rsidRPr="00723305">
        <w:rPr>
          <w:rStyle w:val="FootnoteReference"/>
        </w:rPr>
        <w:footnoteRef/>
      </w:r>
      <w:r w:rsidRPr="00723305">
        <w:t xml:space="preserve"> </w:t>
      </w:r>
      <w:r w:rsidRPr="00723305">
        <w:rPr>
          <w:i/>
        </w:rPr>
        <w:t>See id.</w:t>
      </w:r>
      <w:r w:rsidRPr="00723305">
        <w:t xml:space="preserve">  The Commission did not further defend its finding that the vulgar language at issue in </w:t>
      </w:r>
      <w:r w:rsidRPr="00723305">
        <w:rPr>
          <w:i/>
        </w:rPr>
        <w:t>Fox</w:t>
      </w:r>
      <w:r w:rsidRPr="00723305">
        <w:t xml:space="preserve"> was profane.  </w:t>
      </w:r>
      <w:r w:rsidRPr="00723305">
        <w:rPr>
          <w:i/>
        </w:rPr>
        <w:t>See Fox Television Stations v. FCC,</w:t>
      </w:r>
      <w:r w:rsidRPr="00723305">
        <w:t xml:space="preserve"> 613 F.3d 317, 327 n.7 (2d Cir. 2010), vacated and remanded, 132 S. Ct. 2307 (2012).</w:t>
      </w:r>
    </w:p>
    <w:p w:rsidR="00FF1D95" w:rsidRPr="00723305" w:rsidRDefault="00FF1D95">
      <w:pPr>
        <w:pStyle w:val="FootnoteText"/>
      </w:pPr>
    </w:p>
  </w:footnote>
  <w:footnote w:id="15">
    <w:p w:rsidR="00D361DB" w:rsidRPr="00723305" w:rsidRDefault="00D361DB" w:rsidP="00B64813">
      <w:pPr>
        <w:pStyle w:val="FootnoteText"/>
        <w:spacing w:after="120"/>
        <w:jc w:val="both"/>
      </w:pPr>
      <w:r w:rsidRPr="00723305">
        <w:rPr>
          <w:rStyle w:val="FootnoteReference"/>
        </w:rPr>
        <w:footnoteRef/>
      </w:r>
      <w:r w:rsidRPr="00723305">
        <w:t xml:space="preserve"> Banzhaf Objection at 6-11.</w:t>
      </w:r>
      <w:r w:rsidR="002664F2" w:rsidRPr="00723305">
        <w:t xml:space="preserve">  </w:t>
      </w:r>
    </w:p>
  </w:footnote>
  <w:footnote w:id="16">
    <w:p w:rsidR="00050399" w:rsidRPr="00723305" w:rsidRDefault="00050399" w:rsidP="00B64813">
      <w:pPr>
        <w:pStyle w:val="FootnoteText"/>
        <w:spacing w:after="120"/>
        <w:jc w:val="both"/>
      </w:pPr>
      <w:r w:rsidRPr="00723305">
        <w:rPr>
          <w:rStyle w:val="FootnoteReference"/>
        </w:rPr>
        <w:footnoteRef/>
      </w:r>
      <w:r w:rsidRPr="00723305">
        <w:t xml:space="preserve"> </w:t>
      </w:r>
      <w:r w:rsidR="0083087D" w:rsidRPr="00723305">
        <w:rPr>
          <w:i/>
        </w:rPr>
        <w:t>2006 Indecency Order</w:t>
      </w:r>
      <w:r w:rsidR="0083087D" w:rsidRPr="00723305">
        <w:t xml:space="preserve">, 21 FCC Rcd at 2669 </w:t>
      </w:r>
      <w:r w:rsidR="00F209A8" w:rsidRPr="00723305">
        <w:t>¶ 18.</w:t>
      </w:r>
    </w:p>
  </w:footnote>
  <w:footnote w:id="17">
    <w:p w:rsidR="00AF66B3" w:rsidRPr="00723305" w:rsidRDefault="00AF66B3" w:rsidP="00B64813">
      <w:pPr>
        <w:pStyle w:val="FootnoteText"/>
        <w:spacing w:after="120"/>
        <w:jc w:val="both"/>
      </w:pPr>
      <w:r w:rsidRPr="00723305">
        <w:rPr>
          <w:rStyle w:val="FootnoteReference"/>
        </w:rPr>
        <w:footnoteRef/>
      </w:r>
      <w:r w:rsidRPr="00723305">
        <w:t xml:space="preserve"> Banzhaf Objection at 2.</w:t>
      </w:r>
    </w:p>
  </w:footnote>
  <w:footnote w:id="18">
    <w:p w:rsidR="00AF66B3" w:rsidRPr="00723305" w:rsidRDefault="00AF66B3" w:rsidP="00B64813">
      <w:pPr>
        <w:pStyle w:val="FootnoteText"/>
        <w:spacing w:after="120"/>
        <w:jc w:val="both"/>
      </w:pPr>
      <w:r w:rsidRPr="00723305">
        <w:rPr>
          <w:rStyle w:val="FootnoteReference"/>
        </w:rPr>
        <w:footnoteRef/>
      </w:r>
      <w:r w:rsidRPr="00723305">
        <w:t xml:space="preserve"> U.S. C</w:t>
      </w:r>
      <w:r w:rsidR="008F1D68" w:rsidRPr="00723305">
        <w:rPr>
          <w:smallCaps/>
        </w:rPr>
        <w:t>onst</w:t>
      </w:r>
      <w:r w:rsidRPr="00723305">
        <w:t>. amend. I; 47 U.S.C. § 326.</w:t>
      </w:r>
    </w:p>
  </w:footnote>
  <w:footnote w:id="19">
    <w:p w:rsidR="00AF66B3" w:rsidRPr="00723305" w:rsidRDefault="00AF66B3" w:rsidP="00B64813">
      <w:pPr>
        <w:spacing w:after="120"/>
        <w:jc w:val="both"/>
      </w:pPr>
      <w:r w:rsidRPr="00723305">
        <w:rPr>
          <w:rStyle w:val="FootnoteReference"/>
        </w:rPr>
        <w:footnoteRef/>
      </w:r>
      <w:r w:rsidRPr="00723305">
        <w:t xml:space="preserve"> </w:t>
      </w:r>
      <w:r w:rsidRPr="00723305">
        <w:rPr>
          <w:i/>
          <w:iCs/>
        </w:rPr>
        <w:t>See</w:t>
      </w:r>
      <w:r w:rsidR="00AC5DFD" w:rsidRPr="00723305">
        <w:rPr>
          <w:i/>
          <w:iCs/>
        </w:rPr>
        <w:t xml:space="preserve"> Citadel Broadcasting Co.</w:t>
      </w:r>
      <w:r w:rsidR="00AC5DFD" w:rsidRPr="00723305">
        <w:rPr>
          <w:iCs/>
        </w:rPr>
        <w:t xml:space="preserve">, Memorandum Opinion and Order and Notice of Apparent Liability, 22 FCC Rcd 7083, 7101 ¶ 41 (2007), </w:t>
      </w:r>
      <w:r w:rsidR="00AC5DFD" w:rsidRPr="00723305">
        <w:rPr>
          <w:i/>
          <w:iCs/>
        </w:rPr>
        <w:t xml:space="preserve">citing </w:t>
      </w:r>
      <w:r w:rsidRPr="00723305">
        <w:rPr>
          <w:i/>
          <w:iCs/>
        </w:rPr>
        <w:t xml:space="preserve">WGBH Educational Foundation, </w:t>
      </w:r>
      <w:r w:rsidRPr="00723305">
        <w:rPr>
          <w:iCs/>
        </w:rPr>
        <w:t>Memorandum Opinion and Order, 69 FCC 2d 1250, 1251</w:t>
      </w:r>
      <w:r w:rsidR="00AC5DFD" w:rsidRPr="00723305">
        <w:rPr>
          <w:iCs/>
        </w:rPr>
        <w:t xml:space="preserve"> ¶ 4</w:t>
      </w:r>
      <w:r w:rsidRPr="00723305">
        <w:rPr>
          <w:iCs/>
        </w:rPr>
        <w:t xml:space="preserve"> (1978).</w:t>
      </w:r>
    </w:p>
  </w:footnote>
  <w:footnote w:id="20">
    <w:p w:rsidR="00AF66B3" w:rsidRPr="00723305" w:rsidRDefault="00AF66B3" w:rsidP="00B64813">
      <w:pPr>
        <w:spacing w:after="120"/>
        <w:jc w:val="both"/>
      </w:pPr>
      <w:r w:rsidRPr="00723305">
        <w:rPr>
          <w:rStyle w:val="FootnoteReference"/>
        </w:rPr>
        <w:footnoteRef/>
      </w:r>
      <w:r w:rsidRPr="00723305">
        <w:t xml:space="preserve"> </w:t>
      </w:r>
      <w:r w:rsidR="00785090" w:rsidRPr="00723305">
        <w:rPr>
          <w:i/>
          <w:iCs/>
        </w:rPr>
        <w:t xml:space="preserve">Multicultural Radio Broadcasting Licensee, LLC, </w:t>
      </w:r>
      <w:r w:rsidR="00785090" w:rsidRPr="00723305">
        <w:rPr>
          <w:iCs/>
        </w:rPr>
        <w:t xml:space="preserve">Letter, 22 FCC Rcd 21429, 21434 (MB 2007), </w:t>
      </w:r>
      <w:r w:rsidR="00785090" w:rsidRPr="00723305">
        <w:rPr>
          <w:i/>
          <w:iCs/>
        </w:rPr>
        <w:t>citing License Renewal Applications of Certain Commercial Radio Stations Serving Philadelphia, Pennsylvania</w:t>
      </w:r>
      <w:r w:rsidRPr="00723305">
        <w:rPr>
          <w:i/>
          <w:iCs/>
        </w:rPr>
        <w:t>,</w:t>
      </w:r>
      <w:r w:rsidR="00785090" w:rsidRPr="00723305">
        <w:rPr>
          <w:iCs/>
        </w:rPr>
        <w:t xml:space="preserve"> Memorandum Opinion and Order</w:t>
      </w:r>
      <w:r w:rsidRPr="00723305">
        <w:rPr>
          <w:i/>
          <w:iCs/>
        </w:rPr>
        <w:t xml:space="preserve"> </w:t>
      </w:r>
      <w:r w:rsidRPr="00723305">
        <w:rPr>
          <w:iCs/>
        </w:rPr>
        <w:t xml:space="preserve">8 FCC Rcd </w:t>
      </w:r>
      <w:r w:rsidR="00785090" w:rsidRPr="00723305">
        <w:rPr>
          <w:iCs/>
        </w:rPr>
        <w:t>6400,</w:t>
      </w:r>
      <w:r w:rsidRPr="00723305">
        <w:rPr>
          <w:iCs/>
        </w:rPr>
        <w:t xml:space="preserve"> 6401</w:t>
      </w:r>
      <w:r w:rsidR="008511C7" w:rsidRPr="00723305">
        <w:rPr>
          <w:iCs/>
        </w:rPr>
        <w:t xml:space="preserve"> ¶ 7 (1993),</w:t>
      </w:r>
      <w:r w:rsidRPr="00723305">
        <w:t xml:space="preserve"> </w:t>
      </w:r>
      <w:r w:rsidR="00785090" w:rsidRPr="00723305">
        <w:rPr>
          <w:iCs/>
        </w:rPr>
        <w:t xml:space="preserve">and </w:t>
      </w:r>
      <w:r w:rsidR="00785090" w:rsidRPr="00723305">
        <w:rPr>
          <w:i/>
          <w:iCs/>
        </w:rPr>
        <w:t>Zapis Communications Corp.</w:t>
      </w:r>
      <w:r w:rsidR="00785090" w:rsidRPr="00723305">
        <w:rPr>
          <w:iCs/>
        </w:rPr>
        <w:t>, Memorandum Opinion and Order, 7 FCC Rcd 3888, 3889 ¶ 7 (MB 1992)</w:t>
      </w:r>
      <w:r w:rsidRPr="00723305">
        <w:rPr>
          <w:iCs/>
        </w:rPr>
        <w:t>.</w:t>
      </w:r>
    </w:p>
  </w:footnote>
  <w:footnote w:id="21">
    <w:p w:rsidR="00AF66B3" w:rsidRPr="00723305" w:rsidRDefault="00AF66B3" w:rsidP="00B64813">
      <w:pPr>
        <w:pStyle w:val="FootnoteText"/>
        <w:spacing w:after="120"/>
        <w:jc w:val="both"/>
      </w:pPr>
      <w:r w:rsidRPr="00723305">
        <w:rPr>
          <w:rStyle w:val="FootnoteReference"/>
        </w:rPr>
        <w:footnoteRef/>
      </w:r>
      <w:r w:rsidRPr="00723305">
        <w:t xml:space="preserve"> </w:t>
      </w:r>
      <w:r w:rsidRPr="00723305">
        <w:rPr>
          <w:i/>
          <w:iCs/>
        </w:rPr>
        <w:t xml:space="preserve">Anti-Defamation League of B'nai B'rith, </w:t>
      </w:r>
      <w:r w:rsidRPr="00723305">
        <w:rPr>
          <w:iCs/>
        </w:rPr>
        <w:t>Memorandum Opinion</w:t>
      </w:r>
      <w:r w:rsidRPr="00723305">
        <w:rPr>
          <w:i/>
          <w:iCs/>
        </w:rPr>
        <w:t xml:space="preserve">, </w:t>
      </w:r>
      <w:r w:rsidRPr="00723305">
        <w:rPr>
          <w:iCs/>
        </w:rPr>
        <w:t>4 FCC 2d 190, 192 (1966),</w:t>
      </w:r>
      <w:r w:rsidRPr="00723305">
        <w:t xml:space="preserve"> </w:t>
      </w:r>
      <w:r w:rsidRPr="00723305">
        <w:rPr>
          <w:iCs/>
        </w:rPr>
        <w:t>aff'd,</w:t>
      </w:r>
      <w:r w:rsidRPr="00723305">
        <w:t xml:space="preserve"> </w:t>
      </w:r>
      <w:r w:rsidRPr="00723305">
        <w:rPr>
          <w:iCs/>
        </w:rPr>
        <w:t>Memorandum Opinion and Order,</w:t>
      </w:r>
      <w:r w:rsidRPr="00723305">
        <w:rPr>
          <w:i/>
          <w:iCs/>
        </w:rPr>
        <w:t xml:space="preserve"> </w:t>
      </w:r>
      <w:r w:rsidRPr="00723305">
        <w:rPr>
          <w:iCs/>
        </w:rPr>
        <w:t>6 FCC 2d 385 (1967),</w:t>
      </w:r>
      <w:r w:rsidRPr="00723305">
        <w:t xml:space="preserve"> </w:t>
      </w:r>
      <w:r w:rsidRPr="00723305">
        <w:rPr>
          <w:i/>
          <w:iCs/>
        </w:rPr>
        <w:t xml:space="preserve">aff'd sub nom. Anti-Defamation League of B'nai B'rith v. FCC, </w:t>
      </w:r>
      <w:r w:rsidRPr="00723305">
        <w:rPr>
          <w:iCs/>
        </w:rPr>
        <w:t>403 F. 2d 169 (1968),</w:t>
      </w:r>
      <w:r w:rsidRPr="00723305">
        <w:t xml:space="preserve"> </w:t>
      </w:r>
      <w:r w:rsidRPr="00723305">
        <w:rPr>
          <w:i/>
          <w:iCs/>
        </w:rPr>
        <w:t>cert. denied,</w:t>
      </w:r>
      <w:r w:rsidRPr="00723305">
        <w:t xml:space="preserve"> </w:t>
      </w:r>
      <w:r w:rsidRPr="00723305">
        <w:rPr>
          <w:iCs/>
        </w:rPr>
        <w:t>394 U.S. 930 (1969).</w:t>
      </w:r>
    </w:p>
  </w:footnote>
  <w:footnote w:id="22">
    <w:p w:rsidR="00AF66B3" w:rsidRPr="00723305" w:rsidRDefault="00AF66B3" w:rsidP="00B64813">
      <w:pPr>
        <w:pStyle w:val="FootnoteText"/>
        <w:spacing w:after="120"/>
        <w:jc w:val="both"/>
      </w:pPr>
      <w:r w:rsidRPr="00723305">
        <w:rPr>
          <w:rStyle w:val="FootnoteReference"/>
        </w:rPr>
        <w:footnoteRef/>
      </w:r>
      <w:r w:rsidRPr="00723305">
        <w:t xml:space="preserve"> </w:t>
      </w:r>
      <w:r w:rsidR="00CB2D03" w:rsidRPr="00723305">
        <w:rPr>
          <w:bCs/>
          <w:iCs/>
        </w:rPr>
        <w:t>132 S. Ct. 2307 (2012).</w:t>
      </w:r>
    </w:p>
  </w:footnote>
  <w:footnote w:id="23">
    <w:p w:rsidR="00AF66B3" w:rsidRPr="00723305" w:rsidRDefault="00AF66B3" w:rsidP="00B64813">
      <w:pPr>
        <w:pStyle w:val="FootnoteText"/>
        <w:spacing w:after="120"/>
        <w:jc w:val="both"/>
      </w:pPr>
      <w:r w:rsidRPr="00723305">
        <w:rPr>
          <w:rStyle w:val="FootnoteReference"/>
        </w:rPr>
        <w:footnoteRef/>
      </w:r>
      <w:r w:rsidRPr="00723305">
        <w:t xml:space="preserve"> Banzhaf Objection at 3.</w:t>
      </w:r>
    </w:p>
  </w:footnote>
  <w:footnote w:id="24">
    <w:p w:rsidR="00AF66B3" w:rsidRPr="00723305" w:rsidRDefault="00AF66B3" w:rsidP="00B64813">
      <w:pPr>
        <w:pStyle w:val="FootnoteText"/>
        <w:spacing w:after="120"/>
        <w:jc w:val="both"/>
      </w:pPr>
      <w:r w:rsidRPr="00723305">
        <w:rPr>
          <w:rStyle w:val="FootnoteReference"/>
        </w:rPr>
        <w:footnoteRef/>
      </w:r>
      <w:r w:rsidRPr="00723305">
        <w:t xml:space="preserve"> </w:t>
      </w:r>
      <w:r w:rsidR="00CB2D03" w:rsidRPr="00723305">
        <w:rPr>
          <w:i/>
        </w:rPr>
        <w:t>Fox</w:t>
      </w:r>
      <w:r w:rsidR="00CB2D03" w:rsidRPr="00723305">
        <w:t>, 132 S. Ct. at 2320.</w:t>
      </w:r>
    </w:p>
  </w:footnote>
  <w:footnote w:id="25">
    <w:p w:rsidR="00AF66B3" w:rsidRPr="00723305" w:rsidRDefault="00AF66B3" w:rsidP="00B64813">
      <w:pPr>
        <w:pStyle w:val="FootnoteText"/>
        <w:spacing w:after="120"/>
        <w:jc w:val="both"/>
      </w:pPr>
      <w:r w:rsidRPr="00723305">
        <w:rPr>
          <w:rStyle w:val="FootnoteReference"/>
        </w:rPr>
        <w:footnoteRef/>
      </w:r>
      <w:r w:rsidRPr="00723305">
        <w:t xml:space="preserve"> </w:t>
      </w:r>
      <w:r w:rsidR="00C3198B" w:rsidRPr="00723305">
        <w:rPr>
          <w:i/>
        </w:rPr>
        <w:t>Golden Globes Order</w:t>
      </w:r>
      <w:r w:rsidRPr="00723305">
        <w:t xml:space="preserve">, 19 FCC Rcd </w:t>
      </w:r>
      <w:r w:rsidR="00C3198B" w:rsidRPr="00723305">
        <w:t xml:space="preserve">at </w:t>
      </w:r>
      <w:r w:rsidRPr="00723305">
        <w:t>4978</w:t>
      </w:r>
      <w:r w:rsidR="00C3198B" w:rsidRPr="00723305">
        <w:t xml:space="preserve"> ¶ 8</w:t>
      </w:r>
      <w:r w:rsidRPr="00723305">
        <w:t xml:space="preserve"> (2004).  Rather, the Commission determined that any use of the word at issue or a variation of that word, “in any context, inherently has a sexual connotation.”  </w:t>
      </w:r>
      <w:r w:rsidRPr="00723305">
        <w:rPr>
          <w:i/>
        </w:rPr>
        <w:t>Id.</w:t>
      </w:r>
    </w:p>
  </w:footnote>
  <w:footnote w:id="26">
    <w:p w:rsidR="00AF66B3" w:rsidRPr="00723305" w:rsidRDefault="00AF66B3" w:rsidP="00B64813">
      <w:pPr>
        <w:pStyle w:val="FootnoteText"/>
        <w:spacing w:after="120"/>
        <w:jc w:val="both"/>
      </w:pPr>
      <w:r w:rsidRPr="00723305">
        <w:rPr>
          <w:rStyle w:val="FootnoteReference"/>
        </w:rPr>
        <w:footnoteRef/>
      </w:r>
      <w:r w:rsidRPr="00723305">
        <w:t xml:space="preserve"> 478 F.2d 594 (D.C. Cir. 1973) (“</w:t>
      </w:r>
      <w:r w:rsidRPr="00723305">
        <w:rPr>
          <w:i/>
        </w:rPr>
        <w:t>Yale</w:t>
      </w:r>
      <w:r w:rsidRPr="00723305">
        <w:t xml:space="preserve"> </w:t>
      </w:r>
      <w:r w:rsidRPr="00723305">
        <w:rPr>
          <w:i/>
        </w:rPr>
        <w:t>Broadcasting</w:t>
      </w:r>
      <w:r w:rsidRPr="00723305">
        <w:t>”).</w:t>
      </w:r>
    </w:p>
  </w:footnote>
  <w:footnote w:id="27">
    <w:p w:rsidR="00AF66B3" w:rsidRPr="00723305" w:rsidRDefault="00AF66B3" w:rsidP="00B64813">
      <w:pPr>
        <w:pStyle w:val="FootnoteText"/>
        <w:spacing w:after="120"/>
        <w:jc w:val="both"/>
      </w:pPr>
      <w:r w:rsidRPr="00723305">
        <w:rPr>
          <w:rStyle w:val="FootnoteReference"/>
        </w:rPr>
        <w:footnoteRef/>
      </w:r>
      <w:r w:rsidRPr="00723305">
        <w:t xml:space="preserve"> </w:t>
      </w:r>
      <w:r w:rsidRPr="00723305">
        <w:rPr>
          <w:i/>
        </w:rPr>
        <w:t xml:space="preserve">Yale Broadcasting, </w:t>
      </w:r>
      <w:r w:rsidRPr="00723305">
        <w:t>478 F.2d at 598 (“It is beyond dispute that the Commission requires stations to broadcast in the public interest. In order for a broadcaster to determine whether it is acting in the public interest, knowledge of its own programming is required.”).</w:t>
      </w:r>
    </w:p>
  </w:footnote>
  <w:footnote w:id="28">
    <w:p w:rsidR="00AF66B3" w:rsidRPr="00723305" w:rsidRDefault="00AF66B3" w:rsidP="00B64813">
      <w:pPr>
        <w:pStyle w:val="FootnoteText"/>
        <w:spacing w:after="120"/>
        <w:jc w:val="both"/>
      </w:pPr>
      <w:r w:rsidRPr="00723305">
        <w:rPr>
          <w:rStyle w:val="FootnoteReference"/>
        </w:rPr>
        <w:footnoteRef/>
      </w:r>
      <w:r w:rsidRPr="00723305">
        <w:t xml:space="preserve"> </w:t>
      </w:r>
      <w:r w:rsidRPr="00723305">
        <w:rPr>
          <w:i/>
        </w:rPr>
        <w:t>Licensee Responsibility to Review Records Before Their Broadcast</w:t>
      </w:r>
      <w:r w:rsidRPr="00723305">
        <w:t>, Memorandum Opinion and Order, 31 FCC 2d 377, 378-79 ¶¶ 4-6 (1971).</w:t>
      </w:r>
    </w:p>
  </w:footnote>
  <w:footnote w:id="29">
    <w:p w:rsidR="00AF66B3" w:rsidRPr="00723305" w:rsidRDefault="00AF66B3" w:rsidP="00B64813">
      <w:pPr>
        <w:pStyle w:val="FootnoteText"/>
        <w:spacing w:after="120"/>
        <w:jc w:val="both"/>
      </w:pPr>
      <w:r w:rsidRPr="00723305">
        <w:rPr>
          <w:rStyle w:val="FootnoteReference"/>
        </w:rPr>
        <w:footnoteRef/>
      </w:r>
      <w:r w:rsidRPr="00723305">
        <w:t xml:space="preserve"> 359 F.2d 994</w:t>
      </w:r>
      <w:r w:rsidR="002D6946" w:rsidRPr="00723305">
        <w:t xml:space="preserve"> (D.C. Cir. 1966)</w:t>
      </w:r>
      <w:r w:rsidRPr="00723305">
        <w:t xml:space="preserve">.  </w:t>
      </w:r>
    </w:p>
  </w:footnote>
  <w:footnote w:id="30">
    <w:p w:rsidR="00AF66B3" w:rsidRPr="00723305" w:rsidRDefault="00AF66B3" w:rsidP="00B64813">
      <w:pPr>
        <w:pStyle w:val="FootnoteText"/>
        <w:spacing w:after="120"/>
        <w:jc w:val="both"/>
      </w:pPr>
      <w:r w:rsidRPr="00723305">
        <w:rPr>
          <w:rStyle w:val="FootnoteReference"/>
        </w:rPr>
        <w:footnoteRef/>
      </w:r>
      <w:r w:rsidRPr="00723305">
        <w:t xml:space="preserve"> 466 F.2d 316 (D.C. Cir. 1972).</w:t>
      </w:r>
    </w:p>
  </w:footnote>
  <w:footnote w:id="31">
    <w:p w:rsidR="00AF66B3" w:rsidRPr="00723305" w:rsidRDefault="00AF66B3" w:rsidP="00B64813">
      <w:pPr>
        <w:pStyle w:val="FootnoteText"/>
        <w:spacing w:after="120"/>
        <w:jc w:val="both"/>
      </w:pPr>
      <w:r w:rsidRPr="00723305">
        <w:rPr>
          <w:rStyle w:val="FootnoteReference"/>
        </w:rPr>
        <w:footnoteRef/>
      </w:r>
      <w:r w:rsidRPr="00723305">
        <w:t xml:space="preserve"> Banzhaf also cites a subsequent decision related to this case.  </w:t>
      </w:r>
      <w:r w:rsidRPr="00723305">
        <w:rPr>
          <w:i/>
        </w:rPr>
        <w:t>Office of Communication of the United Church of Christ v. FCC</w:t>
      </w:r>
      <w:r w:rsidRPr="00723305">
        <w:t>, 425 F.2d 543 (D.C. Cir. 1969).  That decision too addressed the station’s compliance with the fairness doctrine</w:t>
      </w:r>
      <w:r w:rsidR="00536E20" w:rsidRPr="00723305">
        <w:t xml:space="preserve"> and, like the first court decision, did not address the Commission’s authority to withhold renewal based on the airing of offensive content</w:t>
      </w:r>
      <w:r w:rsidRPr="00723305">
        <w:t xml:space="preserve">.  </w:t>
      </w:r>
    </w:p>
  </w:footnote>
  <w:footnote w:id="32">
    <w:p w:rsidR="00AF66B3" w:rsidRPr="00723305" w:rsidRDefault="00AF66B3" w:rsidP="00B64813">
      <w:pPr>
        <w:pStyle w:val="FootnoteText"/>
        <w:spacing w:after="120"/>
        <w:jc w:val="both"/>
      </w:pPr>
      <w:r w:rsidRPr="00723305">
        <w:rPr>
          <w:rStyle w:val="FootnoteReference"/>
        </w:rPr>
        <w:footnoteRef/>
      </w:r>
      <w:r w:rsidRPr="00723305">
        <w:t xml:space="preserve"> </w:t>
      </w:r>
      <w:r w:rsidRPr="00723305">
        <w:rPr>
          <w:i/>
        </w:rPr>
        <w:t xml:space="preserve">Stone, </w:t>
      </w:r>
      <w:r w:rsidRPr="00723305">
        <w:t>466 F.2d at 328-29.</w:t>
      </w:r>
    </w:p>
  </w:footnote>
  <w:footnote w:id="33">
    <w:p w:rsidR="00AF66B3" w:rsidRPr="00723305" w:rsidRDefault="00AF66B3" w:rsidP="00B64813">
      <w:pPr>
        <w:pStyle w:val="FootnoteText"/>
        <w:spacing w:after="120"/>
        <w:jc w:val="both"/>
      </w:pPr>
      <w:r w:rsidRPr="00723305">
        <w:rPr>
          <w:rStyle w:val="FootnoteReference"/>
        </w:rPr>
        <w:footnoteRef/>
      </w:r>
      <w:r w:rsidRPr="00723305">
        <w:t xml:space="preserve"> </w:t>
      </w:r>
      <w:r w:rsidR="002D4F70" w:rsidRPr="00723305">
        <w:rPr>
          <w:i/>
        </w:rPr>
        <w:t xml:space="preserve">See, e.g., </w:t>
      </w:r>
      <w:r w:rsidR="00792CA6" w:rsidRPr="00723305">
        <w:rPr>
          <w:i/>
        </w:rPr>
        <w:t>AMFM Radio Licenses, L.L.C.</w:t>
      </w:r>
      <w:r w:rsidR="00792CA6" w:rsidRPr="00723305">
        <w:t xml:space="preserve">, Notice of Apparent Liability for Forfeiture, 19 FCC Rcd 10751, 10752 ¶ 4 (2004); </w:t>
      </w:r>
      <w:r w:rsidR="00792CA6" w:rsidRPr="00723305">
        <w:rPr>
          <w:i/>
        </w:rPr>
        <w:t>Clear Channel Broadcasting Licenses, Inc.</w:t>
      </w:r>
      <w:r w:rsidR="00792CA6" w:rsidRPr="00723305">
        <w:t>, Notice of Apparent Liability for Forfeiture</w:t>
      </w:r>
      <w:r w:rsidR="00792CA6" w:rsidRPr="00723305">
        <w:rPr>
          <w:i/>
        </w:rPr>
        <w:t xml:space="preserve">, </w:t>
      </w:r>
      <w:r w:rsidR="00792CA6" w:rsidRPr="00723305">
        <w:t xml:space="preserve">19 FCC Rcd 1768, 1777 ¶ 16 (2004); </w:t>
      </w:r>
      <w:r w:rsidR="00792CA6" w:rsidRPr="00723305">
        <w:rPr>
          <w:i/>
        </w:rPr>
        <w:t>Saga Communications of New England, LLC</w:t>
      </w:r>
      <w:r w:rsidR="00792CA6" w:rsidRPr="00723305">
        <w:t xml:space="preserve">, Letter, 23 FCC Rcd 11008, 11010 (2008); </w:t>
      </w:r>
      <w:r w:rsidR="00792CA6" w:rsidRPr="00723305">
        <w:rPr>
          <w:i/>
        </w:rPr>
        <w:t>Infinity Media Corp.</w:t>
      </w:r>
      <w:r w:rsidR="00792CA6" w:rsidRPr="00723305">
        <w:t xml:space="preserve">, Letter, 23 FCC Rcd 1820, 1821 (2008); </w:t>
      </w:r>
      <w:r w:rsidR="00792CA6" w:rsidRPr="00723305">
        <w:rPr>
          <w:i/>
        </w:rPr>
        <w:t>The Greenwich Broadcasting Corp</w:t>
      </w:r>
      <w:r w:rsidR="00792CA6" w:rsidRPr="00723305">
        <w:t>., Letter, 23 FCC Rcd 1692, 1693 (2008).</w:t>
      </w:r>
    </w:p>
  </w:footnote>
  <w:footnote w:id="34">
    <w:p w:rsidR="00AF66B3" w:rsidRPr="00723305" w:rsidRDefault="00AF66B3" w:rsidP="00B64813">
      <w:pPr>
        <w:pStyle w:val="FootnoteText"/>
        <w:spacing w:after="120"/>
        <w:jc w:val="both"/>
      </w:pPr>
      <w:r w:rsidRPr="00723305">
        <w:rPr>
          <w:rStyle w:val="FootnoteReference"/>
        </w:rPr>
        <w:footnoteRef/>
      </w:r>
      <w:r w:rsidRPr="00723305">
        <w:t xml:space="preserve"> Banzhaf Objection at 12-13.   </w:t>
      </w:r>
    </w:p>
  </w:footnote>
  <w:footnote w:id="35">
    <w:p w:rsidR="00AF66B3" w:rsidRPr="00723305" w:rsidRDefault="00AF66B3" w:rsidP="00B64813">
      <w:pPr>
        <w:pStyle w:val="FootnoteText"/>
        <w:spacing w:after="120"/>
        <w:jc w:val="both"/>
      </w:pPr>
      <w:r w:rsidRPr="00723305">
        <w:rPr>
          <w:rStyle w:val="FootnoteReference"/>
        </w:rPr>
        <w:footnoteRef/>
      </w:r>
      <w:r w:rsidRPr="00723305">
        <w:t xml:space="preserve"> </w:t>
      </w:r>
      <w:r w:rsidR="00732254" w:rsidRPr="00723305">
        <w:rPr>
          <w:i/>
        </w:rPr>
        <w:t xml:space="preserve">See </w:t>
      </w:r>
      <w:r w:rsidRPr="00723305">
        <w:rPr>
          <w:i/>
        </w:rPr>
        <w:t>Citicasters Licenses, L.P.</w:t>
      </w:r>
      <w:r w:rsidRPr="00723305">
        <w:t xml:space="preserve">, Memorandum Opinion and order and Notice of Apparent Liability, </w:t>
      </w:r>
      <w:r w:rsidR="00732254" w:rsidRPr="00723305">
        <w:t xml:space="preserve">22 FCC Rcd 19324, 19331-32 ¶ 20 (MB 2007), </w:t>
      </w:r>
      <w:r w:rsidRPr="00723305">
        <w:rPr>
          <w:i/>
        </w:rPr>
        <w:t>citing Brandenburg v. Ohio</w:t>
      </w:r>
      <w:r w:rsidRPr="00723305">
        <w:t>, 395 U.S. 444, 447 (1969).</w:t>
      </w:r>
    </w:p>
  </w:footnote>
  <w:footnote w:id="36">
    <w:p w:rsidR="00F07B43" w:rsidRPr="00723305" w:rsidRDefault="00F07B43" w:rsidP="00B64813">
      <w:pPr>
        <w:pStyle w:val="FootnoteText"/>
        <w:spacing w:after="120"/>
        <w:jc w:val="both"/>
      </w:pPr>
      <w:r w:rsidRPr="00723305">
        <w:rPr>
          <w:rStyle w:val="FootnoteReference"/>
        </w:rPr>
        <w:footnoteRef/>
      </w:r>
      <w:r w:rsidRPr="00723305">
        <w:t xml:space="preserve"> </w:t>
      </w:r>
      <w:r w:rsidR="00136657" w:rsidRPr="00723305">
        <w:rPr>
          <w:i/>
        </w:rPr>
        <w:t xml:space="preserve">See </w:t>
      </w:r>
      <w:r w:rsidRPr="00723305">
        <w:rPr>
          <w:i/>
        </w:rPr>
        <w:t>Spanish Radio Network</w:t>
      </w:r>
      <w:r w:rsidRPr="00723305">
        <w:t xml:space="preserve">, Memorandum Opinion and Order, 10 FCC Rcd 9954, 9959 ¶¶ 21-22 (1995) (noting that “any determination that particular speech poses a ‘clear and present danger of serious substantive evil’ presupposes a familiarity with the circumstances, issues, and concerns of the community where such speech was heard, a familiarity which the Commission, in most cases, does not have and cannot practically obtain” and explaining that “[l]ocal authorities responsible for keeping the peace and enforcing the law are better positioned to know and assess the specific and unique circumstances in the ... community and, thus, to determine whether the </w:t>
      </w:r>
      <w:r w:rsidRPr="00723305">
        <w:rPr>
          <w:i/>
          <w:iCs/>
        </w:rPr>
        <w:t>Brandenburg</w:t>
      </w:r>
      <w:r w:rsidRPr="00723305">
        <w:t xml:space="preserve"> test has been met”</w:t>
      </w:r>
      <w:r w:rsidR="00CC0B08" w:rsidRPr="00723305">
        <w:t>)</w:t>
      </w:r>
    </w:p>
  </w:footnote>
  <w:footnote w:id="37">
    <w:p w:rsidR="00924503" w:rsidRPr="00723305" w:rsidRDefault="00924503" w:rsidP="00B64813">
      <w:pPr>
        <w:pStyle w:val="FootnoteText"/>
        <w:spacing w:after="120"/>
        <w:jc w:val="both"/>
      </w:pPr>
      <w:r w:rsidRPr="00723305">
        <w:rPr>
          <w:rStyle w:val="FootnoteReference"/>
        </w:rPr>
        <w:footnoteRef/>
      </w:r>
      <w:r w:rsidRPr="00723305">
        <w:t xml:space="preserve"> </w:t>
      </w:r>
      <w:r w:rsidRPr="00723305">
        <w:rPr>
          <w:i/>
        </w:rPr>
        <w:t>See Policy Regarding Character Qualifications in Broadcast Licensing,</w:t>
      </w:r>
      <w:r w:rsidRPr="00723305">
        <w:t xml:space="preserve"> Report, Order, and Policy Statement, 102 FCC 2d 1179, 1190-91 ¶ 23 (1986)</w:t>
      </w:r>
      <w:r w:rsidR="00026196">
        <w:t xml:space="preserve"> (“</w:t>
      </w:r>
      <w:r w:rsidR="00026196">
        <w:rPr>
          <w:i/>
        </w:rPr>
        <w:t>Character Policy Statement</w:t>
      </w:r>
      <w:r w:rsidR="00026196">
        <w:t>”)</w:t>
      </w:r>
      <w:r w:rsidRPr="00723305">
        <w:t xml:space="preserve">, </w:t>
      </w:r>
      <w:r w:rsidRPr="00723305">
        <w:rPr>
          <w:i/>
        </w:rPr>
        <w:t>modified</w:t>
      </w:r>
      <w:r w:rsidRPr="00723305">
        <w:t xml:space="preserve">, Policy Statement and Order, 5 FCC Rcd 3252 (1990), </w:t>
      </w:r>
      <w:r w:rsidRPr="00723305">
        <w:rPr>
          <w:i/>
        </w:rPr>
        <w:t>recon. granted in part</w:t>
      </w:r>
      <w:r w:rsidRPr="00723305">
        <w:t xml:space="preserve">, Memorandum Opinion and Order, 6 FCC Rcd 3448 (1991), </w:t>
      </w:r>
      <w:r w:rsidRPr="00723305">
        <w:rPr>
          <w:i/>
        </w:rPr>
        <w:t>modified in part,</w:t>
      </w:r>
      <w:r w:rsidRPr="00723305">
        <w:t xml:space="preserve"> Memorandum Opinion and Order, 7 FCC Rcd 6564 (1992).  </w:t>
      </w:r>
    </w:p>
  </w:footnote>
  <w:footnote w:id="38">
    <w:p w:rsidR="00924503" w:rsidRPr="00723305" w:rsidRDefault="00924503" w:rsidP="00B64813">
      <w:pPr>
        <w:autoSpaceDE w:val="0"/>
        <w:autoSpaceDN w:val="0"/>
        <w:adjustRightInd w:val="0"/>
        <w:spacing w:after="120"/>
        <w:jc w:val="both"/>
        <w:rPr>
          <w:b/>
          <w:i/>
        </w:rPr>
      </w:pPr>
      <w:r w:rsidRPr="00723305">
        <w:rPr>
          <w:rStyle w:val="FootnoteReference"/>
        </w:rPr>
        <w:footnoteRef/>
      </w:r>
      <w:r w:rsidRPr="00723305">
        <w:t xml:space="preserve"> </w:t>
      </w:r>
      <w:r w:rsidRPr="00723305">
        <w:rPr>
          <w:i/>
        </w:rPr>
        <w:t>Id.</w:t>
      </w:r>
      <w:r w:rsidRPr="00723305">
        <w:t xml:space="preserve">  </w:t>
      </w:r>
    </w:p>
  </w:footnote>
  <w:footnote w:id="39">
    <w:p w:rsidR="006B7A50" w:rsidRPr="00723305" w:rsidRDefault="006B7A50" w:rsidP="00B64813">
      <w:pPr>
        <w:pStyle w:val="FootnoteText"/>
        <w:spacing w:after="120"/>
        <w:jc w:val="both"/>
      </w:pPr>
      <w:r w:rsidRPr="00723305">
        <w:rPr>
          <w:rStyle w:val="FootnoteReference"/>
        </w:rPr>
        <w:footnoteRef/>
      </w:r>
      <w:r w:rsidR="0078092C" w:rsidRPr="00723305">
        <w:t xml:space="preserve"> Banzhaf Objection at 16</w:t>
      </w:r>
      <w:r w:rsidRPr="00723305">
        <w:t xml:space="preserve">.  Banzhaf also claims that Snyder, who is also the majority owner of the Washington Redskins, forces other broadcasters to use the term. </w:t>
      </w:r>
      <w:r w:rsidR="0078092C" w:rsidRPr="00723305">
        <w:rPr>
          <w:i/>
        </w:rPr>
        <w:t>Id.</w:t>
      </w:r>
      <w:r w:rsidR="0078092C" w:rsidRPr="00723305">
        <w:t xml:space="preserve"> at 17.  </w:t>
      </w:r>
      <w:r w:rsidRPr="00723305">
        <w:t xml:space="preserve">This claim is unsubstantiated.  Accordingly, we do not consider it further.  </w:t>
      </w:r>
    </w:p>
  </w:footnote>
  <w:footnote w:id="40">
    <w:p w:rsidR="00B64813" w:rsidRPr="00723305" w:rsidRDefault="00B64813" w:rsidP="00B64813">
      <w:pPr>
        <w:pStyle w:val="FootnoteText"/>
        <w:spacing w:after="120"/>
        <w:jc w:val="both"/>
      </w:pPr>
      <w:r w:rsidRPr="00723305">
        <w:rPr>
          <w:rStyle w:val="FootnoteReference"/>
        </w:rPr>
        <w:footnoteRef/>
      </w:r>
      <w:r w:rsidRPr="00723305">
        <w:t xml:space="preserve"> </w:t>
      </w:r>
      <w:r w:rsidRPr="00723305">
        <w:rPr>
          <w:i/>
        </w:rPr>
        <w:t>Id.</w:t>
      </w:r>
      <w:r w:rsidRPr="00723305">
        <w:t xml:space="preserve"> at 17.</w:t>
      </w:r>
    </w:p>
  </w:footnote>
  <w:footnote w:id="41">
    <w:p w:rsidR="00351653" w:rsidRPr="00723305" w:rsidRDefault="00351653" w:rsidP="00B151C8">
      <w:pPr>
        <w:pStyle w:val="FootnoteText"/>
        <w:spacing w:before="120" w:after="120"/>
        <w:jc w:val="both"/>
      </w:pPr>
      <w:r w:rsidRPr="00723305">
        <w:rPr>
          <w:rStyle w:val="FootnoteReference"/>
        </w:rPr>
        <w:footnoteRef/>
      </w:r>
      <w:r w:rsidRPr="00723305">
        <w:t xml:space="preserve"> Red Zebra presented evidence that the publisher of the news article had disavowed the allegations made therein</w:t>
      </w:r>
      <w:r w:rsidR="000A06B0" w:rsidRPr="00723305">
        <w:t xml:space="preserve">.  </w:t>
      </w:r>
      <w:r w:rsidR="00B64813" w:rsidRPr="00723305">
        <w:t>Red Zebra Response at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C0" w:rsidRDefault="00930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C0" w:rsidRDefault="00930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45" w:rsidRDefault="00D01F71">
    <w:pPr>
      <w:pStyle w:val="Header"/>
      <w:tabs>
        <w:tab w:val="clear" w:pos="4320"/>
        <w:tab w:val="clear" w:pos="8640"/>
      </w:tabs>
      <w:spacing w:before="360" w:line="228" w:lineRule="auto"/>
      <w:jc w:val="center"/>
      <w:rPr>
        <w:b/>
        <w:sz w:val="22"/>
        <w:szCs w:val="22"/>
      </w:rP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1A2C45">
      <w:rPr>
        <w:b/>
        <w:sz w:val="22"/>
        <w:szCs w:val="22"/>
      </w:rPr>
      <w:t>Federal Communications Commission</w:t>
    </w:r>
  </w:p>
  <w:p w:rsidR="001A2C45" w:rsidRDefault="001A2C45">
    <w:pPr>
      <w:jc w:val="center"/>
      <w:rPr>
        <w:b/>
        <w:sz w:val="22"/>
        <w:szCs w:val="22"/>
      </w:rPr>
    </w:pPr>
    <w:r>
      <w:rPr>
        <w:b/>
        <w:sz w:val="22"/>
        <w:szCs w:val="22"/>
      </w:rPr>
      <w:t>Washington, D.C. 20554</w:t>
    </w:r>
  </w:p>
  <w:p w:rsidR="001A2C45" w:rsidRDefault="001A2C45">
    <w:pPr>
      <w:jc w:val="center"/>
      <w:rPr>
        <w:b/>
        <w:sz w:val="22"/>
        <w:szCs w:val="22"/>
      </w:rPr>
    </w:pPr>
  </w:p>
  <w:p w:rsidR="001A2C45" w:rsidRDefault="00053118">
    <w:pPr>
      <w:pStyle w:val="Header"/>
      <w:tabs>
        <w:tab w:val="clear" w:pos="4320"/>
      </w:tabs>
      <w:jc w:val="center"/>
      <w:rPr>
        <w:sz w:val="22"/>
        <w:szCs w:val="22"/>
      </w:rPr>
    </w:pPr>
    <w:r>
      <w:rPr>
        <w:sz w:val="22"/>
        <w:szCs w:val="22"/>
      </w:rPr>
      <w:t xml:space="preserve">December </w:t>
    </w:r>
    <w:r w:rsidR="00D2697C">
      <w:rPr>
        <w:sz w:val="22"/>
        <w:szCs w:val="22"/>
      </w:rPr>
      <w:t>18</w:t>
    </w:r>
    <w:r w:rsidR="001A2C45">
      <w:rPr>
        <w:sz w:val="22"/>
        <w:szCs w:val="22"/>
      </w:rPr>
      <w:t>, 201</w:t>
    </w:r>
    <w:r w:rsidR="00441203">
      <w:rPr>
        <w:sz w:val="22"/>
        <w:szCs w:val="22"/>
      </w:rPr>
      <w:t>4</w:t>
    </w:r>
  </w:p>
  <w:p w:rsidR="001A2C45" w:rsidRDefault="001A2C45">
    <w:pPr>
      <w:pStyle w:val="Header"/>
      <w:tabs>
        <w:tab w:val="clear" w:pos="4320"/>
      </w:tabs>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E67"/>
    <w:multiLevelType w:val="hybridMultilevel"/>
    <w:tmpl w:val="E23E2A6A"/>
    <w:lvl w:ilvl="0" w:tplc="6690FD82">
      <w:start w:val="1"/>
      <w:numFmt w:val="decimal"/>
      <w:lvlText w:val="%1."/>
      <w:lvlJc w:val="left"/>
      <w:pPr>
        <w:tabs>
          <w:tab w:val="num" w:pos="1332"/>
        </w:tabs>
        <w:ind w:left="180" w:firstLine="576"/>
      </w:pPr>
      <w:rPr>
        <w:rFonts w:hint="default"/>
        <w:b w:val="0"/>
        <w:i w:val="0"/>
      </w:rPr>
    </w:lvl>
    <w:lvl w:ilvl="1" w:tplc="4CD018E2">
      <w:start w:val="1"/>
      <w:numFmt w:val="upperRoman"/>
      <w:lvlText w:val="%2."/>
      <w:lvlJc w:val="left"/>
      <w:pPr>
        <w:tabs>
          <w:tab w:val="num" w:pos="2916"/>
        </w:tabs>
        <w:ind w:left="1764" w:hanging="1584"/>
      </w:pPr>
      <w:rPr>
        <w:rFonts w:hint="default"/>
        <w:b/>
        <w:i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4E75355B"/>
    <w:multiLevelType w:val="hybridMultilevel"/>
    <w:tmpl w:val="5F187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8B"/>
    <w:rsid w:val="00003724"/>
    <w:rsid w:val="00005A48"/>
    <w:rsid w:val="00013570"/>
    <w:rsid w:val="0001520D"/>
    <w:rsid w:val="00015287"/>
    <w:rsid w:val="00023B0E"/>
    <w:rsid w:val="00026196"/>
    <w:rsid w:val="00026E2F"/>
    <w:rsid w:val="0003058E"/>
    <w:rsid w:val="000322B1"/>
    <w:rsid w:val="00032E33"/>
    <w:rsid w:val="00035782"/>
    <w:rsid w:val="0004376A"/>
    <w:rsid w:val="00050399"/>
    <w:rsid w:val="0005261D"/>
    <w:rsid w:val="00053118"/>
    <w:rsid w:val="00053C5F"/>
    <w:rsid w:val="000603C9"/>
    <w:rsid w:val="00060CBF"/>
    <w:rsid w:val="00073131"/>
    <w:rsid w:val="000824ED"/>
    <w:rsid w:val="00082C2C"/>
    <w:rsid w:val="00084A96"/>
    <w:rsid w:val="00085409"/>
    <w:rsid w:val="00085939"/>
    <w:rsid w:val="00085C28"/>
    <w:rsid w:val="00086387"/>
    <w:rsid w:val="0008727A"/>
    <w:rsid w:val="00095E7E"/>
    <w:rsid w:val="0009756C"/>
    <w:rsid w:val="000A06B0"/>
    <w:rsid w:val="000A5017"/>
    <w:rsid w:val="000B0CC2"/>
    <w:rsid w:val="000B32C2"/>
    <w:rsid w:val="000B498F"/>
    <w:rsid w:val="000B5C86"/>
    <w:rsid w:val="000C4B9C"/>
    <w:rsid w:val="000C4ED7"/>
    <w:rsid w:val="000C5C9D"/>
    <w:rsid w:val="000C7950"/>
    <w:rsid w:val="000D364A"/>
    <w:rsid w:val="000E56F7"/>
    <w:rsid w:val="000E59DA"/>
    <w:rsid w:val="000F3DCA"/>
    <w:rsid w:val="000F5B90"/>
    <w:rsid w:val="0010014F"/>
    <w:rsid w:val="001038E3"/>
    <w:rsid w:val="00112254"/>
    <w:rsid w:val="00113241"/>
    <w:rsid w:val="00127D5B"/>
    <w:rsid w:val="0013009D"/>
    <w:rsid w:val="0013081A"/>
    <w:rsid w:val="00130B7F"/>
    <w:rsid w:val="001333DF"/>
    <w:rsid w:val="00133B8D"/>
    <w:rsid w:val="001348C5"/>
    <w:rsid w:val="00136657"/>
    <w:rsid w:val="00137DC8"/>
    <w:rsid w:val="00141F12"/>
    <w:rsid w:val="001452B1"/>
    <w:rsid w:val="00152C2D"/>
    <w:rsid w:val="00154D24"/>
    <w:rsid w:val="00156F43"/>
    <w:rsid w:val="001600F3"/>
    <w:rsid w:val="001623DD"/>
    <w:rsid w:val="00163450"/>
    <w:rsid w:val="00164C9B"/>
    <w:rsid w:val="0016533F"/>
    <w:rsid w:val="00167B27"/>
    <w:rsid w:val="00171D95"/>
    <w:rsid w:val="00173B4A"/>
    <w:rsid w:val="00174FEF"/>
    <w:rsid w:val="001760AC"/>
    <w:rsid w:val="00177AA2"/>
    <w:rsid w:val="00186BD0"/>
    <w:rsid w:val="00192924"/>
    <w:rsid w:val="001941CD"/>
    <w:rsid w:val="001957F8"/>
    <w:rsid w:val="001A2C45"/>
    <w:rsid w:val="001A43E1"/>
    <w:rsid w:val="001A6CBA"/>
    <w:rsid w:val="001B5998"/>
    <w:rsid w:val="001B62D9"/>
    <w:rsid w:val="001B7927"/>
    <w:rsid w:val="001D562C"/>
    <w:rsid w:val="001D60B6"/>
    <w:rsid w:val="001E278D"/>
    <w:rsid w:val="001E530B"/>
    <w:rsid w:val="001E5667"/>
    <w:rsid w:val="001E73F7"/>
    <w:rsid w:val="001F0324"/>
    <w:rsid w:val="001F0636"/>
    <w:rsid w:val="001F285E"/>
    <w:rsid w:val="001F6B00"/>
    <w:rsid w:val="00202653"/>
    <w:rsid w:val="00202B6C"/>
    <w:rsid w:val="00205060"/>
    <w:rsid w:val="00205944"/>
    <w:rsid w:val="00206DCB"/>
    <w:rsid w:val="00215ED4"/>
    <w:rsid w:val="00216757"/>
    <w:rsid w:val="00216D91"/>
    <w:rsid w:val="00217197"/>
    <w:rsid w:val="002217E2"/>
    <w:rsid w:val="0022581D"/>
    <w:rsid w:val="00226373"/>
    <w:rsid w:val="002320C9"/>
    <w:rsid w:val="00233C53"/>
    <w:rsid w:val="002374A4"/>
    <w:rsid w:val="0024435B"/>
    <w:rsid w:val="0025207E"/>
    <w:rsid w:val="00255E68"/>
    <w:rsid w:val="002573ED"/>
    <w:rsid w:val="002626CB"/>
    <w:rsid w:val="002637BE"/>
    <w:rsid w:val="002664F2"/>
    <w:rsid w:val="002668C2"/>
    <w:rsid w:val="00266DB0"/>
    <w:rsid w:val="00271AC9"/>
    <w:rsid w:val="00273E5F"/>
    <w:rsid w:val="00276DCE"/>
    <w:rsid w:val="00283F4A"/>
    <w:rsid w:val="002865EE"/>
    <w:rsid w:val="00286B04"/>
    <w:rsid w:val="0029297C"/>
    <w:rsid w:val="00293CF5"/>
    <w:rsid w:val="00293F41"/>
    <w:rsid w:val="002945E0"/>
    <w:rsid w:val="002A4E9D"/>
    <w:rsid w:val="002A50E5"/>
    <w:rsid w:val="002A58BF"/>
    <w:rsid w:val="002B061F"/>
    <w:rsid w:val="002B4C24"/>
    <w:rsid w:val="002B76FA"/>
    <w:rsid w:val="002B7D88"/>
    <w:rsid w:val="002C1EE0"/>
    <w:rsid w:val="002C32D1"/>
    <w:rsid w:val="002D014C"/>
    <w:rsid w:val="002D4F70"/>
    <w:rsid w:val="002D5C04"/>
    <w:rsid w:val="002D6946"/>
    <w:rsid w:val="002E38A6"/>
    <w:rsid w:val="002E6915"/>
    <w:rsid w:val="002E6CA2"/>
    <w:rsid w:val="002E747C"/>
    <w:rsid w:val="002E77B1"/>
    <w:rsid w:val="002F6FD9"/>
    <w:rsid w:val="00304391"/>
    <w:rsid w:val="0030469C"/>
    <w:rsid w:val="00306DAC"/>
    <w:rsid w:val="00307B2E"/>
    <w:rsid w:val="003101EE"/>
    <w:rsid w:val="003112BD"/>
    <w:rsid w:val="00311C54"/>
    <w:rsid w:val="00316686"/>
    <w:rsid w:val="00323B6C"/>
    <w:rsid w:val="0032592D"/>
    <w:rsid w:val="00326F56"/>
    <w:rsid w:val="00327867"/>
    <w:rsid w:val="00334CFA"/>
    <w:rsid w:val="00334DBE"/>
    <w:rsid w:val="0033672E"/>
    <w:rsid w:val="00336F7D"/>
    <w:rsid w:val="00340BB1"/>
    <w:rsid w:val="00342486"/>
    <w:rsid w:val="00351653"/>
    <w:rsid w:val="003539AD"/>
    <w:rsid w:val="00364A4F"/>
    <w:rsid w:val="003655EA"/>
    <w:rsid w:val="00371866"/>
    <w:rsid w:val="0037344F"/>
    <w:rsid w:val="003758E8"/>
    <w:rsid w:val="00381259"/>
    <w:rsid w:val="00385E12"/>
    <w:rsid w:val="003864BE"/>
    <w:rsid w:val="00386D4B"/>
    <w:rsid w:val="00386E7A"/>
    <w:rsid w:val="003907FC"/>
    <w:rsid w:val="003919E0"/>
    <w:rsid w:val="0039277B"/>
    <w:rsid w:val="0039591F"/>
    <w:rsid w:val="003967DD"/>
    <w:rsid w:val="003A0FF0"/>
    <w:rsid w:val="003A60AE"/>
    <w:rsid w:val="003A6C8D"/>
    <w:rsid w:val="003A7357"/>
    <w:rsid w:val="003A763C"/>
    <w:rsid w:val="003D094E"/>
    <w:rsid w:val="003D63D6"/>
    <w:rsid w:val="003D7A78"/>
    <w:rsid w:val="003D7B3D"/>
    <w:rsid w:val="003E5A6A"/>
    <w:rsid w:val="003E69BC"/>
    <w:rsid w:val="003F05B5"/>
    <w:rsid w:val="003F154B"/>
    <w:rsid w:val="003F31F4"/>
    <w:rsid w:val="003F7422"/>
    <w:rsid w:val="004010EA"/>
    <w:rsid w:val="00404B2B"/>
    <w:rsid w:val="00417AD3"/>
    <w:rsid w:val="004200E8"/>
    <w:rsid w:val="0042052D"/>
    <w:rsid w:val="00420662"/>
    <w:rsid w:val="00423594"/>
    <w:rsid w:val="00424EDD"/>
    <w:rsid w:val="00426CF0"/>
    <w:rsid w:val="00430D22"/>
    <w:rsid w:val="004322E1"/>
    <w:rsid w:val="00434285"/>
    <w:rsid w:val="00441203"/>
    <w:rsid w:val="00441899"/>
    <w:rsid w:val="004442B6"/>
    <w:rsid w:val="00445F74"/>
    <w:rsid w:val="00447505"/>
    <w:rsid w:val="00453F0E"/>
    <w:rsid w:val="00454233"/>
    <w:rsid w:val="00456164"/>
    <w:rsid w:val="00456FCF"/>
    <w:rsid w:val="00457705"/>
    <w:rsid w:val="00462D49"/>
    <w:rsid w:val="00463E9E"/>
    <w:rsid w:val="00465B9D"/>
    <w:rsid w:val="00466E31"/>
    <w:rsid w:val="004713DC"/>
    <w:rsid w:val="0047198F"/>
    <w:rsid w:val="00471FC5"/>
    <w:rsid w:val="00472DD5"/>
    <w:rsid w:val="00480CE8"/>
    <w:rsid w:val="004814F1"/>
    <w:rsid w:val="00484806"/>
    <w:rsid w:val="0048520B"/>
    <w:rsid w:val="00485DEE"/>
    <w:rsid w:val="00486E7E"/>
    <w:rsid w:val="00495EC5"/>
    <w:rsid w:val="004C0165"/>
    <w:rsid w:val="004C2517"/>
    <w:rsid w:val="004C2CF5"/>
    <w:rsid w:val="004C5C3F"/>
    <w:rsid w:val="004D0857"/>
    <w:rsid w:val="004E170C"/>
    <w:rsid w:val="004E4483"/>
    <w:rsid w:val="004E6F59"/>
    <w:rsid w:val="004F12BB"/>
    <w:rsid w:val="004F1899"/>
    <w:rsid w:val="004F63E6"/>
    <w:rsid w:val="00503D5F"/>
    <w:rsid w:val="00510E33"/>
    <w:rsid w:val="0051648C"/>
    <w:rsid w:val="0052122B"/>
    <w:rsid w:val="00523BA0"/>
    <w:rsid w:val="00530632"/>
    <w:rsid w:val="00536E20"/>
    <w:rsid w:val="00543322"/>
    <w:rsid w:val="00544311"/>
    <w:rsid w:val="0055007A"/>
    <w:rsid w:val="00554685"/>
    <w:rsid w:val="00554C31"/>
    <w:rsid w:val="00556DD4"/>
    <w:rsid w:val="00557287"/>
    <w:rsid w:val="00561A44"/>
    <w:rsid w:val="0057390F"/>
    <w:rsid w:val="005805A8"/>
    <w:rsid w:val="005814BA"/>
    <w:rsid w:val="00582FE2"/>
    <w:rsid w:val="00583ABB"/>
    <w:rsid w:val="0058433E"/>
    <w:rsid w:val="00585FFF"/>
    <w:rsid w:val="00591814"/>
    <w:rsid w:val="005922EA"/>
    <w:rsid w:val="00596BE9"/>
    <w:rsid w:val="005A1630"/>
    <w:rsid w:val="005A1910"/>
    <w:rsid w:val="005A51AC"/>
    <w:rsid w:val="005B6890"/>
    <w:rsid w:val="005C069C"/>
    <w:rsid w:val="005C2DB5"/>
    <w:rsid w:val="005C6348"/>
    <w:rsid w:val="005D0A5B"/>
    <w:rsid w:val="005D5047"/>
    <w:rsid w:val="005D5DC2"/>
    <w:rsid w:val="005E1C31"/>
    <w:rsid w:val="005E77B1"/>
    <w:rsid w:val="006017FC"/>
    <w:rsid w:val="00606C6F"/>
    <w:rsid w:val="006145B3"/>
    <w:rsid w:val="00615AE3"/>
    <w:rsid w:val="0061670D"/>
    <w:rsid w:val="0063626E"/>
    <w:rsid w:val="00641091"/>
    <w:rsid w:val="0064122A"/>
    <w:rsid w:val="006432BB"/>
    <w:rsid w:val="00644FA3"/>
    <w:rsid w:val="0064559B"/>
    <w:rsid w:val="006476F0"/>
    <w:rsid w:val="00651975"/>
    <w:rsid w:val="00651E82"/>
    <w:rsid w:val="006535C4"/>
    <w:rsid w:val="006547B5"/>
    <w:rsid w:val="00655772"/>
    <w:rsid w:val="00655D75"/>
    <w:rsid w:val="006668B9"/>
    <w:rsid w:val="00667257"/>
    <w:rsid w:val="0066772E"/>
    <w:rsid w:val="0067024B"/>
    <w:rsid w:val="00682BEC"/>
    <w:rsid w:val="00683E4B"/>
    <w:rsid w:val="00687FE9"/>
    <w:rsid w:val="006931FE"/>
    <w:rsid w:val="006934CB"/>
    <w:rsid w:val="0069537D"/>
    <w:rsid w:val="00695CA3"/>
    <w:rsid w:val="00696B21"/>
    <w:rsid w:val="006A137D"/>
    <w:rsid w:val="006A1B94"/>
    <w:rsid w:val="006A48AC"/>
    <w:rsid w:val="006A49FD"/>
    <w:rsid w:val="006A563F"/>
    <w:rsid w:val="006B607C"/>
    <w:rsid w:val="006B6230"/>
    <w:rsid w:val="006B62D3"/>
    <w:rsid w:val="006B7A50"/>
    <w:rsid w:val="006B7E82"/>
    <w:rsid w:val="006C16A9"/>
    <w:rsid w:val="006C41E0"/>
    <w:rsid w:val="006E262A"/>
    <w:rsid w:val="006E3F31"/>
    <w:rsid w:val="006F297B"/>
    <w:rsid w:val="006F2D77"/>
    <w:rsid w:val="006F3D79"/>
    <w:rsid w:val="0070114E"/>
    <w:rsid w:val="00702B6B"/>
    <w:rsid w:val="00703968"/>
    <w:rsid w:val="00705D73"/>
    <w:rsid w:val="0070685D"/>
    <w:rsid w:val="00706DBD"/>
    <w:rsid w:val="0071273D"/>
    <w:rsid w:val="00713654"/>
    <w:rsid w:val="00715E4A"/>
    <w:rsid w:val="00716D28"/>
    <w:rsid w:val="007203F5"/>
    <w:rsid w:val="00720986"/>
    <w:rsid w:val="007218B0"/>
    <w:rsid w:val="007229B6"/>
    <w:rsid w:val="00723305"/>
    <w:rsid w:val="00732254"/>
    <w:rsid w:val="0073370E"/>
    <w:rsid w:val="00733B53"/>
    <w:rsid w:val="00737337"/>
    <w:rsid w:val="00737E0C"/>
    <w:rsid w:val="00744F5E"/>
    <w:rsid w:val="00757F28"/>
    <w:rsid w:val="00760A73"/>
    <w:rsid w:val="007644B8"/>
    <w:rsid w:val="00765AC9"/>
    <w:rsid w:val="0077493B"/>
    <w:rsid w:val="00777642"/>
    <w:rsid w:val="00777780"/>
    <w:rsid w:val="00777CE4"/>
    <w:rsid w:val="0078025F"/>
    <w:rsid w:val="0078092C"/>
    <w:rsid w:val="00781254"/>
    <w:rsid w:val="00785090"/>
    <w:rsid w:val="00785D7C"/>
    <w:rsid w:val="00786130"/>
    <w:rsid w:val="00786C64"/>
    <w:rsid w:val="00791377"/>
    <w:rsid w:val="00792CA6"/>
    <w:rsid w:val="0079375D"/>
    <w:rsid w:val="00793C64"/>
    <w:rsid w:val="007A2C9A"/>
    <w:rsid w:val="007A6F20"/>
    <w:rsid w:val="007B190D"/>
    <w:rsid w:val="007B3EFD"/>
    <w:rsid w:val="007B7F02"/>
    <w:rsid w:val="007C29C7"/>
    <w:rsid w:val="007C4B2B"/>
    <w:rsid w:val="007C5F8B"/>
    <w:rsid w:val="007D3421"/>
    <w:rsid w:val="007D4E2E"/>
    <w:rsid w:val="007D6CEA"/>
    <w:rsid w:val="007E2B42"/>
    <w:rsid w:val="007E410C"/>
    <w:rsid w:val="007E4635"/>
    <w:rsid w:val="007E47A6"/>
    <w:rsid w:val="007E56BB"/>
    <w:rsid w:val="007E74E4"/>
    <w:rsid w:val="007E7784"/>
    <w:rsid w:val="007F2A88"/>
    <w:rsid w:val="007F70E9"/>
    <w:rsid w:val="00804204"/>
    <w:rsid w:val="00806A8B"/>
    <w:rsid w:val="00810B44"/>
    <w:rsid w:val="00812069"/>
    <w:rsid w:val="00813D93"/>
    <w:rsid w:val="00815A4D"/>
    <w:rsid w:val="00815A56"/>
    <w:rsid w:val="0083087D"/>
    <w:rsid w:val="008340E3"/>
    <w:rsid w:val="00836FAF"/>
    <w:rsid w:val="00844F91"/>
    <w:rsid w:val="0084752B"/>
    <w:rsid w:val="008511C7"/>
    <w:rsid w:val="008519DB"/>
    <w:rsid w:val="00855549"/>
    <w:rsid w:val="00857490"/>
    <w:rsid w:val="00872874"/>
    <w:rsid w:val="00873C19"/>
    <w:rsid w:val="00875DA1"/>
    <w:rsid w:val="00877D1B"/>
    <w:rsid w:val="00883385"/>
    <w:rsid w:val="008851D8"/>
    <w:rsid w:val="00885E99"/>
    <w:rsid w:val="00886E67"/>
    <w:rsid w:val="00887F3C"/>
    <w:rsid w:val="0089161E"/>
    <w:rsid w:val="00892CFA"/>
    <w:rsid w:val="00896FA9"/>
    <w:rsid w:val="00896FBD"/>
    <w:rsid w:val="008A01FA"/>
    <w:rsid w:val="008A5788"/>
    <w:rsid w:val="008A760E"/>
    <w:rsid w:val="008B3531"/>
    <w:rsid w:val="008B7613"/>
    <w:rsid w:val="008B7669"/>
    <w:rsid w:val="008C5579"/>
    <w:rsid w:val="008C6E11"/>
    <w:rsid w:val="008D211F"/>
    <w:rsid w:val="008E02AF"/>
    <w:rsid w:val="008E07F6"/>
    <w:rsid w:val="008E325E"/>
    <w:rsid w:val="008E49DC"/>
    <w:rsid w:val="008E4E4D"/>
    <w:rsid w:val="008E797F"/>
    <w:rsid w:val="008F0C11"/>
    <w:rsid w:val="008F1D68"/>
    <w:rsid w:val="008F531A"/>
    <w:rsid w:val="008F6D5C"/>
    <w:rsid w:val="009015C5"/>
    <w:rsid w:val="00903056"/>
    <w:rsid w:val="00907C16"/>
    <w:rsid w:val="00913166"/>
    <w:rsid w:val="0092017C"/>
    <w:rsid w:val="00921310"/>
    <w:rsid w:val="00923984"/>
    <w:rsid w:val="00924503"/>
    <w:rsid w:val="009264CA"/>
    <w:rsid w:val="00930ABA"/>
    <w:rsid w:val="00930FC0"/>
    <w:rsid w:val="009323AE"/>
    <w:rsid w:val="009500F6"/>
    <w:rsid w:val="009507B7"/>
    <w:rsid w:val="00950BD2"/>
    <w:rsid w:val="00952070"/>
    <w:rsid w:val="0095383B"/>
    <w:rsid w:val="00955E8A"/>
    <w:rsid w:val="00957C61"/>
    <w:rsid w:val="009601BF"/>
    <w:rsid w:val="00962993"/>
    <w:rsid w:val="00963F28"/>
    <w:rsid w:val="00965F88"/>
    <w:rsid w:val="0096704A"/>
    <w:rsid w:val="00967AC3"/>
    <w:rsid w:val="00971D7B"/>
    <w:rsid w:val="009771BA"/>
    <w:rsid w:val="009838EA"/>
    <w:rsid w:val="00983FE8"/>
    <w:rsid w:val="009860D2"/>
    <w:rsid w:val="0099098D"/>
    <w:rsid w:val="00990AB0"/>
    <w:rsid w:val="00990F86"/>
    <w:rsid w:val="00991D84"/>
    <w:rsid w:val="00995059"/>
    <w:rsid w:val="009A582E"/>
    <w:rsid w:val="009A6268"/>
    <w:rsid w:val="009C1C57"/>
    <w:rsid w:val="009C7B36"/>
    <w:rsid w:val="009D1408"/>
    <w:rsid w:val="009D1A6C"/>
    <w:rsid w:val="009D41C1"/>
    <w:rsid w:val="009E0CC3"/>
    <w:rsid w:val="009E1B7E"/>
    <w:rsid w:val="009E1F9A"/>
    <w:rsid w:val="009E25B5"/>
    <w:rsid w:val="009E26D9"/>
    <w:rsid w:val="009E2D90"/>
    <w:rsid w:val="009E4114"/>
    <w:rsid w:val="009E5528"/>
    <w:rsid w:val="009E5CDF"/>
    <w:rsid w:val="009F3A2B"/>
    <w:rsid w:val="009F3C5F"/>
    <w:rsid w:val="00A0201A"/>
    <w:rsid w:val="00A0415C"/>
    <w:rsid w:val="00A05D9F"/>
    <w:rsid w:val="00A0731F"/>
    <w:rsid w:val="00A106C8"/>
    <w:rsid w:val="00A12828"/>
    <w:rsid w:val="00A12CE4"/>
    <w:rsid w:val="00A15FE1"/>
    <w:rsid w:val="00A16FAC"/>
    <w:rsid w:val="00A2468C"/>
    <w:rsid w:val="00A26C44"/>
    <w:rsid w:val="00A27F11"/>
    <w:rsid w:val="00A313E6"/>
    <w:rsid w:val="00A329A8"/>
    <w:rsid w:val="00A36C1D"/>
    <w:rsid w:val="00A4493E"/>
    <w:rsid w:val="00A46B55"/>
    <w:rsid w:val="00A5331E"/>
    <w:rsid w:val="00A618E8"/>
    <w:rsid w:val="00A62EE0"/>
    <w:rsid w:val="00A646E2"/>
    <w:rsid w:val="00A655C4"/>
    <w:rsid w:val="00A75CC5"/>
    <w:rsid w:val="00A84827"/>
    <w:rsid w:val="00A92A22"/>
    <w:rsid w:val="00A95797"/>
    <w:rsid w:val="00AA0F15"/>
    <w:rsid w:val="00AA4B2A"/>
    <w:rsid w:val="00AA53B4"/>
    <w:rsid w:val="00AB2665"/>
    <w:rsid w:val="00AB7C8C"/>
    <w:rsid w:val="00AB7CB8"/>
    <w:rsid w:val="00AB7D38"/>
    <w:rsid w:val="00AC04EE"/>
    <w:rsid w:val="00AC4E3B"/>
    <w:rsid w:val="00AC5DFD"/>
    <w:rsid w:val="00AC5F30"/>
    <w:rsid w:val="00AC7828"/>
    <w:rsid w:val="00AD20B2"/>
    <w:rsid w:val="00AD50F0"/>
    <w:rsid w:val="00AD520B"/>
    <w:rsid w:val="00AE1A52"/>
    <w:rsid w:val="00AE63F1"/>
    <w:rsid w:val="00AF24A8"/>
    <w:rsid w:val="00AF5695"/>
    <w:rsid w:val="00AF604B"/>
    <w:rsid w:val="00AF66B3"/>
    <w:rsid w:val="00AF69AE"/>
    <w:rsid w:val="00B00A9B"/>
    <w:rsid w:val="00B00E07"/>
    <w:rsid w:val="00B107AA"/>
    <w:rsid w:val="00B12655"/>
    <w:rsid w:val="00B1326C"/>
    <w:rsid w:val="00B13D3A"/>
    <w:rsid w:val="00B151C8"/>
    <w:rsid w:val="00B15900"/>
    <w:rsid w:val="00B167EA"/>
    <w:rsid w:val="00B212A3"/>
    <w:rsid w:val="00B2622E"/>
    <w:rsid w:val="00B309B9"/>
    <w:rsid w:val="00B30F7C"/>
    <w:rsid w:val="00B34B96"/>
    <w:rsid w:val="00B37431"/>
    <w:rsid w:val="00B43C0E"/>
    <w:rsid w:val="00B44951"/>
    <w:rsid w:val="00B47E19"/>
    <w:rsid w:val="00B503D6"/>
    <w:rsid w:val="00B5739E"/>
    <w:rsid w:val="00B614A9"/>
    <w:rsid w:val="00B61D4D"/>
    <w:rsid w:val="00B64813"/>
    <w:rsid w:val="00B70610"/>
    <w:rsid w:val="00B717D0"/>
    <w:rsid w:val="00B77640"/>
    <w:rsid w:val="00BA208B"/>
    <w:rsid w:val="00BA2FE2"/>
    <w:rsid w:val="00BB44C8"/>
    <w:rsid w:val="00BC2F22"/>
    <w:rsid w:val="00BC78E2"/>
    <w:rsid w:val="00BD322D"/>
    <w:rsid w:val="00BD5789"/>
    <w:rsid w:val="00BD5A71"/>
    <w:rsid w:val="00BD5BB4"/>
    <w:rsid w:val="00BE3351"/>
    <w:rsid w:val="00BE3C2C"/>
    <w:rsid w:val="00BE5F61"/>
    <w:rsid w:val="00BE6EE6"/>
    <w:rsid w:val="00BF465D"/>
    <w:rsid w:val="00BF71D2"/>
    <w:rsid w:val="00C00A42"/>
    <w:rsid w:val="00C02982"/>
    <w:rsid w:val="00C046AD"/>
    <w:rsid w:val="00C06E62"/>
    <w:rsid w:val="00C10652"/>
    <w:rsid w:val="00C12529"/>
    <w:rsid w:val="00C2232B"/>
    <w:rsid w:val="00C23760"/>
    <w:rsid w:val="00C242C7"/>
    <w:rsid w:val="00C2753B"/>
    <w:rsid w:val="00C3198B"/>
    <w:rsid w:val="00C31D42"/>
    <w:rsid w:val="00C34260"/>
    <w:rsid w:val="00C36F3E"/>
    <w:rsid w:val="00C37639"/>
    <w:rsid w:val="00C37CA6"/>
    <w:rsid w:val="00C521E5"/>
    <w:rsid w:val="00C60328"/>
    <w:rsid w:val="00C64C7F"/>
    <w:rsid w:val="00C67EAA"/>
    <w:rsid w:val="00C71510"/>
    <w:rsid w:val="00C74235"/>
    <w:rsid w:val="00C75F70"/>
    <w:rsid w:val="00C857C8"/>
    <w:rsid w:val="00C939E0"/>
    <w:rsid w:val="00C93CC5"/>
    <w:rsid w:val="00CA519B"/>
    <w:rsid w:val="00CA76A8"/>
    <w:rsid w:val="00CB158D"/>
    <w:rsid w:val="00CB1D03"/>
    <w:rsid w:val="00CB2D03"/>
    <w:rsid w:val="00CB2E22"/>
    <w:rsid w:val="00CB41B4"/>
    <w:rsid w:val="00CC0B08"/>
    <w:rsid w:val="00CC1FAF"/>
    <w:rsid w:val="00CC2180"/>
    <w:rsid w:val="00CD1D62"/>
    <w:rsid w:val="00CD330C"/>
    <w:rsid w:val="00CD5267"/>
    <w:rsid w:val="00CD64E4"/>
    <w:rsid w:val="00CD7A88"/>
    <w:rsid w:val="00CE05B0"/>
    <w:rsid w:val="00CE096A"/>
    <w:rsid w:val="00CE1EF6"/>
    <w:rsid w:val="00CE3D63"/>
    <w:rsid w:val="00CE4954"/>
    <w:rsid w:val="00CF1991"/>
    <w:rsid w:val="00CF1CF0"/>
    <w:rsid w:val="00CF2A83"/>
    <w:rsid w:val="00CF309D"/>
    <w:rsid w:val="00CF44EB"/>
    <w:rsid w:val="00CF6773"/>
    <w:rsid w:val="00CF7BCF"/>
    <w:rsid w:val="00D01F71"/>
    <w:rsid w:val="00D02D76"/>
    <w:rsid w:val="00D04568"/>
    <w:rsid w:val="00D054C5"/>
    <w:rsid w:val="00D06B87"/>
    <w:rsid w:val="00D12E97"/>
    <w:rsid w:val="00D260AF"/>
    <w:rsid w:val="00D2697C"/>
    <w:rsid w:val="00D26E54"/>
    <w:rsid w:val="00D333D3"/>
    <w:rsid w:val="00D3367A"/>
    <w:rsid w:val="00D3505A"/>
    <w:rsid w:val="00D35087"/>
    <w:rsid w:val="00D35466"/>
    <w:rsid w:val="00D354B8"/>
    <w:rsid w:val="00D361DB"/>
    <w:rsid w:val="00D37CDF"/>
    <w:rsid w:val="00D416F8"/>
    <w:rsid w:val="00D41754"/>
    <w:rsid w:val="00D435BA"/>
    <w:rsid w:val="00D566E4"/>
    <w:rsid w:val="00D622BD"/>
    <w:rsid w:val="00D623E9"/>
    <w:rsid w:val="00D65F06"/>
    <w:rsid w:val="00D70A35"/>
    <w:rsid w:val="00D7377D"/>
    <w:rsid w:val="00D74F9A"/>
    <w:rsid w:val="00D77088"/>
    <w:rsid w:val="00D803A6"/>
    <w:rsid w:val="00D80D46"/>
    <w:rsid w:val="00D81864"/>
    <w:rsid w:val="00D869B2"/>
    <w:rsid w:val="00D9077D"/>
    <w:rsid w:val="00D93A11"/>
    <w:rsid w:val="00D9532A"/>
    <w:rsid w:val="00DA02EC"/>
    <w:rsid w:val="00DA5D6C"/>
    <w:rsid w:val="00DA7F02"/>
    <w:rsid w:val="00DB18EB"/>
    <w:rsid w:val="00DB5C53"/>
    <w:rsid w:val="00DC06BC"/>
    <w:rsid w:val="00DC4007"/>
    <w:rsid w:val="00DC422D"/>
    <w:rsid w:val="00DC44C8"/>
    <w:rsid w:val="00DC465F"/>
    <w:rsid w:val="00DC5387"/>
    <w:rsid w:val="00DC5C1D"/>
    <w:rsid w:val="00DC6174"/>
    <w:rsid w:val="00DD1F48"/>
    <w:rsid w:val="00DD402E"/>
    <w:rsid w:val="00DE2F82"/>
    <w:rsid w:val="00DE3761"/>
    <w:rsid w:val="00DE6937"/>
    <w:rsid w:val="00DF0F5E"/>
    <w:rsid w:val="00DF351E"/>
    <w:rsid w:val="00DF5DAD"/>
    <w:rsid w:val="00E079DC"/>
    <w:rsid w:val="00E10E4F"/>
    <w:rsid w:val="00E23E56"/>
    <w:rsid w:val="00E308FB"/>
    <w:rsid w:val="00E309A0"/>
    <w:rsid w:val="00E349EC"/>
    <w:rsid w:val="00E401E1"/>
    <w:rsid w:val="00E42AD9"/>
    <w:rsid w:val="00E43457"/>
    <w:rsid w:val="00E47942"/>
    <w:rsid w:val="00E50911"/>
    <w:rsid w:val="00E50A9C"/>
    <w:rsid w:val="00E5444A"/>
    <w:rsid w:val="00E55727"/>
    <w:rsid w:val="00E66791"/>
    <w:rsid w:val="00E77EAF"/>
    <w:rsid w:val="00E84440"/>
    <w:rsid w:val="00E900D8"/>
    <w:rsid w:val="00E93E1C"/>
    <w:rsid w:val="00E951CE"/>
    <w:rsid w:val="00E95AE6"/>
    <w:rsid w:val="00E95B6A"/>
    <w:rsid w:val="00EA3CF9"/>
    <w:rsid w:val="00EA7D95"/>
    <w:rsid w:val="00EB11D9"/>
    <w:rsid w:val="00EB4813"/>
    <w:rsid w:val="00EB60C8"/>
    <w:rsid w:val="00EB6EDC"/>
    <w:rsid w:val="00EC55DB"/>
    <w:rsid w:val="00ED0D2D"/>
    <w:rsid w:val="00ED12F6"/>
    <w:rsid w:val="00ED4360"/>
    <w:rsid w:val="00EE5AB9"/>
    <w:rsid w:val="00EE6E63"/>
    <w:rsid w:val="00EF449C"/>
    <w:rsid w:val="00EF6597"/>
    <w:rsid w:val="00F06B01"/>
    <w:rsid w:val="00F07B43"/>
    <w:rsid w:val="00F12A9E"/>
    <w:rsid w:val="00F17D76"/>
    <w:rsid w:val="00F209A8"/>
    <w:rsid w:val="00F312F9"/>
    <w:rsid w:val="00F328B6"/>
    <w:rsid w:val="00F3464D"/>
    <w:rsid w:val="00F35182"/>
    <w:rsid w:val="00F51398"/>
    <w:rsid w:val="00F513C5"/>
    <w:rsid w:val="00F517E6"/>
    <w:rsid w:val="00F525DB"/>
    <w:rsid w:val="00F558D1"/>
    <w:rsid w:val="00F629D4"/>
    <w:rsid w:val="00F66C46"/>
    <w:rsid w:val="00F7444A"/>
    <w:rsid w:val="00F74508"/>
    <w:rsid w:val="00F8301B"/>
    <w:rsid w:val="00F8398A"/>
    <w:rsid w:val="00F83B9D"/>
    <w:rsid w:val="00F84069"/>
    <w:rsid w:val="00F90B27"/>
    <w:rsid w:val="00F94C9E"/>
    <w:rsid w:val="00F96023"/>
    <w:rsid w:val="00FA262C"/>
    <w:rsid w:val="00FA4164"/>
    <w:rsid w:val="00FA6200"/>
    <w:rsid w:val="00FC25F7"/>
    <w:rsid w:val="00FD3DB2"/>
    <w:rsid w:val="00FD743C"/>
    <w:rsid w:val="00FD7CD8"/>
    <w:rsid w:val="00FE0BC4"/>
    <w:rsid w:val="00FE20B9"/>
    <w:rsid w:val="00FE3210"/>
    <w:rsid w:val="00FE46C9"/>
    <w:rsid w:val="00FE5615"/>
    <w:rsid w:val="00FE5797"/>
    <w:rsid w:val="00FF02D9"/>
    <w:rsid w:val="00FF0F7F"/>
    <w:rsid w:val="00FF1D95"/>
    <w:rsid w:val="00FF5FF7"/>
    <w:rsid w:val="00FF7991"/>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7 Char Char,rrfootnote"/>
    <w:basedOn w:val="Normal"/>
    <w:link w:val="FootnoteTextChar1"/>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
    <w:link w:val="FootnoteText"/>
    <w:rPr>
      <w:lang w:val="en-US" w:eastAsia="en-US" w:bidi="ar-SA"/>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3">
    <w:name w:val="searchterm3"/>
    <w:rPr>
      <w:b/>
      <w:bCs/>
      <w:shd w:val="clear" w:color="auto" w:fill="FFFF0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6145B3"/>
    <w:rPr>
      <w:sz w:val="16"/>
      <w:szCs w:val="16"/>
    </w:rPr>
  </w:style>
  <w:style w:type="paragraph" w:styleId="CommentText">
    <w:name w:val="annotation text"/>
    <w:basedOn w:val="Normal"/>
    <w:semiHidden/>
    <w:rsid w:val="006145B3"/>
  </w:style>
  <w:style w:type="paragraph" w:styleId="CommentSubject">
    <w:name w:val="annotation subject"/>
    <w:basedOn w:val="CommentText"/>
    <w:next w:val="CommentText"/>
    <w:semiHidden/>
    <w:rsid w:val="006145B3"/>
    <w:rPr>
      <w:b/>
      <w:bCs/>
    </w:rPr>
  </w:style>
  <w:style w:type="character" w:customStyle="1" w:styleId="pmterms21">
    <w:name w:val="pmterms21"/>
    <w:rsid w:val="00AA4B2A"/>
    <w:rPr>
      <w:b/>
      <w:bCs/>
      <w:i w:val="0"/>
      <w:iCs w:val="0"/>
      <w:color w:val="000000"/>
    </w:rPr>
  </w:style>
  <w:style w:type="character" w:customStyle="1" w:styleId="pmterms11">
    <w:name w:val="pmterms11"/>
    <w:rsid w:val="00AA4B2A"/>
    <w:rPr>
      <w:b/>
      <w:bCs/>
      <w:i w:val="0"/>
      <w:iCs w:val="0"/>
      <w:color w:val="000000"/>
    </w:rPr>
  </w:style>
  <w:style w:type="character" w:customStyle="1" w:styleId="term1">
    <w:name w:val="term1"/>
    <w:rsid w:val="00857490"/>
    <w:rPr>
      <w:b/>
      <w:bCs/>
    </w:rPr>
  </w:style>
  <w:style w:type="character" w:customStyle="1" w:styleId="rrfootnoteChar">
    <w:name w:val="rrfootnote Char"/>
    <w:aliases w:val="rrfootnote Char Char Char,Footnote Text Char1 Char Char Char,Footnote Text Char Char Char Char Char,rrfootnote Char Char Char Char Char,Footnote Text Ch Char"/>
    <w:basedOn w:val="DefaultParagraphFont"/>
    <w:semiHidden/>
    <w:rsid w:val="00AC5F30"/>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7 Char Char,rrfootnote"/>
    <w:basedOn w:val="Normal"/>
    <w:link w:val="FootnoteTextChar1"/>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
    <w:link w:val="FootnoteText"/>
    <w:rPr>
      <w:lang w:val="en-US" w:eastAsia="en-US" w:bidi="ar-SA"/>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3">
    <w:name w:val="searchterm3"/>
    <w:rPr>
      <w:b/>
      <w:bCs/>
      <w:shd w:val="clear" w:color="auto" w:fill="FFFF0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6145B3"/>
    <w:rPr>
      <w:sz w:val="16"/>
      <w:szCs w:val="16"/>
    </w:rPr>
  </w:style>
  <w:style w:type="paragraph" w:styleId="CommentText">
    <w:name w:val="annotation text"/>
    <w:basedOn w:val="Normal"/>
    <w:semiHidden/>
    <w:rsid w:val="006145B3"/>
  </w:style>
  <w:style w:type="paragraph" w:styleId="CommentSubject">
    <w:name w:val="annotation subject"/>
    <w:basedOn w:val="CommentText"/>
    <w:next w:val="CommentText"/>
    <w:semiHidden/>
    <w:rsid w:val="006145B3"/>
    <w:rPr>
      <w:b/>
      <w:bCs/>
    </w:rPr>
  </w:style>
  <w:style w:type="character" w:customStyle="1" w:styleId="pmterms21">
    <w:name w:val="pmterms21"/>
    <w:rsid w:val="00AA4B2A"/>
    <w:rPr>
      <w:b/>
      <w:bCs/>
      <w:i w:val="0"/>
      <w:iCs w:val="0"/>
      <w:color w:val="000000"/>
    </w:rPr>
  </w:style>
  <w:style w:type="character" w:customStyle="1" w:styleId="pmterms11">
    <w:name w:val="pmterms11"/>
    <w:rsid w:val="00AA4B2A"/>
    <w:rPr>
      <w:b/>
      <w:bCs/>
      <w:i w:val="0"/>
      <w:iCs w:val="0"/>
      <w:color w:val="000000"/>
    </w:rPr>
  </w:style>
  <w:style w:type="character" w:customStyle="1" w:styleId="term1">
    <w:name w:val="term1"/>
    <w:rsid w:val="00857490"/>
    <w:rPr>
      <w:b/>
      <w:bCs/>
    </w:rPr>
  </w:style>
  <w:style w:type="character" w:customStyle="1" w:styleId="rrfootnoteChar">
    <w:name w:val="rrfootnote Char"/>
    <w:aliases w:val="rrfootnote Char Char Char,Footnote Text Char1 Char Char Char,Footnote Text Char Char Char Char Char,rrfootnote Char Char Char Char Char,Footnote Text Ch Char"/>
    <w:basedOn w:val="DefaultParagraphFont"/>
    <w:semiHidden/>
    <w:rsid w:val="00AC5F30"/>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344">
      <w:bodyDiv w:val="1"/>
      <w:marLeft w:val="0"/>
      <w:marRight w:val="0"/>
      <w:marTop w:val="0"/>
      <w:marBottom w:val="0"/>
      <w:divBdr>
        <w:top w:val="none" w:sz="0" w:space="0" w:color="auto"/>
        <w:left w:val="none" w:sz="0" w:space="0" w:color="auto"/>
        <w:bottom w:val="none" w:sz="0" w:space="0" w:color="auto"/>
        <w:right w:val="none" w:sz="0" w:space="0" w:color="auto"/>
      </w:divBdr>
      <w:divsChild>
        <w:div w:id="1239557976">
          <w:marLeft w:val="0"/>
          <w:marRight w:val="0"/>
          <w:marTop w:val="0"/>
          <w:marBottom w:val="0"/>
          <w:divBdr>
            <w:top w:val="none" w:sz="0" w:space="0" w:color="auto"/>
            <w:left w:val="none" w:sz="0" w:space="0" w:color="auto"/>
            <w:bottom w:val="none" w:sz="0" w:space="0" w:color="auto"/>
            <w:right w:val="none" w:sz="0" w:space="0" w:color="auto"/>
          </w:divBdr>
          <w:divsChild>
            <w:div w:id="7669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2062</Words>
  <Characters>11414</Characters>
  <Application>Microsoft Office Word</Application>
  <DocSecurity>0</DocSecurity>
  <Lines>189</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13611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2011-03-07T18:35:00Z</cp:lastPrinted>
  <dcterms:created xsi:type="dcterms:W3CDTF">2014-12-18T20:42:00Z</dcterms:created>
  <dcterms:modified xsi:type="dcterms:W3CDTF">2014-12-18T20:42:00Z</dcterms:modified>
  <cp:category> </cp:category>
  <cp:contentStatus> </cp:contentStatus>
</cp:coreProperties>
</file>