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78" w:rsidRPr="000A2CB3" w:rsidRDefault="00BC7878">
      <w:pPr>
        <w:pStyle w:val="Header"/>
        <w:tabs>
          <w:tab w:val="clear" w:pos="4320"/>
          <w:tab w:val="clear" w:pos="8640"/>
        </w:tabs>
        <w:rPr>
          <w:szCs w:val="22"/>
        </w:rPr>
        <w:sectPr w:rsidR="00BC7878" w:rsidRPr="000A2CB3" w:rsidSect="000B68C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20" w:gutter="0"/>
          <w:cols w:space="720"/>
          <w:titlePg/>
          <w:docGrid w:linePitch="299"/>
        </w:sectPr>
      </w:pPr>
      <w:bookmarkStart w:id="1" w:name="_GoBack"/>
      <w:bookmarkEnd w:id="1"/>
    </w:p>
    <w:p w:rsidR="00BC7878" w:rsidRPr="000A2CB3" w:rsidRDefault="00346ADD">
      <w:pPr>
        <w:jc w:val="right"/>
        <w:rPr>
          <w:b/>
          <w:szCs w:val="22"/>
        </w:rPr>
      </w:pPr>
      <w:r w:rsidRPr="000A2CB3">
        <w:rPr>
          <w:b/>
          <w:szCs w:val="22"/>
        </w:rPr>
        <w:lastRenderedPageBreak/>
        <w:t xml:space="preserve"> </w:t>
      </w:r>
      <w:r w:rsidR="0012446B" w:rsidRPr="000A2CB3">
        <w:rPr>
          <w:b/>
          <w:szCs w:val="22"/>
        </w:rPr>
        <w:t xml:space="preserve">DA </w:t>
      </w:r>
      <w:r w:rsidR="007D7D94" w:rsidRPr="007D7D94">
        <w:rPr>
          <w:b/>
          <w:szCs w:val="22"/>
        </w:rPr>
        <w:t>14-1873</w:t>
      </w:r>
    </w:p>
    <w:p w:rsidR="00BC7878" w:rsidRPr="000A2CB3" w:rsidRDefault="00346ADD">
      <w:pPr>
        <w:spacing w:before="60"/>
        <w:jc w:val="right"/>
        <w:rPr>
          <w:b/>
          <w:szCs w:val="22"/>
        </w:rPr>
      </w:pPr>
      <w:r w:rsidRPr="000A2CB3">
        <w:rPr>
          <w:b/>
          <w:szCs w:val="22"/>
        </w:rPr>
        <w:t xml:space="preserve">  </w:t>
      </w:r>
      <w:r w:rsidR="00BC7878" w:rsidRPr="000A2CB3">
        <w:rPr>
          <w:b/>
          <w:szCs w:val="22"/>
        </w:rPr>
        <w:t xml:space="preserve">Released: </w:t>
      </w:r>
      <w:r w:rsidR="00A314D9">
        <w:rPr>
          <w:b/>
          <w:szCs w:val="22"/>
        </w:rPr>
        <w:t xml:space="preserve">December </w:t>
      </w:r>
      <w:r w:rsidR="007D7D94">
        <w:rPr>
          <w:b/>
          <w:szCs w:val="22"/>
        </w:rPr>
        <w:t>19</w:t>
      </w:r>
      <w:r w:rsidR="00BC7878" w:rsidRPr="000A2CB3">
        <w:rPr>
          <w:b/>
          <w:szCs w:val="22"/>
        </w:rPr>
        <w:t>, 2014</w:t>
      </w:r>
    </w:p>
    <w:p w:rsidR="00BC7878" w:rsidRPr="000A2CB3" w:rsidRDefault="00BC7878">
      <w:pPr>
        <w:jc w:val="right"/>
        <w:rPr>
          <w:szCs w:val="22"/>
        </w:rPr>
      </w:pPr>
    </w:p>
    <w:p w:rsidR="004610CF" w:rsidRPr="000A2CB3" w:rsidRDefault="0046105A" w:rsidP="004610CF">
      <w:pPr>
        <w:jc w:val="center"/>
        <w:rPr>
          <w:b/>
          <w:szCs w:val="22"/>
        </w:rPr>
      </w:pPr>
      <w:r w:rsidRPr="000A2CB3">
        <w:rPr>
          <w:b/>
          <w:szCs w:val="22"/>
        </w:rPr>
        <w:t xml:space="preserve">STREAMLINED RESOLUTION OF REQUESTS RELATED TO </w:t>
      </w:r>
    </w:p>
    <w:p w:rsidR="004610CF" w:rsidRPr="000A2CB3" w:rsidRDefault="0046105A" w:rsidP="004610CF">
      <w:pPr>
        <w:jc w:val="center"/>
        <w:rPr>
          <w:b/>
          <w:szCs w:val="22"/>
        </w:rPr>
      </w:pPr>
      <w:r w:rsidRPr="000A2CB3">
        <w:rPr>
          <w:b/>
          <w:szCs w:val="22"/>
        </w:rPr>
        <w:t>ACTIONS BY THE UNIVERSAL SERVICE ADMINISTRATIVE COMPANY</w:t>
      </w:r>
    </w:p>
    <w:p w:rsidR="004610CF" w:rsidRPr="000A2CB3" w:rsidRDefault="004610CF" w:rsidP="004610CF">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rsidR="004610CF" w:rsidRPr="000A2CB3" w:rsidRDefault="004610CF" w:rsidP="004610CF">
      <w:pPr>
        <w:jc w:val="center"/>
        <w:rPr>
          <w:b/>
          <w:szCs w:val="22"/>
        </w:rPr>
      </w:pPr>
      <w:r w:rsidRPr="000A2CB3">
        <w:rPr>
          <w:b/>
          <w:szCs w:val="22"/>
        </w:rPr>
        <w:t>CC Docket No. 96-45</w:t>
      </w:r>
    </w:p>
    <w:p w:rsidR="00F65302" w:rsidRDefault="00F65302" w:rsidP="00F65302">
      <w:pPr>
        <w:jc w:val="center"/>
        <w:rPr>
          <w:b/>
          <w:szCs w:val="22"/>
          <w:lang w:val="en"/>
        </w:rPr>
      </w:pPr>
      <w:r>
        <w:rPr>
          <w:b/>
          <w:szCs w:val="22"/>
        </w:rPr>
        <w:t>CC Docket No. 97-21</w:t>
      </w:r>
      <w:r w:rsidRPr="00F65302">
        <w:rPr>
          <w:b/>
          <w:szCs w:val="22"/>
          <w:lang w:val="en"/>
        </w:rPr>
        <w:t xml:space="preserve"> </w:t>
      </w:r>
    </w:p>
    <w:p w:rsidR="00F65302" w:rsidRDefault="00F65302" w:rsidP="00F65302">
      <w:pPr>
        <w:jc w:val="center"/>
        <w:rPr>
          <w:b/>
          <w:szCs w:val="22"/>
          <w:lang w:val="en"/>
        </w:rPr>
      </w:pPr>
      <w:r w:rsidRPr="000B68CD">
        <w:rPr>
          <w:b/>
          <w:szCs w:val="22"/>
          <w:lang w:val="en"/>
        </w:rPr>
        <w:t>CC Docket No. 02-6</w:t>
      </w:r>
    </w:p>
    <w:p w:rsidR="00F65302" w:rsidRDefault="00F65302" w:rsidP="00F65302">
      <w:pPr>
        <w:jc w:val="center"/>
        <w:rPr>
          <w:b/>
          <w:szCs w:val="22"/>
        </w:rPr>
      </w:pPr>
      <w:r>
        <w:rPr>
          <w:b/>
          <w:szCs w:val="22"/>
        </w:rPr>
        <w:t xml:space="preserve">WC Docket No. 02-60 </w:t>
      </w:r>
    </w:p>
    <w:p w:rsidR="00F65302" w:rsidRPr="000B68CD" w:rsidRDefault="00F65302" w:rsidP="004610CF">
      <w:pPr>
        <w:jc w:val="center"/>
        <w:rPr>
          <w:b/>
          <w:szCs w:val="22"/>
          <w:lang w:val="en"/>
        </w:rPr>
      </w:pPr>
      <w:r w:rsidRPr="008264C4">
        <w:rPr>
          <w:b/>
          <w:color w:val="333333"/>
          <w:szCs w:val="22"/>
          <w:lang w:val="en"/>
        </w:rPr>
        <w:t>WC Docket No. 06-122</w:t>
      </w:r>
    </w:p>
    <w:p w:rsidR="004610CF" w:rsidRPr="000B68CD" w:rsidRDefault="009B605F" w:rsidP="004610CF">
      <w:pPr>
        <w:jc w:val="center"/>
        <w:rPr>
          <w:b/>
          <w:szCs w:val="22"/>
          <w:lang w:val="en"/>
        </w:rPr>
      </w:pPr>
      <w:r>
        <w:rPr>
          <w:b/>
          <w:szCs w:val="22"/>
          <w:lang w:val="en"/>
        </w:rPr>
        <w:t>WC Docket No. 08-71</w:t>
      </w:r>
    </w:p>
    <w:p w:rsidR="004610CF" w:rsidRPr="00C43514" w:rsidRDefault="004610CF" w:rsidP="004610CF">
      <w:pPr>
        <w:jc w:val="center"/>
        <w:rPr>
          <w:b/>
          <w:szCs w:val="22"/>
        </w:rPr>
      </w:pPr>
    </w:p>
    <w:p w:rsidR="001021EA" w:rsidRPr="008A49AF" w:rsidRDefault="00D741B2" w:rsidP="006457FA">
      <w:pPr>
        <w:pStyle w:val="ParaNum"/>
        <w:numPr>
          <w:ilvl w:val="0"/>
          <w:numId w:val="0"/>
        </w:numPr>
        <w:tabs>
          <w:tab w:val="num" w:pos="720"/>
          <w:tab w:val="left" w:pos="1440"/>
        </w:tabs>
        <w:spacing w:after="0"/>
        <w:rPr>
          <w:szCs w:val="22"/>
          <w:lang w:val="en-US"/>
        </w:rPr>
      </w:pPr>
      <w:r w:rsidRPr="0087417E">
        <w:rPr>
          <w:szCs w:val="22"/>
          <w:lang w:val="en-US"/>
        </w:rPr>
        <w:tab/>
      </w:r>
      <w:r w:rsidR="004610CF"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004610CF" w:rsidRPr="0087417E">
        <w:rPr>
          <w:szCs w:val="22"/>
        </w:rPr>
        <w:t>that are consistent with precedent</w:t>
      </w:r>
      <w:r w:rsidR="000A2CB3">
        <w:rPr>
          <w:szCs w:val="22"/>
          <w:lang w:val="en-US"/>
        </w:rPr>
        <w:t xml:space="preserve"> </w:t>
      </w:r>
      <w:r w:rsidR="000A2CB3" w:rsidRPr="003C2877">
        <w:rPr>
          <w:szCs w:val="22"/>
        </w:rPr>
        <w:t>(collectively, Requests)</w:t>
      </w:r>
      <w:r w:rsidR="004610CF" w:rsidRPr="00C43514">
        <w:rPr>
          <w:szCs w:val="22"/>
        </w:rPr>
        <w:t xml:space="preserve">, </w:t>
      </w:r>
      <w:r w:rsidR="000A2CB3">
        <w:rPr>
          <w:szCs w:val="22"/>
          <w:lang w:val="en-US"/>
        </w:rPr>
        <w:t xml:space="preserve">the Wireline Competition Bureau </w:t>
      </w:r>
      <w:r w:rsidR="004610CF" w:rsidRPr="00C43514">
        <w:rPr>
          <w:szCs w:val="22"/>
        </w:rPr>
        <w:t>grant</w:t>
      </w:r>
      <w:r w:rsidR="000A2CB3">
        <w:rPr>
          <w:szCs w:val="22"/>
          <w:lang w:val="en-US"/>
        </w:rPr>
        <w:t>s</w:t>
      </w:r>
      <w:r w:rsidR="004610CF" w:rsidRPr="00C43514">
        <w:rPr>
          <w:szCs w:val="22"/>
        </w:rPr>
        <w:t xml:space="preserve"> and den</w:t>
      </w:r>
      <w:r w:rsidR="000A2CB3">
        <w:rPr>
          <w:szCs w:val="22"/>
          <w:lang w:val="en-US"/>
        </w:rPr>
        <w:t>ies</w:t>
      </w:r>
      <w:r w:rsidR="004610CF" w:rsidRPr="0087417E">
        <w:rPr>
          <w:szCs w:val="22"/>
        </w:rPr>
        <w:t xml:space="preserve"> the following Requests.</w:t>
      </w:r>
      <w:r w:rsidR="004610CF" w:rsidRPr="0087417E">
        <w:rPr>
          <w:rStyle w:val="FootnoteReference"/>
          <w:szCs w:val="22"/>
        </w:rPr>
        <w:footnoteReference w:id="2"/>
      </w:r>
      <w:r w:rsidR="004610CF" w:rsidRPr="0087417E">
        <w:rPr>
          <w:szCs w:val="22"/>
        </w:rPr>
        <w:t xml:space="preserve">  </w:t>
      </w:r>
      <w:r w:rsidR="00D47D0E" w:rsidRPr="0087417E">
        <w:rPr>
          <w:szCs w:val="22"/>
          <w:lang w:val="en-US"/>
        </w:rPr>
        <w:t xml:space="preserve">The deadline for filing </w:t>
      </w:r>
      <w:r w:rsidR="00D37E67" w:rsidRPr="0087417E">
        <w:rPr>
          <w:szCs w:val="22"/>
        </w:rPr>
        <w:t>petitions</w:t>
      </w:r>
      <w:r w:rsidR="004610CF" w:rsidRPr="0087417E">
        <w:rPr>
          <w:szCs w:val="22"/>
        </w:rPr>
        <w:t xml:space="preserve"> for reconsideration or applications for review concerning the disposition of any of these Requests </w:t>
      </w:r>
      <w:r w:rsidR="00D47D0E" w:rsidRPr="0087417E">
        <w:rPr>
          <w:szCs w:val="22"/>
          <w:lang w:val="en-US"/>
        </w:rPr>
        <w:t xml:space="preserve">is </w:t>
      </w:r>
      <w:r w:rsidR="004610CF" w:rsidRPr="0087417E">
        <w:rPr>
          <w:szCs w:val="22"/>
        </w:rPr>
        <w:t xml:space="preserve">30 days </w:t>
      </w:r>
      <w:r w:rsidR="00D47D0E" w:rsidRPr="0087417E">
        <w:rPr>
          <w:szCs w:val="22"/>
          <w:lang w:val="en-US"/>
        </w:rPr>
        <w:t xml:space="preserve">from release </w:t>
      </w:r>
      <w:r w:rsidR="004610CF" w:rsidRPr="0087417E">
        <w:rPr>
          <w:szCs w:val="22"/>
        </w:rPr>
        <w:t>of this Public Notice.</w:t>
      </w:r>
      <w:r w:rsidR="004610CF" w:rsidRPr="0087417E">
        <w:rPr>
          <w:rStyle w:val="FootnoteReference"/>
          <w:szCs w:val="22"/>
        </w:rPr>
        <w:footnoteReference w:id="3"/>
      </w:r>
    </w:p>
    <w:p w:rsidR="002357DE" w:rsidRPr="000B68CD" w:rsidRDefault="002357DE" w:rsidP="006457FA">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w:t>
      </w:r>
      <w:r w:rsidR="00B652DB">
        <w:rPr>
          <w:szCs w:val="22"/>
          <w:lang w:val="en-US"/>
        </w:rPr>
        <w:t>___</w:t>
      </w:r>
    </w:p>
    <w:p w:rsidR="00645E83" w:rsidRPr="0087417E" w:rsidRDefault="00794E6E" w:rsidP="000B68CD">
      <w:pPr>
        <w:pStyle w:val="ParaNum"/>
        <w:keepNext/>
        <w:numPr>
          <w:ilvl w:val="0"/>
          <w:numId w:val="0"/>
        </w:numPr>
        <w:tabs>
          <w:tab w:val="num" w:pos="720"/>
          <w:tab w:val="left" w:pos="1440"/>
        </w:tabs>
        <w:spacing w:after="0"/>
        <w:rPr>
          <w:b/>
          <w:szCs w:val="22"/>
          <w:u w:val="single"/>
        </w:rPr>
      </w:pPr>
      <w:r w:rsidRPr="0087417E">
        <w:rPr>
          <w:b/>
          <w:szCs w:val="22"/>
          <w:u w:val="single"/>
          <w:lang w:val="en-US"/>
        </w:rPr>
        <w:lastRenderedPageBreak/>
        <w:t>Schools and Libraries (E-rate)</w:t>
      </w:r>
      <w:r w:rsidR="00B520FF" w:rsidRPr="0087417E">
        <w:rPr>
          <w:b/>
          <w:szCs w:val="22"/>
          <w:u w:val="single"/>
        </w:rPr>
        <w:t xml:space="preserve"> </w:t>
      </w:r>
    </w:p>
    <w:p w:rsidR="00645E83" w:rsidRPr="0087417E" w:rsidRDefault="009F2B23" w:rsidP="000B68CD">
      <w:pPr>
        <w:pStyle w:val="ParaNum"/>
        <w:keepNext/>
        <w:numPr>
          <w:ilvl w:val="0"/>
          <w:numId w:val="0"/>
        </w:numPr>
        <w:tabs>
          <w:tab w:val="num" w:pos="360"/>
          <w:tab w:val="left" w:pos="1440"/>
        </w:tabs>
        <w:spacing w:after="0"/>
        <w:rPr>
          <w:b/>
          <w:szCs w:val="22"/>
          <w:lang w:val="en-US"/>
        </w:rPr>
      </w:pPr>
      <w:r w:rsidRPr="0087417E">
        <w:rPr>
          <w:b/>
          <w:szCs w:val="22"/>
          <w:lang w:val="en-US"/>
        </w:rPr>
        <w:t>C</w:t>
      </w:r>
      <w:r w:rsidR="00794E6E" w:rsidRPr="0087417E">
        <w:rPr>
          <w:b/>
          <w:szCs w:val="22"/>
          <w:lang w:val="en-US"/>
        </w:rPr>
        <w:t>C Docket No. 02-6</w:t>
      </w:r>
    </w:p>
    <w:p w:rsidR="00794E6E" w:rsidRPr="0087417E" w:rsidRDefault="00794E6E" w:rsidP="000B68CD">
      <w:pPr>
        <w:pStyle w:val="ParaNum"/>
        <w:keepNext/>
        <w:numPr>
          <w:ilvl w:val="0"/>
          <w:numId w:val="0"/>
        </w:numPr>
        <w:tabs>
          <w:tab w:val="num" w:pos="360"/>
          <w:tab w:val="left" w:pos="1440"/>
        </w:tabs>
        <w:spacing w:after="0"/>
        <w:rPr>
          <w:b/>
          <w:szCs w:val="22"/>
          <w:lang w:val="en-US"/>
        </w:rPr>
      </w:pPr>
    </w:p>
    <w:p w:rsidR="00F061A6" w:rsidRPr="00C43514" w:rsidRDefault="000B7D90" w:rsidP="000B68CD">
      <w:pPr>
        <w:pStyle w:val="ParaNum"/>
        <w:keepNext/>
        <w:keepLines/>
        <w:numPr>
          <w:ilvl w:val="0"/>
          <w:numId w:val="0"/>
        </w:numPr>
        <w:tabs>
          <w:tab w:val="num" w:pos="360"/>
          <w:tab w:val="left" w:pos="1440"/>
        </w:tabs>
        <w:spacing w:after="0"/>
        <w:rPr>
          <w:szCs w:val="22"/>
          <w:u w:val="single"/>
        </w:rPr>
      </w:pPr>
      <w:r w:rsidRPr="0087417E">
        <w:rPr>
          <w:szCs w:val="22"/>
          <w:u w:val="single"/>
        </w:rPr>
        <w:t>Grant</w:t>
      </w:r>
      <w:r>
        <w:rPr>
          <w:szCs w:val="22"/>
          <w:u w:val="single"/>
          <w:lang w:val="en-US"/>
        </w:rPr>
        <w:t>ed</w:t>
      </w:r>
      <w:r w:rsidR="00A03471" w:rsidRPr="000B68CD">
        <w:rPr>
          <w:rStyle w:val="FootnoteReference"/>
          <w:szCs w:val="22"/>
        </w:rPr>
        <w:footnoteReference w:id="4"/>
      </w:r>
    </w:p>
    <w:p w:rsidR="00DE3561" w:rsidRPr="0087417E" w:rsidRDefault="00DE3561" w:rsidP="000B68CD">
      <w:pPr>
        <w:pStyle w:val="ParaNum"/>
        <w:keepNext/>
        <w:keepLines/>
        <w:numPr>
          <w:ilvl w:val="0"/>
          <w:numId w:val="0"/>
        </w:numPr>
        <w:tabs>
          <w:tab w:val="left" w:pos="360"/>
          <w:tab w:val="num" w:pos="1080"/>
        </w:tabs>
        <w:spacing w:after="0"/>
        <w:rPr>
          <w:i/>
          <w:szCs w:val="22"/>
          <w:lang w:val="en-US"/>
        </w:rPr>
      </w:pPr>
    </w:p>
    <w:p w:rsidR="009C1117" w:rsidRPr="00C43514" w:rsidRDefault="00794E6E" w:rsidP="000B68CD">
      <w:pPr>
        <w:pStyle w:val="ParaNum"/>
        <w:keepNext/>
        <w:keepLines/>
        <w:numPr>
          <w:ilvl w:val="0"/>
          <w:numId w:val="0"/>
        </w:numPr>
        <w:tabs>
          <w:tab w:val="left" w:pos="360"/>
          <w:tab w:val="num" w:pos="1080"/>
        </w:tabs>
        <w:spacing w:after="0"/>
        <w:rPr>
          <w:szCs w:val="22"/>
          <w:lang w:val="en-US"/>
        </w:rPr>
      </w:pPr>
      <w:r w:rsidRPr="0087417E">
        <w:rPr>
          <w:i/>
          <w:szCs w:val="22"/>
          <w:lang w:val="en-US"/>
        </w:rPr>
        <w:tab/>
      </w:r>
      <w:r w:rsidR="00D20433" w:rsidRPr="0087417E">
        <w:rPr>
          <w:i/>
          <w:szCs w:val="22"/>
          <w:lang w:val="en-US"/>
        </w:rPr>
        <w:t>Late-Filed FCC Form 471 Applications</w:t>
      </w:r>
      <w:bookmarkStart w:id="2" w:name="_Ref401043911"/>
      <w:r w:rsidR="00D20433" w:rsidRPr="00C43514">
        <w:rPr>
          <w:rStyle w:val="FootnoteReference"/>
          <w:szCs w:val="22"/>
        </w:rPr>
        <w:footnoteReference w:id="5"/>
      </w:r>
      <w:bookmarkEnd w:id="2"/>
    </w:p>
    <w:p w:rsidR="006C69DA" w:rsidRDefault="006C69DA" w:rsidP="000B68CD">
      <w:pPr>
        <w:keepLines/>
        <w:ind w:firstLine="720"/>
        <w:rPr>
          <w:szCs w:val="22"/>
        </w:rPr>
      </w:pPr>
    </w:p>
    <w:p w:rsidR="0099367B" w:rsidRDefault="00E56BAB" w:rsidP="002A3C8A">
      <w:pPr>
        <w:ind w:left="720"/>
        <w:rPr>
          <w:szCs w:val="22"/>
        </w:rPr>
      </w:pPr>
      <w:r>
        <w:rPr>
          <w:szCs w:val="22"/>
        </w:rPr>
        <w:t>Erie Rise Leadership Academy Charter School, Application No. 993108, Request for Waiver, CC Docket No. 02-6 (filed Oct. 27, 2014)</w:t>
      </w:r>
    </w:p>
    <w:p w:rsidR="00E56BAB" w:rsidRDefault="00E56BAB" w:rsidP="002A3C8A">
      <w:pPr>
        <w:ind w:left="720"/>
        <w:rPr>
          <w:szCs w:val="22"/>
        </w:rPr>
      </w:pPr>
    </w:p>
    <w:p w:rsidR="00E56BAB" w:rsidRDefault="0055334C" w:rsidP="002A3C8A">
      <w:pPr>
        <w:ind w:left="720"/>
        <w:rPr>
          <w:szCs w:val="22"/>
        </w:rPr>
      </w:pPr>
      <w:r>
        <w:rPr>
          <w:szCs w:val="22"/>
        </w:rPr>
        <w:t>Lexington R 5</w:t>
      </w:r>
      <w:r w:rsidR="00E56BAB">
        <w:rPr>
          <w:szCs w:val="22"/>
        </w:rPr>
        <w:t xml:space="preserve"> School District, Application No. 980354, Request for Waiver, CC Docket No. </w:t>
      </w:r>
    </w:p>
    <w:p w:rsidR="00E56BAB" w:rsidRDefault="00E56BAB" w:rsidP="002A3C8A">
      <w:pPr>
        <w:ind w:left="720"/>
        <w:rPr>
          <w:szCs w:val="22"/>
        </w:rPr>
      </w:pPr>
      <w:r>
        <w:rPr>
          <w:szCs w:val="22"/>
        </w:rPr>
        <w:t>02-6 (filed Oc</w:t>
      </w:r>
      <w:r w:rsidR="00F4387D">
        <w:rPr>
          <w:szCs w:val="22"/>
        </w:rPr>
        <w:t>t</w:t>
      </w:r>
      <w:r>
        <w:rPr>
          <w:szCs w:val="22"/>
        </w:rPr>
        <w:t>. 27, 2014)</w:t>
      </w:r>
    </w:p>
    <w:p w:rsidR="00E56BAB" w:rsidRDefault="00E56BAB" w:rsidP="002A3C8A">
      <w:pPr>
        <w:ind w:left="720"/>
        <w:rPr>
          <w:szCs w:val="22"/>
        </w:rPr>
      </w:pPr>
    </w:p>
    <w:p w:rsidR="00063B11" w:rsidRDefault="00E56BAB" w:rsidP="00BC56D5">
      <w:pPr>
        <w:ind w:left="720"/>
        <w:rPr>
          <w:szCs w:val="22"/>
        </w:rPr>
      </w:pPr>
      <w:r>
        <w:rPr>
          <w:szCs w:val="22"/>
        </w:rPr>
        <w:t>Lincoln School District, Application No. 993003, Request for Waiver, CC Docket No. 02-6 (filed Sept. 16, 2014)</w:t>
      </w:r>
    </w:p>
    <w:p w:rsidR="005E4BDC" w:rsidRDefault="005E4BDC" w:rsidP="00BC56D5">
      <w:pPr>
        <w:ind w:left="720"/>
        <w:rPr>
          <w:szCs w:val="22"/>
        </w:rPr>
      </w:pPr>
    </w:p>
    <w:p w:rsidR="005E4BDC" w:rsidRPr="000B68CD" w:rsidRDefault="005E4BDC" w:rsidP="00BC56D5">
      <w:pPr>
        <w:ind w:left="720"/>
        <w:rPr>
          <w:szCs w:val="22"/>
        </w:rPr>
      </w:pPr>
      <w:r>
        <w:rPr>
          <w:szCs w:val="22"/>
        </w:rPr>
        <w:t>The Pathways School, Application No. 957970, Request for Waiver, CC Docket No. 02-6 (filed Nov. 12, 2014)</w:t>
      </w:r>
    </w:p>
    <w:p w:rsidR="000378D9" w:rsidRPr="0087417E" w:rsidRDefault="00794E6E" w:rsidP="00BC56D5">
      <w:pPr>
        <w:pStyle w:val="ParaNum"/>
        <w:numPr>
          <w:ilvl w:val="0"/>
          <w:numId w:val="0"/>
        </w:numPr>
        <w:tabs>
          <w:tab w:val="left" w:pos="360"/>
        </w:tabs>
        <w:spacing w:after="0"/>
        <w:rPr>
          <w:szCs w:val="22"/>
        </w:rPr>
      </w:pPr>
      <w:r w:rsidRPr="0087417E">
        <w:rPr>
          <w:szCs w:val="22"/>
          <w:lang w:val="en-US"/>
        </w:rPr>
        <w:tab/>
      </w:r>
    </w:p>
    <w:p w:rsidR="00A47D05" w:rsidRPr="00C43514" w:rsidRDefault="00A47D05" w:rsidP="000B68CD">
      <w:pPr>
        <w:pStyle w:val="ParaNum"/>
        <w:keepNext/>
        <w:numPr>
          <w:ilvl w:val="0"/>
          <w:numId w:val="0"/>
        </w:numPr>
        <w:tabs>
          <w:tab w:val="left" w:pos="360"/>
        </w:tabs>
        <w:spacing w:after="0"/>
        <w:rPr>
          <w:i/>
          <w:szCs w:val="22"/>
          <w:lang w:val="en-US"/>
        </w:rPr>
      </w:pPr>
      <w:r w:rsidRPr="0087417E">
        <w:rPr>
          <w:szCs w:val="22"/>
          <w:lang w:val="en-US"/>
        </w:rPr>
        <w:tab/>
      </w:r>
      <w:r w:rsidR="00C11F4A">
        <w:rPr>
          <w:i/>
          <w:szCs w:val="22"/>
          <w:lang w:val="en-US"/>
        </w:rPr>
        <w:t>Signed Contract Requirement</w:t>
      </w:r>
      <w:r w:rsidRPr="00C43514">
        <w:rPr>
          <w:szCs w:val="22"/>
          <w:vertAlign w:val="superscript"/>
          <w:lang w:val="en-US" w:eastAsia="en-US"/>
        </w:rPr>
        <w:footnoteReference w:id="6"/>
      </w:r>
    </w:p>
    <w:p w:rsidR="002F705E" w:rsidRDefault="002F705E" w:rsidP="002F705E">
      <w:pPr>
        <w:ind w:firstLine="720"/>
        <w:outlineLvl w:val="0"/>
        <w:rPr>
          <w:szCs w:val="22"/>
        </w:rPr>
      </w:pPr>
    </w:p>
    <w:p w:rsidR="002F705E" w:rsidRDefault="002F705E" w:rsidP="002F705E">
      <w:pPr>
        <w:ind w:firstLine="720"/>
        <w:outlineLvl w:val="0"/>
        <w:rPr>
          <w:szCs w:val="22"/>
        </w:rPr>
      </w:pPr>
      <w:r>
        <w:rPr>
          <w:szCs w:val="22"/>
        </w:rPr>
        <w:t>Cherry Valley District Library</w:t>
      </w:r>
      <w:r w:rsidRPr="0087417E">
        <w:rPr>
          <w:szCs w:val="22"/>
        </w:rPr>
        <w:t xml:space="preserve">, Application No. </w:t>
      </w:r>
      <w:r>
        <w:rPr>
          <w:szCs w:val="22"/>
        </w:rPr>
        <w:t>948945</w:t>
      </w:r>
      <w:r w:rsidRPr="0087417E">
        <w:rPr>
          <w:szCs w:val="22"/>
        </w:rPr>
        <w:t>, Request for Waiver, CC Docket</w:t>
      </w:r>
      <w:r>
        <w:rPr>
          <w:szCs w:val="22"/>
        </w:rPr>
        <w:t xml:space="preserve"> </w:t>
      </w:r>
      <w:r w:rsidRPr="0087417E">
        <w:rPr>
          <w:szCs w:val="22"/>
        </w:rPr>
        <w:t>No. 02-</w:t>
      </w:r>
      <w:r>
        <w:rPr>
          <w:szCs w:val="22"/>
        </w:rPr>
        <w:tab/>
      </w:r>
      <w:r w:rsidRPr="0087417E">
        <w:rPr>
          <w:szCs w:val="22"/>
        </w:rPr>
        <w:t>6</w:t>
      </w:r>
      <w:r>
        <w:rPr>
          <w:szCs w:val="22"/>
        </w:rPr>
        <w:t xml:space="preserve"> </w:t>
      </w:r>
      <w:r w:rsidRPr="0087417E">
        <w:rPr>
          <w:szCs w:val="22"/>
        </w:rPr>
        <w:t xml:space="preserve">(filed </w:t>
      </w:r>
      <w:r>
        <w:rPr>
          <w:szCs w:val="22"/>
        </w:rPr>
        <w:t>Nov. 14,</w:t>
      </w:r>
      <w:r w:rsidRPr="0087417E">
        <w:rPr>
          <w:szCs w:val="22"/>
        </w:rPr>
        <w:t xml:space="preserve"> 2014)</w:t>
      </w:r>
    </w:p>
    <w:p w:rsidR="002E098B" w:rsidRPr="0087417E" w:rsidRDefault="002E098B" w:rsidP="00A47D05">
      <w:pPr>
        <w:pStyle w:val="ParaNum"/>
        <w:numPr>
          <w:ilvl w:val="0"/>
          <w:numId w:val="0"/>
        </w:numPr>
        <w:tabs>
          <w:tab w:val="left" w:pos="360"/>
        </w:tabs>
        <w:spacing w:after="0"/>
        <w:rPr>
          <w:i/>
          <w:szCs w:val="22"/>
          <w:lang w:val="en-US"/>
        </w:rPr>
      </w:pPr>
    </w:p>
    <w:p w:rsidR="00A47D05" w:rsidRDefault="008D3A44" w:rsidP="00A47D05">
      <w:pPr>
        <w:ind w:firstLine="720"/>
        <w:outlineLvl w:val="0"/>
        <w:rPr>
          <w:szCs w:val="22"/>
        </w:rPr>
      </w:pPr>
      <w:r>
        <w:rPr>
          <w:szCs w:val="22"/>
        </w:rPr>
        <w:t>Patchogue-Medford Library</w:t>
      </w:r>
      <w:r w:rsidR="00A47D05" w:rsidRPr="0087417E">
        <w:rPr>
          <w:szCs w:val="22"/>
        </w:rPr>
        <w:t xml:space="preserve">, Application No. </w:t>
      </w:r>
      <w:r>
        <w:rPr>
          <w:szCs w:val="22"/>
        </w:rPr>
        <w:t>989975</w:t>
      </w:r>
      <w:r w:rsidR="00A47D05" w:rsidRPr="0087417E">
        <w:rPr>
          <w:szCs w:val="22"/>
        </w:rPr>
        <w:t>, Request for Waiver, CC Docket</w:t>
      </w:r>
      <w:r>
        <w:rPr>
          <w:szCs w:val="22"/>
        </w:rPr>
        <w:t xml:space="preserve"> </w:t>
      </w:r>
      <w:r w:rsidR="00A47D05" w:rsidRPr="0087417E">
        <w:rPr>
          <w:szCs w:val="22"/>
        </w:rPr>
        <w:t xml:space="preserve">No. 02-6 </w:t>
      </w:r>
      <w:r>
        <w:rPr>
          <w:szCs w:val="22"/>
        </w:rPr>
        <w:tab/>
      </w:r>
      <w:r w:rsidR="00A47D05" w:rsidRPr="0087417E">
        <w:rPr>
          <w:szCs w:val="22"/>
        </w:rPr>
        <w:t xml:space="preserve">(filed </w:t>
      </w:r>
      <w:r>
        <w:rPr>
          <w:szCs w:val="22"/>
        </w:rPr>
        <w:t>Oct</w:t>
      </w:r>
      <w:r w:rsidR="00CA1FB8">
        <w:rPr>
          <w:szCs w:val="22"/>
        </w:rPr>
        <w:t xml:space="preserve">. </w:t>
      </w:r>
      <w:r>
        <w:rPr>
          <w:szCs w:val="22"/>
        </w:rPr>
        <w:t>17</w:t>
      </w:r>
      <w:r w:rsidR="00CA1FB8">
        <w:rPr>
          <w:szCs w:val="22"/>
        </w:rPr>
        <w:t>,</w:t>
      </w:r>
      <w:r w:rsidR="00A47D05" w:rsidRPr="0087417E">
        <w:rPr>
          <w:szCs w:val="22"/>
        </w:rPr>
        <w:t xml:space="preserve"> 2014)</w:t>
      </w:r>
    </w:p>
    <w:p w:rsidR="008A0157" w:rsidRDefault="008A0157" w:rsidP="00A47D05">
      <w:pPr>
        <w:ind w:firstLine="720"/>
        <w:outlineLvl w:val="0"/>
        <w:rPr>
          <w:szCs w:val="22"/>
        </w:rPr>
      </w:pPr>
    </w:p>
    <w:p w:rsidR="00CA1FB8" w:rsidRDefault="00CA1FB8" w:rsidP="00A47D05">
      <w:pPr>
        <w:ind w:firstLine="720"/>
        <w:outlineLvl w:val="0"/>
        <w:rPr>
          <w:szCs w:val="22"/>
        </w:rPr>
      </w:pPr>
    </w:p>
    <w:p w:rsidR="000E3E2F" w:rsidRDefault="000E3E2F" w:rsidP="00645E83">
      <w:pPr>
        <w:pStyle w:val="ParaNum"/>
        <w:numPr>
          <w:ilvl w:val="0"/>
          <w:numId w:val="0"/>
        </w:numPr>
        <w:tabs>
          <w:tab w:val="left" w:pos="360"/>
          <w:tab w:val="num" w:pos="1080"/>
          <w:tab w:val="left" w:pos="1440"/>
        </w:tabs>
        <w:spacing w:after="0"/>
        <w:rPr>
          <w:szCs w:val="22"/>
          <w:u w:val="single"/>
          <w:lang w:val="en-US"/>
        </w:rPr>
      </w:pPr>
    </w:p>
    <w:p w:rsidR="000E3E2F" w:rsidRDefault="000E3E2F" w:rsidP="00645E83">
      <w:pPr>
        <w:pStyle w:val="ParaNum"/>
        <w:numPr>
          <w:ilvl w:val="0"/>
          <w:numId w:val="0"/>
        </w:numPr>
        <w:tabs>
          <w:tab w:val="left" w:pos="360"/>
          <w:tab w:val="num" w:pos="1080"/>
          <w:tab w:val="left" w:pos="1440"/>
        </w:tabs>
        <w:spacing w:after="0"/>
        <w:rPr>
          <w:szCs w:val="22"/>
          <w:u w:val="single"/>
          <w:lang w:val="en-US"/>
        </w:rPr>
      </w:pPr>
    </w:p>
    <w:p w:rsidR="000E3E2F" w:rsidRDefault="000E3E2F" w:rsidP="00645E83">
      <w:pPr>
        <w:pStyle w:val="ParaNum"/>
        <w:numPr>
          <w:ilvl w:val="0"/>
          <w:numId w:val="0"/>
        </w:numPr>
        <w:tabs>
          <w:tab w:val="left" w:pos="360"/>
          <w:tab w:val="num" w:pos="1080"/>
          <w:tab w:val="left" w:pos="1440"/>
        </w:tabs>
        <w:spacing w:after="0"/>
        <w:rPr>
          <w:szCs w:val="22"/>
          <w:u w:val="single"/>
          <w:lang w:val="en-US"/>
        </w:rPr>
      </w:pPr>
    </w:p>
    <w:p w:rsidR="000E3E2F" w:rsidRDefault="000E3E2F" w:rsidP="00645E83">
      <w:pPr>
        <w:pStyle w:val="ParaNum"/>
        <w:numPr>
          <w:ilvl w:val="0"/>
          <w:numId w:val="0"/>
        </w:numPr>
        <w:tabs>
          <w:tab w:val="left" w:pos="360"/>
          <w:tab w:val="num" w:pos="1080"/>
          <w:tab w:val="left" w:pos="1440"/>
        </w:tabs>
        <w:spacing w:after="0"/>
        <w:rPr>
          <w:szCs w:val="22"/>
          <w:u w:val="single"/>
          <w:lang w:val="en-US"/>
        </w:rPr>
      </w:pPr>
    </w:p>
    <w:p w:rsidR="000E3E2F" w:rsidRDefault="000E3E2F" w:rsidP="00645E83">
      <w:pPr>
        <w:pStyle w:val="ParaNum"/>
        <w:numPr>
          <w:ilvl w:val="0"/>
          <w:numId w:val="0"/>
        </w:numPr>
        <w:tabs>
          <w:tab w:val="left" w:pos="360"/>
          <w:tab w:val="num" w:pos="1080"/>
          <w:tab w:val="left" w:pos="1440"/>
        </w:tabs>
        <w:spacing w:after="0"/>
        <w:rPr>
          <w:szCs w:val="22"/>
          <w:u w:val="single"/>
          <w:lang w:val="en-US"/>
        </w:rPr>
      </w:pPr>
    </w:p>
    <w:p w:rsidR="000E3E2F" w:rsidRDefault="000E3E2F" w:rsidP="00645E83">
      <w:pPr>
        <w:pStyle w:val="ParaNum"/>
        <w:numPr>
          <w:ilvl w:val="0"/>
          <w:numId w:val="0"/>
        </w:numPr>
        <w:tabs>
          <w:tab w:val="left" w:pos="360"/>
          <w:tab w:val="num" w:pos="1080"/>
          <w:tab w:val="left" w:pos="1440"/>
        </w:tabs>
        <w:spacing w:after="0"/>
        <w:rPr>
          <w:szCs w:val="22"/>
          <w:u w:val="single"/>
          <w:lang w:val="en-US"/>
        </w:rPr>
      </w:pPr>
    </w:p>
    <w:p w:rsidR="00F061A6" w:rsidRPr="00A21144" w:rsidRDefault="000B7D90" w:rsidP="00645E83">
      <w:pPr>
        <w:pStyle w:val="ParaNum"/>
        <w:numPr>
          <w:ilvl w:val="0"/>
          <w:numId w:val="0"/>
        </w:numPr>
        <w:tabs>
          <w:tab w:val="left" w:pos="360"/>
          <w:tab w:val="num" w:pos="1080"/>
          <w:tab w:val="left" w:pos="1440"/>
        </w:tabs>
        <w:spacing w:after="0"/>
        <w:rPr>
          <w:szCs w:val="22"/>
          <w:u w:val="single"/>
          <w:lang w:val="en-US"/>
        </w:rPr>
      </w:pPr>
      <w:r w:rsidRPr="0087417E">
        <w:rPr>
          <w:szCs w:val="22"/>
          <w:u w:val="single"/>
        </w:rPr>
        <w:t>Deni</w:t>
      </w:r>
      <w:r>
        <w:rPr>
          <w:szCs w:val="22"/>
          <w:u w:val="single"/>
          <w:lang w:val="en-US"/>
        </w:rPr>
        <w:t>ed</w:t>
      </w:r>
    </w:p>
    <w:p w:rsidR="00C82403" w:rsidRPr="0087417E" w:rsidRDefault="00DE3561" w:rsidP="0047137A">
      <w:pPr>
        <w:pStyle w:val="ParaNum"/>
        <w:numPr>
          <w:ilvl w:val="0"/>
          <w:numId w:val="0"/>
        </w:numPr>
        <w:tabs>
          <w:tab w:val="num" w:pos="360"/>
          <w:tab w:val="left" w:pos="1440"/>
        </w:tabs>
        <w:spacing w:after="0"/>
        <w:rPr>
          <w:szCs w:val="22"/>
          <w:lang w:val="en-US"/>
        </w:rPr>
      </w:pPr>
      <w:r w:rsidRPr="0087417E">
        <w:rPr>
          <w:i/>
          <w:szCs w:val="22"/>
          <w:lang w:val="en-US"/>
        </w:rPr>
        <w:tab/>
      </w:r>
    </w:p>
    <w:p w:rsidR="007C14B6" w:rsidRDefault="00012DF4" w:rsidP="007C14B6">
      <w:pPr>
        <w:pStyle w:val="ParaNum"/>
        <w:numPr>
          <w:ilvl w:val="0"/>
          <w:numId w:val="0"/>
        </w:numPr>
        <w:tabs>
          <w:tab w:val="left" w:pos="360"/>
          <w:tab w:val="num" w:pos="1080"/>
        </w:tabs>
        <w:spacing w:after="0"/>
        <w:rPr>
          <w:i/>
          <w:szCs w:val="22"/>
          <w:lang w:val="en-US"/>
        </w:rPr>
      </w:pPr>
      <w:r w:rsidRPr="0087417E">
        <w:rPr>
          <w:i/>
          <w:szCs w:val="22"/>
          <w:lang w:val="en-US"/>
        </w:rPr>
        <w:t>Late-Filed FCC Form 471 Applications</w:t>
      </w:r>
      <w:r w:rsidR="005146D9" w:rsidRPr="0087417E">
        <w:rPr>
          <w:rStyle w:val="FootnoteReference"/>
          <w:szCs w:val="22"/>
        </w:rPr>
        <w:footnoteReference w:id="7"/>
      </w:r>
    </w:p>
    <w:p w:rsidR="00E56BAB" w:rsidRDefault="00E56BAB" w:rsidP="006C4ABE"/>
    <w:p w:rsidR="007C14B6" w:rsidRDefault="006C4ABE" w:rsidP="006C4ABE">
      <w:pPr>
        <w:ind w:left="720"/>
      </w:pPr>
      <w:r>
        <w:t>Lincoln School Department, Application No. 993928, Request for Waiver, CC Docket No. 02-6 (filed Sept. 16, 2014)</w:t>
      </w:r>
    </w:p>
    <w:p w:rsidR="006C4ABE" w:rsidRDefault="006C4ABE" w:rsidP="006C4ABE"/>
    <w:p w:rsidR="006C4ABE" w:rsidRDefault="006C4ABE" w:rsidP="006C4ABE">
      <w:pPr>
        <w:ind w:left="720"/>
      </w:pPr>
      <w:r>
        <w:t>Manzanita Charter School, Application No. 995528, Request for Waiver, CC Docket No. 02-6 (filed Oct. 21, 2014)</w:t>
      </w:r>
    </w:p>
    <w:p w:rsidR="006C4ABE" w:rsidRDefault="006C4ABE" w:rsidP="007C14B6">
      <w:pPr>
        <w:pStyle w:val="ParaNum"/>
        <w:numPr>
          <w:ilvl w:val="0"/>
          <w:numId w:val="0"/>
        </w:numPr>
        <w:tabs>
          <w:tab w:val="left" w:pos="360"/>
          <w:tab w:val="num" w:pos="1080"/>
        </w:tabs>
        <w:spacing w:after="0"/>
        <w:rPr>
          <w:i/>
          <w:szCs w:val="22"/>
          <w:lang w:val="en-US"/>
        </w:rPr>
      </w:pPr>
    </w:p>
    <w:p w:rsidR="009F2B23" w:rsidRPr="0087417E" w:rsidRDefault="009F2B23" w:rsidP="007C14B6">
      <w:pPr>
        <w:pStyle w:val="ParaNum"/>
        <w:numPr>
          <w:ilvl w:val="0"/>
          <w:numId w:val="0"/>
        </w:numPr>
        <w:tabs>
          <w:tab w:val="left" w:pos="360"/>
          <w:tab w:val="num" w:pos="1080"/>
        </w:tabs>
        <w:spacing w:after="0"/>
        <w:rPr>
          <w:szCs w:val="22"/>
        </w:rPr>
      </w:pPr>
      <w:r w:rsidRPr="0087417E">
        <w:rPr>
          <w:i/>
          <w:szCs w:val="22"/>
        </w:rPr>
        <w:t xml:space="preserve">Untimely </w:t>
      </w:r>
      <w:r w:rsidRPr="007C14B6">
        <w:rPr>
          <w:i/>
          <w:szCs w:val="22"/>
          <w:lang w:val="en-US"/>
        </w:rPr>
        <w:t>Filed</w:t>
      </w:r>
      <w:r w:rsidRPr="0087417E">
        <w:rPr>
          <w:i/>
          <w:szCs w:val="22"/>
        </w:rPr>
        <w:t xml:space="preserve"> Request for Review</w:t>
      </w:r>
      <w:r w:rsidRPr="000B68CD">
        <w:rPr>
          <w:szCs w:val="22"/>
          <w:vertAlign w:val="superscript"/>
        </w:rPr>
        <w:footnoteReference w:id="8"/>
      </w:r>
    </w:p>
    <w:p w:rsidR="009F2B23" w:rsidRPr="0087417E" w:rsidRDefault="009F2B23" w:rsidP="009F2B23">
      <w:pPr>
        <w:ind w:firstLine="720"/>
        <w:outlineLvl w:val="0"/>
        <w:rPr>
          <w:szCs w:val="22"/>
        </w:rPr>
      </w:pPr>
    </w:p>
    <w:p w:rsidR="007C14B6" w:rsidRDefault="007C14B6" w:rsidP="009F2B23">
      <w:pPr>
        <w:ind w:firstLine="720"/>
        <w:outlineLvl w:val="0"/>
        <w:rPr>
          <w:szCs w:val="22"/>
        </w:rPr>
      </w:pPr>
      <w:r>
        <w:rPr>
          <w:szCs w:val="22"/>
        </w:rPr>
        <w:t xml:space="preserve">The Academy Charter School, Application No. 910344, Request for Waiver, CC Docket No. 02-6 </w:t>
      </w:r>
      <w:r>
        <w:rPr>
          <w:szCs w:val="22"/>
        </w:rPr>
        <w:tab/>
        <w:t>(filed Nov. 6, 2014)</w:t>
      </w:r>
    </w:p>
    <w:p w:rsidR="007C14B6" w:rsidRDefault="007C14B6" w:rsidP="009F2B23">
      <w:pPr>
        <w:ind w:firstLine="720"/>
        <w:outlineLvl w:val="0"/>
        <w:rPr>
          <w:szCs w:val="22"/>
        </w:rPr>
      </w:pPr>
    </w:p>
    <w:p w:rsidR="00C0428F" w:rsidRDefault="00C0428F" w:rsidP="009F2B23">
      <w:pPr>
        <w:ind w:firstLine="720"/>
        <w:outlineLvl w:val="0"/>
        <w:rPr>
          <w:szCs w:val="22"/>
        </w:rPr>
      </w:pPr>
      <w:r>
        <w:rPr>
          <w:szCs w:val="22"/>
        </w:rPr>
        <w:t xml:space="preserve">Evergreen School District 50, Application 919347, Request for Waiver, CC Docket No. 02-6 </w:t>
      </w:r>
      <w:r>
        <w:rPr>
          <w:szCs w:val="22"/>
        </w:rPr>
        <w:tab/>
        <w:t>(filed Dec. 4, 2014)</w:t>
      </w:r>
    </w:p>
    <w:p w:rsidR="00C0428F" w:rsidRDefault="00C0428F" w:rsidP="009F2B23">
      <w:pPr>
        <w:ind w:firstLine="720"/>
        <w:outlineLvl w:val="0"/>
        <w:rPr>
          <w:szCs w:val="22"/>
        </w:rPr>
      </w:pPr>
    </w:p>
    <w:p w:rsidR="007C14B6" w:rsidRDefault="007C14B6" w:rsidP="009F2B23">
      <w:pPr>
        <w:ind w:firstLine="720"/>
        <w:outlineLvl w:val="0"/>
        <w:rPr>
          <w:szCs w:val="22"/>
        </w:rPr>
      </w:pPr>
      <w:r>
        <w:rPr>
          <w:szCs w:val="22"/>
        </w:rPr>
        <w:t xml:space="preserve">Lamar Consolidated Independent School District, Application No. 959630, Request for Waiver, </w:t>
      </w:r>
      <w:r>
        <w:rPr>
          <w:szCs w:val="22"/>
        </w:rPr>
        <w:tab/>
        <w:t>CC Docket No. 02-6 (filed Nov. 4, 2014)</w:t>
      </w:r>
    </w:p>
    <w:p w:rsidR="007C14B6" w:rsidRDefault="007C14B6" w:rsidP="009F2B23">
      <w:pPr>
        <w:ind w:firstLine="720"/>
        <w:outlineLvl w:val="0"/>
        <w:rPr>
          <w:szCs w:val="22"/>
        </w:rPr>
      </w:pPr>
    </w:p>
    <w:p w:rsidR="003D489D" w:rsidRDefault="003D489D" w:rsidP="009F2B23">
      <w:pPr>
        <w:ind w:firstLine="720"/>
        <w:outlineLvl w:val="0"/>
        <w:rPr>
          <w:szCs w:val="22"/>
        </w:rPr>
      </w:pPr>
      <w:r>
        <w:rPr>
          <w:szCs w:val="22"/>
        </w:rPr>
        <w:t>School Administrative Unit 50, Application No. 580726, Request for Waiver, CC Docket No. 02-</w:t>
      </w:r>
      <w:r>
        <w:rPr>
          <w:szCs w:val="22"/>
        </w:rPr>
        <w:tab/>
        <w:t>6 (filed Jul. 15, 2011)</w:t>
      </w:r>
    </w:p>
    <w:p w:rsidR="003D489D" w:rsidRDefault="003D489D" w:rsidP="009F2B23">
      <w:pPr>
        <w:ind w:firstLine="720"/>
        <w:outlineLvl w:val="0"/>
        <w:rPr>
          <w:szCs w:val="22"/>
        </w:rPr>
      </w:pPr>
    </w:p>
    <w:p w:rsidR="00C02B3E" w:rsidRDefault="007C14B6" w:rsidP="009F2B23">
      <w:pPr>
        <w:ind w:firstLine="720"/>
        <w:outlineLvl w:val="0"/>
        <w:rPr>
          <w:szCs w:val="22"/>
        </w:rPr>
      </w:pPr>
      <w:r>
        <w:rPr>
          <w:szCs w:val="22"/>
        </w:rPr>
        <w:t>Turning Point Consortium</w:t>
      </w:r>
      <w:r w:rsidR="00C02B3E">
        <w:rPr>
          <w:szCs w:val="22"/>
        </w:rPr>
        <w:t xml:space="preserve">, Application No. </w:t>
      </w:r>
      <w:r>
        <w:rPr>
          <w:szCs w:val="22"/>
        </w:rPr>
        <w:t>783475</w:t>
      </w:r>
      <w:r w:rsidR="00C02B3E">
        <w:rPr>
          <w:szCs w:val="22"/>
        </w:rPr>
        <w:t xml:space="preserve">, Request for Waiver, CC Docket No. 02-6 </w:t>
      </w:r>
      <w:r>
        <w:rPr>
          <w:szCs w:val="22"/>
        </w:rPr>
        <w:tab/>
      </w:r>
      <w:r w:rsidR="00C02B3E">
        <w:rPr>
          <w:szCs w:val="22"/>
        </w:rPr>
        <w:t xml:space="preserve">(filed </w:t>
      </w:r>
      <w:r>
        <w:rPr>
          <w:szCs w:val="22"/>
        </w:rPr>
        <w:t>Nov. 10</w:t>
      </w:r>
      <w:r w:rsidR="00C02B3E">
        <w:rPr>
          <w:szCs w:val="22"/>
        </w:rPr>
        <w:t>, 2014)</w:t>
      </w:r>
    </w:p>
    <w:p w:rsidR="00C02B3E" w:rsidRDefault="00C02B3E" w:rsidP="009F2B23">
      <w:pPr>
        <w:ind w:firstLine="720"/>
        <w:outlineLvl w:val="0"/>
        <w:rPr>
          <w:szCs w:val="22"/>
        </w:rPr>
      </w:pPr>
    </w:p>
    <w:p w:rsidR="00331E58" w:rsidRDefault="00331E58" w:rsidP="00F65302">
      <w:pPr>
        <w:keepNext/>
        <w:tabs>
          <w:tab w:val="left" w:pos="360"/>
          <w:tab w:val="num" w:pos="720"/>
        </w:tabs>
        <w:rPr>
          <w:b/>
          <w:szCs w:val="22"/>
          <w:u w:val="single"/>
          <w:lang w:eastAsia="x-none"/>
        </w:rPr>
      </w:pPr>
    </w:p>
    <w:p w:rsidR="00A06E00" w:rsidRDefault="00A06E00" w:rsidP="00331E58">
      <w:pPr>
        <w:keepNext/>
        <w:tabs>
          <w:tab w:val="left" w:pos="360"/>
          <w:tab w:val="num" w:pos="720"/>
        </w:tabs>
        <w:rPr>
          <w:b/>
          <w:szCs w:val="22"/>
          <w:u w:val="single"/>
          <w:lang w:eastAsia="x-none"/>
        </w:rPr>
      </w:pPr>
    </w:p>
    <w:p w:rsidR="00A20A66" w:rsidRDefault="00A20A66" w:rsidP="00331E58">
      <w:pPr>
        <w:keepNext/>
        <w:tabs>
          <w:tab w:val="left" w:pos="360"/>
          <w:tab w:val="num" w:pos="720"/>
        </w:tabs>
        <w:rPr>
          <w:b/>
          <w:szCs w:val="22"/>
          <w:u w:val="single"/>
          <w:lang w:eastAsia="x-none"/>
        </w:rPr>
      </w:pPr>
    </w:p>
    <w:p w:rsidR="00A20A66" w:rsidRDefault="00A20A66" w:rsidP="00331E58">
      <w:pPr>
        <w:keepNext/>
        <w:tabs>
          <w:tab w:val="left" w:pos="360"/>
          <w:tab w:val="num" w:pos="720"/>
        </w:tabs>
        <w:rPr>
          <w:b/>
          <w:szCs w:val="22"/>
          <w:u w:val="single"/>
          <w:lang w:eastAsia="x-none"/>
        </w:rPr>
      </w:pPr>
    </w:p>
    <w:p w:rsidR="00A20A66" w:rsidRDefault="00A20A66" w:rsidP="00331E58">
      <w:pPr>
        <w:keepNext/>
        <w:tabs>
          <w:tab w:val="left" w:pos="360"/>
          <w:tab w:val="num" w:pos="720"/>
        </w:tabs>
        <w:rPr>
          <w:b/>
          <w:szCs w:val="22"/>
          <w:u w:val="single"/>
          <w:lang w:eastAsia="x-none"/>
        </w:rPr>
      </w:pPr>
    </w:p>
    <w:p w:rsidR="00A20A66" w:rsidRDefault="00A20A66" w:rsidP="00331E58">
      <w:pPr>
        <w:keepNext/>
        <w:tabs>
          <w:tab w:val="left" w:pos="360"/>
          <w:tab w:val="num" w:pos="720"/>
        </w:tabs>
        <w:rPr>
          <w:b/>
          <w:szCs w:val="22"/>
          <w:u w:val="single"/>
          <w:lang w:eastAsia="x-none"/>
        </w:rPr>
      </w:pPr>
    </w:p>
    <w:p w:rsidR="00331E58" w:rsidRDefault="00331E58" w:rsidP="00331E58">
      <w:pPr>
        <w:tabs>
          <w:tab w:val="left" w:pos="360"/>
          <w:tab w:val="num" w:pos="720"/>
        </w:tabs>
        <w:rPr>
          <w:szCs w:val="22"/>
          <w:lang w:eastAsia="x-none"/>
        </w:rPr>
      </w:pPr>
    </w:p>
    <w:p w:rsidR="00A20A66" w:rsidRDefault="00A20A66" w:rsidP="00331E58">
      <w:pPr>
        <w:pStyle w:val="ParaNum"/>
        <w:numPr>
          <w:ilvl w:val="0"/>
          <w:numId w:val="0"/>
        </w:numPr>
        <w:tabs>
          <w:tab w:val="num" w:pos="360"/>
          <w:tab w:val="left" w:pos="1440"/>
        </w:tabs>
        <w:spacing w:after="0"/>
        <w:rPr>
          <w:szCs w:val="22"/>
          <w:u w:val="single"/>
          <w:lang w:val="en-US"/>
        </w:rPr>
      </w:pPr>
    </w:p>
    <w:p w:rsidR="00A20A66" w:rsidRDefault="00A20A66" w:rsidP="00331E58">
      <w:pPr>
        <w:pStyle w:val="ParaNum"/>
        <w:numPr>
          <w:ilvl w:val="0"/>
          <w:numId w:val="0"/>
        </w:numPr>
        <w:tabs>
          <w:tab w:val="num" w:pos="360"/>
          <w:tab w:val="left" w:pos="1440"/>
        </w:tabs>
        <w:spacing w:after="0"/>
        <w:rPr>
          <w:szCs w:val="22"/>
          <w:u w:val="single"/>
          <w:lang w:val="en-US"/>
        </w:rPr>
      </w:pPr>
    </w:p>
    <w:p w:rsidR="00A20A66" w:rsidRDefault="00A20A66" w:rsidP="00331E58">
      <w:pPr>
        <w:pStyle w:val="ParaNum"/>
        <w:numPr>
          <w:ilvl w:val="0"/>
          <w:numId w:val="0"/>
        </w:numPr>
        <w:tabs>
          <w:tab w:val="num" w:pos="360"/>
          <w:tab w:val="left" w:pos="1440"/>
        </w:tabs>
        <w:spacing w:after="0"/>
        <w:rPr>
          <w:szCs w:val="22"/>
          <w:u w:val="single"/>
          <w:lang w:val="en-US"/>
        </w:rPr>
      </w:pPr>
    </w:p>
    <w:p w:rsidR="00A20A66" w:rsidRDefault="00A20A66" w:rsidP="00331E58">
      <w:pPr>
        <w:pStyle w:val="ParaNum"/>
        <w:numPr>
          <w:ilvl w:val="0"/>
          <w:numId w:val="0"/>
        </w:numPr>
        <w:tabs>
          <w:tab w:val="num" w:pos="360"/>
          <w:tab w:val="left" w:pos="1440"/>
        </w:tabs>
        <w:spacing w:after="0"/>
        <w:rPr>
          <w:szCs w:val="22"/>
          <w:u w:val="single"/>
          <w:lang w:val="en-US"/>
        </w:rPr>
      </w:pPr>
    </w:p>
    <w:p w:rsidR="00A20A66" w:rsidRDefault="00A20A66" w:rsidP="00331E58">
      <w:pPr>
        <w:pStyle w:val="ParaNum"/>
        <w:numPr>
          <w:ilvl w:val="0"/>
          <w:numId w:val="0"/>
        </w:numPr>
        <w:tabs>
          <w:tab w:val="num" w:pos="360"/>
          <w:tab w:val="left" w:pos="1440"/>
        </w:tabs>
        <w:spacing w:after="0"/>
        <w:rPr>
          <w:szCs w:val="22"/>
          <w:u w:val="single"/>
          <w:lang w:val="en-US"/>
        </w:rPr>
      </w:pPr>
    </w:p>
    <w:p w:rsidR="00A20A66" w:rsidRDefault="00A20A66" w:rsidP="00A20A66">
      <w:pPr>
        <w:keepNext/>
        <w:tabs>
          <w:tab w:val="left" w:pos="360"/>
          <w:tab w:val="num" w:pos="720"/>
        </w:tabs>
        <w:rPr>
          <w:b/>
          <w:szCs w:val="22"/>
          <w:u w:val="single"/>
          <w:lang w:eastAsia="x-none"/>
        </w:rPr>
      </w:pPr>
    </w:p>
    <w:p w:rsidR="00A20A66" w:rsidRPr="008E7759" w:rsidRDefault="00A20A66" w:rsidP="00A20A66">
      <w:pPr>
        <w:keepNext/>
        <w:tabs>
          <w:tab w:val="left" w:pos="360"/>
          <w:tab w:val="num" w:pos="720"/>
        </w:tabs>
        <w:rPr>
          <w:b/>
          <w:szCs w:val="22"/>
          <w:u w:val="single"/>
          <w:lang w:eastAsia="x-none"/>
        </w:rPr>
      </w:pPr>
      <w:r w:rsidRPr="008E7759">
        <w:rPr>
          <w:b/>
          <w:szCs w:val="22"/>
          <w:u w:val="single"/>
          <w:lang w:eastAsia="x-none"/>
        </w:rPr>
        <w:t>Rural Health Care</w:t>
      </w:r>
      <w:r>
        <w:rPr>
          <w:b/>
          <w:szCs w:val="22"/>
          <w:u w:val="single"/>
          <w:lang w:eastAsia="x-none"/>
        </w:rPr>
        <w:t xml:space="preserve"> (RHC)</w:t>
      </w:r>
    </w:p>
    <w:p w:rsidR="00A20A66" w:rsidRPr="001A64F4" w:rsidRDefault="00A20A66" w:rsidP="00A20A66">
      <w:pPr>
        <w:pStyle w:val="ParaNum"/>
        <w:numPr>
          <w:ilvl w:val="0"/>
          <w:numId w:val="0"/>
        </w:numPr>
        <w:tabs>
          <w:tab w:val="num" w:pos="360"/>
          <w:tab w:val="left" w:pos="1440"/>
        </w:tabs>
        <w:spacing w:after="0"/>
        <w:rPr>
          <w:b/>
          <w:szCs w:val="22"/>
          <w:lang w:val="en-US"/>
        </w:rPr>
      </w:pPr>
      <w:r>
        <w:rPr>
          <w:b/>
          <w:szCs w:val="22"/>
          <w:lang w:val="en-US"/>
        </w:rPr>
        <w:t>WC Docket No. 02-60, CC Docket Nos. 96-45, 97-21</w:t>
      </w:r>
    </w:p>
    <w:p w:rsidR="00A20A66" w:rsidRDefault="00A20A66" w:rsidP="00331E58">
      <w:pPr>
        <w:pStyle w:val="ParaNum"/>
        <w:numPr>
          <w:ilvl w:val="0"/>
          <w:numId w:val="0"/>
        </w:numPr>
        <w:tabs>
          <w:tab w:val="num" w:pos="360"/>
          <w:tab w:val="left" w:pos="1440"/>
        </w:tabs>
        <w:spacing w:after="0"/>
        <w:rPr>
          <w:szCs w:val="22"/>
          <w:u w:val="single"/>
          <w:lang w:val="en-US"/>
        </w:rPr>
      </w:pPr>
    </w:p>
    <w:p w:rsidR="00331E58" w:rsidRPr="0007337C" w:rsidRDefault="00331E58" w:rsidP="00331E58">
      <w:pPr>
        <w:pStyle w:val="ParaNum"/>
        <w:numPr>
          <w:ilvl w:val="0"/>
          <w:numId w:val="0"/>
        </w:numPr>
        <w:tabs>
          <w:tab w:val="num" w:pos="360"/>
          <w:tab w:val="left" w:pos="1440"/>
        </w:tabs>
        <w:spacing w:after="0"/>
        <w:rPr>
          <w:szCs w:val="22"/>
          <w:u w:val="single"/>
          <w:lang w:val="en-US"/>
        </w:rPr>
      </w:pPr>
      <w:r w:rsidRPr="0007337C">
        <w:rPr>
          <w:szCs w:val="22"/>
          <w:u w:val="single"/>
          <w:lang w:val="en-US"/>
        </w:rPr>
        <w:t>Dismissals</w:t>
      </w:r>
    </w:p>
    <w:p w:rsidR="00331E58" w:rsidRDefault="00331E58" w:rsidP="00331E58">
      <w:pPr>
        <w:pStyle w:val="ParaNum"/>
        <w:numPr>
          <w:ilvl w:val="0"/>
          <w:numId w:val="0"/>
        </w:numPr>
        <w:tabs>
          <w:tab w:val="num" w:pos="360"/>
          <w:tab w:val="left" w:pos="1440"/>
        </w:tabs>
        <w:spacing w:after="0"/>
        <w:rPr>
          <w:szCs w:val="22"/>
          <w:lang w:val="en-US"/>
        </w:rPr>
      </w:pPr>
    </w:p>
    <w:p w:rsidR="00331E58" w:rsidRDefault="00331E58" w:rsidP="00331E58">
      <w:pPr>
        <w:pStyle w:val="ParaNum"/>
        <w:numPr>
          <w:ilvl w:val="0"/>
          <w:numId w:val="0"/>
        </w:numPr>
        <w:tabs>
          <w:tab w:val="num" w:pos="360"/>
          <w:tab w:val="left" w:pos="1440"/>
        </w:tabs>
        <w:spacing w:after="0"/>
        <w:rPr>
          <w:i/>
          <w:szCs w:val="22"/>
          <w:lang w:val="en-US"/>
        </w:rPr>
      </w:pPr>
      <w:r>
        <w:rPr>
          <w:i/>
          <w:szCs w:val="22"/>
          <w:lang w:val="en-US"/>
        </w:rPr>
        <w:tab/>
      </w:r>
      <w:r w:rsidRPr="0087417E">
        <w:rPr>
          <w:i/>
          <w:szCs w:val="22"/>
        </w:rPr>
        <w:t>Untimely Filed Request</w:t>
      </w:r>
      <w:r>
        <w:rPr>
          <w:i/>
          <w:szCs w:val="22"/>
          <w:lang w:val="en-US"/>
        </w:rPr>
        <w:t>s</w:t>
      </w:r>
      <w:r>
        <w:rPr>
          <w:i/>
          <w:szCs w:val="22"/>
        </w:rPr>
        <w:t xml:space="preserve"> for </w:t>
      </w:r>
      <w:r>
        <w:rPr>
          <w:i/>
          <w:szCs w:val="22"/>
          <w:lang w:val="en-US"/>
        </w:rPr>
        <w:t>Waiver</w:t>
      </w:r>
      <w:r w:rsidRPr="001525E4">
        <w:rPr>
          <w:rStyle w:val="FootnoteReference"/>
          <w:szCs w:val="22"/>
        </w:rPr>
        <w:footnoteReference w:id="9"/>
      </w:r>
    </w:p>
    <w:p w:rsidR="006D3431" w:rsidRDefault="006D3431" w:rsidP="006D3431">
      <w:pPr>
        <w:pStyle w:val="ParaNum"/>
        <w:numPr>
          <w:ilvl w:val="0"/>
          <w:numId w:val="0"/>
        </w:numPr>
        <w:tabs>
          <w:tab w:val="num" w:pos="360"/>
          <w:tab w:val="left" w:pos="1440"/>
        </w:tabs>
        <w:spacing w:after="0"/>
        <w:rPr>
          <w:i/>
          <w:szCs w:val="22"/>
          <w:lang w:val="en-US"/>
        </w:rPr>
      </w:pPr>
    </w:p>
    <w:p w:rsidR="006D3431" w:rsidRDefault="006D3431" w:rsidP="006D3431">
      <w:pPr>
        <w:pStyle w:val="ParaNum"/>
        <w:numPr>
          <w:ilvl w:val="0"/>
          <w:numId w:val="0"/>
        </w:numPr>
        <w:tabs>
          <w:tab w:val="num" w:pos="360"/>
          <w:tab w:val="left" w:pos="1440"/>
        </w:tabs>
        <w:spacing w:after="0"/>
        <w:ind w:left="360"/>
        <w:rPr>
          <w:szCs w:val="22"/>
          <w:lang w:val="en-US"/>
        </w:rPr>
      </w:pPr>
      <w:r w:rsidRPr="00AE3169">
        <w:rPr>
          <w:szCs w:val="22"/>
          <w:lang w:val="en-US"/>
        </w:rPr>
        <w:t>Bristol Bay Area Health Corporation, Kanakanak Hospital</w:t>
      </w:r>
      <w:r>
        <w:rPr>
          <w:szCs w:val="22"/>
          <w:lang w:val="en-US"/>
        </w:rPr>
        <w:t>, HCP No. 10992, Request for Waiver, WC Docket No. 02-60 (filed Oct. 17, 2007)</w:t>
      </w:r>
    </w:p>
    <w:p w:rsidR="006D3431" w:rsidRDefault="006D3431" w:rsidP="006D3431">
      <w:pPr>
        <w:pStyle w:val="ParaNum"/>
        <w:numPr>
          <w:ilvl w:val="0"/>
          <w:numId w:val="0"/>
        </w:numPr>
        <w:tabs>
          <w:tab w:val="num" w:pos="360"/>
          <w:tab w:val="left" w:pos="1440"/>
        </w:tabs>
        <w:spacing w:after="0"/>
        <w:rPr>
          <w:szCs w:val="22"/>
          <w:lang w:val="en-US"/>
        </w:rPr>
      </w:pPr>
    </w:p>
    <w:p w:rsidR="006D3431" w:rsidRPr="00BF7EA3" w:rsidRDefault="006D3431" w:rsidP="006D3431">
      <w:pPr>
        <w:pStyle w:val="ParaNum"/>
        <w:numPr>
          <w:ilvl w:val="0"/>
          <w:numId w:val="0"/>
        </w:numPr>
        <w:tabs>
          <w:tab w:val="num" w:pos="360"/>
          <w:tab w:val="left" w:pos="1440"/>
        </w:tabs>
        <w:spacing w:after="0"/>
        <w:ind w:left="360"/>
        <w:rPr>
          <w:szCs w:val="22"/>
          <w:lang w:val="en-US"/>
        </w:rPr>
      </w:pPr>
      <w:r>
        <w:rPr>
          <w:szCs w:val="22"/>
          <w:lang w:val="en-US"/>
        </w:rPr>
        <w:t xml:space="preserve">Chitina Health Clinic, HCP No. </w:t>
      </w:r>
      <w:r w:rsidRPr="00AE3169">
        <w:rPr>
          <w:szCs w:val="22"/>
          <w:lang w:val="en-US"/>
        </w:rPr>
        <w:t>13933</w:t>
      </w:r>
      <w:r>
        <w:rPr>
          <w:szCs w:val="22"/>
          <w:lang w:val="en-US"/>
        </w:rPr>
        <w:t>, Request for Waiver, WC Docket No. 02-60 (filed Oct. 1, 2007)</w:t>
      </w:r>
    </w:p>
    <w:p w:rsidR="00335705" w:rsidRPr="001A64F4" w:rsidRDefault="00335705" w:rsidP="00F65302">
      <w:pPr>
        <w:pStyle w:val="ParaNum"/>
        <w:numPr>
          <w:ilvl w:val="0"/>
          <w:numId w:val="0"/>
        </w:numPr>
        <w:tabs>
          <w:tab w:val="left" w:pos="360"/>
        </w:tabs>
        <w:spacing w:after="0"/>
        <w:ind w:left="720"/>
        <w:rPr>
          <w:szCs w:val="22"/>
          <w:lang w:val="en-US"/>
        </w:rPr>
      </w:pPr>
    </w:p>
    <w:p w:rsidR="00A20A66" w:rsidRDefault="00A20A66" w:rsidP="00335705">
      <w:pPr>
        <w:keepNext/>
        <w:tabs>
          <w:tab w:val="left" w:pos="360"/>
          <w:tab w:val="num" w:pos="720"/>
        </w:tabs>
        <w:rPr>
          <w:b/>
          <w:szCs w:val="22"/>
          <w:u w:val="single"/>
        </w:rPr>
      </w:pPr>
    </w:p>
    <w:p w:rsidR="008264C4" w:rsidRPr="008264C4" w:rsidRDefault="008264C4" w:rsidP="00335705">
      <w:pPr>
        <w:keepNext/>
        <w:tabs>
          <w:tab w:val="left" w:pos="360"/>
          <w:tab w:val="num" w:pos="720"/>
        </w:tabs>
        <w:rPr>
          <w:b/>
          <w:szCs w:val="22"/>
          <w:u w:val="single"/>
        </w:rPr>
      </w:pPr>
      <w:r w:rsidRPr="008264C4">
        <w:rPr>
          <w:b/>
          <w:szCs w:val="22"/>
          <w:u w:val="single"/>
        </w:rPr>
        <w:t xml:space="preserve">Contribution Methodology </w:t>
      </w:r>
    </w:p>
    <w:p w:rsidR="008264C4" w:rsidRPr="00335705" w:rsidRDefault="008264C4" w:rsidP="008264C4">
      <w:pPr>
        <w:rPr>
          <w:b/>
          <w:szCs w:val="22"/>
          <w:u w:val="single"/>
        </w:rPr>
      </w:pPr>
      <w:r w:rsidRPr="00335705">
        <w:rPr>
          <w:b/>
          <w:szCs w:val="22"/>
          <w:lang w:val="en"/>
        </w:rPr>
        <w:t>WC Docket No. 06-122</w:t>
      </w:r>
    </w:p>
    <w:p w:rsidR="008264C4" w:rsidRPr="008264C4" w:rsidRDefault="008264C4" w:rsidP="008264C4">
      <w:pPr>
        <w:tabs>
          <w:tab w:val="num" w:pos="360"/>
          <w:tab w:val="left" w:pos="1440"/>
        </w:tabs>
        <w:rPr>
          <w:szCs w:val="22"/>
          <w:lang w:eastAsia="x-none"/>
        </w:rPr>
      </w:pPr>
    </w:p>
    <w:p w:rsidR="008264C4" w:rsidRPr="00F4387D" w:rsidRDefault="001148AB" w:rsidP="008264C4">
      <w:pPr>
        <w:tabs>
          <w:tab w:val="num" w:pos="360"/>
          <w:tab w:val="left" w:pos="1440"/>
        </w:tabs>
        <w:rPr>
          <w:szCs w:val="22"/>
          <w:u w:val="single"/>
          <w:lang w:eastAsia="x-none"/>
        </w:rPr>
      </w:pPr>
      <w:r>
        <w:rPr>
          <w:szCs w:val="22"/>
          <w:u w:val="single"/>
          <w:lang w:val="x-none" w:eastAsia="x-none"/>
        </w:rPr>
        <w:t>Grant</w:t>
      </w:r>
      <w:r w:rsidR="000B7D90">
        <w:rPr>
          <w:szCs w:val="22"/>
          <w:u w:val="single"/>
          <w:lang w:eastAsia="x-none"/>
        </w:rPr>
        <w:t>ed</w:t>
      </w:r>
    </w:p>
    <w:p w:rsidR="008264C4" w:rsidRPr="008264C4" w:rsidRDefault="008264C4" w:rsidP="008264C4">
      <w:pPr>
        <w:tabs>
          <w:tab w:val="num" w:pos="360"/>
          <w:tab w:val="left" w:pos="1440"/>
        </w:tabs>
        <w:rPr>
          <w:i/>
          <w:szCs w:val="22"/>
          <w:lang w:eastAsia="x-none"/>
        </w:rPr>
      </w:pPr>
    </w:p>
    <w:p w:rsidR="006D3431" w:rsidRDefault="006D3431" w:rsidP="006D3431">
      <w:pPr>
        <w:pStyle w:val="ParaNum"/>
        <w:numPr>
          <w:ilvl w:val="0"/>
          <w:numId w:val="0"/>
        </w:numPr>
        <w:tabs>
          <w:tab w:val="left" w:pos="360"/>
          <w:tab w:val="num" w:pos="1080"/>
        </w:tabs>
        <w:spacing w:after="0"/>
        <w:rPr>
          <w:snapToGrid w:val="0"/>
          <w:kern w:val="28"/>
          <w:szCs w:val="22"/>
          <w:lang w:val="en-US"/>
        </w:rPr>
      </w:pPr>
      <w:r>
        <w:rPr>
          <w:i/>
          <w:snapToGrid w:val="0"/>
          <w:kern w:val="28"/>
          <w:szCs w:val="22"/>
          <w:lang w:val="en-US"/>
        </w:rPr>
        <w:t>End-User DSL Internet Access</w:t>
      </w:r>
      <w:r w:rsidRPr="00563F39">
        <w:rPr>
          <w:rStyle w:val="FootnoteReference"/>
          <w:snapToGrid w:val="0"/>
          <w:kern w:val="28"/>
          <w:szCs w:val="22"/>
          <w:lang w:val="en-US"/>
        </w:rPr>
        <w:footnoteReference w:id="10"/>
      </w:r>
    </w:p>
    <w:p w:rsidR="006D3431" w:rsidRPr="00E24E91" w:rsidRDefault="006D3431" w:rsidP="006D3431">
      <w:pPr>
        <w:pStyle w:val="ParaNum"/>
        <w:numPr>
          <w:ilvl w:val="0"/>
          <w:numId w:val="0"/>
        </w:numPr>
        <w:tabs>
          <w:tab w:val="left" w:pos="360"/>
          <w:tab w:val="num" w:pos="1080"/>
        </w:tabs>
        <w:spacing w:after="0"/>
        <w:rPr>
          <w:snapToGrid w:val="0"/>
          <w:kern w:val="28"/>
          <w:szCs w:val="22"/>
          <w:lang w:val="en-US"/>
        </w:rPr>
      </w:pPr>
    </w:p>
    <w:p w:rsidR="006D3431" w:rsidRPr="00563F39" w:rsidRDefault="006D3431" w:rsidP="006D3431">
      <w:pPr>
        <w:pStyle w:val="ParaNum"/>
        <w:numPr>
          <w:ilvl w:val="0"/>
          <w:numId w:val="0"/>
        </w:numPr>
        <w:tabs>
          <w:tab w:val="left" w:pos="360"/>
          <w:tab w:val="num" w:pos="1080"/>
        </w:tabs>
        <w:spacing w:after="0"/>
        <w:ind w:left="720"/>
        <w:rPr>
          <w:snapToGrid w:val="0"/>
          <w:kern w:val="28"/>
          <w:szCs w:val="22"/>
          <w:lang w:val="en-US"/>
        </w:rPr>
      </w:pPr>
      <w:r w:rsidRPr="00563F39">
        <w:rPr>
          <w:snapToGrid w:val="0"/>
          <w:kern w:val="28"/>
          <w:szCs w:val="22"/>
          <w:lang w:val="en-US"/>
        </w:rPr>
        <w:t>Madison River Communications, LLC, Request for Review, WC Docket No. 06-122 (filed Dec. 12, 2008)</w:t>
      </w:r>
      <w:r>
        <w:rPr>
          <w:rStyle w:val="FootnoteReference"/>
          <w:snapToGrid w:val="0"/>
          <w:kern w:val="28"/>
          <w:szCs w:val="22"/>
          <w:lang w:val="en-US"/>
        </w:rPr>
        <w:footnoteReference w:id="11"/>
      </w:r>
    </w:p>
    <w:p w:rsidR="001148AB" w:rsidRPr="00331E58" w:rsidRDefault="001148AB" w:rsidP="008264C4">
      <w:pPr>
        <w:tabs>
          <w:tab w:val="num" w:pos="360"/>
          <w:tab w:val="left" w:pos="1440"/>
        </w:tabs>
        <w:rPr>
          <w:i/>
          <w:szCs w:val="22"/>
          <w:lang w:eastAsia="x-none"/>
        </w:rPr>
      </w:pPr>
    </w:p>
    <w:p w:rsidR="006D3431" w:rsidRDefault="006D3431" w:rsidP="00270E99">
      <w:pPr>
        <w:pStyle w:val="ParaNum"/>
        <w:keepNext/>
        <w:numPr>
          <w:ilvl w:val="0"/>
          <w:numId w:val="0"/>
        </w:numPr>
        <w:tabs>
          <w:tab w:val="left" w:pos="360"/>
          <w:tab w:val="num" w:pos="1080"/>
        </w:tabs>
        <w:spacing w:after="0"/>
        <w:rPr>
          <w:snapToGrid w:val="0"/>
          <w:kern w:val="28"/>
          <w:szCs w:val="22"/>
          <w:u w:val="single"/>
          <w:lang w:val="en-US"/>
        </w:rPr>
      </w:pPr>
      <w:r>
        <w:rPr>
          <w:snapToGrid w:val="0"/>
          <w:kern w:val="28"/>
          <w:szCs w:val="22"/>
          <w:u w:val="single"/>
          <w:lang w:val="en-US"/>
        </w:rPr>
        <w:t>Dismissals</w:t>
      </w:r>
    </w:p>
    <w:p w:rsidR="006D3431" w:rsidRPr="006D3431" w:rsidRDefault="006D3431" w:rsidP="00270E99">
      <w:pPr>
        <w:pStyle w:val="ParaNum"/>
        <w:keepNext/>
        <w:numPr>
          <w:ilvl w:val="0"/>
          <w:numId w:val="0"/>
        </w:numPr>
        <w:tabs>
          <w:tab w:val="left" w:pos="360"/>
          <w:tab w:val="num" w:pos="1080"/>
        </w:tabs>
        <w:spacing w:after="0"/>
        <w:rPr>
          <w:snapToGrid w:val="0"/>
          <w:kern w:val="28"/>
          <w:szCs w:val="22"/>
          <w:u w:val="single"/>
          <w:lang w:val="en-US"/>
        </w:rPr>
      </w:pPr>
    </w:p>
    <w:p w:rsidR="006D3431" w:rsidRPr="005A73E9" w:rsidRDefault="006D3431" w:rsidP="00270E99">
      <w:pPr>
        <w:pStyle w:val="ParaNum"/>
        <w:keepNext/>
        <w:numPr>
          <w:ilvl w:val="0"/>
          <w:numId w:val="0"/>
        </w:numPr>
        <w:tabs>
          <w:tab w:val="left" w:pos="360"/>
          <w:tab w:val="num" w:pos="1080"/>
        </w:tabs>
        <w:spacing w:after="0"/>
        <w:rPr>
          <w:snapToGrid w:val="0"/>
          <w:kern w:val="28"/>
          <w:szCs w:val="22"/>
          <w:u w:val="single"/>
          <w:lang w:val="en-US"/>
        </w:rPr>
      </w:pPr>
      <w:r w:rsidRPr="007021FF">
        <w:rPr>
          <w:i/>
          <w:snapToGrid w:val="0"/>
          <w:kern w:val="28"/>
          <w:szCs w:val="22"/>
          <w:lang w:val="en-US"/>
        </w:rPr>
        <w:t>Failure to Meet 60-day Deadline for Filing Requests for Review</w:t>
      </w:r>
      <w:r w:rsidRPr="00270E99">
        <w:rPr>
          <w:rStyle w:val="FootnoteReference"/>
          <w:snapToGrid w:val="0"/>
          <w:kern w:val="28"/>
          <w:szCs w:val="22"/>
          <w:lang w:val="en-US"/>
        </w:rPr>
        <w:footnoteReference w:id="12"/>
      </w:r>
    </w:p>
    <w:p w:rsidR="006D3431" w:rsidRDefault="006D3431" w:rsidP="00270E99">
      <w:pPr>
        <w:pStyle w:val="ParaNum"/>
        <w:keepNext/>
        <w:numPr>
          <w:ilvl w:val="0"/>
          <w:numId w:val="0"/>
        </w:numPr>
        <w:tabs>
          <w:tab w:val="left" w:pos="360"/>
          <w:tab w:val="num" w:pos="1080"/>
        </w:tabs>
        <w:spacing w:after="0"/>
        <w:rPr>
          <w:snapToGrid w:val="0"/>
          <w:kern w:val="28"/>
          <w:szCs w:val="22"/>
          <w:lang w:val="en-US"/>
        </w:rPr>
      </w:pPr>
    </w:p>
    <w:p w:rsidR="000E3E2F" w:rsidRDefault="006D3431" w:rsidP="00270E99">
      <w:pPr>
        <w:pStyle w:val="ParaNum"/>
        <w:keepNext/>
        <w:numPr>
          <w:ilvl w:val="0"/>
          <w:numId w:val="0"/>
        </w:numPr>
        <w:tabs>
          <w:tab w:val="left" w:pos="360"/>
          <w:tab w:val="num" w:pos="1080"/>
        </w:tabs>
        <w:spacing w:after="0"/>
        <w:ind w:left="360"/>
        <w:rPr>
          <w:snapToGrid w:val="0"/>
          <w:kern w:val="28"/>
          <w:szCs w:val="22"/>
          <w:lang w:val="en-US"/>
        </w:rPr>
      </w:pPr>
      <w:r>
        <w:rPr>
          <w:snapToGrid w:val="0"/>
          <w:kern w:val="28"/>
          <w:szCs w:val="22"/>
          <w:lang w:val="en-US"/>
        </w:rPr>
        <w:t>Sancom, Inc., d/b/a Mitchel Telecom, Petition for Limited Waiver and Review of a Decision of the Universal Service Administrator, WC Docket No. 06-122 (filed Dec. 3, 2014)</w:t>
      </w:r>
      <w:r>
        <w:rPr>
          <w:rStyle w:val="FootnoteReference"/>
          <w:snapToGrid w:val="0"/>
          <w:kern w:val="28"/>
          <w:szCs w:val="22"/>
          <w:lang w:val="en-US"/>
        </w:rPr>
        <w:footnoteReference w:id="13"/>
      </w:r>
    </w:p>
    <w:p w:rsidR="000E3E2F" w:rsidRDefault="000E3E2F" w:rsidP="00270E99">
      <w:pPr>
        <w:pStyle w:val="ParaNum"/>
        <w:keepNext/>
        <w:numPr>
          <w:ilvl w:val="0"/>
          <w:numId w:val="0"/>
        </w:numPr>
        <w:tabs>
          <w:tab w:val="left" w:pos="360"/>
          <w:tab w:val="num" w:pos="1080"/>
        </w:tabs>
        <w:spacing w:after="0"/>
        <w:rPr>
          <w:snapToGrid w:val="0"/>
          <w:kern w:val="28"/>
          <w:szCs w:val="22"/>
          <w:lang w:val="en-US"/>
        </w:rPr>
      </w:pPr>
    </w:p>
    <w:p w:rsidR="00906F76" w:rsidRDefault="00906F76" w:rsidP="000E3E2F">
      <w:pPr>
        <w:pStyle w:val="ParaNum"/>
        <w:numPr>
          <w:ilvl w:val="0"/>
          <w:numId w:val="0"/>
        </w:numPr>
        <w:tabs>
          <w:tab w:val="left" w:pos="360"/>
          <w:tab w:val="num" w:pos="1080"/>
        </w:tabs>
        <w:spacing w:after="0"/>
        <w:rPr>
          <w:snapToGrid w:val="0"/>
          <w:kern w:val="28"/>
          <w:szCs w:val="22"/>
          <w:u w:val="single"/>
          <w:lang w:val="en-US"/>
        </w:rPr>
      </w:pPr>
    </w:p>
    <w:p w:rsidR="006D3431" w:rsidRPr="007021FF" w:rsidRDefault="006D3431" w:rsidP="006D3431">
      <w:pPr>
        <w:pStyle w:val="ParaNum"/>
        <w:numPr>
          <w:ilvl w:val="0"/>
          <w:numId w:val="0"/>
        </w:numPr>
        <w:tabs>
          <w:tab w:val="left" w:pos="360"/>
          <w:tab w:val="num" w:pos="1080"/>
        </w:tabs>
        <w:spacing w:after="0"/>
        <w:rPr>
          <w:snapToGrid w:val="0"/>
          <w:kern w:val="28"/>
          <w:szCs w:val="22"/>
          <w:lang w:val="en-US"/>
        </w:rPr>
      </w:pPr>
      <w:r w:rsidRPr="007021FF">
        <w:rPr>
          <w:i/>
          <w:snapToGrid w:val="0"/>
          <w:kern w:val="28"/>
          <w:szCs w:val="22"/>
          <w:lang w:val="en-US"/>
        </w:rPr>
        <w:t>Failure to Comply With Section 54.721 of the Commission’s rules</w:t>
      </w:r>
      <w:r w:rsidRPr="007021FF">
        <w:rPr>
          <w:rStyle w:val="FootnoteReference"/>
          <w:snapToGrid w:val="0"/>
          <w:kern w:val="28"/>
          <w:szCs w:val="22"/>
          <w:lang w:val="en-US"/>
        </w:rPr>
        <w:footnoteReference w:id="14"/>
      </w:r>
    </w:p>
    <w:p w:rsidR="006D3431" w:rsidRPr="005A73E9" w:rsidRDefault="006D3431" w:rsidP="006D3431">
      <w:pPr>
        <w:pStyle w:val="ParaNum"/>
        <w:numPr>
          <w:ilvl w:val="0"/>
          <w:numId w:val="0"/>
        </w:numPr>
        <w:tabs>
          <w:tab w:val="left" w:pos="360"/>
          <w:tab w:val="num" w:pos="1080"/>
        </w:tabs>
        <w:spacing w:after="0"/>
        <w:rPr>
          <w:snapToGrid w:val="0"/>
          <w:kern w:val="28"/>
          <w:szCs w:val="22"/>
          <w:u w:val="single"/>
          <w:lang w:val="en-US"/>
        </w:rPr>
      </w:pPr>
    </w:p>
    <w:p w:rsidR="006D3431" w:rsidRDefault="006D3431" w:rsidP="006D3431">
      <w:pPr>
        <w:pStyle w:val="ParaNum"/>
        <w:numPr>
          <w:ilvl w:val="0"/>
          <w:numId w:val="0"/>
        </w:numPr>
        <w:tabs>
          <w:tab w:val="left" w:pos="360"/>
          <w:tab w:val="num" w:pos="1080"/>
        </w:tabs>
        <w:spacing w:after="0"/>
        <w:ind w:left="720"/>
        <w:rPr>
          <w:snapToGrid w:val="0"/>
          <w:kern w:val="28"/>
          <w:szCs w:val="22"/>
          <w:lang w:val="en-US"/>
        </w:rPr>
      </w:pPr>
      <w:r>
        <w:rPr>
          <w:snapToGrid w:val="0"/>
          <w:kern w:val="28"/>
          <w:szCs w:val="22"/>
          <w:lang w:val="en-US"/>
        </w:rPr>
        <w:t>Biddeford Internet Corporation, Application for Review, WC Docket No. 06-122, (filed Sept. 16, 2014)</w:t>
      </w:r>
      <w:r>
        <w:rPr>
          <w:rStyle w:val="FootnoteReference"/>
          <w:snapToGrid w:val="0"/>
          <w:kern w:val="28"/>
          <w:szCs w:val="22"/>
          <w:lang w:val="en-US"/>
        </w:rPr>
        <w:footnoteReference w:id="15"/>
      </w:r>
    </w:p>
    <w:p w:rsidR="002D5E58" w:rsidRDefault="002D5E58" w:rsidP="00086FB7">
      <w:pPr>
        <w:tabs>
          <w:tab w:val="left" w:pos="360"/>
          <w:tab w:val="num" w:pos="720"/>
        </w:tabs>
        <w:rPr>
          <w:szCs w:val="22"/>
          <w:lang w:eastAsia="x-none"/>
        </w:rPr>
      </w:pPr>
    </w:p>
    <w:p w:rsidR="009B605F" w:rsidRDefault="009B605F" w:rsidP="009B605F">
      <w:pPr>
        <w:ind w:firstLine="720"/>
        <w:rPr>
          <w:snapToGrid w:val="0"/>
          <w:kern w:val="28"/>
          <w:szCs w:val="22"/>
        </w:rPr>
      </w:pPr>
    </w:p>
    <w:p w:rsidR="00A363B1" w:rsidRPr="0087417E" w:rsidRDefault="00A363B1" w:rsidP="00A363B1">
      <w:pPr>
        <w:ind w:firstLine="720"/>
        <w:rPr>
          <w:snapToGrid w:val="0"/>
          <w:kern w:val="28"/>
          <w:szCs w:val="22"/>
        </w:rPr>
      </w:pPr>
      <w:r w:rsidRPr="0087417E">
        <w:rPr>
          <w:snapToGrid w:val="0"/>
          <w:kern w:val="28"/>
          <w:szCs w:val="22"/>
        </w:rPr>
        <w:t xml:space="preserve">For additional information concerning this Public Notice, please contact </w:t>
      </w:r>
      <w:r w:rsidR="00AD5C02">
        <w:rPr>
          <w:snapToGrid w:val="0"/>
          <w:kern w:val="28"/>
          <w:szCs w:val="22"/>
        </w:rPr>
        <w:t xml:space="preserve">Erica Myers </w:t>
      </w:r>
      <w:r w:rsidR="003E7AC3" w:rsidRPr="0087417E">
        <w:rPr>
          <w:snapToGrid w:val="0"/>
          <w:kern w:val="28"/>
          <w:szCs w:val="22"/>
        </w:rPr>
        <w:t>at (202) 418-</w:t>
      </w:r>
      <w:r w:rsidR="009D5CE7" w:rsidRPr="0087417E">
        <w:rPr>
          <w:snapToGrid w:val="0"/>
          <w:kern w:val="28"/>
          <w:szCs w:val="22"/>
        </w:rPr>
        <w:t>7400</w:t>
      </w:r>
      <w:r w:rsidRPr="0087417E">
        <w:rPr>
          <w:snapToGrid w:val="0"/>
          <w:kern w:val="28"/>
          <w:szCs w:val="22"/>
        </w:rPr>
        <w:t>, in the Telecommunications Access Policy Division, Wireline Competition Bureau.</w:t>
      </w:r>
    </w:p>
    <w:p w:rsidR="00A363B1" w:rsidRPr="0087417E" w:rsidRDefault="00A363B1" w:rsidP="00A363B1">
      <w:pPr>
        <w:ind w:firstLine="720"/>
        <w:rPr>
          <w:snapToGrid w:val="0"/>
          <w:kern w:val="28"/>
          <w:szCs w:val="22"/>
        </w:rPr>
      </w:pPr>
    </w:p>
    <w:p w:rsidR="00A363B1" w:rsidRPr="0087417E" w:rsidRDefault="00A363B1" w:rsidP="00A363B1">
      <w:pPr>
        <w:ind w:firstLine="720"/>
        <w:rPr>
          <w:snapToGrid w:val="0"/>
          <w:kern w:val="28"/>
          <w:szCs w:val="22"/>
        </w:rPr>
      </w:pPr>
    </w:p>
    <w:p w:rsidR="00A363B1" w:rsidRPr="0087417E" w:rsidRDefault="00A363B1" w:rsidP="00A363B1">
      <w:pPr>
        <w:jc w:val="center"/>
        <w:rPr>
          <w:b/>
          <w:szCs w:val="22"/>
        </w:rPr>
      </w:pPr>
      <w:r w:rsidRPr="0087417E">
        <w:rPr>
          <w:b/>
          <w:szCs w:val="22"/>
        </w:rPr>
        <w:t>- FCC -</w:t>
      </w:r>
    </w:p>
    <w:p w:rsidR="00BC7878" w:rsidRPr="0087417E" w:rsidRDefault="00BC7878">
      <w:pPr>
        <w:jc w:val="center"/>
        <w:rPr>
          <w:b/>
          <w:szCs w:val="22"/>
        </w:rPr>
      </w:pPr>
    </w:p>
    <w:sectPr w:rsidR="00BC7878" w:rsidRPr="0087417E" w:rsidSect="0047137A">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4C" w:rsidRDefault="00CA114C">
      <w:r>
        <w:separator/>
      </w:r>
    </w:p>
  </w:endnote>
  <w:endnote w:type="continuationSeparator" w:id="0">
    <w:p w:rsidR="00CA114C" w:rsidRDefault="00CA114C">
      <w:r>
        <w:continuationSeparator/>
      </w:r>
    </w:p>
  </w:endnote>
  <w:endnote w:type="continuationNotice" w:id="1">
    <w:p w:rsidR="00CA114C" w:rsidRDefault="00CA1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A9" w:rsidRDefault="000E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E93A62">
    <w:pPr>
      <w:pStyle w:val="Footer"/>
      <w:jc w:val="center"/>
    </w:pPr>
    <w:r>
      <w:fldChar w:fldCharType="begin"/>
    </w:r>
    <w:r>
      <w:instrText xml:space="preserve"> PAGE   \* MERGEFORMAT </w:instrText>
    </w:r>
    <w:r>
      <w:fldChar w:fldCharType="separate"/>
    </w:r>
    <w:r w:rsidR="00252C4C">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A9" w:rsidRDefault="000E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4C" w:rsidRDefault="00CA114C">
      <w:r>
        <w:separator/>
      </w:r>
    </w:p>
  </w:footnote>
  <w:footnote w:type="continuationSeparator" w:id="0">
    <w:p w:rsidR="00CA114C" w:rsidRPr="00CD3379" w:rsidRDefault="00CA114C">
      <w:pPr>
        <w:rPr>
          <w:sz w:val="20"/>
        </w:rPr>
      </w:pPr>
      <w:r>
        <w:rPr>
          <w:sz w:val="20"/>
        </w:rPr>
        <w:t xml:space="preserve">(Continued from previous page)  </w:t>
      </w:r>
      <w:r>
        <w:rPr>
          <w:sz w:val="20"/>
        </w:rPr>
        <w:separator/>
      </w:r>
    </w:p>
  </w:footnote>
  <w:footnote w:type="continuationNotice" w:id="1">
    <w:p w:rsidR="00CA114C" w:rsidRPr="006C1F5A" w:rsidRDefault="00CA114C" w:rsidP="00CD3379">
      <w:pPr>
        <w:jc w:val="right"/>
        <w:rPr>
          <w:sz w:val="20"/>
        </w:rPr>
      </w:pPr>
      <w:r w:rsidRPr="00854CD1">
        <w:rPr>
          <w:sz w:val="20"/>
        </w:rPr>
        <w:t>(continued…)</w:t>
      </w:r>
    </w:p>
    <w:p w:rsidR="00CA114C" w:rsidRDefault="00CA114C"/>
  </w:footnote>
  <w:footnote w:id="2">
    <w:p w:rsidR="004610CF" w:rsidRPr="00852FEF" w:rsidRDefault="004610CF" w:rsidP="007D7D94">
      <w:pPr>
        <w:spacing w:after="120"/>
        <w:rPr>
          <w:sz w:val="20"/>
        </w:rPr>
      </w:pPr>
      <w:r w:rsidRPr="00852FEF">
        <w:rPr>
          <w:rStyle w:val="FootnoteReference"/>
          <w:sz w:val="20"/>
        </w:rPr>
        <w:footnoteRef/>
      </w:r>
      <w:r w:rsidRPr="00852FEF">
        <w:rPr>
          <w:sz w:val="20"/>
        </w:rPr>
        <w:t xml:space="preserve"> </w:t>
      </w:r>
      <w:r w:rsidRPr="00852FEF">
        <w:rPr>
          <w:i/>
          <w:sz w:val="20"/>
        </w:rPr>
        <w:t>See</w:t>
      </w:r>
      <w:r w:rsidRPr="00852FEF">
        <w:rPr>
          <w:sz w:val="20"/>
        </w:rPr>
        <w:t xml:space="preserve"> </w:t>
      </w:r>
      <w:r w:rsidRPr="00852FEF">
        <w:rPr>
          <w:i/>
          <w:sz w:val="20"/>
        </w:rPr>
        <w:t>Streamlined Process for Resolving Requests for Review of Decisions by the Universal Service Administrative Company</w:t>
      </w:r>
      <w:r w:rsidRPr="00852FEF">
        <w:rPr>
          <w:sz w:val="20"/>
        </w:rPr>
        <w:t xml:space="preserve">, CC Docket No. 96-45, CC Docket No. 02-6, WC Docket No. 02-60, </w:t>
      </w:r>
      <w:r w:rsidRPr="00852FEF">
        <w:rPr>
          <w:color w:val="333333"/>
          <w:sz w:val="20"/>
          <w:lang w:val="en"/>
        </w:rPr>
        <w:t>WC Docket No. 06-122, WC Docket No. 08-71, WC Docket No. 10-90, W</w:t>
      </w:r>
      <w:r w:rsidRPr="00852FEF">
        <w:rPr>
          <w:sz w:val="20"/>
        </w:rPr>
        <w:t xml:space="preserve">C Docket No. 11-42, WC Docket No. 14-58, Public Notice, </w:t>
      </w:r>
      <w:r w:rsidR="00E67D98" w:rsidRPr="00852FEF">
        <w:rPr>
          <w:sz w:val="20"/>
        </w:rPr>
        <w:t>29 FCC Rcd 11094</w:t>
      </w:r>
      <w:r w:rsidRPr="00852FEF">
        <w:rPr>
          <w:sz w:val="20"/>
        </w:rPr>
        <w:t xml:space="preserve"> (Wireline Comp. Bur. 2014).  Section 54.719(c) of the Commission’s rules provides that any person aggrieved by an action taken by a division of USAC may seek review from the Commission. 47 C.F.R. § 54.719(c</w:t>
      </w:r>
      <w:r w:rsidR="00836370" w:rsidRPr="00852FEF">
        <w:rPr>
          <w:sz w:val="20"/>
        </w:rPr>
        <w:t>).</w:t>
      </w:r>
      <w:r w:rsidR="005C5198" w:rsidRPr="00852FEF">
        <w:rPr>
          <w:sz w:val="20"/>
        </w:rPr>
        <w:t xml:space="preserve">  </w:t>
      </w:r>
    </w:p>
  </w:footnote>
  <w:footnote w:id="3">
    <w:p w:rsidR="004610CF" w:rsidRPr="00852FEF" w:rsidRDefault="004610CF" w:rsidP="007D7D94">
      <w:pPr>
        <w:pStyle w:val="FootnoteText"/>
        <w:spacing w:after="120"/>
        <w:rPr>
          <w:sz w:val="20"/>
        </w:rPr>
      </w:pPr>
      <w:r w:rsidRPr="00852FEF">
        <w:rPr>
          <w:rStyle w:val="FootnoteReference"/>
          <w:sz w:val="20"/>
        </w:rPr>
        <w:footnoteRef/>
      </w:r>
      <w:r w:rsidRPr="00852FEF">
        <w:rPr>
          <w:sz w:val="20"/>
        </w:rPr>
        <w:t xml:space="preserve"> </w:t>
      </w:r>
      <w:r w:rsidRPr="00852FEF">
        <w:rPr>
          <w:i/>
          <w:sz w:val="20"/>
        </w:rPr>
        <w:t>See</w:t>
      </w:r>
      <w:r w:rsidRPr="00852FEF">
        <w:rPr>
          <w:sz w:val="20"/>
        </w:rPr>
        <w:t xml:space="preserve"> 47 C</w:t>
      </w:r>
      <w:r w:rsidR="00C43514" w:rsidRPr="00852FEF">
        <w:rPr>
          <w:sz w:val="20"/>
          <w:lang w:val="en-US"/>
        </w:rPr>
        <w:t>.</w:t>
      </w:r>
      <w:r w:rsidRPr="00852FEF">
        <w:rPr>
          <w:sz w:val="20"/>
        </w:rPr>
        <w:t>F.R. §</w:t>
      </w:r>
      <w:r w:rsidR="00C43514" w:rsidRPr="00852FEF">
        <w:rPr>
          <w:sz w:val="20"/>
          <w:lang w:val="en-US"/>
        </w:rPr>
        <w:t>§</w:t>
      </w:r>
      <w:r w:rsidRPr="00852FEF">
        <w:rPr>
          <w:sz w:val="20"/>
        </w:rPr>
        <w:t xml:space="preserve"> 1.106</w:t>
      </w:r>
      <w:r w:rsidR="00C43514" w:rsidRPr="00852FEF">
        <w:rPr>
          <w:sz w:val="20"/>
          <w:lang w:val="en-US"/>
        </w:rPr>
        <w:t>,</w:t>
      </w:r>
      <w:r w:rsidRPr="00852FEF">
        <w:rPr>
          <w:sz w:val="20"/>
        </w:rPr>
        <w:t xml:space="preserve"> 1.115</w:t>
      </w:r>
      <w:r w:rsidR="000B7D90" w:rsidRPr="00852FEF">
        <w:rPr>
          <w:sz w:val="20"/>
          <w:lang w:val="en-US"/>
        </w:rPr>
        <w:t>;</w:t>
      </w:r>
      <w:r w:rsidR="000B7D90" w:rsidRPr="00852FEF">
        <w:rPr>
          <w:i/>
          <w:sz w:val="20"/>
          <w:lang w:val="en-US"/>
        </w:rPr>
        <w:t xml:space="preserve"> s</w:t>
      </w:r>
      <w:r w:rsidR="00C43514" w:rsidRPr="00852FEF">
        <w:rPr>
          <w:i/>
          <w:sz w:val="20"/>
          <w:lang w:val="en-US"/>
        </w:rPr>
        <w:t>ee</w:t>
      </w:r>
      <w:r w:rsidRPr="00852FEF">
        <w:rPr>
          <w:i/>
          <w:sz w:val="20"/>
        </w:rPr>
        <w:t xml:space="preserve"> also</w:t>
      </w:r>
      <w:r w:rsidRPr="00852FEF">
        <w:rPr>
          <w:sz w:val="20"/>
        </w:rPr>
        <w:t xml:space="preserve"> 47 C.F.R. § 1.4(b)(2) (setting forth the method for computing the amount of time within which persons or entities must act in response to deadlines established by the Commission).</w:t>
      </w:r>
    </w:p>
  </w:footnote>
  <w:footnote w:id="4">
    <w:p w:rsidR="00A03471" w:rsidRPr="00852FEF" w:rsidRDefault="00A03471" w:rsidP="007D7D94">
      <w:pPr>
        <w:spacing w:after="120"/>
        <w:rPr>
          <w:sz w:val="20"/>
        </w:rPr>
      </w:pPr>
      <w:r w:rsidRPr="00852FEF">
        <w:rPr>
          <w:rStyle w:val="FootnoteReference"/>
          <w:sz w:val="20"/>
        </w:rPr>
        <w:footnoteRef/>
      </w:r>
      <w:r w:rsidRPr="00852FEF">
        <w:rPr>
          <w:sz w:val="20"/>
        </w:rPr>
        <w:t xml:space="preserve"> We remand the underlying applications to USAC.  In remanding these applications to USAC, we make no</w:t>
      </w:r>
      <w:r w:rsidR="004E293A" w:rsidRPr="00852FEF">
        <w:rPr>
          <w:sz w:val="20"/>
        </w:rPr>
        <w:t xml:space="preserve"> other</w:t>
      </w:r>
      <w:r w:rsidRPr="00852FEF">
        <w:rPr>
          <w:sz w:val="20"/>
        </w:rPr>
        <w:t xml:space="preserve"> finding</w:t>
      </w:r>
      <w:r w:rsidR="004E293A" w:rsidRPr="00852FEF">
        <w:rPr>
          <w:sz w:val="20"/>
        </w:rPr>
        <w:t>s</w:t>
      </w:r>
      <w:r w:rsidRPr="00852FEF">
        <w:rPr>
          <w:sz w:val="20"/>
        </w:rPr>
        <w:t xml:space="preserve"> as to the ultimate eligibility of the </w:t>
      </w:r>
      <w:r w:rsidR="004E293A" w:rsidRPr="00852FEF">
        <w:rPr>
          <w:sz w:val="20"/>
        </w:rPr>
        <w:t xml:space="preserve">underlying </w:t>
      </w:r>
      <w:r w:rsidRPr="00852FEF">
        <w:rPr>
          <w:sz w:val="20"/>
        </w:rPr>
        <w:t>services or the petitioners’ applications.</w:t>
      </w:r>
    </w:p>
  </w:footnote>
  <w:footnote w:id="5">
    <w:p w:rsidR="00D20433" w:rsidRPr="00852FEF" w:rsidRDefault="00D20433" w:rsidP="007D7D94">
      <w:pPr>
        <w:spacing w:after="120"/>
        <w:rPr>
          <w:sz w:val="20"/>
        </w:rPr>
      </w:pPr>
      <w:r w:rsidRPr="00852FEF">
        <w:rPr>
          <w:rStyle w:val="FootnoteReference"/>
          <w:sz w:val="20"/>
        </w:rPr>
        <w:footnoteRef/>
      </w:r>
      <w:r w:rsidRPr="00852FEF">
        <w:rPr>
          <w:sz w:val="20"/>
        </w:rPr>
        <w:t xml:space="preserve"> </w:t>
      </w:r>
      <w:r w:rsidR="006442B7" w:rsidRPr="00852FEF">
        <w:rPr>
          <w:i/>
          <w:iCs/>
          <w:sz w:val="20"/>
        </w:rPr>
        <w:t>See</w:t>
      </w:r>
      <w:r w:rsidR="009D153D" w:rsidRPr="00852FEF">
        <w:rPr>
          <w:i/>
          <w:iCs/>
          <w:sz w:val="20"/>
        </w:rPr>
        <w:t>,</w:t>
      </w:r>
      <w:r w:rsidR="006442B7" w:rsidRPr="00852FEF">
        <w:rPr>
          <w:i/>
          <w:iCs/>
          <w:sz w:val="20"/>
        </w:rPr>
        <w:t xml:space="preserve"> </w:t>
      </w:r>
      <w:r w:rsidR="00301E4C" w:rsidRPr="00852FEF">
        <w:rPr>
          <w:i/>
          <w:iCs/>
          <w:sz w:val="20"/>
        </w:rPr>
        <w:t>e.g.</w:t>
      </w:r>
      <w:r w:rsidR="00301E4C" w:rsidRPr="00852FEF">
        <w:rPr>
          <w:iCs/>
          <w:sz w:val="20"/>
        </w:rPr>
        <w:t>,</w:t>
      </w:r>
      <w:r w:rsidR="00301E4C" w:rsidRPr="00852FEF">
        <w:rPr>
          <w:i/>
          <w:iCs/>
          <w:sz w:val="20"/>
        </w:rPr>
        <w:t xml:space="preserve"> </w:t>
      </w:r>
      <w:r w:rsidR="006442B7" w:rsidRPr="00852FEF">
        <w:rPr>
          <w:i/>
          <w:iCs/>
          <w:sz w:val="20"/>
        </w:rPr>
        <w:t>Requests for Waiver and Review of Decisions of the Universal Service Administrator by Academy of Math and Science et al.; Schools and Libraries Universal Service Support Mechanism</w:t>
      </w:r>
      <w:r w:rsidR="006442B7" w:rsidRPr="00852FEF">
        <w:rPr>
          <w:iCs/>
          <w:sz w:val="20"/>
        </w:rPr>
        <w:t>,</w:t>
      </w:r>
      <w:r w:rsidR="006442B7" w:rsidRPr="00852FEF">
        <w:rPr>
          <w:sz w:val="20"/>
        </w:rPr>
        <w:t xml:space="preserve"> CC Docket No. 02-6, Order, 25 FCC Rcd 9256, 9259-60, paras. 8</w:t>
      </w:r>
      <w:r w:rsidR="002C5FD6" w:rsidRPr="00852FEF">
        <w:rPr>
          <w:sz w:val="20"/>
        </w:rPr>
        <w:t>-</w:t>
      </w:r>
      <w:r w:rsidR="006442B7" w:rsidRPr="00852FEF">
        <w:rPr>
          <w:sz w:val="20"/>
        </w:rPr>
        <w:t>9 (2010) (</w:t>
      </w:r>
      <w:r w:rsidR="009C6B58" w:rsidRPr="00852FEF">
        <w:rPr>
          <w:sz w:val="20"/>
        </w:rPr>
        <w:t xml:space="preserve">granting appeals on the merits in instances where applicants demonstrated they timely filed their FCC Forms 471; </w:t>
      </w:r>
      <w:r w:rsidR="006442B7" w:rsidRPr="00852FEF">
        <w:rPr>
          <w:sz w:val="20"/>
        </w:rPr>
        <w:t>finding special circumstances exist to justify granting waiver requests where, for example,</w:t>
      </w:r>
      <w:r w:rsidR="006442B7" w:rsidRPr="00852FEF">
        <w:rPr>
          <w:i/>
          <w:iCs/>
          <w:sz w:val="20"/>
        </w:rPr>
        <w:t xml:space="preserve"> </w:t>
      </w:r>
      <w:r w:rsidR="006442B7" w:rsidRPr="00852FEF">
        <w:rPr>
          <w:sz w:val="20"/>
        </w:rPr>
        <w:t>petitioners filed their FCC Forms 471 within 14 days after the</w:t>
      </w:r>
      <w:r w:rsidR="006442B7" w:rsidRPr="00852FEF">
        <w:rPr>
          <w:i/>
          <w:iCs/>
          <w:sz w:val="20"/>
        </w:rPr>
        <w:t xml:space="preserve"> </w:t>
      </w:r>
      <w:r w:rsidR="006442B7" w:rsidRPr="00852FEF">
        <w:rPr>
          <w:sz w:val="20"/>
        </w:rPr>
        <w:t>FCC Form 471 filing window deadline</w:t>
      </w:r>
      <w:r w:rsidR="009C6B58" w:rsidRPr="00852FEF">
        <w:rPr>
          <w:sz w:val="20"/>
        </w:rPr>
        <w:t>,</w:t>
      </w:r>
      <w:r w:rsidR="006442B7" w:rsidRPr="00852FEF">
        <w:rPr>
          <w:sz w:val="20"/>
        </w:rPr>
        <w:t xml:space="preserve"> or filed their FCC Forms 471 on time, but failed to timely file their certifications</w:t>
      </w:r>
      <w:r w:rsidR="009C6B58" w:rsidRPr="00852FEF">
        <w:rPr>
          <w:sz w:val="20"/>
        </w:rPr>
        <w:t>;</w:t>
      </w:r>
      <w:r w:rsidR="00DD3842" w:rsidRPr="00852FEF">
        <w:rPr>
          <w:sz w:val="20"/>
        </w:rPr>
        <w:t xml:space="preserve"> </w:t>
      </w:r>
      <w:r w:rsidR="004E293A" w:rsidRPr="00852FEF">
        <w:rPr>
          <w:sz w:val="20"/>
        </w:rPr>
        <w:t xml:space="preserve">and </w:t>
      </w:r>
      <w:r w:rsidR="00DD3842" w:rsidRPr="00852FEF">
        <w:rPr>
          <w:sz w:val="20"/>
        </w:rPr>
        <w:t>denying waivers where petitioners failed to present special circumstances</w:t>
      </w:r>
      <w:r w:rsidR="004E293A" w:rsidRPr="00852FEF">
        <w:rPr>
          <w:sz w:val="20"/>
        </w:rPr>
        <w:t xml:space="preserve"> justifying waivers of our rules</w:t>
      </w:r>
      <w:r w:rsidR="006442B7" w:rsidRPr="00852FEF">
        <w:rPr>
          <w:sz w:val="20"/>
        </w:rPr>
        <w:t>)</w:t>
      </w:r>
      <w:r w:rsidR="00240E22" w:rsidRPr="00852FEF">
        <w:rPr>
          <w:sz w:val="20"/>
        </w:rPr>
        <w:t>.</w:t>
      </w:r>
      <w:r w:rsidR="00EE632B" w:rsidRPr="00852FEF">
        <w:rPr>
          <w:sz w:val="20"/>
        </w:rPr>
        <w:t xml:space="preserve">  </w:t>
      </w:r>
    </w:p>
  </w:footnote>
  <w:footnote w:id="6">
    <w:p w:rsidR="00966EDD" w:rsidRPr="00270E99" w:rsidRDefault="00A47D05" w:rsidP="007D7D94">
      <w:pPr>
        <w:spacing w:after="120"/>
        <w:rPr>
          <w:color w:val="1F497D"/>
          <w:sz w:val="20"/>
        </w:rPr>
      </w:pPr>
      <w:r w:rsidRPr="00852FEF">
        <w:rPr>
          <w:rStyle w:val="FootnoteReference"/>
          <w:sz w:val="20"/>
        </w:rPr>
        <w:footnoteRef/>
      </w:r>
      <w:r w:rsidRPr="00852FEF">
        <w:rPr>
          <w:sz w:val="20"/>
        </w:rPr>
        <w:t xml:space="preserve"> </w:t>
      </w:r>
      <w:r w:rsidRPr="00852FEF">
        <w:rPr>
          <w:i/>
          <w:sz w:val="20"/>
        </w:rPr>
        <w:t>See</w:t>
      </w:r>
      <w:r w:rsidR="00301E4C" w:rsidRPr="00852FEF">
        <w:rPr>
          <w:i/>
          <w:sz w:val="20"/>
        </w:rPr>
        <w:t>,</w:t>
      </w:r>
      <w:r w:rsidRPr="00852FEF">
        <w:rPr>
          <w:i/>
          <w:sz w:val="20"/>
        </w:rPr>
        <w:t xml:space="preserve"> </w:t>
      </w:r>
      <w:r w:rsidR="00301E4C" w:rsidRPr="00852FEF">
        <w:rPr>
          <w:i/>
          <w:sz w:val="20"/>
        </w:rPr>
        <w:t>e.g.</w:t>
      </w:r>
      <w:r w:rsidR="00301E4C" w:rsidRPr="00852FEF">
        <w:rPr>
          <w:sz w:val="20"/>
        </w:rPr>
        <w:t xml:space="preserve">, </w:t>
      </w:r>
      <w:r w:rsidRPr="00852FEF">
        <w:rPr>
          <w:i/>
          <w:sz w:val="20"/>
        </w:rPr>
        <w:t>Request for Waiver of the Decision of the Universal Service Administrator by Barberton City School District et al.; Schools and Libraries Universal Service Support Mechanism</w:t>
      </w:r>
      <w:r w:rsidRPr="00270E99">
        <w:rPr>
          <w:sz w:val="20"/>
        </w:rPr>
        <w:t>,</w:t>
      </w:r>
      <w:r w:rsidRPr="00852FEF">
        <w:rPr>
          <w:sz w:val="20"/>
        </w:rPr>
        <w:t xml:space="preserve"> </w:t>
      </w:r>
      <w:r w:rsidRPr="00C57E63">
        <w:rPr>
          <w:sz w:val="20"/>
        </w:rPr>
        <w:t>CC Docket No. 02-6, Order, 23 FCC Rcd 15526 (Wireline Comp. Bur. 2008) (granting appeals on the merits in instances where applicants demonstrated they were in compliance with the Commission’s rule to have a signed contract in place prior to filing their applications)</w:t>
      </w:r>
      <w:r w:rsidR="009C6B58" w:rsidRPr="00C57E63">
        <w:rPr>
          <w:sz w:val="20"/>
        </w:rPr>
        <w:t>.</w:t>
      </w:r>
      <w:r w:rsidR="001E47D6" w:rsidRPr="00C57E63">
        <w:rPr>
          <w:sz w:val="20"/>
        </w:rPr>
        <w:t xml:space="preserve">  </w:t>
      </w:r>
      <w:r w:rsidR="009C0BFB" w:rsidRPr="00C57E63">
        <w:rPr>
          <w:sz w:val="20"/>
        </w:rPr>
        <w:t xml:space="preserve">We waive sections 54.507(d) and 54.514(a) of the Commission’s rules and direct USAC to waive any procedural deadline that might be necessary to effectuate </w:t>
      </w:r>
      <w:r w:rsidR="009C0BFB" w:rsidRPr="00C57E63">
        <w:rPr>
          <w:color w:val="000000"/>
          <w:sz w:val="20"/>
        </w:rPr>
        <w:t>our ruling.</w:t>
      </w:r>
      <w:r w:rsidR="009C0BFB" w:rsidRPr="00C57E63">
        <w:rPr>
          <w:sz w:val="20"/>
        </w:rPr>
        <w:t xml:space="preserve"> </w:t>
      </w:r>
      <w:r w:rsidR="009C6B58" w:rsidRPr="00C57E63">
        <w:rPr>
          <w:sz w:val="20"/>
        </w:rPr>
        <w:t xml:space="preserve"> </w:t>
      </w:r>
      <w:r w:rsidR="009C0BFB" w:rsidRPr="00C57E63">
        <w:rPr>
          <w:i/>
          <w:sz w:val="20"/>
        </w:rPr>
        <w:t>See</w:t>
      </w:r>
      <w:r w:rsidR="009C0BFB" w:rsidRPr="00C57E63">
        <w:rPr>
          <w:sz w:val="20"/>
        </w:rPr>
        <w:t xml:space="preserve"> 47 C.F.R. § 54.507(d) (requiring non-recurring services to be implemented by September 30 following the close </w:t>
      </w:r>
      <w:r w:rsidR="00E50E8B" w:rsidRPr="00C57E63">
        <w:rPr>
          <w:sz w:val="20"/>
        </w:rPr>
        <w:t xml:space="preserve">of the funding year); 47 C.F.R. </w:t>
      </w:r>
      <w:r w:rsidR="009C0BFB" w:rsidRPr="00C57E63">
        <w:rPr>
          <w:sz w:val="20"/>
        </w:rPr>
        <w:t xml:space="preserve">§ 54.514(a) (codifying the invoice filing deadline).  </w:t>
      </w:r>
    </w:p>
  </w:footnote>
  <w:footnote w:id="7">
    <w:p w:rsidR="00E93A62" w:rsidRPr="00C57E63" w:rsidRDefault="00E93A62" w:rsidP="007D7D94">
      <w:pPr>
        <w:pStyle w:val="FootnoteText"/>
        <w:spacing w:after="120"/>
        <w:rPr>
          <w:sz w:val="20"/>
          <w:lang w:val="en-US"/>
        </w:rPr>
      </w:pPr>
      <w:r w:rsidRPr="00852FEF">
        <w:rPr>
          <w:rStyle w:val="FootnoteReference"/>
          <w:sz w:val="20"/>
        </w:rPr>
        <w:footnoteRef/>
      </w:r>
      <w:r w:rsidRPr="00852FEF">
        <w:rPr>
          <w:sz w:val="20"/>
        </w:rPr>
        <w:t xml:space="preserve"> </w:t>
      </w:r>
      <w:r w:rsidRPr="00C57E63">
        <w:rPr>
          <w:i/>
          <w:sz w:val="20"/>
          <w:lang w:val="en-US"/>
        </w:rPr>
        <w:t>See</w:t>
      </w:r>
      <w:r w:rsidRPr="00C57E63">
        <w:rPr>
          <w:sz w:val="20"/>
          <w:lang w:val="en-US"/>
        </w:rPr>
        <w:t xml:space="preserve"> </w:t>
      </w:r>
      <w:r w:rsidR="00200E87" w:rsidRPr="00C57E63">
        <w:rPr>
          <w:i/>
          <w:sz w:val="20"/>
          <w:lang w:val="en-US"/>
        </w:rPr>
        <w:t>supra</w:t>
      </w:r>
      <w:r w:rsidR="00200E87" w:rsidRPr="00C57E63">
        <w:rPr>
          <w:sz w:val="20"/>
          <w:lang w:val="en-US"/>
        </w:rPr>
        <w:t xml:space="preserve"> n</w:t>
      </w:r>
      <w:r w:rsidR="001A64F4" w:rsidRPr="00C57E63">
        <w:rPr>
          <w:sz w:val="20"/>
          <w:lang w:val="en-US"/>
        </w:rPr>
        <w:t xml:space="preserve">ote </w:t>
      </w:r>
      <w:r w:rsidR="00875711" w:rsidRPr="00C57E63">
        <w:rPr>
          <w:sz w:val="20"/>
          <w:lang w:val="en-US"/>
        </w:rPr>
        <w:fldChar w:fldCharType="begin"/>
      </w:r>
      <w:r w:rsidR="00875711" w:rsidRPr="00C57E63">
        <w:rPr>
          <w:sz w:val="20"/>
          <w:lang w:val="en-US"/>
        </w:rPr>
        <w:instrText xml:space="preserve"> NOTEREF _Ref401043911 \h </w:instrText>
      </w:r>
      <w:r w:rsidR="00852FEF">
        <w:rPr>
          <w:sz w:val="20"/>
          <w:lang w:val="en-US"/>
        </w:rPr>
        <w:instrText xml:space="preserve"> \* MERGEFORMAT </w:instrText>
      </w:r>
      <w:r w:rsidR="00875711" w:rsidRPr="00C57E63">
        <w:rPr>
          <w:sz w:val="20"/>
          <w:lang w:val="en-US"/>
        </w:rPr>
      </w:r>
      <w:r w:rsidR="00875711" w:rsidRPr="00C57E63">
        <w:rPr>
          <w:sz w:val="20"/>
          <w:lang w:val="en-US"/>
        </w:rPr>
        <w:fldChar w:fldCharType="separate"/>
      </w:r>
      <w:r w:rsidR="006D3431" w:rsidRPr="00C57E63">
        <w:rPr>
          <w:sz w:val="20"/>
          <w:lang w:val="en-US"/>
        </w:rPr>
        <w:t>4</w:t>
      </w:r>
      <w:r w:rsidR="00875711" w:rsidRPr="00C57E63">
        <w:rPr>
          <w:sz w:val="20"/>
          <w:lang w:val="en-US"/>
        </w:rPr>
        <w:fldChar w:fldCharType="end"/>
      </w:r>
      <w:r w:rsidRPr="00852FEF">
        <w:rPr>
          <w:sz w:val="20"/>
          <w:lang w:val="en-US"/>
        </w:rPr>
        <w:t>.</w:t>
      </w:r>
    </w:p>
  </w:footnote>
  <w:footnote w:id="8">
    <w:p w:rsidR="009F2B23" w:rsidRPr="00C57E63" w:rsidRDefault="009F2B23" w:rsidP="00852FEF">
      <w:pPr>
        <w:pStyle w:val="FootnoteText"/>
        <w:spacing w:after="120"/>
        <w:rPr>
          <w:sz w:val="20"/>
        </w:rPr>
      </w:pPr>
      <w:r w:rsidRPr="00852FEF">
        <w:rPr>
          <w:rStyle w:val="FootnoteReference"/>
          <w:sz w:val="20"/>
        </w:rPr>
        <w:footnoteRef/>
      </w:r>
      <w:r w:rsidRPr="00852FEF">
        <w:rPr>
          <w:i/>
          <w:sz w:val="20"/>
        </w:rPr>
        <w:t xml:space="preserve"> </w:t>
      </w:r>
      <w:r w:rsidRPr="00C57E63">
        <w:rPr>
          <w:i/>
          <w:sz w:val="20"/>
        </w:rPr>
        <w:t>See, e.g.</w:t>
      </w:r>
      <w:r w:rsidRPr="00C57E63">
        <w:rPr>
          <w:sz w:val="20"/>
        </w:rPr>
        <w:t>,</w:t>
      </w:r>
      <w:r w:rsidRPr="00C57E63">
        <w:rPr>
          <w:i/>
          <w:sz w:val="20"/>
        </w:rPr>
        <w:t xml:space="preserve"> Requests</w:t>
      </w:r>
      <w:r w:rsidRPr="00C57E63">
        <w:rPr>
          <w:i/>
          <w:iCs/>
          <w:color w:val="000000"/>
          <w:sz w:val="20"/>
        </w:rPr>
        <w:t xml:space="preserve"> for Review of Decisions of the Universal Service Administrator by Agra Public Schools I-134 et al.; Schools and Libraries Universal Service Support Mechanism,</w:t>
      </w:r>
      <w:r w:rsidRPr="00C57E63">
        <w:rPr>
          <w:color w:val="000000"/>
          <w:sz w:val="20"/>
        </w:rPr>
        <w:t xml:space="preserve"> CC Docket No. 02-6, Order, 25 FCC Rcd 5684 (Wireline Comp. Bur. 2010</w:t>
      </w:r>
      <w:r w:rsidRPr="00C57E63">
        <w:rPr>
          <w:sz w:val="20"/>
        </w:rPr>
        <w:t>)</w:t>
      </w:r>
      <w:r w:rsidRPr="00C57E63">
        <w:rPr>
          <w:color w:val="000000"/>
          <w:sz w:val="20"/>
        </w:rPr>
        <w:t xml:space="preserve">; </w:t>
      </w:r>
      <w:r w:rsidRPr="00C57E63">
        <w:rPr>
          <w:i/>
          <w:iCs/>
          <w:color w:val="000000"/>
          <w:sz w:val="20"/>
        </w:rPr>
        <w:t>Requests for Review or Waiver of Decisions of the Universal Service Administrator by Bound Brook School District et al.; Schools and Libraries Universal Service Support Mechanism</w:t>
      </w:r>
      <w:r w:rsidRPr="00C57E63">
        <w:rPr>
          <w:iCs/>
          <w:color w:val="000000"/>
          <w:sz w:val="20"/>
        </w:rPr>
        <w:t>,</w:t>
      </w:r>
      <w:r w:rsidRPr="00C57E63">
        <w:rPr>
          <w:color w:val="000000"/>
          <w:sz w:val="20"/>
        </w:rPr>
        <w:t xml:space="preserve"> CC Docket No. 02-6, Order, 29 FCC Rcd 5823 (Wireline Comp. Bur. 2014) </w:t>
      </w:r>
      <w:r w:rsidRPr="00C57E63">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 w:id="9">
    <w:p w:rsidR="00331E58" w:rsidRPr="00270E99" w:rsidRDefault="00331E58" w:rsidP="00270E99">
      <w:pPr>
        <w:pStyle w:val="FootnoteText"/>
        <w:spacing w:after="120"/>
        <w:rPr>
          <w:sz w:val="20"/>
        </w:rPr>
      </w:pPr>
      <w:r w:rsidRPr="00270E99">
        <w:rPr>
          <w:rStyle w:val="FootnoteReference"/>
          <w:sz w:val="20"/>
        </w:rPr>
        <w:footnoteRef/>
      </w:r>
      <w:r w:rsidRPr="00270E99">
        <w:rPr>
          <w:sz w:val="20"/>
        </w:rPr>
        <w:t xml:space="preserve"> </w:t>
      </w:r>
      <w:r w:rsidRPr="00852FEF">
        <w:rPr>
          <w:i/>
          <w:sz w:val="20"/>
        </w:rPr>
        <w:t>See</w:t>
      </w:r>
      <w:r w:rsidRPr="00C57E63">
        <w:rPr>
          <w:sz w:val="20"/>
        </w:rPr>
        <w:t xml:space="preserve"> 47 C.F.R. §</w:t>
      </w:r>
      <w:r w:rsidRPr="00C57E63">
        <w:rPr>
          <w:sz w:val="20"/>
          <w:lang w:val="en-US"/>
        </w:rPr>
        <w:t xml:space="preserve"> </w:t>
      </w:r>
      <w:r w:rsidRPr="00C57E63">
        <w:rPr>
          <w:sz w:val="20"/>
        </w:rPr>
        <w:t xml:space="preserve">54.720 (requiring that appeals of USAC decisions be filed within 60 days of issuance of a USAC decision); </w:t>
      </w:r>
      <w:r w:rsidRPr="00C57E63">
        <w:rPr>
          <w:i/>
          <w:sz w:val="20"/>
        </w:rPr>
        <w:t>Request for Review of the Universal Service Administrator by MeritCare Clinic Mayville</w:t>
      </w:r>
      <w:r w:rsidRPr="00C57E63">
        <w:rPr>
          <w:sz w:val="20"/>
        </w:rPr>
        <w:t xml:space="preserve">, </w:t>
      </w:r>
      <w:r w:rsidRPr="00C57E63">
        <w:rPr>
          <w:i/>
          <w:sz w:val="20"/>
        </w:rPr>
        <w:t>Federal-State Joint Board on Universal Service</w:t>
      </w:r>
      <w:r w:rsidRPr="00C57E63">
        <w:rPr>
          <w:sz w:val="20"/>
        </w:rPr>
        <w:t xml:space="preserve">, </w:t>
      </w:r>
      <w:r w:rsidRPr="00C57E63">
        <w:rPr>
          <w:i/>
          <w:sz w:val="20"/>
        </w:rPr>
        <w:t>Changes to the Board of Directors of the National Exchange Carrier Association</w:t>
      </w:r>
      <w:r w:rsidRPr="00C57E63">
        <w:rPr>
          <w:sz w:val="20"/>
        </w:rPr>
        <w:t xml:space="preserve">, </w:t>
      </w:r>
      <w:r w:rsidRPr="00C57E63">
        <w:rPr>
          <w:i/>
          <w:sz w:val="20"/>
        </w:rPr>
        <w:t>Inc</w:t>
      </w:r>
      <w:r w:rsidRPr="00C57E63">
        <w:rPr>
          <w:sz w:val="20"/>
        </w:rPr>
        <w:t xml:space="preserve">., CC Docket No. 96-45, CC Docket No. 97-21, Order, 15 FCC Rcd 5543 (Comm. Car. Bur. 2000) (dismissing petitioner’s appeal because it was filed after the deadline); </w:t>
      </w:r>
      <w:r w:rsidRPr="00C57E63">
        <w:rPr>
          <w:i/>
          <w:iCs/>
          <w:color w:val="000000"/>
          <w:sz w:val="20"/>
        </w:rPr>
        <w:t>Requests for Review or Waiver of Decisions of the Universal Service Administrator by Bound Brook School District et al</w:t>
      </w:r>
      <w:r w:rsidRPr="00C57E63">
        <w:rPr>
          <w:iCs/>
          <w:color w:val="000000"/>
          <w:sz w:val="20"/>
        </w:rPr>
        <w:t xml:space="preserve">.; </w:t>
      </w:r>
      <w:r w:rsidRPr="00C57E63">
        <w:rPr>
          <w:i/>
          <w:iCs/>
          <w:color w:val="000000"/>
          <w:sz w:val="20"/>
        </w:rPr>
        <w:t>Schools and Libraries Universal Service Support Mechanism</w:t>
      </w:r>
      <w:r w:rsidRPr="00C57E63">
        <w:rPr>
          <w:iCs/>
          <w:color w:val="000000"/>
          <w:sz w:val="20"/>
        </w:rPr>
        <w:t>,</w:t>
      </w:r>
      <w:r w:rsidRPr="00C57E63">
        <w:rPr>
          <w:color w:val="000000"/>
          <w:sz w:val="20"/>
        </w:rPr>
        <w:t xml:space="preserve"> CC Docket No. 02-6, Order, 29 FCC Rcd 5823 (Wireline Comp. Bur. 2014) </w:t>
      </w:r>
      <w:r w:rsidRPr="00C57E63">
        <w:rPr>
          <w:sz w:val="20"/>
        </w:rPr>
        <w:t xml:space="preserve">(denying appeals on the grounds that, </w:t>
      </w:r>
      <w:r w:rsidRPr="00852FEF">
        <w:rPr>
          <w:sz w:val="20"/>
        </w:rPr>
        <w:t>among other things, petitioners failed to submit their appeals either to the Commission or to USAC within 60 days, as required by Commission rules).</w:t>
      </w:r>
      <w:r w:rsidRPr="00270E99">
        <w:rPr>
          <w:sz w:val="20"/>
        </w:rPr>
        <w:t xml:space="preserve"> </w:t>
      </w:r>
    </w:p>
  </w:footnote>
  <w:footnote w:id="10">
    <w:p w:rsidR="006D3431" w:rsidRPr="00270E99" w:rsidRDefault="006D3431" w:rsidP="00270E99">
      <w:pPr>
        <w:spacing w:after="120"/>
        <w:rPr>
          <w:sz w:val="20"/>
        </w:rPr>
      </w:pPr>
      <w:r w:rsidRPr="00270E99">
        <w:rPr>
          <w:rStyle w:val="FootnoteReference"/>
          <w:sz w:val="20"/>
        </w:rPr>
        <w:footnoteRef/>
      </w:r>
      <w:r w:rsidRPr="00270E99">
        <w:rPr>
          <w:sz w:val="20"/>
        </w:rPr>
        <w:t xml:space="preserve"> </w:t>
      </w:r>
      <w:r w:rsidRPr="00852FEF">
        <w:rPr>
          <w:i/>
          <w:sz w:val="20"/>
        </w:rPr>
        <w:t>Appro</w:t>
      </w:r>
      <w:r w:rsidRPr="00C57E63">
        <w:rPr>
          <w:i/>
          <w:sz w:val="20"/>
        </w:rPr>
        <w:t xml:space="preserve">priate Framework for Broadband Access to Internet over Wireline Facilities, </w:t>
      </w:r>
      <w:r w:rsidRPr="00C57E63">
        <w:rPr>
          <w:sz w:val="20"/>
        </w:rPr>
        <w:t xml:space="preserve">CC Docket No. 02-33 </w:t>
      </w:r>
      <w:r w:rsidRPr="00C57E63">
        <w:rPr>
          <w:i/>
          <w:sz w:val="20"/>
        </w:rPr>
        <w:t>et al.</w:t>
      </w:r>
      <w:r w:rsidRPr="00C57E63">
        <w:rPr>
          <w:sz w:val="20"/>
        </w:rPr>
        <w:t>, Notice of Proposed Rulemaking, 17 FCC Rec 3019, 3051</w:t>
      </w:r>
      <w:r w:rsidR="007D7D94" w:rsidRPr="00C57E63">
        <w:rPr>
          <w:sz w:val="20"/>
        </w:rPr>
        <w:t>,</w:t>
      </w:r>
      <w:r w:rsidRPr="00C57E63">
        <w:rPr>
          <w:sz w:val="20"/>
        </w:rPr>
        <w:t xml:space="preserve"> para. 72 (2002) (</w:t>
      </w:r>
      <w:r w:rsidR="00C57E63">
        <w:rPr>
          <w:sz w:val="20"/>
        </w:rPr>
        <w:t>explaining that</w:t>
      </w:r>
      <w:r w:rsidR="00852FEF">
        <w:rPr>
          <w:sz w:val="20"/>
        </w:rPr>
        <w:t xml:space="preserve"> </w:t>
      </w:r>
      <w:r w:rsidRPr="00C57E63">
        <w:rPr>
          <w:sz w:val="20"/>
        </w:rPr>
        <w:t xml:space="preserve">wireline telecommunications carriers </w:t>
      </w:r>
      <w:r w:rsidR="00C57E63">
        <w:rPr>
          <w:sz w:val="20"/>
        </w:rPr>
        <w:t xml:space="preserve">are </w:t>
      </w:r>
      <w:r w:rsidRPr="00C57E63">
        <w:rPr>
          <w:sz w:val="20"/>
        </w:rPr>
        <w:t xml:space="preserve">required to contribute to universal service only to the extent they provide broadband transmission services or other telecommunications services on a stand-alone basis); </w:t>
      </w:r>
      <w:r w:rsidRPr="00C57E63">
        <w:rPr>
          <w:i/>
          <w:sz w:val="20"/>
        </w:rPr>
        <w:t>Appropriate Framework for Broadband Access to the Internet over Wireline Facilities, et al.</w:t>
      </w:r>
      <w:r w:rsidRPr="009A79E2">
        <w:rPr>
          <w:sz w:val="20"/>
        </w:rPr>
        <w:t>,</w:t>
      </w:r>
      <w:r w:rsidRPr="00C57E63">
        <w:rPr>
          <w:i/>
          <w:sz w:val="20"/>
        </w:rPr>
        <w:t xml:space="preserve"> </w:t>
      </w:r>
      <w:r w:rsidRPr="00C57E63">
        <w:rPr>
          <w:sz w:val="20"/>
        </w:rPr>
        <w:t xml:space="preserve">CC Docket No. 02-33 </w:t>
      </w:r>
      <w:r w:rsidRPr="009A79E2">
        <w:rPr>
          <w:sz w:val="20"/>
        </w:rPr>
        <w:t>et al</w:t>
      </w:r>
      <w:r w:rsidR="009A79E2" w:rsidRPr="009A79E2">
        <w:rPr>
          <w:sz w:val="20"/>
        </w:rPr>
        <w:t>.</w:t>
      </w:r>
      <w:r w:rsidRPr="009A79E2">
        <w:rPr>
          <w:sz w:val="20"/>
        </w:rPr>
        <w:t>,</w:t>
      </w:r>
      <w:r w:rsidRPr="00C57E63">
        <w:rPr>
          <w:i/>
          <w:sz w:val="20"/>
        </w:rPr>
        <w:t xml:space="preserve"> </w:t>
      </w:r>
      <w:r w:rsidRPr="00C57E63">
        <w:rPr>
          <w:sz w:val="20"/>
        </w:rPr>
        <w:t>WC Docket Nos. 04-242, 05-271, Report and Order and Notice of Proposed Rulemaking, 20 FCC Rcd 14853, 14872</w:t>
      </w:r>
      <w:r w:rsidR="007D7D94" w:rsidRPr="00C57E63">
        <w:rPr>
          <w:sz w:val="20"/>
        </w:rPr>
        <w:t>,</w:t>
      </w:r>
      <w:r w:rsidRPr="00C57E63">
        <w:rPr>
          <w:sz w:val="20"/>
        </w:rPr>
        <w:t xml:space="preserve"> para. 31 (explaining that </w:t>
      </w:r>
      <w:r w:rsidRPr="00C57E63">
        <w:rPr>
          <w:i/>
          <w:sz w:val="20"/>
        </w:rPr>
        <w:t xml:space="preserve">Computer II </w:t>
      </w:r>
      <w:r w:rsidRPr="00C57E63">
        <w:rPr>
          <w:sz w:val="20"/>
        </w:rPr>
        <w:t xml:space="preserve">unbundling obligations do not apply to facilities-based enhanced service providers other than traditional wireline carriers); </w:t>
      </w:r>
      <w:r w:rsidRPr="00C57E63">
        <w:rPr>
          <w:i/>
          <w:iCs/>
          <w:sz w:val="20"/>
        </w:rPr>
        <w:t>Federal-State Joint Board on Universal Service</w:t>
      </w:r>
      <w:r w:rsidRPr="00C57E63">
        <w:rPr>
          <w:sz w:val="20"/>
        </w:rPr>
        <w:t>, CC Docket No. 96-45, Report to Congress, 13 FCC Rcd 11501, 11530</w:t>
      </w:r>
      <w:r w:rsidR="007D7D94" w:rsidRPr="00C57E63">
        <w:rPr>
          <w:sz w:val="20"/>
        </w:rPr>
        <w:t>,</w:t>
      </w:r>
      <w:r w:rsidRPr="00C57E63">
        <w:rPr>
          <w:sz w:val="20"/>
        </w:rPr>
        <w:t xml:space="preserve"> para. 60 (1998) (stating that “offerings by non-facilities-providers combining communications and computing components should always be deemed enhanced”).</w:t>
      </w:r>
    </w:p>
  </w:footnote>
  <w:footnote w:id="11">
    <w:p w:rsidR="006D3431" w:rsidRPr="00C57E63" w:rsidRDefault="006D3431" w:rsidP="00270E99">
      <w:pPr>
        <w:pStyle w:val="FootnoteText"/>
        <w:spacing w:after="120"/>
        <w:rPr>
          <w:sz w:val="20"/>
          <w:lang w:val="en-US"/>
        </w:rPr>
      </w:pPr>
      <w:r w:rsidRPr="00270E99">
        <w:rPr>
          <w:rStyle w:val="FootnoteReference"/>
          <w:sz w:val="20"/>
        </w:rPr>
        <w:footnoteRef/>
      </w:r>
      <w:r w:rsidRPr="00270E99">
        <w:rPr>
          <w:sz w:val="20"/>
        </w:rPr>
        <w:t xml:space="preserve"> </w:t>
      </w:r>
      <w:r w:rsidRPr="00852FEF">
        <w:rPr>
          <w:sz w:val="20"/>
          <w:lang w:val="en-US"/>
        </w:rPr>
        <w:t xml:space="preserve">In reversing USAC’s decision, we direct USAC to adjust Madison River’s invoices with respect to its end-user DSL Internet access revenues, to reverse any associated interest, fees, and penalties, and to issue a refund </w:t>
      </w:r>
      <w:r w:rsidRPr="00C57E63">
        <w:rPr>
          <w:sz w:val="20"/>
          <w:lang w:val="en-US"/>
        </w:rPr>
        <w:t>as appropriate.</w:t>
      </w:r>
    </w:p>
  </w:footnote>
  <w:footnote w:id="12">
    <w:p w:rsidR="006D3431" w:rsidRPr="00270E99" w:rsidRDefault="006D3431" w:rsidP="00270E99">
      <w:pPr>
        <w:pStyle w:val="FootnoteText"/>
        <w:spacing w:after="120"/>
        <w:rPr>
          <w:sz w:val="20"/>
          <w:lang w:val="en-US"/>
        </w:rPr>
      </w:pPr>
      <w:r w:rsidRPr="00852FEF">
        <w:rPr>
          <w:rStyle w:val="FootnoteReference"/>
          <w:sz w:val="20"/>
        </w:rPr>
        <w:footnoteRef/>
      </w:r>
      <w:r w:rsidRPr="00852FEF">
        <w:rPr>
          <w:i/>
          <w:sz w:val="20"/>
          <w:lang w:val="en-US"/>
        </w:rPr>
        <w:t xml:space="preserve"> See </w:t>
      </w:r>
      <w:r w:rsidRPr="00C57E63">
        <w:rPr>
          <w:sz w:val="20"/>
          <w:lang w:val="en-US"/>
        </w:rPr>
        <w:t xml:space="preserve">47 C.F.R. § 54.720 (establishing a 60-day deadline for requesting review of a decision issued by the Administrator); </w:t>
      </w:r>
      <w:r w:rsidRPr="00C57E63">
        <w:rPr>
          <w:i/>
          <w:sz w:val="20"/>
          <w:lang w:val="en-US"/>
        </w:rPr>
        <w:t>Universal Service Contribution Methodology; Request for Review by inContact, Inc. of a Decision by the Wireline Competition Bureau</w:t>
      </w:r>
      <w:r w:rsidRPr="00C57E63">
        <w:rPr>
          <w:sz w:val="20"/>
          <w:lang w:val="en-US"/>
        </w:rPr>
        <w:t xml:space="preserve">, WC Docket No. 06-122, Memorandum Opinion and Order, 27 FCC Rcd 632 (2012) (upholding Bureau order that denied petitioner’s request for review because petitioner failed to submit its appeal to the Commission within 60 days, as required by the Commission’s rules).  </w:t>
      </w:r>
    </w:p>
  </w:footnote>
  <w:footnote w:id="13">
    <w:p w:rsidR="006D3431" w:rsidRPr="00270E99" w:rsidRDefault="006D3431" w:rsidP="00270E99">
      <w:pPr>
        <w:pStyle w:val="FootnoteText"/>
        <w:spacing w:after="120"/>
        <w:rPr>
          <w:i/>
          <w:sz w:val="20"/>
          <w:lang w:val="en-US"/>
        </w:rPr>
      </w:pPr>
      <w:r w:rsidRPr="00270E99">
        <w:rPr>
          <w:rStyle w:val="FootnoteReference"/>
          <w:sz w:val="20"/>
        </w:rPr>
        <w:footnoteRef/>
      </w:r>
      <w:r w:rsidRPr="00270E99">
        <w:rPr>
          <w:sz w:val="20"/>
          <w:lang w:val="en-US"/>
        </w:rPr>
        <w:t xml:space="preserve"> </w:t>
      </w:r>
      <w:r w:rsidRPr="00852FEF">
        <w:rPr>
          <w:sz w:val="20"/>
          <w:lang w:val="en-US"/>
        </w:rPr>
        <w:t xml:space="preserve">Sancom also requests waiver of the </w:t>
      </w:r>
      <w:r w:rsidRPr="00C57E63">
        <w:rPr>
          <w:i/>
          <w:sz w:val="20"/>
          <w:lang w:val="en-US"/>
        </w:rPr>
        <w:t>RICA/Blackfoot Order</w:t>
      </w:r>
      <w:r w:rsidRPr="00C57E63">
        <w:rPr>
          <w:sz w:val="20"/>
          <w:lang w:val="en-US"/>
        </w:rPr>
        <w:t xml:space="preserve"> to the extent it provided relief only to </w:t>
      </w:r>
      <w:r w:rsidR="00331E58" w:rsidRPr="00C57E63">
        <w:rPr>
          <w:sz w:val="20"/>
          <w:lang w:val="en-US"/>
        </w:rPr>
        <w:t>(Rural Independent Competitive Alliance (</w:t>
      </w:r>
      <w:r w:rsidRPr="00C57E63">
        <w:rPr>
          <w:sz w:val="20"/>
          <w:lang w:val="en-US"/>
        </w:rPr>
        <w:t>RICA</w:t>
      </w:r>
      <w:r w:rsidR="00331E58" w:rsidRPr="00C57E63">
        <w:rPr>
          <w:sz w:val="20"/>
          <w:lang w:val="en-US"/>
        </w:rPr>
        <w:t>)</w:t>
      </w:r>
      <w:r w:rsidRPr="00C57E63">
        <w:rPr>
          <w:sz w:val="20"/>
          <w:lang w:val="en-US"/>
        </w:rPr>
        <w:t xml:space="preserve"> members.  </w:t>
      </w:r>
      <w:r w:rsidRPr="00C57E63">
        <w:rPr>
          <w:i/>
          <w:sz w:val="20"/>
          <w:lang w:val="en-US"/>
        </w:rPr>
        <w:t xml:space="preserve">See Universal Service Contribution Methodology; Petition for Declaratory Ruling by the Rural Independent Competitive Alliance; Request for Review of a Decision of the Universal Service Administrative Company by Blackfoot Communications, Inc., </w:t>
      </w:r>
      <w:r w:rsidRPr="00C57E63">
        <w:rPr>
          <w:sz w:val="20"/>
          <w:lang w:val="en-US"/>
        </w:rPr>
        <w:t>WC Docket No. 06-122, Declaratory Ruling and Order, 28 FCC Rcd 16037 (Wireline Comp. Bur. 2013) (</w:t>
      </w:r>
      <w:r w:rsidRPr="00C57E63">
        <w:rPr>
          <w:i/>
          <w:sz w:val="20"/>
          <w:lang w:val="en-US"/>
        </w:rPr>
        <w:t>RICA/Blackfoot Order</w:t>
      </w:r>
      <w:r w:rsidRPr="00C57E63">
        <w:rPr>
          <w:sz w:val="20"/>
          <w:lang w:val="en-US"/>
        </w:rPr>
        <w:t>).</w:t>
      </w:r>
      <w:r w:rsidRPr="00C57E63">
        <w:rPr>
          <w:i/>
          <w:sz w:val="20"/>
          <w:lang w:val="en-US"/>
        </w:rPr>
        <w:t xml:space="preserve"> </w:t>
      </w:r>
      <w:r w:rsidRPr="00C57E63">
        <w:rPr>
          <w:sz w:val="20"/>
          <w:lang w:val="en-US"/>
        </w:rPr>
        <w:t xml:space="preserve"> USAC, </w:t>
      </w:r>
      <w:r w:rsidRPr="00852FEF">
        <w:rPr>
          <w:sz w:val="20"/>
          <w:lang w:val="en-US"/>
        </w:rPr>
        <w:t xml:space="preserve">however, determined that Sancom did not qualify for the relief in the order based on two facts: 1) Sancom was not a RICA member, and 2) the company did not provide supporting documentation as required by the </w:t>
      </w:r>
      <w:r w:rsidRPr="00C57E63">
        <w:rPr>
          <w:i/>
          <w:sz w:val="20"/>
          <w:lang w:val="en-US"/>
        </w:rPr>
        <w:t xml:space="preserve">RICA/Blackfoot Order.  </w:t>
      </w:r>
      <w:r w:rsidRPr="00C57E63">
        <w:rPr>
          <w:sz w:val="20"/>
          <w:lang w:val="en-US"/>
        </w:rPr>
        <w:t xml:space="preserve">Because Sancom’s request for review is dismissed as untimely, USAC’s determination that Sancom did not provide the supporting documentation required by the </w:t>
      </w:r>
      <w:r w:rsidRPr="00C57E63">
        <w:rPr>
          <w:i/>
          <w:sz w:val="20"/>
          <w:lang w:val="en-US"/>
        </w:rPr>
        <w:t>RICA/Blackfoot Order</w:t>
      </w:r>
      <w:r w:rsidRPr="00C57E63">
        <w:rPr>
          <w:sz w:val="20"/>
          <w:lang w:val="en-US"/>
        </w:rPr>
        <w:t xml:space="preserve"> remains valid.  Accordingly, we do not reach Sancom’s request that we waive the condition of RICA membership. </w:t>
      </w:r>
    </w:p>
  </w:footnote>
  <w:footnote w:id="14">
    <w:p w:rsidR="006D3431" w:rsidRPr="00270E99" w:rsidRDefault="006D3431" w:rsidP="00270E99">
      <w:pPr>
        <w:pStyle w:val="FootnoteText"/>
        <w:spacing w:after="120"/>
        <w:rPr>
          <w:sz w:val="20"/>
          <w:lang w:val="en-US"/>
        </w:rPr>
      </w:pPr>
      <w:r w:rsidRPr="00270E99">
        <w:rPr>
          <w:rStyle w:val="FootnoteReference"/>
          <w:sz w:val="20"/>
        </w:rPr>
        <w:footnoteRef/>
      </w:r>
      <w:r w:rsidRPr="00270E99">
        <w:rPr>
          <w:sz w:val="20"/>
        </w:rPr>
        <w:t xml:space="preserve"> </w:t>
      </w:r>
      <w:r w:rsidRPr="00852FEF">
        <w:rPr>
          <w:sz w:val="20"/>
          <w:lang w:val="en-US"/>
        </w:rPr>
        <w:t>47 C.F.R. § 54.721 (setting forth general filing requirements for requests for review of decisions issued by the Administrator, including the requirement that the request for review include supporting document</w:t>
      </w:r>
      <w:r w:rsidRPr="00C57E63">
        <w:rPr>
          <w:sz w:val="20"/>
          <w:lang w:val="en-US"/>
        </w:rPr>
        <w:t xml:space="preserve">ation); </w:t>
      </w:r>
      <w:r w:rsidRPr="00C57E63">
        <w:rPr>
          <w:i/>
          <w:sz w:val="20"/>
          <w:lang w:val="en-US"/>
        </w:rPr>
        <w:t>Universal Service Contribution Methodology; Request for Review by Alternative Phone, Inc. and Request for Waiver</w:t>
      </w:r>
      <w:r w:rsidRPr="00C57E63">
        <w:rPr>
          <w:sz w:val="20"/>
          <w:lang w:val="en-US"/>
        </w:rPr>
        <w:t>, WC Docket No. 06-122, Order, 26 FCC Rcd 6079 (Wireline Comp. Bur. 2011) (dismissing without prejudice a request for review that failed to meet the requirements of section 54.721 of the Commission’s rules).</w:t>
      </w:r>
    </w:p>
  </w:footnote>
  <w:footnote w:id="15">
    <w:p w:rsidR="006D3431" w:rsidRPr="00270E99" w:rsidRDefault="006D3431" w:rsidP="00270E99">
      <w:pPr>
        <w:pStyle w:val="FootnoteText"/>
        <w:spacing w:after="120"/>
        <w:rPr>
          <w:sz w:val="20"/>
          <w:lang w:val="en-US"/>
        </w:rPr>
      </w:pPr>
      <w:r w:rsidRPr="00270E99">
        <w:rPr>
          <w:rStyle w:val="FootnoteReference"/>
          <w:sz w:val="20"/>
        </w:rPr>
        <w:footnoteRef/>
      </w:r>
      <w:r w:rsidRPr="00270E99">
        <w:rPr>
          <w:sz w:val="20"/>
        </w:rPr>
        <w:t xml:space="preserve"> </w:t>
      </w:r>
      <w:r w:rsidRPr="00852FEF">
        <w:rPr>
          <w:sz w:val="20"/>
          <w:lang w:val="en-US"/>
        </w:rPr>
        <w:t xml:space="preserve">Biddeford captioned its pleading as an “Application for Review.”  The pleading, however, asks the Commission to review a decision by the </w:t>
      </w:r>
      <w:r w:rsidR="00331E58" w:rsidRPr="00C57E63">
        <w:rPr>
          <w:sz w:val="20"/>
          <w:lang w:val="en-US"/>
        </w:rPr>
        <w:t>USAC</w:t>
      </w:r>
      <w:r w:rsidRPr="00C57E63">
        <w:rPr>
          <w:sz w:val="20"/>
          <w:lang w:val="en-US"/>
        </w:rPr>
        <w:t>.  We therefore are treating it as a request for review under section 54.719 of the Commission’s rules.</w:t>
      </w:r>
      <w:r w:rsidRPr="00270E99">
        <w:rPr>
          <w:sz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A9" w:rsidRDefault="000E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A9" w:rsidRDefault="000E4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6F5BF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34.95pt;margin-top:8.5pt;width:41.75pt;height:41.75pt;z-index:251659264;visibility:visible" o:allowincell="f">
          <v:imagedata r:id="rId1" o:title="fcc_logo"/>
          <w10:wrap type="topAndBottom"/>
        </v:shape>
      </w:pict>
    </w:r>
    <w:r w:rsidR="00E93A62">
      <w:rPr>
        <w:rFonts w:ascii="News Gothic MT" w:hAnsi="News Gothic MT"/>
        <w:b/>
        <w:kern w:val="28"/>
        <w:sz w:val="96"/>
      </w:rPr>
      <w:t xml:space="preserve">  PUBLIC NOTICE</w:t>
    </w:r>
  </w:p>
  <w:p w:rsidR="00E93A62" w:rsidRDefault="006F5BF5">
    <w:pPr>
      <w:pStyle w:val="Header"/>
      <w:tabs>
        <w:tab w:val="clear" w:pos="4320"/>
        <w:tab w:val="clear" w:pos="8640"/>
        <w:tab w:val="left" w:pos="1080"/>
      </w:tabs>
      <w:spacing w:line="1120" w:lineRule="exact"/>
      <w:ind w:left="720"/>
      <w:rPr>
        <w:rFonts w:ascii="Arial" w:hAnsi="Arial"/>
        <w:b/>
        <w:sz w:val="28"/>
      </w:rPr>
    </w:pPr>
    <w:r>
      <w:rPr>
        <w:noProof/>
      </w:rPr>
      <w:pict>
        <v:line id="Line 4" o:spid="_x0000_s2051" style="position:absolute;left:0;text-align:left;z-index:251657216;visibility:visibl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0pt;margin-top:.4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93A62" w:rsidRDefault="00E93A62">
                <w:pPr>
                  <w:rPr>
                    <w:rFonts w:ascii="Arial" w:hAnsi="Arial"/>
                    <w:b/>
                  </w:rPr>
                </w:pPr>
                <w:r>
                  <w:rPr>
                    <w:rFonts w:ascii="Arial" w:hAnsi="Arial"/>
                    <w:b/>
                  </w:rPr>
                  <w:t>Federal Communications Commission</w:t>
                </w:r>
              </w:p>
              <w:p w:rsidR="00E93A62" w:rsidRDefault="00E93A6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93A62" w:rsidRDefault="00E93A62">
                <w:pPr>
                  <w:rPr>
                    <w:rFonts w:ascii="Arial" w:hAnsi="Arial"/>
                    <w:sz w:val="24"/>
                  </w:rPr>
                </w:pPr>
                <w:r>
                  <w:rPr>
                    <w:rFonts w:ascii="Arial" w:hAnsi="Arial"/>
                    <w:b/>
                  </w:rPr>
                  <w:t>Washington, D.C. 20554</w:t>
                </w:r>
              </w:p>
            </w:txbxContent>
          </v:textbox>
        </v:shape>
      </w:pict>
    </w:r>
    <w:r>
      <w:rPr>
        <w:noProof/>
      </w:rPr>
      <w:pict>
        <v:shape id="Text Box 5" o:spid="_x0000_s2049" type="#_x0000_t202" style="position:absolute;left:0;text-align:left;margin-left:301.5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93A62" w:rsidRDefault="00E93A62">
                <w:pPr>
                  <w:spacing w:before="40"/>
                  <w:jc w:val="right"/>
                  <w:rPr>
                    <w:rFonts w:ascii="Arial" w:hAnsi="Arial"/>
                    <w:b/>
                    <w:sz w:val="16"/>
                  </w:rPr>
                </w:pPr>
                <w:r>
                  <w:rPr>
                    <w:rFonts w:ascii="Arial" w:hAnsi="Arial"/>
                    <w:b/>
                    <w:sz w:val="16"/>
                  </w:rPr>
                  <w:t>News Media Information 202 / 418-0500</w:t>
                </w:r>
              </w:p>
              <w:p w:rsidR="00E93A62" w:rsidRDefault="00E93A6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93A62" w:rsidRDefault="00E93A62">
                <w:pPr>
                  <w:jc w:val="right"/>
                  <w:rPr>
                    <w:rFonts w:ascii="Arial" w:hAnsi="Arial"/>
                    <w:b/>
                    <w:sz w:val="16"/>
                  </w:rPr>
                </w:pPr>
                <w:r>
                  <w:rPr>
                    <w:rFonts w:ascii="Arial" w:hAnsi="Arial"/>
                    <w:b/>
                    <w:sz w:val="16"/>
                  </w:rPr>
                  <w:t>TTY: 1-888-835-5322</w:t>
                </w:r>
              </w:p>
              <w:p w:rsidR="00E93A62" w:rsidRDefault="00E93A62">
                <w:pPr>
                  <w:jc w:val="right"/>
                </w:pPr>
              </w:p>
            </w:txbxContent>
          </v:textbox>
        </v:shape>
      </w:pict>
    </w:r>
  </w:p>
  <w:p w:rsidR="00E93A62" w:rsidRDefault="00E93A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90"/>
    <w:multiLevelType w:val="hybridMultilevel"/>
    <w:tmpl w:val="31DA0842"/>
    <w:lvl w:ilvl="0" w:tplc="C27A7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10E13F51"/>
    <w:multiLevelType w:val="hybridMultilevel"/>
    <w:tmpl w:val="6C80D8F0"/>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196D32F6"/>
    <w:multiLevelType w:val="hybridMultilevel"/>
    <w:tmpl w:val="AA3C4EFA"/>
    <w:lvl w:ilvl="0" w:tplc="F16EBDC8">
      <w:start w:val="1"/>
      <w:numFmt w:val="bullet"/>
      <w:lvlText w:val=""/>
      <w:lvlJc w:val="left"/>
      <w:pPr>
        <w:tabs>
          <w:tab w:val="num" w:pos="720"/>
        </w:tabs>
        <w:ind w:left="720" w:hanging="360"/>
      </w:pPr>
      <w:rPr>
        <w:rFonts w:ascii="Symbol" w:hAnsi="Symbol" w:hint="default"/>
      </w:rPr>
    </w:lvl>
    <w:lvl w:ilvl="1" w:tplc="44CCD4D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F7C5F"/>
    <w:multiLevelType w:val="hybridMultilevel"/>
    <w:tmpl w:val="45D6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940B8"/>
    <w:multiLevelType w:val="hybridMultilevel"/>
    <w:tmpl w:val="C43C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E5FDC"/>
    <w:multiLevelType w:val="hybridMultilevel"/>
    <w:tmpl w:val="06BE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C4148"/>
    <w:multiLevelType w:val="hybridMultilevel"/>
    <w:tmpl w:val="A846F298"/>
    <w:lvl w:ilvl="0" w:tplc="666EFC9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0B10D95"/>
    <w:multiLevelType w:val="hybridMultilevel"/>
    <w:tmpl w:val="89F6280C"/>
    <w:lvl w:ilvl="0" w:tplc="F16EB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BC1303"/>
    <w:multiLevelType w:val="hybridMultilevel"/>
    <w:tmpl w:val="4FFE154C"/>
    <w:lvl w:ilvl="0" w:tplc="EAE8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DD1589"/>
    <w:multiLevelType w:val="hybridMultilevel"/>
    <w:tmpl w:val="BB6CD3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9F410F2"/>
    <w:multiLevelType w:val="hybridMultilevel"/>
    <w:tmpl w:val="B2A8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5421F"/>
    <w:multiLevelType w:val="hybridMultilevel"/>
    <w:tmpl w:val="E84E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
  </w:num>
  <w:num w:numId="14">
    <w:abstractNumId w:val="10"/>
  </w:num>
  <w:num w:numId="15">
    <w:abstractNumId w:val="3"/>
  </w:num>
  <w:num w:numId="16">
    <w:abstractNumId w:val="8"/>
  </w:num>
  <w:num w:numId="17">
    <w:abstractNumId w:val="18"/>
  </w:num>
  <w:num w:numId="18">
    <w:abstractNumId w:val="17"/>
  </w:num>
  <w:num w:numId="19">
    <w:abstractNumId w:val="7"/>
  </w:num>
  <w:num w:numId="20">
    <w:abstractNumId w:val="1"/>
    <w:lvlOverride w:ilvl="0">
      <w:startOverride w:val="1"/>
    </w:lvlOverride>
  </w:num>
  <w:num w:numId="21">
    <w:abstractNumId w:val="2"/>
  </w:num>
  <w:num w:numId="22">
    <w:abstractNumId w:val="4"/>
  </w:num>
  <w:num w:numId="23">
    <w:abstractNumId w:val="14"/>
  </w:num>
  <w:num w:numId="24">
    <w:abstractNumId w:val="6"/>
  </w:num>
  <w:num w:numId="25">
    <w:abstractNumId w:val="1"/>
  </w:num>
  <w:num w:numId="26">
    <w:abstractNumId w:val="0"/>
  </w:num>
  <w:num w:numId="27">
    <w:abstractNumId w:val="12"/>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695B"/>
    <w:rsid w:val="00004F6E"/>
    <w:rsid w:val="0001087B"/>
    <w:rsid w:val="00012DF4"/>
    <w:rsid w:val="00014047"/>
    <w:rsid w:val="00020658"/>
    <w:rsid w:val="000211A8"/>
    <w:rsid w:val="00025E94"/>
    <w:rsid w:val="000310D3"/>
    <w:rsid w:val="000378D9"/>
    <w:rsid w:val="00037F98"/>
    <w:rsid w:val="00040B04"/>
    <w:rsid w:val="00041506"/>
    <w:rsid w:val="00050BB3"/>
    <w:rsid w:val="000519D8"/>
    <w:rsid w:val="000529BC"/>
    <w:rsid w:val="00054F9F"/>
    <w:rsid w:val="00060749"/>
    <w:rsid w:val="00063B11"/>
    <w:rsid w:val="00066576"/>
    <w:rsid w:val="0007057D"/>
    <w:rsid w:val="00071C5D"/>
    <w:rsid w:val="00080091"/>
    <w:rsid w:val="00086FB7"/>
    <w:rsid w:val="000949F8"/>
    <w:rsid w:val="00095872"/>
    <w:rsid w:val="00095C08"/>
    <w:rsid w:val="000A0E66"/>
    <w:rsid w:val="000A1A84"/>
    <w:rsid w:val="000A2CB3"/>
    <w:rsid w:val="000A6F8C"/>
    <w:rsid w:val="000A7AB0"/>
    <w:rsid w:val="000B0278"/>
    <w:rsid w:val="000B4F8A"/>
    <w:rsid w:val="000B68CD"/>
    <w:rsid w:val="000B6C43"/>
    <w:rsid w:val="000B7D90"/>
    <w:rsid w:val="000B7F2F"/>
    <w:rsid w:val="000C0EFA"/>
    <w:rsid w:val="000C2F63"/>
    <w:rsid w:val="000C50C7"/>
    <w:rsid w:val="000D1687"/>
    <w:rsid w:val="000D4732"/>
    <w:rsid w:val="000D661D"/>
    <w:rsid w:val="000D7563"/>
    <w:rsid w:val="000E128B"/>
    <w:rsid w:val="000E3E2F"/>
    <w:rsid w:val="000E44A9"/>
    <w:rsid w:val="000E58DB"/>
    <w:rsid w:val="000F1E0C"/>
    <w:rsid w:val="000F57D3"/>
    <w:rsid w:val="000F7BE1"/>
    <w:rsid w:val="001021EA"/>
    <w:rsid w:val="001070D0"/>
    <w:rsid w:val="001079C8"/>
    <w:rsid w:val="00111DB6"/>
    <w:rsid w:val="00112801"/>
    <w:rsid w:val="001148AB"/>
    <w:rsid w:val="00122B77"/>
    <w:rsid w:val="0012446B"/>
    <w:rsid w:val="001253E8"/>
    <w:rsid w:val="0013217C"/>
    <w:rsid w:val="0014176A"/>
    <w:rsid w:val="00155631"/>
    <w:rsid w:val="00156AFD"/>
    <w:rsid w:val="001602F5"/>
    <w:rsid w:val="001721A9"/>
    <w:rsid w:val="00176945"/>
    <w:rsid w:val="00177167"/>
    <w:rsid w:val="00180DB7"/>
    <w:rsid w:val="00182861"/>
    <w:rsid w:val="001A64F4"/>
    <w:rsid w:val="001B1A7E"/>
    <w:rsid w:val="001B1CB8"/>
    <w:rsid w:val="001B3A40"/>
    <w:rsid w:val="001C6237"/>
    <w:rsid w:val="001D0A0E"/>
    <w:rsid w:val="001D3AF1"/>
    <w:rsid w:val="001D485C"/>
    <w:rsid w:val="001E47D6"/>
    <w:rsid w:val="001F0EE4"/>
    <w:rsid w:val="001F6BF4"/>
    <w:rsid w:val="00200E87"/>
    <w:rsid w:val="0021248A"/>
    <w:rsid w:val="002207C3"/>
    <w:rsid w:val="00223F5E"/>
    <w:rsid w:val="002357DE"/>
    <w:rsid w:val="00240E22"/>
    <w:rsid w:val="00242A4A"/>
    <w:rsid w:val="0024691A"/>
    <w:rsid w:val="00252542"/>
    <w:rsid w:val="00252C4C"/>
    <w:rsid w:val="00253281"/>
    <w:rsid w:val="002576C3"/>
    <w:rsid w:val="00260482"/>
    <w:rsid w:val="00265F19"/>
    <w:rsid w:val="00266187"/>
    <w:rsid w:val="00270E99"/>
    <w:rsid w:val="00274D82"/>
    <w:rsid w:val="0027573B"/>
    <w:rsid w:val="00277B71"/>
    <w:rsid w:val="002802D2"/>
    <w:rsid w:val="00291E59"/>
    <w:rsid w:val="00296349"/>
    <w:rsid w:val="002A3C8A"/>
    <w:rsid w:val="002A4145"/>
    <w:rsid w:val="002B058B"/>
    <w:rsid w:val="002B31C1"/>
    <w:rsid w:val="002B3A5C"/>
    <w:rsid w:val="002B4CF0"/>
    <w:rsid w:val="002B537C"/>
    <w:rsid w:val="002B7A4E"/>
    <w:rsid w:val="002C2DD8"/>
    <w:rsid w:val="002C5336"/>
    <w:rsid w:val="002C597A"/>
    <w:rsid w:val="002C5FD6"/>
    <w:rsid w:val="002D18E1"/>
    <w:rsid w:val="002D355D"/>
    <w:rsid w:val="002D4FED"/>
    <w:rsid w:val="002D5E58"/>
    <w:rsid w:val="002D7DDC"/>
    <w:rsid w:val="002E098B"/>
    <w:rsid w:val="002E2489"/>
    <w:rsid w:val="002F705E"/>
    <w:rsid w:val="002F7853"/>
    <w:rsid w:val="00301E4C"/>
    <w:rsid w:val="00302CC0"/>
    <w:rsid w:val="003213F1"/>
    <w:rsid w:val="00323E21"/>
    <w:rsid w:val="00324DD9"/>
    <w:rsid w:val="00325B7F"/>
    <w:rsid w:val="00327B7B"/>
    <w:rsid w:val="00331E58"/>
    <w:rsid w:val="00335705"/>
    <w:rsid w:val="003438D3"/>
    <w:rsid w:val="00346ADD"/>
    <w:rsid w:val="00360CCD"/>
    <w:rsid w:val="0036114F"/>
    <w:rsid w:val="00366D01"/>
    <w:rsid w:val="0037474A"/>
    <w:rsid w:val="00381764"/>
    <w:rsid w:val="00394A00"/>
    <w:rsid w:val="003A00D4"/>
    <w:rsid w:val="003A76BF"/>
    <w:rsid w:val="003B48CD"/>
    <w:rsid w:val="003B6728"/>
    <w:rsid w:val="003D460D"/>
    <w:rsid w:val="003D489D"/>
    <w:rsid w:val="003E1C34"/>
    <w:rsid w:val="003E7AC3"/>
    <w:rsid w:val="003F5123"/>
    <w:rsid w:val="00404046"/>
    <w:rsid w:val="00413384"/>
    <w:rsid w:val="0041358F"/>
    <w:rsid w:val="00424D12"/>
    <w:rsid w:val="0042695B"/>
    <w:rsid w:val="00426CF5"/>
    <w:rsid w:val="00430926"/>
    <w:rsid w:val="0043602F"/>
    <w:rsid w:val="0046105A"/>
    <w:rsid w:val="004610CF"/>
    <w:rsid w:val="0046541E"/>
    <w:rsid w:val="004659F6"/>
    <w:rsid w:val="0047137A"/>
    <w:rsid w:val="004760C5"/>
    <w:rsid w:val="00490F3A"/>
    <w:rsid w:val="004A375F"/>
    <w:rsid w:val="004A4031"/>
    <w:rsid w:val="004A62A7"/>
    <w:rsid w:val="004A783C"/>
    <w:rsid w:val="004B0B51"/>
    <w:rsid w:val="004B4468"/>
    <w:rsid w:val="004B6879"/>
    <w:rsid w:val="004E293A"/>
    <w:rsid w:val="004F2411"/>
    <w:rsid w:val="005019BC"/>
    <w:rsid w:val="005027DC"/>
    <w:rsid w:val="0050784A"/>
    <w:rsid w:val="00507EA9"/>
    <w:rsid w:val="005131BB"/>
    <w:rsid w:val="00513B85"/>
    <w:rsid w:val="005144FD"/>
    <w:rsid w:val="005146D9"/>
    <w:rsid w:val="00530B93"/>
    <w:rsid w:val="00535774"/>
    <w:rsid w:val="005371BF"/>
    <w:rsid w:val="005410AB"/>
    <w:rsid w:val="00544445"/>
    <w:rsid w:val="00544B94"/>
    <w:rsid w:val="0055334C"/>
    <w:rsid w:val="00555D7E"/>
    <w:rsid w:val="00555E1D"/>
    <w:rsid w:val="00566CB3"/>
    <w:rsid w:val="00571088"/>
    <w:rsid w:val="00574A63"/>
    <w:rsid w:val="005807E4"/>
    <w:rsid w:val="00587395"/>
    <w:rsid w:val="00591A45"/>
    <w:rsid w:val="0059309A"/>
    <w:rsid w:val="005A18B7"/>
    <w:rsid w:val="005A2EBB"/>
    <w:rsid w:val="005A3BB3"/>
    <w:rsid w:val="005A4572"/>
    <w:rsid w:val="005B08AC"/>
    <w:rsid w:val="005C5198"/>
    <w:rsid w:val="005C60AA"/>
    <w:rsid w:val="005D1606"/>
    <w:rsid w:val="005E4BDC"/>
    <w:rsid w:val="005E6B58"/>
    <w:rsid w:val="005F159A"/>
    <w:rsid w:val="005F1EF3"/>
    <w:rsid w:val="00601D05"/>
    <w:rsid w:val="00606D1C"/>
    <w:rsid w:val="00617C18"/>
    <w:rsid w:val="00622F13"/>
    <w:rsid w:val="006263BD"/>
    <w:rsid w:val="00630B1B"/>
    <w:rsid w:val="00632EED"/>
    <w:rsid w:val="00641A32"/>
    <w:rsid w:val="00641C3B"/>
    <w:rsid w:val="006442B7"/>
    <w:rsid w:val="006457FA"/>
    <w:rsid w:val="00645E83"/>
    <w:rsid w:val="00654452"/>
    <w:rsid w:val="00666239"/>
    <w:rsid w:val="00680AEB"/>
    <w:rsid w:val="00684B97"/>
    <w:rsid w:val="00687598"/>
    <w:rsid w:val="00695F45"/>
    <w:rsid w:val="00697195"/>
    <w:rsid w:val="006A3E67"/>
    <w:rsid w:val="006A4048"/>
    <w:rsid w:val="006C4ABE"/>
    <w:rsid w:val="006C69DA"/>
    <w:rsid w:val="006D3431"/>
    <w:rsid w:val="006F187A"/>
    <w:rsid w:val="006F5BF5"/>
    <w:rsid w:val="00703E47"/>
    <w:rsid w:val="0070501B"/>
    <w:rsid w:val="0070736F"/>
    <w:rsid w:val="007236F0"/>
    <w:rsid w:val="00726751"/>
    <w:rsid w:val="007402E0"/>
    <w:rsid w:val="00741D23"/>
    <w:rsid w:val="00742EE7"/>
    <w:rsid w:val="00757326"/>
    <w:rsid w:val="007740A7"/>
    <w:rsid w:val="007904D2"/>
    <w:rsid w:val="00794E6E"/>
    <w:rsid w:val="00794E87"/>
    <w:rsid w:val="007A3A76"/>
    <w:rsid w:val="007B0605"/>
    <w:rsid w:val="007B68DD"/>
    <w:rsid w:val="007B6D41"/>
    <w:rsid w:val="007C14B6"/>
    <w:rsid w:val="007C676F"/>
    <w:rsid w:val="007D04F0"/>
    <w:rsid w:val="007D33E1"/>
    <w:rsid w:val="007D7397"/>
    <w:rsid w:val="007D7D94"/>
    <w:rsid w:val="007E121F"/>
    <w:rsid w:val="007E350C"/>
    <w:rsid w:val="007F27E6"/>
    <w:rsid w:val="007F6781"/>
    <w:rsid w:val="00802158"/>
    <w:rsid w:val="00805F57"/>
    <w:rsid w:val="00807BBA"/>
    <w:rsid w:val="00813C5A"/>
    <w:rsid w:val="00825961"/>
    <w:rsid w:val="008264C4"/>
    <w:rsid w:val="008267C6"/>
    <w:rsid w:val="00836370"/>
    <w:rsid w:val="008447A3"/>
    <w:rsid w:val="00852FEF"/>
    <w:rsid w:val="00854B2A"/>
    <w:rsid w:val="00855D73"/>
    <w:rsid w:val="00861A08"/>
    <w:rsid w:val="00861B1A"/>
    <w:rsid w:val="00864DCC"/>
    <w:rsid w:val="00872759"/>
    <w:rsid w:val="0087417E"/>
    <w:rsid w:val="00875711"/>
    <w:rsid w:val="008813F3"/>
    <w:rsid w:val="00883678"/>
    <w:rsid w:val="00897AE6"/>
    <w:rsid w:val="008A0157"/>
    <w:rsid w:val="008A49AF"/>
    <w:rsid w:val="008A4CCE"/>
    <w:rsid w:val="008A5D7B"/>
    <w:rsid w:val="008C1B69"/>
    <w:rsid w:val="008C5880"/>
    <w:rsid w:val="008C58D9"/>
    <w:rsid w:val="008C5B5D"/>
    <w:rsid w:val="008D058C"/>
    <w:rsid w:val="008D3A44"/>
    <w:rsid w:val="008D5564"/>
    <w:rsid w:val="008E3893"/>
    <w:rsid w:val="008F168A"/>
    <w:rsid w:val="008F4B75"/>
    <w:rsid w:val="008F65B0"/>
    <w:rsid w:val="0090659B"/>
    <w:rsid w:val="00906CBC"/>
    <w:rsid w:val="00906F76"/>
    <w:rsid w:val="009122B2"/>
    <w:rsid w:val="009137CE"/>
    <w:rsid w:val="00941CA9"/>
    <w:rsid w:val="00950BC2"/>
    <w:rsid w:val="00950D3C"/>
    <w:rsid w:val="00952D1D"/>
    <w:rsid w:val="00955EBE"/>
    <w:rsid w:val="00962D97"/>
    <w:rsid w:val="009636C6"/>
    <w:rsid w:val="00966EDD"/>
    <w:rsid w:val="0097092F"/>
    <w:rsid w:val="009723F8"/>
    <w:rsid w:val="00973B78"/>
    <w:rsid w:val="009749FB"/>
    <w:rsid w:val="00986D0A"/>
    <w:rsid w:val="009915A6"/>
    <w:rsid w:val="0099367B"/>
    <w:rsid w:val="00996ED0"/>
    <w:rsid w:val="009A0390"/>
    <w:rsid w:val="009A183C"/>
    <w:rsid w:val="009A42B4"/>
    <w:rsid w:val="009A7267"/>
    <w:rsid w:val="009A79E2"/>
    <w:rsid w:val="009B605F"/>
    <w:rsid w:val="009B6386"/>
    <w:rsid w:val="009C0BFB"/>
    <w:rsid w:val="009C1117"/>
    <w:rsid w:val="009C2E65"/>
    <w:rsid w:val="009C625E"/>
    <w:rsid w:val="009C6B58"/>
    <w:rsid w:val="009D153D"/>
    <w:rsid w:val="009D5CE7"/>
    <w:rsid w:val="009E5108"/>
    <w:rsid w:val="009F2446"/>
    <w:rsid w:val="009F2B23"/>
    <w:rsid w:val="009F2B57"/>
    <w:rsid w:val="00A03471"/>
    <w:rsid w:val="00A05C8D"/>
    <w:rsid w:val="00A06E00"/>
    <w:rsid w:val="00A07662"/>
    <w:rsid w:val="00A1059A"/>
    <w:rsid w:val="00A13715"/>
    <w:rsid w:val="00A20A66"/>
    <w:rsid w:val="00A21144"/>
    <w:rsid w:val="00A21B4D"/>
    <w:rsid w:val="00A25EBE"/>
    <w:rsid w:val="00A27E1B"/>
    <w:rsid w:val="00A30F76"/>
    <w:rsid w:val="00A314D9"/>
    <w:rsid w:val="00A363B1"/>
    <w:rsid w:val="00A41F3F"/>
    <w:rsid w:val="00A46393"/>
    <w:rsid w:val="00A47CDA"/>
    <w:rsid w:val="00A47D05"/>
    <w:rsid w:val="00A628AD"/>
    <w:rsid w:val="00A67390"/>
    <w:rsid w:val="00A90616"/>
    <w:rsid w:val="00AA1257"/>
    <w:rsid w:val="00AA44C8"/>
    <w:rsid w:val="00AB6071"/>
    <w:rsid w:val="00AC1AFD"/>
    <w:rsid w:val="00AD35C2"/>
    <w:rsid w:val="00AD5C02"/>
    <w:rsid w:val="00AE5C28"/>
    <w:rsid w:val="00AE6B99"/>
    <w:rsid w:val="00AF62F8"/>
    <w:rsid w:val="00B003DE"/>
    <w:rsid w:val="00B00524"/>
    <w:rsid w:val="00B1146E"/>
    <w:rsid w:val="00B1269B"/>
    <w:rsid w:val="00B30363"/>
    <w:rsid w:val="00B320E4"/>
    <w:rsid w:val="00B436C6"/>
    <w:rsid w:val="00B461BA"/>
    <w:rsid w:val="00B520FF"/>
    <w:rsid w:val="00B56360"/>
    <w:rsid w:val="00B6310F"/>
    <w:rsid w:val="00B652DB"/>
    <w:rsid w:val="00B710E2"/>
    <w:rsid w:val="00B751CF"/>
    <w:rsid w:val="00B75694"/>
    <w:rsid w:val="00B77680"/>
    <w:rsid w:val="00B818C2"/>
    <w:rsid w:val="00B873CE"/>
    <w:rsid w:val="00B87C36"/>
    <w:rsid w:val="00B95BEF"/>
    <w:rsid w:val="00BA5D67"/>
    <w:rsid w:val="00BB362D"/>
    <w:rsid w:val="00BB5295"/>
    <w:rsid w:val="00BC1683"/>
    <w:rsid w:val="00BC56D5"/>
    <w:rsid w:val="00BC7878"/>
    <w:rsid w:val="00BC7ACF"/>
    <w:rsid w:val="00BD2A14"/>
    <w:rsid w:val="00BD53FF"/>
    <w:rsid w:val="00BD75CC"/>
    <w:rsid w:val="00BE38B9"/>
    <w:rsid w:val="00BE3C78"/>
    <w:rsid w:val="00BE3DA2"/>
    <w:rsid w:val="00BF4E16"/>
    <w:rsid w:val="00BF5B14"/>
    <w:rsid w:val="00BF5BF1"/>
    <w:rsid w:val="00BF6E86"/>
    <w:rsid w:val="00BF74D3"/>
    <w:rsid w:val="00C020BC"/>
    <w:rsid w:val="00C02B3E"/>
    <w:rsid w:val="00C0428F"/>
    <w:rsid w:val="00C10A82"/>
    <w:rsid w:val="00C11F4A"/>
    <w:rsid w:val="00C13951"/>
    <w:rsid w:val="00C140A7"/>
    <w:rsid w:val="00C2261C"/>
    <w:rsid w:val="00C238AD"/>
    <w:rsid w:val="00C2629F"/>
    <w:rsid w:val="00C35120"/>
    <w:rsid w:val="00C43514"/>
    <w:rsid w:val="00C508DF"/>
    <w:rsid w:val="00C56853"/>
    <w:rsid w:val="00C579E4"/>
    <w:rsid w:val="00C57E63"/>
    <w:rsid w:val="00C65C0E"/>
    <w:rsid w:val="00C67FD6"/>
    <w:rsid w:val="00C82403"/>
    <w:rsid w:val="00C9402A"/>
    <w:rsid w:val="00C96109"/>
    <w:rsid w:val="00CA114C"/>
    <w:rsid w:val="00CA1FB8"/>
    <w:rsid w:val="00CB0861"/>
    <w:rsid w:val="00CC7D05"/>
    <w:rsid w:val="00CD0055"/>
    <w:rsid w:val="00CD1C54"/>
    <w:rsid w:val="00CD3379"/>
    <w:rsid w:val="00CD359A"/>
    <w:rsid w:val="00CE726B"/>
    <w:rsid w:val="00CF2A51"/>
    <w:rsid w:val="00D01C3B"/>
    <w:rsid w:val="00D1273E"/>
    <w:rsid w:val="00D131B8"/>
    <w:rsid w:val="00D14D79"/>
    <w:rsid w:val="00D15D85"/>
    <w:rsid w:val="00D20433"/>
    <w:rsid w:val="00D2105F"/>
    <w:rsid w:val="00D25B14"/>
    <w:rsid w:val="00D37E67"/>
    <w:rsid w:val="00D43435"/>
    <w:rsid w:val="00D47D0E"/>
    <w:rsid w:val="00D62854"/>
    <w:rsid w:val="00D64C31"/>
    <w:rsid w:val="00D71F0C"/>
    <w:rsid w:val="00D741B2"/>
    <w:rsid w:val="00D749D0"/>
    <w:rsid w:val="00D8191E"/>
    <w:rsid w:val="00D872D9"/>
    <w:rsid w:val="00DA140E"/>
    <w:rsid w:val="00DA37E1"/>
    <w:rsid w:val="00DA4499"/>
    <w:rsid w:val="00DA73EB"/>
    <w:rsid w:val="00DB2514"/>
    <w:rsid w:val="00DB37C6"/>
    <w:rsid w:val="00DC07E8"/>
    <w:rsid w:val="00DC64D0"/>
    <w:rsid w:val="00DC7989"/>
    <w:rsid w:val="00DD11C9"/>
    <w:rsid w:val="00DD3842"/>
    <w:rsid w:val="00DD55B4"/>
    <w:rsid w:val="00DD57F1"/>
    <w:rsid w:val="00DE1603"/>
    <w:rsid w:val="00DE3561"/>
    <w:rsid w:val="00DF1A76"/>
    <w:rsid w:val="00DF5486"/>
    <w:rsid w:val="00DF67B3"/>
    <w:rsid w:val="00E03BC4"/>
    <w:rsid w:val="00E06722"/>
    <w:rsid w:val="00E2648E"/>
    <w:rsid w:val="00E3059C"/>
    <w:rsid w:val="00E341B2"/>
    <w:rsid w:val="00E3441E"/>
    <w:rsid w:val="00E50E8B"/>
    <w:rsid w:val="00E5195B"/>
    <w:rsid w:val="00E56BAB"/>
    <w:rsid w:val="00E66A56"/>
    <w:rsid w:val="00E67A69"/>
    <w:rsid w:val="00E67D98"/>
    <w:rsid w:val="00E72FC6"/>
    <w:rsid w:val="00E75900"/>
    <w:rsid w:val="00E76DE8"/>
    <w:rsid w:val="00E803DF"/>
    <w:rsid w:val="00E872B8"/>
    <w:rsid w:val="00E87E69"/>
    <w:rsid w:val="00E908ED"/>
    <w:rsid w:val="00E9146E"/>
    <w:rsid w:val="00E93441"/>
    <w:rsid w:val="00E93A62"/>
    <w:rsid w:val="00E96E0F"/>
    <w:rsid w:val="00EA1367"/>
    <w:rsid w:val="00EA76AD"/>
    <w:rsid w:val="00EB1B4F"/>
    <w:rsid w:val="00EC1354"/>
    <w:rsid w:val="00EC1498"/>
    <w:rsid w:val="00ED210B"/>
    <w:rsid w:val="00EE084F"/>
    <w:rsid w:val="00EE632B"/>
    <w:rsid w:val="00F061A6"/>
    <w:rsid w:val="00F10818"/>
    <w:rsid w:val="00F14F1B"/>
    <w:rsid w:val="00F31D1E"/>
    <w:rsid w:val="00F4387D"/>
    <w:rsid w:val="00F44720"/>
    <w:rsid w:val="00F44DCF"/>
    <w:rsid w:val="00F6237C"/>
    <w:rsid w:val="00F6425A"/>
    <w:rsid w:val="00F65302"/>
    <w:rsid w:val="00F72313"/>
    <w:rsid w:val="00F73B1C"/>
    <w:rsid w:val="00F74FFE"/>
    <w:rsid w:val="00F751DA"/>
    <w:rsid w:val="00F8117D"/>
    <w:rsid w:val="00F92F22"/>
    <w:rsid w:val="00FA16A8"/>
    <w:rsid w:val="00FA2CA2"/>
    <w:rsid w:val="00FB1157"/>
    <w:rsid w:val="00FC3490"/>
    <w:rsid w:val="00FC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uiPriority w:val="99"/>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uiPriority w:val="99"/>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locked/>
    <w:rPr>
      <w:sz w:val="22"/>
    </w:rPr>
  </w:style>
  <w:style w:type="character" w:customStyle="1" w:styleId="ParaNumChar2">
    <w:name w:val="ParaNum Char2"/>
    <w:link w:val="ParaNum"/>
    <w:rPr>
      <w:sz w:val="22"/>
      <w:lang w:val="x-none" w:eastAsia="x-none"/>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 w:type="character" w:customStyle="1" w:styleId="documentbody1">
    <w:name w:val="documentbody1"/>
    <w:rsid w:val="00A47D05"/>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uiPriority w:val="99"/>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uiPriority w:val="99"/>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locked/>
    <w:rPr>
      <w:sz w:val="22"/>
    </w:rPr>
  </w:style>
  <w:style w:type="character" w:customStyle="1" w:styleId="ParaNumChar2">
    <w:name w:val="ParaNum Char2"/>
    <w:link w:val="ParaNum"/>
    <w:rPr>
      <w:sz w:val="22"/>
      <w:lang w:val="x-none" w:eastAsia="x-none"/>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 w:type="character" w:customStyle="1" w:styleId="documentbody1">
    <w:name w:val="documentbody1"/>
    <w:rsid w:val="00A47D0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703">
      <w:bodyDiv w:val="1"/>
      <w:marLeft w:val="0"/>
      <w:marRight w:val="0"/>
      <w:marTop w:val="0"/>
      <w:marBottom w:val="0"/>
      <w:divBdr>
        <w:top w:val="none" w:sz="0" w:space="0" w:color="auto"/>
        <w:left w:val="none" w:sz="0" w:space="0" w:color="auto"/>
        <w:bottom w:val="none" w:sz="0" w:space="0" w:color="auto"/>
        <w:right w:val="none" w:sz="0" w:space="0" w:color="auto"/>
      </w:divBdr>
    </w:div>
    <w:div w:id="480970332">
      <w:bodyDiv w:val="1"/>
      <w:marLeft w:val="0"/>
      <w:marRight w:val="0"/>
      <w:marTop w:val="0"/>
      <w:marBottom w:val="0"/>
      <w:divBdr>
        <w:top w:val="none" w:sz="0" w:space="0" w:color="auto"/>
        <w:left w:val="none" w:sz="0" w:space="0" w:color="auto"/>
        <w:bottom w:val="none" w:sz="0" w:space="0" w:color="auto"/>
        <w:right w:val="none" w:sz="0" w:space="0" w:color="auto"/>
      </w:divBdr>
    </w:div>
    <w:div w:id="502428385">
      <w:bodyDiv w:val="1"/>
      <w:marLeft w:val="0"/>
      <w:marRight w:val="0"/>
      <w:marTop w:val="0"/>
      <w:marBottom w:val="0"/>
      <w:divBdr>
        <w:top w:val="none" w:sz="0" w:space="0" w:color="auto"/>
        <w:left w:val="none" w:sz="0" w:space="0" w:color="auto"/>
        <w:bottom w:val="none" w:sz="0" w:space="0" w:color="auto"/>
        <w:right w:val="none" w:sz="0" w:space="0" w:color="auto"/>
      </w:divBdr>
    </w:div>
    <w:div w:id="776677652">
      <w:bodyDiv w:val="1"/>
      <w:marLeft w:val="0"/>
      <w:marRight w:val="0"/>
      <w:marTop w:val="0"/>
      <w:marBottom w:val="0"/>
      <w:divBdr>
        <w:top w:val="none" w:sz="0" w:space="0" w:color="auto"/>
        <w:left w:val="none" w:sz="0" w:space="0" w:color="auto"/>
        <w:bottom w:val="none" w:sz="0" w:space="0" w:color="auto"/>
        <w:right w:val="none" w:sz="0" w:space="0" w:color="auto"/>
      </w:divBdr>
    </w:div>
    <w:div w:id="780882811">
      <w:bodyDiv w:val="1"/>
      <w:marLeft w:val="0"/>
      <w:marRight w:val="0"/>
      <w:marTop w:val="0"/>
      <w:marBottom w:val="0"/>
      <w:divBdr>
        <w:top w:val="none" w:sz="0" w:space="0" w:color="auto"/>
        <w:left w:val="none" w:sz="0" w:space="0" w:color="auto"/>
        <w:bottom w:val="none" w:sz="0" w:space="0" w:color="auto"/>
        <w:right w:val="none" w:sz="0" w:space="0" w:color="auto"/>
      </w:divBdr>
    </w:div>
    <w:div w:id="1017780555">
      <w:bodyDiv w:val="1"/>
      <w:marLeft w:val="0"/>
      <w:marRight w:val="0"/>
      <w:marTop w:val="0"/>
      <w:marBottom w:val="0"/>
      <w:divBdr>
        <w:top w:val="none" w:sz="0" w:space="0" w:color="auto"/>
        <w:left w:val="none" w:sz="0" w:space="0" w:color="auto"/>
        <w:bottom w:val="none" w:sz="0" w:space="0" w:color="auto"/>
        <w:right w:val="none" w:sz="0" w:space="0" w:color="auto"/>
      </w:divBdr>
    </w:div>
    <w:div w:id="1080906075">
      <w:bodyDiv w:val="1"/>
      <w:marLeft w:val="0"/>
      <w:marRight w:val="0"/>
      <w:marTop w:val="0"/>
      <w:marBottom w:val="0"/>
      <w:divBdr>
        <w:top w:val="none" w:sz="0" w:space="0" w:color="auto"/>
        <w:left w:val="none" w:sz="0" w:space="0" w:color="auto"/>
        <w:bottom w:val="none" w:sz="0" w:space="0" w:color="auto"/>
        <w:right w:val="none" w:sz="0" w:space="0" w:color="auto"/>
      </w:divBdr>
    </w:div>
    <w:div w:id="1310556096">
      <w:bodyDiv w:val="1"/>
      <w:marLeft w:val="0"/>
      <w:marRight w:val="0"/>
      <w:marTop w:val="0"/>
      <w:marBottom w:val="0"/>
      <w:divBdr>
        <w:top w:val="none" w:sz="0" w:space="0" w:color="auto"/>
        <w:left w:val="none" w:sz="0" w:space="0" w:color="auto"/>
        <w:bottom w:val="none" w:sz="0" w:space="0" w:color="auto"/>
        <w:right w:val="none" w:sz="0" w:space="0" w:color="auto"/>
      </w:divBdr>
    </w:div>
    <w:div w:id="1530070524">
      <w:bodyDiv w:val="1"/>
      <w:marLeft w:val="0"/>
      <w:marRight w:val="0"/>
      <w:marTop w:val="0"/>
      <w:marBottom w:val="0"/>
      <w:divBdr>
        <w:top w:val="none" w:sz="0" w:space="0" w:color="auto"/>
        <w:left w:val="none" w:sz="0" w:space="0" w:color="auto"/>
        <w:bottom w:val="none" w:sz="0" w:space="0" w:color="auto"/>
        <w:right w:val="none" w:sz="0" w:space="0" w:color="auto"/>
      </w:divBdr>
    </w:div>
    <w:div w:id="1831098568">
      <w:bodyDiv w:val="1"/>
      <w:marLeft w:val="0"/>
      <w:marRight w:val="0"/>
      <w:marTop w:val="0"/>
      <w:marBottom w:val="0"/>
      <w:divBdr>
        <w:top w:val="none" w:sz="0" w:space="0" w:color="auto"/>
        <w:left w:val="none" w:sz="0" w:space="0" w:color="auto"/>
        <w:bottom w:val="none" w:sz="0" w:space="0" w:color="auto"/>
        <w:right w:val="none" w:sz="0" w:space="0" w:color="auto"/>
      </w:divBdr>
    </w:div>
    <w:div w:id="18855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550</Words>
  <Characters>3175</Characters>
  <Application>Microsoft Office Word</Application>
  <DocSecurity>0</DocSecurity>
  <Lines>138</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3698</CharactersWithSpaces>
  <SharedDoc>false</SharedDoc>
  <HyperlinkBase> </HyperlinkBase>
  <HLinks>
    <vt:vector size="18" baseType="variant">
      <vt:variant>
        <vt:i4>6291495</vt:i4>
      </vt:variant>
      <vt:variant>
        <vt:i4>6</vt:i4>
      </vt:variant>
      <vt:variant>
        <vt:i4>0</vt:i4>
      </vt:variant>
      <vt:variant>
        <vt:i4>5</vt:i4>
      </vt:variant>
      <vt:variant>
        <vt:lpwstr>http://www.usac.org/cont/tools/merger.aspx</vt:lpwstr>
      </vt:variant>
      <vt:variant>
        <vt:lpwstr/>
      </vt:variant>
      <vt:variant>
        <vt:i4>6291495</vt:i4>
      </vt:variant>
      <vt:variant>
        <vt:i4>3</vt:i4>
      </vt:variant>
      <vt:variant>
        <vt:i4>0</vt:i4>
      </vt:variant>
      <vt:variant>
        <vt:i4>5</vt:i4>
      </vt:variant>
      <vt:variant>
        <vt:lpwstr>http://www.usac.org/cont/tools/merger.aspx</vt:lpwstr>
      </vt:variant>
      <vt:variant>
        <vt:lpwstr/>
      </vt:variant>
      <vt:variant>
        <vt:i4>5570573</vt:i4>
      </vt:variant>
      <vt:variant>
        <vt:i4>0</vt:i4>
      </vt:variant>
      <vt:variant>
        <vt:i4>0</vt:i4>
      </vt:variant>
      <vt:variant>
        <vt:i4>5</vt:i4>
      </vt:variant>
      <vt:variant>
        <vt:lpwstr>http://www.usac.org/cont/about/program-integrity/appeals.aspx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2014-04-18T15:45:00Z</cp:lastPrinted>
  <dcterms:created xsi:type="dcterms:W3CDTF">2014-12-19T19:19:00Z</dcterms:created>
  <dcterms:modified xsi:type="dcterms:W3CDTF">2014-12-19T19:19:00Z</dcterms:modified>
  <cp:category> </cp:category>
  <cp:contentStatus> </cp:contentStatus>
</cp:coreProperties>
</file>