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94C12" w:rsidP="007115F7">
            <w:pPr>
              <w:tabs>
                <w:tab w:val="center" w:pos="4680"/>
              </w:tabs>
              <w:suppressAutoHyphens/>
              <w:rPr>
                <w:spacing w:val="-2"/>
              </w:rPr>
            </w:pPr>
            <w:r>
              <w:rPr>
                <w:spacing w:val="-2"/>
              </w:rPr>
              <w:t>Connect America Fund</w:t>
            </w:r>
          </w:p>
          <w:p w:rsidR="00394C12" w:rsidRDefault="00394C12" w:rsidP="007115F7">
            <w:pPr>
              <w:tabs>
                <w:tab w:val="center" w:pos="4680"/>
              </w:tabs>
              <w:suppressAutoHyphens/>
              <w:rPr>
                <w:spacing w:val="-2"/>
              </w:rPr>
            </w:pPr>
          </w:p>
          <w:p w:rsidR="00394C12" w:rsidRDefault="00394C12" w:rsidP="007115F7">
            <w:pPr>
              <w:tabs>
                <w:tab w:val="center" w:pos="4680"/>
              </w:tabs>
              <w:suppressAutoHyphens/>
              <w:rPr>
                <w:spacing w:val="-2"/>
              </w:rPr>
            </w:pPr>
            <w:r>
              <w:rPr>
                <w:spacing w:val="-2"/>
              </w:rPr>
              <w:t>Universal Service Reform – Mobility Fund</w:t>
            </w:r>
          </w:p>
          <w:p w:rsidR="00394C12" w:rsidRDefault="00394C12" w:rsidP="007115F7">
            <w:pPr>
              <w:tabs>
                <w:tab w:val="center" w:pos="4680"/>
              </w:tabs>
              <w:suppressAutoHyphens/>
              <w:rPr>
                <w:spacing w:val="-2"/>
              </w:rPr>
            </w:pPr>
          </w:p>
          <w:p w:rsidR="00394C12" w:rsidRDefault="00394C12" w:rsidP="007115F7">
            <w:pPr>
              <w:tabs>
                <w:tab w:val="center" w:pos="4680"/>
              </w:tabs>
              <w:suppressAutoHyphens/>
              <w:rPr>
                <w:spacing w:val="-2"/>
              </w:rPr>
            </w:pPr>
            <w:r>
              <w:rPr>
                <w:spacing w:val="-2"/>
              </w:rPr>
              <w:t>ETC Annual Reports and Certifications</w:t>
            </w:r>
          </w:p>
          <w:p w:rsidR="00394C12" w:rsidRDefault="00394C12" w:rsidP="007115F7">
            <w:pPr>
              <w:tabs>
                <w:tab w:val="center" w:pos="4680"/>
              </w:tabs>
              <w:suppressAutoHyphens/>
              <w:rPr>
                <w:spacing w:val="-2"/>
              </w:rPr>
            </w:pPr>
          </w:p>
          <w:p w:rsidR="00394C12" w:rsidRDefault="00394C12" w:rsidP="007115F7">
            <w:pPr>
              <w:tabs>
                <w:tab w:val="center" w:pos="4680"/>
              </w:tabs>
              <w:suppressAutoHyphens/>
              <w:rPr>
                <w:spacing w:val="-2"/>
              </w:rPr>
            </w:pPr>
            <w:r>
              <w:rPr>
                <w:spacing w:val="-2"/>
              </w:rPr>
              <w:t>Establishing Just and Reasonable Rates for Local Exchange Carriers</w:t>
            </w:r>
          </w:p>
          <w:p w:rsidR="00394C12" w:rsidRDefault="00394C12" w:rsidP="007115F7">
            <w:pPr>
              <w:tabs>
                <w:tab w:val="center" w:pos="4680"/>
              </w:tabs>
              <w:suppressAutoHyphens/>
              <w:rPr>
                <w:spacing w:val="-2"/>
              </w:rPr>
            </w:pPr>
          </w:p>
          <w:p w:rsidR="00394C12" w:rsidRPr="007115F7" w:rsidRDefault="00394C12" w:rsidP="00394C12">
            <w:pPr>
              <w:tabs>
                <w:tab w:val="center" w:pos="4680"/>
              </w:tabs>
              <w:suppressAutoHyphens/>
              <w:rPr>
                <w:spacing w:val="-2"/>
              </w:rPr>
            </w:pPr>
            <w:r>
              <w:rPr>
                <w:spacing w:val="-2"/>
              </w:rPr>
              <w:t>Developing a Unified Intercarrier Compensation Regime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94C12" w:rsidRDefault="00394C12">
            <w:pPr>
              <w:tabs>
                <w:tab w:val="center" w:pos="4680"/>
              </w:tabs>
              <w:suppressAutoHyphens/>
              <w:rPr>
                <w:b/>
                <w:spacing w:val="-2"/>
              </w:rPr>
            </w:pPr>
            <w:r>
              <w:rPr>
                <w:b/>
                <w:spacing w:val="-2"/>
              </w:rPr>
              <w:t>)</w:t>
            </w:r>
          </w:p>
          <w:p w:rsidR="00394C12" w:rsidRDefault="00394C12">
            <w:pPr>
              <w:tabs>
                <w:tab w:val="center" w:pos="4680"/>
              </w:tabs>
              <w:suppressAutoHyphens/>
              <w:rPr>
                <w:b/>
                <w:spacing w:val="-2"/>
              </w:rPr>
            </w:pPr>
            <w:r>
              <w:rPr>
                <w:b/>
                <w:spacing w:val="-2"/>
              </w:rPr>
              <w:t>)</w:t>
            </w:r>
          </w:p>
          <w:p w:rsidR="00394C12" w:rsidRDefault="00394C12">
            <w:pPr>
              <w:tabs>
                <w:tab w:val="center" w:pos="4680"/>
              </w:tabs>
              <w:suppressAutoHyphens/>
              <w:rPr>
                <w:b/>
                <w:spacing w:val="-2"/>
              </w:rPr>
            </w:pPr>
            <w:r>
              <w:rPr>
                <w:b/>
                <w:spacing w:val="-2"/>
              </w:rPr>
              <w:t>)</w:t>
            </w:r>
          </w:p>
          <w:p w:rsidR="00394C12" w:rsidRDefault="00394C12">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94C12">
            <w:pPr>
              <w:tabs>
                <w:tab w:val="center" w:pos="4680"/>
              </w:tabs>
              <w:suppressAutoHyphens/>
              <w:rPr>
                <w:spacing w:val="-2"/>
              </w:rPr>
            </w:pPr>
            <w:r>
              <w:rPr>
                <w:spacing w:val="-2"/>
              </w:rPr>
              <w:t>WC Docket No. 10-90</w:t>
            </w:r>
          </w:p>
          <w:p w:rsidR="00394C12" w:rsidRDefault="00394C12">
            <w:pPr>
              <w:tabs>
                <w:tab w:val="center" w:pos="4680"/>
              </w:tabs>
              <w:suppressAutoHyphens/>
              <w:rPr>
                <w:spacing w:val="-2"/>
              </w:rPr>
            </w:pPr>
          </w:p>
          <w:p w:rsidR="00394C12" w:rsidRDefault="00394C12">
            <w:pPr>
              <w:tabs>
                <w:tab w:val="center" w:pos="4680"/>
              </w:tabs>
              <w:suppressAutoHyphens/>
              <w:rPr>
                <w:spacing w:val="-2"/>
              </w:rPr>
            </w:pPr>
            <w:r>
              <w:rPr>
                <w:spacing w:val="-2"/>
              </w:rPr>
              <w:t>WT Docket No. 10-208</w:t>
            </w:r>
          </w:p>
          <w:p w:rsidR="00394C12" w:rsidRDefault="00394C12">
            <w:pPr>
              <w:tabs>
                <w:tab w:val="center" w:pos="4680"/>
              </w:tabs>
              <w:suppressAutoHyphens/>
              <w:rPr>
                <w:spacing w:val="-2"/>
              </w:rPr>
            </w:pPr>
          </w:p>
          <w:p w:rsidR="00394C12" w:rsidRDefault="00394C12">
            <w:pPr>
              <w:tabs>
                <w:tab w:val="center" w:pos="4680"/>
              </w:tabs>
              <w:suppressAutoHyphens/>
              <w:rPr>
                <w:spacing w:val="-2"/>
              </w:rPr>
            </w:pPr>
            <w:r>
              <w:rPr>
                <w:spacing w:val="-2"/>
              </w:rPr>
              <w:t>WC Docket No. 14-58</w:t>
            </w:r>
          </w:p>
          <w:p w:rsidR="00394C12" w:rsidRDefault="00394C12">
            <w:pPr>
              <w:tabs>
                <w:tab w:val="center" w:pos="4680"/>
              </w:tabs>
              <w:suppressAutoHyphens/>
              <w:rPr>
                <w:spacing w:val="-2"/>
              </w:rPr>
            </w:pPr>
          </w:p>
          <w:p w:rsidR="00394C12" w:rsidRDefault="00394C12">
            <w:pPr>
              <w:tabs>
                <w:tab w:val="center" w:pos="4680"/>
              </w:tabs>
              <w:suppressAutoHyphens/>
              <w:rPr>
                <w:spacing w:val="-2"/>
              </w:rPr>
            </w:pPr>
            <w:r>
              <w:rPr>
                <w:spacing w:val="-2"/>
              </w:rPr>
              <w:t>WC Docket No. 07-135</w:t>
            </w:r>
          </w:p>
          <w:p w:rsidR="00394C12" w:rsidRDefault="00394C12">
            <w:pPr>
              <w:tabs>
                <w:tab w:val="center" w:pos="4680"/>
              </w:tabs>
              <w:suppressAutoHyphens/>
              <w:rPr>
                <w:spacing w:val="-2"/>
              </w:rPr>
            </w:pPr>
          </w:p>
          <w:p w:rsidR="00394C12" w:rsidRDefault="00394C12">
            <w:pPr>
              <w:tabs>
                <w:tab w:val="center" w:pos="4680"/>
              </w:tabs>
              <w:suppressAutoHyphens/>
              <w:rPr>
                <w:spacing w:val="-2"/>
              </w:rPr>
            </w:pPr>
          </w:p>
          <w:p w:rsidR="00394C12" w:rsidRDefault="00394C12">
            <w:pPr>
              <w:tabs>
                <w:tab w:val="center" w:pos="4680"/>
              </w:tabs>
              <w:suppressAutoHyphens/>
              <w:rPr>
                <w:spacing w:val="-2"/>
              </w:rPr>
            </w:pPr>
            <w:r>
              <w:rPr>
                <w:spacing w:val="-2"/>
              </w:rPr>
              <w:t>CC Docket No. 01-92</w:t>
            </w:r>
          </w:p>
        </w:tc>
      </w:tr>
    </w:tbl>
    <w:p w:rsidR="004C2EE3" w:rsidRDefault="004C2EE3" w:rsidP="0070224F"/>
    <w:p w:rsidR="00841AB1" w:rsidRDefault="00A73650"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574FE">
        <w:rPr>
          <w:b/>
          <w:spacing w:val="-2"/>
        </w:rPr>
        <w:t>December 22,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4447">
        <w:rPr>
          <w:b/>
          <w:spacing w:val="-2"/>
        </w:rPr>
        <w:t>December 22, 2014</w:t>
      </w:r>
    </w:p>
    <w:p w:rsidR="00822CE0" w:rsidRDefault="00822CE0"/>
    <w:p w:rsidR="004C2EE3" w:rsidRPr="00DC59D8" w:rsidRDefault="004C2EE3">
      <w:pPr>
        <w:rPr>
          <w:spacing w:val="-2"/>
          <w:szCs w:val="22"/>
        </w:rPr>
      </w:pPr>
      <w:r w:rsidRPr="00DC59D8">
        <w:rPr>
          <w:szCs w:val="22"/>
        </w:rPr>
        <w:t xml:space="preserve">By </w:t>
      </w:r>
      <w:r w:rsidR="004E4A22" w:rsidRPr="00DC59D8">
        <w:rPr>
          <w:szCs w:val="22"/>
        </w:rPr>
        <w:t>the</w:t>
      </w:r>
      <w:r w:rsidR="002A2D2E" w:rsidRPr="00DC59D8">
        <w:rPr>
          <w:szCs w:val="22"/>
        </w:rPr>
        <w:t xml:space="preserve"> </w:t>
      </w:r>
      <w:r w:rsidR="00A73650" w:rsidRPr="00DC59D8">
        <w:rPr>
          <w:spacing w:val="-2"/>
          <w:szCs w:val="22"/>
        </w:rPr>
        <w:t>Chief, Wireline Competition Bureau</w:t>
      </w:r>
      <w:r w:rsidRPr="00DC59D8">
        <w:rPr>
          <w:spacing w:val="-2"/>
          <w:szCs w:val="22"/>
        </w:rPr>
        <w:t>:</w:t>
      </w:r>
    </w:p>
    <w:p w:rsidR="00822CE0" w:rsidRPr="00DC59D8" w:rsidRDefault="00822CE0">
      <w:pPr>
        <w:rPr>
          <w:spacing w:val="-2"/>
          <w:szCs w:val="22"/>
        </w:rPr>
      </w:pPr>
    </w:p>
    <w:p w:rsidR="00412FC5" w:rsidRPr="00D27BE8" w:rsidRDefault="009F2537" w:rsidP="00412FC5">
      <w:pPr>
        <w:pStyle w:val="Heading1"/>
        <w:widowControl/>
        <w:numPr>
          <w:ilvl w:val="0"/>
          <w:numId w:val="10"/>
        </w:numPr>
        <w:tabs>
          <w:tab w:val="num" w:pos="720"/>
        </w:tabs>
        <w:spacing w:after="220"/>
        <w:ind w:left="720"/>
        <w:jc w:val="both"/>
        <w:rPr>
          <w:rFonts w:ascii="Times New Roman" w:hAnsi="Times New Roman"/>
          <w:b w:val="0"/>
          <w:szCs w:val="22"/>
        </w:rPr>
      </w:pPr>
      <w:r w:rsidRPr="00D27BE8">
        <w:rPr>
          <w:rFonts w:ascii="Times New Roman" w:hAnsi="Times New Roman"/>
          <w:szCs w:val="22"/>
        </w:rPr>
        <w:t>introduction</w:t>
      </w:r>
    </w:p>
    <w:p w:rsidR="009D2126" w:rsidRDefault="009D2126" w:rsidP="003B0097">
      <w:pPr>
        <w:pStyle w:val="ParaNum"/>
        <w:tabs>
          <w:tab w:val="clear" w:pos="1080"/>
          <w:tab w:val="num" w:pos="1440"/>
        </w:tabs>
        <w:rPr>
          <w:szCs w:val="22"/>
        </w:rPr>
      </w:pPr>
      <w:r>
        <w:rPr>
          <w:szCs w:val="22"/>
        </w:rPr>
        <w:t xml:space="preserve">In this Order, the Wireline Competition Bureau (Bureau) </w:t>
      </w:r>
      <w:r w:rsidR="00D52602">
        <w:rPr>
          <w:szCs w:val="22"/>
        </w:rPr>
        <w:t xml:space="preserve">hereby dismisses petitions for reconsideration </w:t>
      </w:r>
      <w:r w:rsidR="00D52602" w:rsidRPr="00D27BE8">
        <w:rPr>
          <w:szCs w:val="22"/>
        </w:rPr>
        <w:t xml:space="preserve">of the </w:t>
      </w:r>
      <w:r w:rsidR="00D52602" w:rsidRPr="00D27BE8">
        <w:rPr>
          <w:i/>
          <w:szCs w:val="22"/>
        </w:rPr>
        <w:t>April 2014 Connect America Order/FNPRM</w:t>
      </w:r>
      <w:r w:rsidR="00D52602" w:rsidRPr="00D27BE8">
        <w:rPr>
          <w:rStyle w:val="FootnoteReference"/>
          <w:sz w:val="22"/>
          <w:szCs w:val="22"/>
        </w:rPr>
        <w:footnoteReference w:id="2"/>
      </w:r>
      <w:r w:rsidR="00D52602">
        <w:rPr>
          <w:szCs w:val="22"/>
        </w:rPr>
        <w:t>filed by</w:t>
      </w:r>
      <w:r w:rsidR="00D52602" w:rsidRPr="00D27BE8">
        <w:rPr>
          <w:szCs w:val="22"/>
        </w:rPr>
        <w:t xml:space="preserve"> the National Exchange Carrier Association, NTCA – The Rural Broadband Association, the Eastern Rural Telecom Association, and WTA – Advocates for Rural Broadband (</w:t>
      </w:r>
      <w:r w:rsidR="00D52602">
        <w:rPr>
          <w:szCs w:val="22"/>
        </w:rPr>
        <w:t xml:space="preserve">Rural </w:t>
      </w:r>
      <w:r w:rsidR="00E40A48">
        <w:rPr>
          <w:szCs w:val="22"/>
        </w:rPr>
        <w:t>Associations</w:t>
      </w:r>
      <w:r w:rsidR="00D52602" w:rsidRPr="00D27BE8">
        <w:rPr>
          <w:szCs w:val="22"/>
        </w:rPr>
        <w:t>)</w:t>
      </w:r>
      <w:r w:rsidR="00933C6C" w:rsidRPr="00D27BE8">
        <w:rPr>
          <w:rStyle w:val="FootnoteReference"/>
          <w:sz w:val="22"/>
          <w:szCs w:val="22"/>
        </w:rPr>
        <w:footnoteReference w:id="3"/>
      </w:r>
      <w:r w:rsidR="00D52602">
        <w:rPr>
          <w:szCs w:val="22"/>
        </w:rPr>
        <w:t xml:space="preserve"> and </w:t>
      </w:r>
      <w:r w:rsidR="00D52602" w:rsidRPr="00D27BE8">
        <w:rPr>
          <w:szCs w:val="22"/>
        </w:rPr>
        <w:t>the United States Telecom Association (USTelecom)</w:t>
      </w:r>
      <w:r w:rsidR="00D52602">
        <w:rPr>
          <w:szCs w:val="22"/>
        </w:rPr>
        <w:t>.</w:t>
      </w:r>
      <w:r w:rsidR="00933C6C" w:rsidRPr="00D27BE8">
        <w:rPr>
          <w:rStyle w:val="FootnoteReference"/>
          <w:sz w:val="22"/>
          <w:szCs w:val="22"/>
        </w:rPr>
        <w:footnoteReference w:id="4"/>
      </w:r>
      <w:r w:rsidR="00D52602">
        <w:rPr>
          <w:szCs w:val="22"/>
        </w:rPr>
        <w:t xml:space="preserve">  The Bureau finds that the </w:t>
      </w:r>
      <w:r w:rsidR="00D52602" w:rsidRPr="00D27BE8">
        <w:rPr>
          <w:szCs w:val="22"/>
        </w:rPr>
        <w:t xml:space="preserve">Joint Petition and </w:t>
      </w:r>
      <w:r w:rsidR="00D52602">
        <w:rPr>
          <w:szCs w:val="22"/>
        </w:rPr>
        <w:t>one of the requests in</w:t>
      </w:r>
      <w:r w:rsidR="00D52602" w:rsidRPr="00D27BE8">
        <w:rPr>
          <w:szCs w:val="22"/>
        </w:rPr>
        <w:t xml:space="preserve"> the USTelecom Petition </w:t>
      </w:r>
      <w:r w:rsidR="00D52602">
        <w:rPr>
          <w:szCs w:val="22"/>
        </w:rPr>
        <w:t>are</w:t>
      </w:r>
      <w:r w:rsidR="00D52602" w:rsidRPr="00D27BE8">
        <w:rPr>
          <w:szCs w:val="22"/>
        </w:rPr>
        <w:t xml:space="preserve"> untimely.</w:t>
      </w:r>
      <w:r w:rsidR="00D52602" w:rsidRPr="00D27BE8">
        <w:rPr>
          <w:rStyle w:val="FootnoteReference"/>
          <w:sz w:val="22"/>
          <w:szCs w:val="22"/>
        </w:rPr>
        <w:footnoteReference w:id="5"/>
      </w:r>
      <w:r w:rsidR="00D52602" w:rsidRPr="00D27BE8">
        <w:rPr>
          <w:szCs w:val="22"/>
        </w:rPr>
        <w:t xml:space="preserve">  </w:t>
      </w:r>
      <w:r w:rsidR="00D52602">
        <w:rPr>
          <w:szCs w:val="22"/>
        </w:rPr>
        <w:t xml:space="preserve">In addition, </w:t>
      </w:r>
      <w:r w:rsidR="00731E3F">
        <w:rPr>
          <w:szCs w:val="22"/>
        </w:rPr>
        <w:t>the other</w:t>
      </w:r>
      <w:r w:rsidR="00731E3F" w:rsidRPr="00D27BE8">
        <w:rPr>
          <w:szCs w:val="22"/>
        </w:rPr>
        <w:t xml:space="preserve"> </w:t>
      </w:r>
      <w:r w:rsidR="00D52602">
        <w:rPr>
          <w:szCs w:val="22"/>
        </w:rPr>
        <w:t>request</w:t>
      </w:r>
      <w:r w:rsidR="00D52602" w:rsidRPr="00D27BE8">
        <w:rPr>
          <w:szCs w:val="22"/>
        </w:rPr>
        <w:t xml:space="preserve"> in the USTelecom Petition </w:t>
      </w:r>
      <w:r w:rsidR="00D52602">
        <w:rPr>
          <w:szCs w:val="22"/>
        </w:rPr>
        <w:t xml:space="preserve">was </w:t>
      </w:r>
      <w:r w:rsidR="005F6BEE">
        <w:rPr>
          <w:szCs w:val="22"/>
        </w:rPr>
        <w:t xml:space="preserve">neither </w:t>
      </w:r>
      <w:r w:rsidR="00D52602">
        <w:rPr>
          <w:szCs w:val="22"/>
        </w:rPr>
        <w:t xml:space="preserve">presented to the Commission prior to this Petition nor addressed </w:t>
      </w:r>
      <w:r w:rsidR="00D52602" w:rsidRPr="00D27BE8">
        <w:rPr>
          <w:szCs w:val="22"/>
        </w:rPr>
        <w:t>by the Commission</w:t>
      </w:r>
      <w:r w:rsidR="00D52602">
        <w:rPr>
          <w:szCs w:val="22"/>
        </w:rPr>
        <w:t xml:space="preserve"> in its </w:t>
      </w:r>
      <w:r w:rsidR="00D52602" w:rsidRPr="00D02F5A">
        <w:rPr>
          <w:i/>
          <w:szCs w:val="22"/>
        </w:rPr>
        <w:t>Order</w:t>
      </w:r>
      <w:r w:rsidR="00731E3F">
        <w:rPr>
          <w:szCs w:val="22"/>
        </w:rPr>
        <w:t xml:space="preserve"> and is therefore not properly subject </w:t>
      </w:r>
      <w:r w:rsidR="0060586F">
        <w:rPr>
          <w:szCs w:val="22"/>
        </w:rPr>
        <w:t>to reconsideration</w:t>
      </w:r>
      <w:r w:rsidR="00D52602" w:rsidRPr="00D27BE8">
        <w:rPr>
          <w:szCs w:val="22"/>
        </w:rPr>
        <w:t>.</w:t>
      </w:r>
      <w:r w:rsidR="00D52602" w:rsidRPr="00D27BE8">
        <w:rPr>
          <w:rStyle w:val="FootnoteReference"/>
          <w:sz w:val="22"/>
          <w:szCs w:val="22"/>
        </w:rPr>
        <w:footnoteReference w:id="6"/>
      </w:r>
      <w:r w:rsidR="00D52602" w:rsidRPr="00D27BE8">
        <w:rPr>
          <w:szCs w:val="22"/>
        </w:rPr>
        <w:t xml:space="preserve">  </w:t>
      </w:r>
    </w:p>
    <w:p w:rsidR="00D52602" w:rsidRPr="00D27BE8" w:rsidRDefault="00D52602" w:rsidP="00D52602">
      <w:pPr>
        <w:pStyle w:val="Heading1"/>
        <w:widowControl/>
        <w:numPr>
          <w:ilvl w:val="0"/>
          <w:numId w:val="10"/>
        </w:numPr>
        <w:tabs>
          <w:tab w:val="num" w:pos="720"/>
        </w:tabs>
        <w:spacing w:after="220"/>
        <w:ind w:left="720"/>
        <w:jc w:val="both"/>
        <w:rPr>
          <w:rFonts w:ascii="Times New Roman" w:hAnsi="Times New Roman"/>
          <w:szCs w:val="22"/>
        </w:rPr>
      </w:pPr>
      <w:r w:rsidRPr="00D27BE8">
        <w:rPr>
          <w:rFonts w:ascii="Times New Roman" w:hAnsi="Times New Roman"/>
          <w:szCs w:val="22"/>
        </w:rPr>
        <w:lastRenderedPageBreak/>
        <w:t>BACKGROUND</w:t>
      </w:r>
    </w:p>
    <w:p w:rsidR="00D52602" w:rsidRPr="00D27BE8" w:rsidRDefault="00D52602" w:rsidP="00D52602">
      <w:pPr>
        <w:pStyle w:val="ParaNum"/>
        <w:tabs>
          <w:tab w:val="clear" w:pos="1080"/>
          <w:tab w:val="num" w:pos="1440"/>
        </w:tabs>
        <w:rPr>
          <w:szCs w:val="22"/>
        </w:rPr>
      </w:pPr>
      <w:r w:rsidRPr="00D27BE8">
        <w:rPr>
          <w:szCs w:val="22"/>
        </w:rPr>
        <w:t xml:space="preserve">In the </w:t>
      </w:r>
      <w:r w:rsidRPr="00D27BE8">
        <w:rPr>
          <w:i/>
          <w:szCs w:val="22"/>
        </w:rPr>
        <w:t>USF/ICC Transformation Order</w:t>
      </w:r>
      <w:r w:rsidRPr="00D27BE8">
        <w:rPr>
          <w:szCs w:val="22"/>
        </w:rPr>
        <w:t>, the Commission comprehensively reformed and modernized the high-cost program within the universal service fund.</w:t>
      </w:r>
      <w:r w:rsidRPr="00D27BE8">
        <w:rPr>
          <w:rStyle w:val="FootnoteReference"/>
          <w:sz w:val="22"/>
          <w:szCs w:val="22"/>
        </w:rPr>
        <w:footnoteReference w:id="7"/>
      </w:r>
      <w:r w:rsidRPr="00D27BE8">
        <w:rPr>
          <w:szCs w:val="22"/>
        </w:rPr>
        <w:t xml:space="preserve">  As part of that reform, high-cost support </w:t>
      </w:r>
      <w:r>
        <w:rPr>
          <w:szCs w:val="22"/>
        </w:rPr>
        <w:t>is</w:t>
      </w:r>
      <w:r w:rsidRPr="00D27BE8">
        <w:rPr>
          <w:szCs w:val="22"/>
        </w:rPr>
        <w:t xml:space="preserve"> reduced in areas where end-user rates for voice service </w:t>
      </w:r>
      <w:r>
        <w:rPr>
          <w:szCs w:val="22"/>
        </w:rPr>
        <w:t>are</w:t>
      </w:r>
      <w:r w:rsidRPr="00D27BE8">
        <w:rPr>
          <w:szCs w:val="22"/>
        </w:rPr>
        <w:t xml:space="preserve"> below a specified local rate floor.</w:t>
      </w:r>
      <w:r w:rsidRPr="00D27BE8">
        <w:rPr>
          <w:rStyle w:val="FootnoteReference"/>
          <w:sz w:val="22"/>
          <w:szCs w:val="22"/>
        </w:rPr>
        <w:footnoteReference w:id="8"/>
      </w:r>
      <w:r w:rsidRPr="00D27BE8">
        <w:rPr>
          <w:szCs w:val="22"/>
        </w:rPr>
        <w:t xml:space="preserve">  The Commission explicitly stated that the rate floor was to be the national average of urban local rates plus certain state regulated fees</w:t>
      </w:r>
      <w:r>
        <w:rPr>
          <w:szCs w:val="22"/>
        </w:rPr>
        <w:t xml:space="preserve"> and was to be calculated based on a survey of urban rates to be conducted by the Bureau</w:t>
      </w:r>
      <w:r w:rsidRPr="00D27BE8">
        <w:rPr>
          <w:szCs w:val="22"/>
        </w:rPr>
        <w:t>.</w:t>
      </w:r>
      <w:r w:rsidRPr="00D27BE8">
        <w:rPr>
          <w:rStyle w:val="FootnoteReference"/>
          <w:sz w:val="22"/>
          <w:szCs w:val="22"/>
        </w:rPr>
        <w:footnoteReference w:id="9"/>
      </w:r>
      <w:r w:rsidRPr="00D27BE8">
        <w:rPr>
          <w:szCs w:val="22"/>
        </w:rPr>
        <w:t xml:space="preserve">  </w:t>
      </w:r>
    </w:p>
    <w:p w:rsidR="00D52602" w:rsidRPr="00655303" w:rsidRDefault="00655303" w:rsidP="00D52602">
      <w:pPr>
        <w:pStyle w:val="ParaNum"/>
        <w:tabs>
          <w:tab w:val="clear" w:pos="1080"/>
          <w:tab w:val="num" w:pos="1440"/>
        </w:tabs>
        <w:rPr>
          <w:szCs w:val="22"/>
        </w:rPr>
      </w:pPr>
      <w:r w:rsidRPr="00655303">
        <w:rPr>
          <w:szCs w:val="22"/>
        </w:rPr>
        <w:t>T</w:t>
      </w:r>
      <w:r>
        <w:rPr>
          <w:szCs w:val="22"/>
        </w:rPr>
        <w:t>h</w:t>
      </w:r>
      <w:r w:rsidR="00D52602" w:rsidRPr="00655303">
        <w:rPr>
          <w:szCs w:val="22"/>
        </w:rPr>
        <w:t>e Bureau issued a Public Notice announcing the results of the urban voice rate survey</w:t>
      </w:r>
      <w:r>
        <w:rPr>
          <w:szCs w:val="22"/>
        </w:rPr>
        <w:t xml:space="preserve"> in March 2014</w:t>
      </w:r>
      <w:r w:rsidR="00D52602" w:rsidRPr="00D27BE8">
        <w:rPr>
          <w:rStyle w:val="FootnoteReference"/>
          <w:sz w:val="22"/>
          <w:szCs w:val="22"/>
        </w:rPr>
        <w:footnoteReference w:id="10"/>
      </w:r>
      <w:r w:rsidR="00D52602" w:rsidRPr="00655303">
        <w:rPr>
          <w:szCs w:val="22"/>
        </w:rPr>
        <w:t xml:space="preserve"> </w:t>
      </w:r>
      <w:r>
        <w:rPr>
          <w:szCs w:val="22"/>
        </w:rPr>
        <w:t xml:space="preserve">and </w:t>
      </w:r>
      <w:r w:rsidR="0060586F">
        <w:rPr>
          <w:szCs w:val="22"/>
        </w:rPr>
        <w:t>soon thereafter</w:t>
      </w:r>
      <w:r>
        <w:rPr>
          <w:szCs w:val="22"/>
        </w:rPr>
        <w:t xml:space="preserve"> </w:t>
      </w:r>
      <w:r w:rsidR="00D52602" w:rsidRPr="00655303">
        <w:rPr>
          <w:szCs w:val="22"/>
        </w:rPr>
        <w:t xml:space="preserve">released </w:t>
      </w:r>
      <w:r w:rsidRPr="00655303">
        <w:rPr>
          <w:szCs w:val="22"/>
        </w:rPr>
        <w:t>the</w:t>
      </w:r>
      <w:r w:rsidR="00D52602" w:rsidRPr="00655303">
        <w:rPr>
          <w:szCs w:val="22"/>
        </w:rPr>
        <w:t xml:space="preserve"> data that was </w:t>
      </w:r>
      <w:r w:rsidRPr="00655303">
        <w:rPr>
          <w:szCs w:val="22"/>
        </w:rPr>
        <w:t>collected</w:t>
      </w:r>
      <w:r w:rsidR="00D52602" w:rsidRPr="00655303">
        <w:rPr>
          <w:szCs w:val="22"/>
        </w:rPr>
        <w:t xml:space="preserve"> through the rate survey.</w:t>
      </w:r>
      <w:r w:rsidR="00D52602" w:rsidRPr="00D27BE8">
        <w:rPr>
          <w:rStyle w:val="FootnoteReference"/>
          <w:sz w:val="22"/>
          <w:szCs w:val="22"/>
        </w:rPr>
        <w:footnoteReference w:id="11"/>
      </w:r>
      <w:r w:rsidR="00D52602" w:rsidRPr="00655303">
        <w:rPr>
          <w:szCs w:val="22"/>
        </w:rPr>
        <w:t xml:space="preserve">  In the </w:t>
      </w:r>
      <w:r w:rsidR="00D52602" w:rsidRPr="00655303">
        <w:rPr>
          <w:i/>
          <w:szCs w:val="22"/>
        </w:rPr>
        <w:t>April 2014 Connect America Order/FNPRM</w:t>
      </w:r>
      <w:r w:rsidR="00D52602" w:rsidRPr="00655303">
        <w:rPr>
          <w:szCs w:val="22"/>
        </w:rPr>
        <w:t>,</w:t>
      </w:r>
      <w:r w:rsidR="00D52602" w:rsidRPr="00655303">
        <w:rPr>
          <w:i/>
          <w:szCs w:val="22"/>
        </w:rPr>
        <w:t xml:space="preserve"> </w:t>
      </w:r>
      <w:r w:rsidR="00D52602" w:rsidRPr="00655303">
        <w:rPr>
          <w:szCs w:val="22"/>
        </w:rPr>
        <w:t xml:space="preserve">the Commission </w:t>
      </w:r>
      <w:r w:rsidR="002005BF">
        <w:rPr>
          <w:szCs w:val="22"/>
        </w:rPr>
        <w:t xml:space="preserve">adopted a limited waiver of the rule requiring </w:t>
      </w:r>
      <w:r w:rsidR="00D52602" w:rsidRPr="00655303">
        <w:rPr>
          <w:szCs w:val="22"/>
        </w:rPr>
        <w:t xml:space="preserve">support reductions </w:t>
      </w:r>
      <w:r w:rsidR="002005BF">
        <w:rPr>
          <w:szCs w:val="22"/>
        </w:rPr>
        <w:t xml:space="preserve">for lines with rates below </w:t>
      </w:r>
      <w:r w:rsidR="00D52602" w:rsidRPr="00655303">
        <w:rPr>
          <w:szCs w:val="22"/>
        </w:rPr>
        <w:t>the rate floor</w:t>
      </w:r>
      <w:r w:rsidR="002005BF">
        <w:rPr>
          <w:szCs w:val="22"/>
        </w:rPr>
        <w:t xml:space="preserve">, concluding those reductions should </w:t>
      </w:r>
      <w:r w:rsidR="00D52602" w:rsidRPr="00655303">
        <w:rPr>
          <w:szCs w:val="22"/>
        </w:rPr>
        <w:t xml:space="preserve"> be phased in over a more gradual time period.</w:t>
      </w:r>
      <w:r w:rsidR="00D52602" w:rsidRPr="00D27BE8">
        <w:rPr>
          <w:rStyle w:val="FootnoteReference"/>
          <w:sz w:val="22"/>
          <w:szCs w:val="22"/>
        </w:rPr>
        <w:footnoteReference w:id="12"/>
      </w:r>
    </w:p>
    <w:p w:rsidR="00BD6266" w:rsidRPr="00D904A4" w:rsidRDefault="00A73650" w:rsidP="00D904A4">
      <w:pPr>
        <w:pStyle w:val="ParaNum"/>
        <w:rPr>
          <w:szCs w:val="22"/>
        </w:rPr>
      </w:pPr>
      <w:r w:rsidRPr="00D27BE8">
        <w:t xml:space="preserve">On August 4, 2014, </w:t>
      </w:r>
      <w:r w:rsidR="00655303">
        <w:t>the</w:t>
      </w:r>
      <w:r w:rsidRPr="00D27BE8">
        <w:t xml:space="preserve"> </w:t>
      </w:r>
      <w:r w:rsidR="009E7985">
        <w:t xml:space="preserve">Rural </w:t>
      </w:r>
      <w:r w:rsidR="00CA643F">
        <w:t>Associations</w:t>
      </w:r>
      <w:r w:rsidRPr="00D27BE8">
        <w:t xml:space="preserve"> filed a </w:t>
      </w:r>
      <w:r w:rsidR="00E15538" w:rsidRPr="00D27BE8">
        <w:t>p</w:t>
      </w:r>
      <w:r w:rsidRPr="00D27BE8">
        <w:t xml:space="preserve">etition for </w:t>
      </w:r>
      <w:r w:rsidR="00E15538" w:rsidRPr="00D27BE8">
        <w:t>r</w:t>
      </w:r>
      <w:r w:rsidRPr="00D27BE8">
        <w:t xml:space="preserve">econsideration </w:t>
      </w:r>
      <w:r w:rsidR="00655303">
        <w:t>asking</w:t>
      </w:r>
      <w:r w:rsidR="00DC59D8" w:rsidRPr="00D27BE8">
        <w:t xml:space="preserve"> the Commission to reconsider the methodology for establishing the rate floor.</w:t>
      </w:r>
      <w:r w:rsidR="00BA43A7" w:rsidRPr="00D27BE8">
        <w:rPr>
          <w:rStyle w:val="FootnoteReference"/>
          <w:sz w:val="22"/>
          <w:szCs w:val="22"/>
        </w:rPr>
        <w:footnoteReference w:id="13"/>
      </w:r>
      <w:r w:rsidR="00BA43A7" w:rsidRPr="00D27BE8">
        <w:t xml:space="preserve">  </w:t>
      </w:r>
      <w:r w:rsidR="00CA643F">
        <w:t>The Rural Associations</w:t>
      </w:r>
      <w:r w:rsidR="00CA643F" w:rsidRPr="00D27BE8">
        <w:t xml:space="preserve"> </w:t>
      </w:r>
      <w:r w:rsidR="005F7387" w:rsidRPr="00D27BE8">
        <w:t xml:space="preserve">argue that the rate floor should be set at </w:t>
      </w:r>
      <w:r w:rsidR="00F07223">
        <w:t>least one</w:t>
      </w:r>
      <w:r w:rsidR="005F7387" w:rsidRPr="00D27BE8">
        <w:t xml:space="preserve"> standard deviation below the national urban average, rather than at the national urban average</w:t>
      </w:r>
      <w:r w:rsidR="00D904A4">
        <w:t xml:space="preserve">, to </w:t>
      </w:r>
      <w:r w:rsidR="00D904A4" w:rsidRPr="00D904A4">
        <w:rPr>
          <w:szCs w:val="22"/>
        </w:rPr>
        <w:t>permit the Commission to use smaller increments for the phase-in, or shorten the overall phase-in period</w:t>
      </w:r>
      <w:r w:rsidR="005F7387" w:rsidRPr="00D27BE8">
        <w:t>.</w:t>
      </w:r>
      <w:r w:rsidR="005F7387" w:rsidRPr="00D27BE8">
        <w:rPr>
          <w:rStyle w:val="FootnoteReference"/>
          <w:sz w:val="22"/>
          <w:szCs w:val="22"/>
        </w:rPr>
        <w:footnoteReference w:id="14"/>
      </w:r>
      <w:r w:rsidR="005F7387" w:rsidRPr="00D27BE8">
        <w:t xml:space="preserve"> </w:t>
      </w:r>
      <w:r w:rsidR="008B14EF">
        <w:t xml:space="preserve"> </w:t>
      </w:r>
      <w:r w:rsidR="00C97EF4">
        <w:t>O</w:t>
      </w:r>
      <w:r w:rsidR="00C97EF4" w:rsidRPr="00D27BE8">
        <w:t>n August 8, 2014, USTelecom</w:t>
      </w:r>
      <w:r w:rsidR="00D904A4">
        <w:t xml:space="preserve"> </w:t>
      </w:r>
      <w:r w:rsidR="00C97EF4">
        <w:t>requested that</w:t>
      </w:r>
      <w:r w:rsidR="00C97EF4" w:rsidRPr="00D27BE8">
        <w:t xml:space="preserve"> the Commission reconsider the schedule for the voice pricing data collection portion of the Urban Rate Survey</w:t>
      </w:r>
      <w:r w:rsidR="00C97EF4">
        <w:t>,</w:t>
      </w:r>
      <w:r w:rsidR="00C97EF4" w:rsidRPr="00D27BE8">
        <w:rPr>
          <w:rStyle w:val="FootnoteReference"/>
          <w:sz w:val="22"/>
          <w:szCs w:val="22"/>
        </w:rPr>
        <w:footnoteReference w:id="15"/>
      </w:r>
      <w:r w:rsidR="00C97EF4" w:rsidRPr="00D27BE8">
        <w:t xml:space="preserve"> </w:t>
      </w:r>
      <w:r w:rsidR="00C97EF4">
        <w:t>arguing</w:t>
      </w:r>
      <w:r w:rsidR="00C97EF4" w:rsidRPr="00D27BE8">
        <w:t xml:space="preserve"> that the Survey is burdensome and unnecessary until the last year of the </w:t>
      </w:r>
      <w:r w:rsidR="00C97EF4">
        <w:t>phase-in of</w:t>
      </w:r>
      <w:r w:rsidR="00C97EF4" w:rsidRPr="00D27BE8">
        <w:t xml:space="preserve"> reduction</w:t>
      </w:r>
      <w:r w:rsidR="00C97EF4">
        <w:t>s</w:t>
      </w:r>
      <w:r w:rsidR="00C97EF4" w:rsidRPr="00D27BE8">
        <w:t xml:space="preserve"> in high-cost support </w:t>
      </w:r>
      <w:r w:rsidR="00C97EF4">
        <w:t xml:space="preserve">adopted in the </w:t>
      </w:r>
      <w:r w:rsidR="00C97EF4" w:rsidRPr="0025256E">
        <w:rPr>
          <w:i/>
        </w:rPr>
        <w:t>Order</w:t>
      </w:r>
      <w:r w:rsidR="00C97EF4" w:rsidRPr="00D27BE8">
        <w:t>.</w:t>
      </w:r>
      <w:r w:rsidR="00C97EF4" w:rsidRPr="00D27BE8">
        <w:rPr>
          <w:rStyle w:val="FootnoteReference"/>
          <w:sz w:val="22"/>
          <w:szCs w:val="22"/>
        </w:rPr>
        <w:footnoteReference w:id="16"/>
      </w:r>
      <w:r w:rsidR="00C97EF4" w:rsidRPr="00D27BE8">
        <w:t xml:space="preserve">  USTelecom </w:t>
      </w:r>
      <w:r w:rsidR="00C97EF4">
        <w:t>further</w:t>
      </w:r>
      <w:r w:rsidR="00C97EF4" w:rsidRPr="00D27BE8">
        <w:t xml:space="preserve"> asks the Commission to reconsider its decision to waive application of section 54.318(i) of the Commission’s rules to only Lifeline customers.</w:t>
      </w:r>
      <w:r w:rsidR="00C97EF4" w:rsidRPr="00D27BE8">
        <w:rPr>
          <w:rStyle w:val="FootnoteReference"/>
          <w:sz w:val="22"/>
          <w:szCs w:val="22"/>
        </w:rPr>
        <w:footnoteReference w:id="17"/>
      </w:r>
      <w:r w:rsidR="00C97EF4" w:rsidRPr="00D27BE8">
        <w:t xml:space="preserve">  USTelecom argues that this waiver should extend to “vacation lines” and “warm lines” because these type of services are not reasonably comparable services for purposes of reducing support due to rates below the local rate floor.</w:t>
      </w:r>
      <w:r w:rsidR="00C97EF4" w:rsidRPr="00D27BE8">
        <w:rPr>
          <w:rStyle w:val="FootnoteReference"/>
          <w:sz w:val="22"/>
          <w:szCs w:val="22"/>
        </w:rPr>
        <w:footnoteReference w:id="18"/>
      </w:r>
    </w:p>
    <w:p w:rsidR="00BD6266" w:rsidRPr="00D27BE8" w:rsidRDefault="00BD6266" w:rsidP="0025256E">
      <w:pPr>
        <w:pStyle w:val="ParaNum"/>
        <w:numPr>
          <w:ilvl w:val="0"/>
          <w:numId w:val="0"/>
        </w:numPr>
        <w:ind w:left="720"/>
        <w:rPr>
          <w:szCs w:val="22"/>
        </w:rPr>
      </w:pPr>
    </w:p>
    <w:p w:rsidR="00C70B18" w:rsidRPr="00D27BE8" w:rsidRDefault="00C70B18" w:rsidP="00C70B18">
      <w:pPr>
        <w:pStyle w:val="Heading1"/>
        <w:widowControl/>
        <w:numPr>
          <w:ilvl w:val="0"/>
          <w:numId w:val="10"/>
        </w:numPr>
        <w:tabs>
          <w:tab w:val="num" w:pos="720"/>
        </w:tabs>
        <w:spacing w:after="220"/>
        <w:ind w:left="720"/>
        <w:jc w:val="both"/>
        <w:rPr>
          <w:rFonts w:ascii="Times New Roman" w:hAnsi="Times New Roman"/>
          <w:szCs w:val="22"/>
        </w:rPr>
      </w:pPr>
      <w:r w:rsidRPr="00D27BE8">
        <w:rPr>
          <w:rFonts w:ascii="Times New Roman" w:hAnsi="Times New Roman"/>
          <w:szCs w:val="22"/>
        </w:rPr>
        <w:lastRenderedPageBreak/>
        <w:t>DISCUSSION</w:t>
      </w:r>
    </w:p>
    <w:p w:rsidR="0020436C" w:rsidRPr="00D27BE8" w:rsidRDefault="00BE27FF" w:rsidP="00C70B18">
      <w:pPr>
        <w:pStyle w:val="Heading2"/>
        <w:rPr>
          <w:szCs w:val="22"/>
        </w:rPr>
      </w:pPr>
      <w:r w:rsidRPr="00D27BE8">
        <w:rPr>
          <w:szCs w:val="22"/>
        </w:rPr>
        <w:t>Joint Petition</w:t>
      </w:r>
    </w:p>
    <w:p w:rsidR="004215D6" w:rsidRPr="00D27BE8" w:rsidRDefault="004215D6" w:rsidP="003B0097">
      <w:pPr>
        <w:pStyle w:val="ParaNum"/>
        <w:tabs>
          <w:tab w:val="clear" w:pos="1080"/>
          <w:tab w:val="num" w:pos="1440"/>
        </w:tabs>
        <w:rPr>
          <w:szCs w:val="22"/>
        </w:rPr>
      </w:pPr>
      <w:r w:rsidRPr="00D27BE8">
        <w:rPr>
          <w:szCs w:val="22"/>
        </w:rPr>
        <w:t xml:space="preserve">The Joint Petition constitutes an untimely petition for reconsideration of the </w:t>
      </w:r>
      <w:r w:rsidRPr="00D27BE8">
        <w:rPr>
          <w:i/>
          <w:szCs w:val="22"/>
        </w:rPr>
        <w:t>USF/ICC Transformation Order</w:t>
      </w:r>
      <w:r w:rsidRPr="00D27BE8">
        <w:rPr>
          <w:szCs w:val="22"/>
        </w:rPr>
        <w:t xml:space="preserve">.  </w:t>
      </w:r>
      <w:r w:rsidR="00896808">
        <w:rPr>
          <w:szCs w:val="22"/>
        </w:rPr>
        <w:t>The Rural</w:t>
      </w:r>
      <w:r w:rsidRPr="00D27BE8">
        <w:rPr>
          <w:szCs w:val="22"/>
        </w:rPr>
        <w:t xml:space="preserve"> </w:t>
      </w:r>
      <w:r w:rsidR="00CA643F">
        <w:rPr>
          <w:szCs w:val="22"/>
        </w:rPr>
        <w:t>Associations</w:t>
      </w:r>
      <w:r w:rsidR="00CA643F" w:rsidRPr="00D27BE8">
        <w:rPr>
          <w:szCs w:val="22"/>
        </w:rPr>
        <w:t xml:space="preserve"> </w:t>
      </w:r>
      <w:r w:rsidR="00CA643F">
        <w:rPr>
          <w:szCs w:val="22"/>
        </w:rPr>
        <w:t>admit</w:t>
      </w:r>
      <w:r w:rsidRPr="00D27BE8">
        <w:rPr>
          <w:szCs w:val="22"/>
        </w:rPr>
        <w:t xml:space="preserve"> that they are not seeking reconsideration of the Commission’s decision</w:t>
      </w:r>
      <w:r w:rsidR="0020436C" w:rsidRPr="00D27BE8">
        <w:rPr>
          <w:szCs w:val="22"/>
        </w:rPr>
        <w:t xml:space="preserve"> in the </w:t>
      </w:r>
      <w:r w:rsidR="00E54884" w:rsidRPr="00D27BE8">
        <w:rPr>
          <w:i/>
          <w:szCs w:val="22"/>
        </w:rPr>
        <w:t>April 2014 Connect America Order/FNPRM</w:t>
      </w:r>
      <w:r w:rsidR="00E54884" w:rsidRPr="00D27BE8">
        <w:rPr>
          <w:szCs w:val="22"/>
        </w:rPr>
        <w:t xml:space="preserve"> </w:t>
      </w:r>
      <w:r w:rsidRPr="00D27BE8">
        <w:rPr>
          <w:szCs w:val="22"/>
        </w:rPr>
        <w:t xml:space="preserve">to phase in </w:t>
      </w:r>
      <w:r w:rsidR="00AD11D4" w:rsidRPr="00D27BE8">
        <w:rPr>
          <w:szCs w:val="22"/>
        </w:rPr>
        <w:t xml:space="preserve">more gradually </w:t>
      </w:r>
      <w:r w:rsidRPr="00D27BE8">
        <w:rPr>
          <w:szCs w:val="22"/>
        </w:rPr>
        <w:t>support reductions</w:t>
      </w:r>
      <w:r w:rsidR="0020436C" w:rsidRPr="00D27BE8">
        <w:rPr>
          <w:szCs w:val="22"/>
        </w:rPr>
        <w:t xml:space="preserve"> related to the rate floor</w:t>
      </w:r>
      <w:r w:rsidRPr="00D27BE8">
        <w:rPr>
          <w:szCs w:val="22"/>
        </w:rPr>
        <w:t>.</w:t>
      </w:r>
      <w:r w:rsidRPr="00D27BE8">
        <w:rPr>
          <w:rStyle w:val="FootnoteReference"/>
          <w:sz w:val="22"/>
          <w:szCs w:val="22"/>
        </w:rPr>
        <w:footnoteReference w:id="19"/>
      </w:r>
      <w:r w:rsidR="00BE2DAB" w:rsidRPr="00D27BE8">
        <w:rPr>
          <w:szCs w:val="22"/>
        </w:rPr>
        <w:t xml:space="preserve">  </w:t>
      </w:r>
      <w:r w:rsidR="00896808">
        <w:rPr>
          <w:szCs w:val="22"/>
        </w:rPr>
        <w:t>Instead</w:t>
      </w:r>
      <w:r w:rsidR="00BE2DAB" w:rsidRPr="00D27BE8">
        <w:rPr>
          <w:szCs w:val="22"/>
        </w:rPr>
        <w:t xml:space="preserve">, they are seeking reconsideration of the decision to set the rate floor at the national urban average, rather than at </w:t>
      </w:r>
      <w:r w:rsidR="00D77FB7" w:rsidRPr="00D27BE8">
        <w:rPr>
          <w:szCs w:val="22"/>
        </w:rPr>
        <w:t>one or two</w:t>
      </w:r>
      <w:r w:rsidR="00BE2DAB" w:rsidRPr="00D27BE8">
        <w:rPr>
          <w:szCs w:val="22"/>
        </w:rPr>
        <w:t xml:space="preserve"> standard deviations below that average.</w:t>
      </w:r>
      <w:r w:rsidR="00BE2DAB" w:rsidRPr="00D27BE8">
        <w:rPr>
          <w:rStyle w:val="FootnoteReference"/>
          <w:sz w:val="22"/>
          <w:szCs w:val="22"/>
        </w:rPr>
        <w:footnoteReference w:id="20"/>
      </w:r>
      <w:r w:rsidR="0020436C" w:rsidRPr="00D27BE8">
        <w:rPr>
          <w:szCs w:val="22"/>
        </w:rPr>
        <w:t xml:space="preserve">  </w:t>
      </w:r>
      <w:r w:rsidR="00E15538" w:rsidRPr="00D27BE8">
        <w:rPr>
          <w:szCs w:val="22"/>
        </w:rPr>
        <w:t>The decision</w:t>
      </w:r>
      <w:r w:rsidR="00D77FB7" w:rsidRPr="00D27BE8">
        <w:rPr>
          <w:szCs w:val="22"/>
        </w:rPr>
        <w:t xml:space="preserve"> to use an average rather than some standard deviation below the average</w:t>
      </w:r>
      <w:r w:rsidR="0020436C" w:rsidRPr="00D27BE8">
        <w:rPr>
          <w:szCs w:val="22"/>
        </w:rPr>
        <w:t xml:space="preserve"> was made</w:t>
      </w:r>
      <w:r w:rsidR="00D77FB7" w:rsidRPr="00D27BE8">
        <w:rPr>
          <w:szCs w:val="22"/>
        </w:rPr>
        <w:t xml:space="preserve"> by the Commission</w:t>
      </w:r>
      <w:r w:rsidR="0020436C" w:rsidRPr="00D27BE8">
        <w:rPr>
          <w:szCs w:val="22"/>
        </w:rPr>
        <w:t xml:space="preserve"> in the 2011 </w:t>
      </w:r>
      <w:r w:rsidR="0020436C" w:rsidRPr="00D27BE8">
        <w:rPr>
          <w:i/>
          <w:szCs w:val="22"/>
        </w:rPr>
        <w:t>USF/ICC Transformation Order</w:t>
      </w:r>
      <w:r w:rsidR="0020436C" w:rsidRPr="00D27BE8">
        <w:rPr>
          <w:szCs w:val="22"/>
        </w:rPr>
        <w:t>.  The window for requesting reconsideration of that Order closed over two years ago</w:t>
      </w:r>
      <w:r w:rsidR="00740877">
        <w:rPr>
          <w:szCs w:val="22"/>
        </w:rPr>
        <w:t>.  Thus,</w:t>
      </w:r>
      <w:r w:rsidR="00F1636F" w:rsidRPr="00D27BE8">
        <w:rPr>
          <w:szCs w:val="22"/>
        </w:rPr>
        <w:t xml:space="preserve"> the Joint Petition is untimely</w:t>
      </w:r>
      <w:r w:rsidR="0020436C" w:rsidRPr="00D27BE8">
        <w:rPr>
          <w:szCs w:val="22"/>
        </w:rPr>
        <w:t>.</w:t>
      </w:r>
      <w:r w:rsidR="00E15538" w:rsidRPr="00D27BE8">
        <w:rPr>
          <w:rStyle w:val="FootnoteReference"/>
          <w:sz w:val="22"/>
          <w:szCs w:val="22"/>
        </w:rPr>
        <w:footnoteReference w:id="21"/>
      </w:r>
    </w:p>
    <w:p w:rsidR="00020FB0" w:rsidRPr="00D27BE8" w:rsidRDefault="002005BF" w:rsidP="003B0097">
      <w:pPr>
        <w:pStyle w:val="ParaNum"/>
        <w:tabs>
          <w:tab w:val="clear" w:pos="1080"/>
          <w:tab w:val="num" w:pos="1440"/>
        </w:tabs>
        <w:rPr>
          <w:szCs w:val="22"/>
        </w:rPr>
      </w:pPr>
      <w:r>
        <w:rPr>
          <w:szCs w:val="22"/>
        </w:rPr>
        <w:t>T</w:t>
      </w:r>
      <w:r w:rsidR="00CA643F">
        <w:rPr>
          <w:szCs w:val="22"/>
        </w:rPr>
        <w:t>he Rural Associations</w:t>
      </w:r>
      <w:r w:rsidR="00CA643F" w:rsidRPr="00D27BE8">
        <w:rPr>
          <w:szCs w:val="22"/>
        </w:rPr>
        <w:t xml:space="preserve"> </w:t>
      </w:r>
      <w:r w:rsidR="0095711C" w:rsidRPr="00D27BE8">
        <w:rPr>
          <w:szCs w:val="22"/>
        </w:rPr>
        <w:t xml:space="preserve">contend that they are not challenging the </w:t>
      </w:r>
      <w:r w:rsidR="0095711C" w:rsidRPr="00D27BE8">
        <w:rPr>
          <w:i/>
          <w:szCs w:val="22"/>
        </w:rPr>
        <w:t>USF/ICC Transformation Order</w:t>
      </w:r>
      <w:r w:rsidR="0095711C" w:rsidRPr="00D27BE8">
        <w:rPr>
          <w:szCs w:val="22"/>
        </w:rPr>
        <w:t>, but rather they “seek reconsideration of the [</w:t>
      </w:r>
      <w:r w:rsidR="00C110B7" w:rsidRPr="00D27BE8">
        <w:rPr>
          <w:i/>
          <w:szCs w:val="22"/>
        </w:rPr>
        <w:t>April 2014 Connect America Order/FNPRM</w:t>
      </w:r>
      <w:r w:rsidR="0095711C" w:rsidRPr="00D27BE8">
        <w:rPr>
          <w:szCs w:val="22"/>
        </w:rPr>
        <w:t>] insofar as it reaffirms the Bureau’s use of a weighted averaging method to produce the rate floor</w:t>
      </w:r>
      <w:r w:rsidR="00F1636F" w:rsidRPr="00D27BE8">
        <w:rPr>
          <w:szCs w:val="22"/>
        </w:rPr>
        <w:t>.”</w:t>
      </w:r>
      <w:r w:rsidR="0095711C" w:rsidRPr="00D27BE8">
        <w:rPr>
          <w:rStyle w:val="FootnoteReference"/>
          <w:sz w:val="22"/>
          <w:szCs w:val="22"/>
        </w:rPr>
        <w:footnoteReference w:id="22"/>
      </w:r>
      <w:r w:rsidR="0095711C" w:rsidRPr="00D27BE8">
        <w:rPr>
          <w:szCs w:val="22"/>
        </w:rPr>
        <w:t xml:space="preserve">  </w:t>
      </w:r>
      <w:r w:rsidR="00D77FB7" w:rsidRPr="00D27BE8">
        <w:rPr>
          <w:szCs w:val="22"/>
        </w:rPr>
        <w:t>T</w:t>
      </w:r>
      <w:r w:rsidR="00C71D47" w:rsidRPr="00D27BE8">
        <w:rPr>
          <w:szCs w:val="22"/>
        </w:rPr>
        <w:t xml:space="preserve">his argument </w:t>
      </w:r>
      <w:r w:rsidR="00382D2A" w:rsidRPr="00D27BE8">
        <w:rPr>
          <w:szCs w:val="22"/>
        </w:rPr>
        <w:t>is unavailing.</w:t>
      </w:r>
      <w:r w:rsidR="00020FB0" w:rsidRPr="00D27BE8">
        <w:rPr>
          <w:szCs w:val="22"/>
        </w:rPr>
        <w:t xml:space="preserve">  </w:t>
      </w:r>
      <w:r w:rsidR="002E0293" w:rsidRPr="00D27BE8">
        <w:rPr>
          <w:szCs w:val="22"/>
        </w:rPr>
        <w:t>A petition under section 1.429 may only seek reconsideration of a “final action.”</w:t>
      </w:r>
      <w:r w:rsidR="002E0293" w:rsidRPr="00D27BE8">
        <w:rPr>
          <w:rStyle w:val="FootnoteReference"/>
          <w:sz w:val="22"/>
          <w:szCs w:val="22"/>
        </w:rPr>
        <w:footnoteReference w:id="23"/>
      </w:r>
      <w:r w:rsidR="002E0293" w:rsidRPr="00D27BE8">
        <w:rPr>
          <w:szCs w:val="22"/>
        </w:rPr>
        <w:t xml:space="preserve">  </w:t>
      </w:r>
      <w:r w:rsidR="00D77FB7" w:rsidRPr="00D27BE8">
        <w:rPr>
          <w:szCs w:val="22"/>
        </w:rPr>
        <w:t>A</w:t>
      </w:r>
      <w:r w:rsidR="00020FB0" w:rsidRPr="00D27BE8">
        <w:rPr>
          <w:szCs w:val="22"/>
        </w:rPr>
        <w:t xml:space="preserve"> reaffirmation</w:t>
      </w:r>
      <w:r w:rsidR="00740877">
        <w:rPr>
          <w:szCs w:val="22"/>
        </w:rPr>
        <w:t xml:space="preserve">, </w:t>
      </w:r>
      <w:r w:rsidR="00F8509D">
        <w:rPr>
          <w:szCs w:val="22"/>
        </w:rPr>
        <w:t>or restatement, of a previously adopted rule</w:t>
      </w:r>
      <w:r w:rsidR="00020FB0" w:rsidRPr="00D27BE8">
        <w:rPr>
          <w:szCs w:val="22"/>
        </w:rPr>
        <w:t xml:space="preserve"> does not constitute a “final action” from which reconsideration can be sought </w:t>
      </w:r>
      <w:r w:rsidR="005E0756">
        <w:rPr>
          <w:szCs w:val="22"/>
        </w:rPr>
        <w:t xml:space="preserve">and has no </w:t>
      </w:r>
      <w:r w:rsidR="00020FB0" w:rsidRPr="00D27BE8">
        <w:rPr>
          <w:szCs w:val="22"/>
        </w:rPr>
        <w:t>independent legal significance.  To decide otherwise would subject a rule to reconsideration any time the rule was mentioned</w:t>
      </w:r>
      <w:r w:rsidR="00741462">
        <w:rPr>
          <w:szCs w:val="22"/>
        </w:rPr>
        <w:t xml:space="preserve"> or described in a subsequent Commission order</w:t>
      </w:r>
      <w:r w:rsidR="00020FB0" w:rsidRPr="00D27BE8">
        <w:rPr>
          <w:szCs w:val="22"/>
        </w:rPr>
        <w:t xml:space="preserve">.  </w:t>
      </w:r>
    </w:p>
    <w:p w:rsidR="00F54BD5" w:rsidRPr="00D27BE8" w:rsidRDefault="00D77FB7" w:rsidP="003B0097">
      <w:pPr>
        <w:pStyle w:val="ParaNum"/>
        <w:tabs>
          <w:tab w:val="clear" w:pos="1080"/>
          <w:tab w:val="num" w:pos="1440"/>
        </w:tabs>
        <w:rPr>
          <w:szCs w:val="22"/>
        </w:rPr>
      </w:pPr>
      <w:r w:rsidRPr="00D27BE8">
        <w:rPr>
          <w:szCs w:val="22"/>
        </w:rPr>
        <w:t>T</w:t>
      </w:r>
      <w:r w:rsidR="00020FB0" w:rsidRPr="00D27BE8">
        <w:rPr>
          <w:szCs w:val="22"/>
        </w:rPr>
        <w:t xml:space="preserve">o the extent that the Joint Petition </w:t>
      </w:r>
      <w:r w:rsidR="00617924">
        <w:rPr>
          <w:szCs w:val="22"/>
        </w:rPr>
        <w:t>is</w:t>
      </w:r>
      <w:r w:rsidR="00020FB0" w:rsidRPr="00D27BE8">
        <w:rPr>
          <w:szCs w:val="22"/>
        </w:rPr>
        <w:t xml:space="preserve"> seeking reconsideration</w:t>
      </w:r>
      <w:r w:rsidR="002E0293" w:rsidRPr="00D27BE8">
        <w:rPr>
          <w:szCs w:val="22"/>
        </w:rPr>
        <w:t xml:space="preserve"> or review</w:t>
      </w:r>
      <w:r w:rsidR="00020FB0" w:rsidRPr="00D27BE8">
        <w:rPr>
          <w:szCs w:val="22"/>
        </w:rPr>
        <w:t xml:space="preserve"> of the Bureau’s calculation of the weighted average, it still fails.  </w:t>
      </w:r>
      <w:r w:rsidRPr="00D27BE8">
        <w:rPr>
          <w:szCs w:val="22"/>
        </w:rPr>
        <w:t xml:space="preserve">The </w:t>
      </w:r>
      <w:r w:rsidR="00020FB0" w:rsidRPr="00D27BE8">
        <w:rPr>
          <w:szCs w:val="22"/>
        </w:rPr>
        <w:t>B</w:t>
      </w:r>
      <w:r w:rsidR="00C71D47" w:rsidRPr="00D27BE8">
        <w:rPr>
          <w:szCs w:val="22"/>
        </w:rPr>
        <w:t xml:space="preserve">ureau did not </w:t>
      </w:r>
      <w:r w:rsidR="00617924">
        <w:rPr>
          <w:szCs w:val="22"/>
        </w:rPr>
        <w:t>adopt</w:t>
      </w:r>
      <w:r w:rsidR="00C71D47" w:rsidRPr="00D27BE8">
        <w:rPr>
          <w:szCs w:val="22"/>
        </w:rPr>
        <w:t xml:space="preserve"> use </w:t>
      </w:r>
      <w:r w:rsidR="00617924">
        <w:rPr>
          <w:szCs w:val="22"/>
        </w:rPr>
        <w:t>of the</w:t>
      </w:r>
      <w:r w:rsidR="00617924" w:rsidRPr="00D27BE8">
        <w:rPr>
          <w:szCs w:val="22"/>
        </w:rPr>
        <w:t xml:space="preserve"> </w:t>
      </w:r>
      <w:r w:rsidR="00C71D47" w:rsidRPr="00D27BE8">
        <w:rPr>
          <w:szCs w:val="22"/>
        </w:rPr>
        <w:t xml:space="preserve">average </w:t>
      </w:r>
      <w:r w:rsidR="00617924">
        <w:rPr>
          <w:szCs w:val="22"/>
        </w:rPr>
        <w:t>urban rate for</w:t>
      </w:r>
      <w:r w:rsidR="00C71D47" w:rsidRPr="00D27BE8">
        <w:rPr>
          <w:szCs w:val="22"/>
        </w:rPr>
        <w:t xml:space="preserve"> the rate</w:t>
      </w:r>
      <w:r w:rsidR="0020436C" w:rsidRPr="00D27BE8">
        <w:rPr>
          <w:szCs w:val="22"/>
        </w:rPr>
        <w:t xml:space="preserve"> floor; that decision was made </w:t>
      </w:r>
      <w:r w:rsidR="00C71D47" w:rsidRPr="00D27BE8">
        <w:rPr>
          <w:szCs w:val="22"/>
        </w:rPr>
        <w:t>by the Commission.</w:t>
      </w:r>
      <w:r w:rsidR="00617924">
        <w:rPr>
          <w:rStyle w:val="FootnoteReference"/>
          <w:szCs w:val="22"/>
        </w:rPr>
        <w:footnoteReference w:id="24"/>
      </w:r>
      <w:r w:rsidR="00C71D47" w:rsidRPr="00D27BE8">
        <w:rPr>
          <w:szCs w:val="22"/>
        </w:rPr>
        <w:t xml:space="preserve">  As </w:t>
      </w:r>
      <w:r w:rsidR="00617924">
        <w:rPr>
          <w:szCs w:val="22"/>
        </w:rPr>
        <w:t>the Commission has</w:t>
      </w:r>
      <w:r w:rsidR="00C71D47" w:rsidRPr="00D27BE8">
        <w:rPr>
          <w:szCs w:val="22"/>
        </w:rPr>
        <w:t xml:space="preserve"> previously stated, the Bureau’s implementation of Commission decisions does not reopen those earlier Commission decisions.</w:t>
      </w:r>
      <w:r w:rsidR="00020FB0" w:rsidRPr="00D27BE8">
        <w:rPr>
          <w:rStyle w:val="FootnoteReference"/>
          <w:sz w:val="22"/>
          <w:szCs w:val="22"/>
        </w:rPr>
        <w:footnoteReference w:id="25"/>
      </w:r>
      <w:r w:rsidR="00020FB0" w:rsidRPr="00D27BE8">
        <w:rPr>
          <w:szCs w:val="22"/>
        </w:rPr>
        <w:t xml:space="preserve">  Even if the Bureau </w:t>
      </w:r>
      <w:r w:rsidR="002E0293" w:rsidRPr="00D27BE8">
        <w:rPr>
          <w:szCs w:val="22"/>
        </w:rPr>
        <w:t>had made</w:t>
      </w:r>
      <w:r w:rsidR="00020FB0" w:rsidRPr="00D27BE8">
        <w:rPr>
          <w:szCs w:val="22"/>
        </w:rPr>
        <w:t xml:space="preserve"> such a decision on delegated authority, the deadline to seek reconsideration of that decision passed on May 19, 2014.</w:t>
      </w:r>
      <w:r w:rsidR="00C71D47" w:rsidRPr="00D27BE8">
        <w:rPr>
          <w:szCs w:val="22"/>
        </w:rPr>
        <w:t xml:space="preserve">  </w:t>
      </w:r>
    </w:p>
    <w:p w:rsidR="00423E04" w:rsidRPr="00D27BE8" w:rsidRDefault="00423E04" w:rsidP="003B0097">
      <w:pPr>
        <w:pStyle w:val="ParaNum"/>
        <w:tabs>
          <w:tab w:val="clear" w:pos="1080"/>
          <w:tab w:val="num" w:pos="1440"/>
        </w:tabs>
        <w:rPr>
          <w:szCs w:val="22"/>
        </w:rPr>
      </w:pPr>
      <w:r w:rsidRPr="00D27BE8">
        <w:rPr>
          <w:szCs w:val="22"/>
        </w:rPr>
        <w:t xml:space="preserve">For the foregoing reasons, we conclude that the Joint Petition is an untimely petition for reconsideration of the </w:t>
      </w:r>
      <w:r w:rsidRPr="00D27BE8">
        <w:rPr>
          <w:i/>
          <w:szCs w:val="22"/>
        </w:rPr>
        <w:t>USF/ICC Transformation Order</w:t>
      </w:r>
      <w:r w:rsidR="005E0756">
        <w:rPr>
          <w:i/>
          <w:szCs w:val="22"/>
        </w:rPr>
        <w:t xml:space="preserve"> </w:t>
      </w:r>
      <w:r w:rsidR="005E0756" w:rsidRPr="0025256E">
        <w:rPr>
          <w:szCs w:val="22"/>
        </w:rPr>
        <w:t>and is dismissed</w:t>
      </w:r>
      <w:r w:rsidRPr="00D27BE8">
        <w:rPr>
          <w:szCs w:val="22"/>
        </w:rPr>
        <w:t xml:space="preserve">.  </w:t>
      </w:r>
    </w:p>
    <w:p w:rsidR="000276C3" w:rsidRPr="00D27BE8" w:rsidRDefault="000276C3" w:rsidP="000276C3">
      <w:pPr>
        <w:pStyle w:val="Heading2"/>
        <w:rPr>
          <w:szCs w:val="22"/>
        </w:rPr>
      </w:pPr>
      <w:r w:rsidRPr="00D27BE8">
        <w:rPr>
          <w:szCs w:val="22"/>
        </w:rPr>
        <w:t>USTelecom Petition</w:t>
      </w:r>
    </w:p>
    <w:p w:rsidR="000276C3" w:rsidRPr="00D27BE8" w:rsidRDefault="00AC13DD" w:rsidP="003B0097">
      <w:pPr>
        <w:pStyle w:val="ParaNum"/>
        <w:tabs>
          <w:tab w:val="clear" w:pos="1080"/>
          <w:tab w:val="num" w:pos="1440"/>
        </w:tabs>
        <w:rPr>
          <w:szCs w:val="22"/>
        </w:rPr>
      </w:pPr>
      <w:r w:rsidRPr="00D27BE8">
        <w:rPr>
          <w:szCs w:val="22"/>
        </w:rPr>
        <w:t>USTelecom</w:t>
      </w:r>
      <w:r w:rsidR="00930E94">
        <w:rPr>
          <w:szCs w:val="22"/>
        </w:rPr>
        <w:t xml:space="preserve">’s request that the </w:t>
      </w:r>
      <w:r w:rsidR="00AE5DEC">
        <w:rPr>
          <w:szCs w:val="22"/>
        </w:rPr>
        <w:t>Commission refrain from conducting its annual Urban Rate Survey until the phase-in of support reductions</w:t>
      </w:r>
      <w:r w:rsidR="00071645">
        <w:rPr>
          <w:szCs w:val="22"/>
        </w:rPr>
        <w:t xml:space="preserve"> </w:t>
      </w:r>
      <w:r w:rsidR="00AE5DEC">
        <w:rPr>
          <w:szCs w:val="22"/>
        </w:rPr>
        <w:t>is complete</w:t>
      </w:r>
      <w:r w:rsidRPr="00D27BE8">
        <w:rPr>
          <w:szCs w:val="22"/>
        </w:rPr>
        <w:t xml:space="preserve"> constitute</w:t>
      </w:r>
      <w:r w:rsidR="008147CF" w:rsidRPr="00D27BE8">
        <w:rPr>
          <w:szCs w:val="22"/>
        </w:rPr>
        <w:t>s an</w:t>
      </w:r>
      <w:r w:rsidRPr="00D27BE8">
        <w:rPr>
          <w:szCs w:val="22"/>
        </w:rPr>
        <w:t xml:space="preserve"> untimely reques</w:t>
      </w:r>
      <w:r w:rsidR="008147CF" w:rsidRPr="00D27BE8">
        <w:rPr>
          <w:szCs w:val="22"/>
        </w:rPr>
        <w:t>t</w:t>
      </w:r>
      <w:r w:rsidR="00A774E8" w:rsidRPr="00D27BE8">
        <w:rPr>
          <w:szCs w:val="22"/>
        </w:rPr>
        <w:t xml:space="preserve"> for reconsideration of the </w:t>
      </w:r>
      <w:r w:rsidR="00A774E8" w:rsidRPr="00D27BE8">
        <w:rPr>
          <w:i/>
          <w:szCs w:val="22"/>
        </w:rPr>
        <w:t>USF/ICC Transformation Order</w:t>
      </w:r>
      <w:r w:rsidRPr="00D27BE8">
        <w:rPr>
          <w:szCs w:val="22"/>
        </w:rPr>
        <w:t>.</w:t>
      </w:r>
      <w:r w:rsidR="00741462" w:rsidRPr="00741462">
        <w:rPr>
          <w:rStyle w:val="FootnoteReference"/>
          <w:sz w:val="22"/>
          <w:szCs w:val="22"/>
        </w:rPr>
        <w:t xml:space="preserve"> </w:t>
      </w:r>
      <w:r w:rsidR="00741462" w:rsidRPr="00D27BE8">
        <w:rPr>
          <w:rStyle w:val="FootnoteReference"/>
          <w:sz w:val="22"/>
          <w:szCs w:val="22"/>
        </w:rPr>
        <w:footnoteReference w:id="26"/>
      </w:r>
      <w:r w:rsidR="00741462">
        <w:rPr>
          <w:szCs w:val="22"/>
        </w:rPr>
        <w:t xml:space="preserve"> </w:t>
      </w:r>
      <w:r w:rsidR="00CE3ED4" w:rsidRPr="00D27BE8">
        <w:rPr>
          <w:szCs w:val="22"/>
        </w:rPr>
        <w:t xml:space="preserve"> </w:t>
      </w:r>
      <w:r w:rsidR="00762F12" w:rsidRPr="00D27BE8">
        <w:rPr>
          <w:szCs w:val="22"/>
        </w:rPr>
        <w:t xml:space="preserve">To support its argument, </w:t>
      </w:r>
      <w:r w:rsidR="004D4440" w:rsidRPr="00D27BE8">
        <w:rPr>
          <w:szCs w:val="22"/>
        </w:rPr>
        <w:t xml:space="preserve">USTelecom points to the Commission’s directive to the Bureau in the </w:t>
      </w:r>
      <w:r w:rsidR="004D4440" w:rsidRPr="00D27BE8">
        <w:rPr>
          <w:i/>
          <w:szCs w:val="22"/>
        </w:rPr>
        <w:t>April 2014 Connect America Order/FNPRM</w:t>
      </w:r>
      <w:r w:rsidR="004D4440" w:rsidRPr="00D27BE8">
        <w:rPr>
          <w:szCs w:val="22"/>
        </w:rPr>
        <w:t xml:space="preserve"> to conduct the Urban Rate Survey </w:t>
      </w:r>
      <w:r w:rsidR="00C82CF8" w:rsidRPr="00D27BE8">
        <w:rPr>
          <w:szCs w:val="22"/>
        </w:rPr>
        <w:t>by a specified time</w:t>
      </w:r>
      <w:r w:rsidR="004D4440" w:rsidRPr="00D27BE8">
        <w:rPr>
          <w:szCs w:val="22"/>
        </w:rPr>
        <w:t xml:space="preserve"> each year</w:t>
      </w:r>
      <w:r w:rsidR="00183B92" w:rsidRPr="00D27BE8">
        <w:rPr>
          <w:szCs w:val="22"/>
        </w:rPr>
        <w:t xml:space="preserve"> for the next several years</w:t>
      </w:r>
      <w:r w:rsidR="00C82CF8" w:rsidRPr="00D27BE8">
        <w:rPr>
          <w:szCs w:val="22"/>
        </w:rPr>
        <w:t xml:space="preserve"> so as to announce the rate </w:t>
      </w:r>
      <w:r w:rsidR="00C82CF8" w:rsidRPr="00D27BE8">
        <w:rPr>
          <w:szCs w:val="22"/>
        </w:rPr>
        <w:lastRenderedPageBreak/>
        <w:t>floor in a timely fashion</w:t>
      </w:r>
      <w:r w:rsidR="00183B92" w:rsidRPr="00D27BE8">
        <w:rPr>
          <w:szCs w:val="22"/>
        </w:rPr>
        <w:t>.</w:t>
      </w:r>
      <w:r w:rsidR="00183B92" w:rsidRPr="00D27BE8">
        <w:rPr>
          <w:rStyle w:val="FootnoteReference"/>
          <w:sz w:val="22"/>
          <w:szCs w:val="22"/>
        </w:rPr>
        <w:footnoteReference w:id="27"/>
      </w:r>
      <w:r w:rsidR="009A5D37" w:rsidRPr="00D27BE8">
        <w:rPr>
          <w:szCs w:val="22"/>
        </w:rPr>
        <w:t xml:space="preserve">  However, the Commission merely </w:t>
      </w:r>
      <w:r w:rsidR="00741462">
        <w:rPr>
          <w:szCs w:val="22"/>
        </w:rPr>
        <w:t xml:space="preserve">was specifying when in the calendar year </w:t>
      </w:r>
      <w:r w:rsidR="009A5D37" w:rsidRPr="00D27BE8">
        <w:rPr>
          <w:szCs w:val="22"/>
        </w:rPr>
        <w:t xml:space="preserve">the Urban Rate Survey </w:t>
      </w:r>
      <w:r w:rsidR="00741462">
        <w:rPr>
          <w:szCs w:val="22"/>
        </w:rPr>
        <w:t xml:space="preserve">should occur, rather than </w:t>
      </w:r>
      <w:r w:rsidR="009A5D37" w:rsidRPr="00D27BE8">
        <w:rPr>
          <w:szCs w:val="22"/>
        </w:rPr>
        <w:t>whether the Survey should occur on an annual basis.</w:t>
      </w:r>
      <w:r w:rsidR="009A5D37" w:rsidRPr="00D27BE8">
        <w:rPr>
          <w:rStyle w:val="FootnoteReference"/>
          <w:sz w:val="22"/>
          <w:szCs w:val="22"/>
        </w:rPr>
        <w:footnoteReference w:id="28"/>
      </w:r>
      <w:r w:rsidR="008976C3" w:rsidRPr="00D27BE8">
        <w:rPr>
          <w:szCs w:val="22"/>
        </w:rPr>
        <w:t xml:space="preserve">  </w:t>
      </w:r>
      <w:r w:rsidR="00AB699F">
        <w:rPr>
          <w:szCs w:val="22"/>
        </w:rPr>
        <w:t>T</w:t>
      </w:r>
      <w:r w:rsidR="00CF39CF" w:rsidRPr="00D27BE8">
        <w:rPr>
          <w:szCs w:val="22"/>
        </w:rPr>
        <w:t xml:space="preserve">he 2011 </w:t>
      </w:r>
      <w:r w:rsidR="00CF39CF" w:rsidRPr="00D27BE8">
        <w:rPr>
          <w:i/>
          <w:szCs w:val="22"/>
        </w:rPr>
        <w:t>USF/ICC Transformation Order</w:t>
      </w:r>
      <w:r w:rsidR="008976C3" w:rsidRPr="00D27BE8">
        <w:rPr>
          <w:szCs w:val="22"/>
        </w:rPr>
        <w:t xml:space="preserve"> directed the Bureau and the Wire</w:t>
      </w:r>
      <w:r w:rsidR="00CF39CF">
        <w:rPr>
          <w:szCs w:val="22"/>
        </w:rPr>
        <w:t>less Telecommunications Bureau</w:t>
      </w:r>
      <w:r w:rsidR="008976C3" w:rsidRPr="00D27BE8">
        <w:rPr>
          <w:i/>
          <w:szCs w:val="22"/>
        </w:rPr>
        <w:t xml:space="preserve"> </w:t>
      </w:r>
      <w:r w:rsidR="008976C3" w:rsidRPr="00D27BE8">
        <w:rPr>
          <w:szCs w:val="22"/>
        </w:rPr>
        <w:t>to conduct the Urban Rate Survey on an annual basis.</w:t>
      </w:r>
      <w:r w:rsidR="008976C3" w:rsidRPr="00D27BE8">
        <w:rPr>
          <w:rStyle w:val="FootnoteReference"/>
          <w:sz w:val="22"/>
          <w:szCs w:val="22"/>
        </w:rPr>
        <w:footnoteReference w:id="29"/>
      </w:r>
      <w:r w:rsidR="00C82CF8" w:rsidRPr="00D27BE8">
        <w:rPr>
          <w:szCs w:val="22"/>
        </w:rPr>
        <w:t xml:space="preserve">  </w:t>
      </w:r>
      <w:r w:rsidR="00AB699F">
        <w:rPr>
          <w:szCs w:val="22"/>
        </w:rPr>
        <w:t>Therefore</w:t>
      </w:r>
      <w:r w:rsidR="00C82CF8" w:rsidRPr="00D27BE8">
        <w:rPr>
          <w:szCs w:val="22"/>
        </w:rPr>
        <w:t xml:space="preserve">, the window for requesting reconsideration of the Commission’s decision to conduct the Urban Rate Survey on an annual basis closed over two years ago, </w:t>
      </w:r>
      <w:r w:rsidR="00AB699F">
        <w:rPr>
          <w:szCs w:val="22"/>
        </w:rPr>
        <w:t>and</w:t>
      </w:r>
      <w:r w:rsidR="00AB699F" w:rsidRPr="00D27BE8">
        <w:rPr>
          <w:szCs w:val="22"/>
        </w:rPr>
        <w:t xml:space="preserve"> </w:t>
      </w:r>
      <w:r w:rsidR="00C82CF8" w:rsidRPr="00D27BE8">
        <w:rPr>
          <w:szCs w:val="22"/>
        </w:rPr>
        <w:t>USTelecom’s request for reconsideration of the issue is untimely.</w:t>
      </w:r>
      <w:r w:rsidR="00C82CF8" w:rsidRPr="00D27BE8">
        <w:rPr>
          <w:rStyle w:val="FootnoteReference"/>
          <w:sz w:val="22"/>
          <w:szCs w:val="22"/>
        </w:rPr>
        <w:footnoteReference w:id="30"/>
      </w:r>
    </w:p>
    <w:p w:rsidR="00DB7B67" w:rsidRPr="00D27BE8" w:rsidRDefault="00AB699F" w:rsidP="00DB7B67">
      <w:pPr>
        <w:pStyle w:val="ParaNum"/>
        <w:tabs>
          <w:tab w:val="clear" w:pos="1080"/>
          <w:tab w:val="num" w:pos="1440"/>
        </w:tabs>
        <w:rPr>
          <w:szCs w:val="22"/>
        </w:rPr>
      </w:pPr>
      <w:r>
        <w:rPr>
          <w:szCs w:val="22"/>
        </w:rPr>
        <w:t>Finally</w:t>
      </w:r>
      <w:r w:rsidR="008147CF" w:rsidRPr="00D27BE8">
        <w:rPr>
          <w:szCs w:val="22"/>
        </w:rPr>
        <w:t xml:space="preserve">, </w:t>
      </w:r>
      <w:r w:rsidR="00D43144" w:rsidRPr="00D27BE8">
        <w:rPr>
          <w:szCs w:val="22"/>
        </w:rPr>
        <w:t xml:space="preserve">USTelecom </w:t>
      </w:r>
      <w:r>
        <w:rPr>
          <w:szCs w:val="22"/>
        </w:rPr>
        <w:t>assert</w:t>
      </w:r>
      <w:r w:rsidR="00B84B01">
        <w:rPr>
          <w:szCs w:val="22"/>
        </w:rPr>
        <w:t>s</w:t>
      </w:r>
      <w:r>
        <w:rPr>
          <w:szCs w:val="22"/>
        </w:rPr>
        <w:t xml:space="preserve"> that</w:t>
      </w:r>
      <w:r w:rsidR="00D43144" w:rsidRPr="00D27BE8">
        <w:rPr>
          <w:szCs w:val="22"/>
        </w:rPr>
        <w:t xml:space="preserve"> the Commission </w:t>
      </w:r>
      <w:r>
        <w:rPr>
          <w:szCs w:val="22"/>
        </w:rPr>
        <w:t>should</w:t>
      </w:r>
      <w:r w:rsidRPr="00D27BE8">
        <w:rPr>
          <w:szCs w:val="22"/>
        </w:rPr>
        <w:t xml:space="preserve"> </w:t>
      </w:r>
      <w:r w:rsidR="00D43144" w:rsidRPr="00D27BE8">
        <w:rPr>
          <w:szCs w:val="22"/>
        </w:rPr>
        <w:t xml:space="preserve">include both “vacation lines” and “warm lines” </w:t>
      </w:r>
      <w:r w:rsidR="00DB7B67" w:rsidRPr="00D27BE8">
        <w:rPr>
          <w:szCs w:val="22"/>
        </w:rPr>
        <w:t>within its waiver of s</w:t>
      </w:r>
      <w:r w:rsidR="00D43144" w:rsidRPr="00D27BE8">
        <w:rPr>
          <w:szCs w:val="22"/>
        </w:rPr>
        <w:t>ection 54.318(i)</w:t>
      </w:r>
      <w:r>
        <w:rPr>
          <w:szCs w:val="22"/>
        </w:rPr>
        <w:t xml:space="preserve"> support reductions</w:t>
      </w:r>
      <w:r w:rsidR="00D43144" w:rsidRPr="00D27BE8">
        <w:rPr>
          <w:szCs w:val="22"/>
        </w:rPr>
        <w:t>.</w:t>
      </w:r>
      <w:r w:rsidR="00D43144" w:rsidRPr="00D27BE8">
        <w:rPr>
          <w:rStyle w:val="FootnoteReference"/>
          <w:sz w:val="22"/>
          <w:szCs w:val="22"/>
        </w:rPr>
        <w:footnoteReference w:id="31"/>
      </w:r>
      <w:r w:rsidR="00DB7B67" w:rsidRPr="00D27BE8">
        <w:rPr>
          <w:szCs w:val="22"/>
        </w:rPr>
        <w:t xml:space="preserve">  </w:t>
      </w:r>
      <w:r>
        <w:rPr>
          <w:szCs w:val="22"/>
        </w:rPr>
        <w:t>T</w:t>
      </w:r>
      <w:r w:rsidR="00DB7B67" w:rsidRPr="00D27BE8">
        <w:rPr>
          <w:szCs w:val="22"/>
        </w:rPr>
        <w:t xml:space="preserve">o ensure that </w:t>
      </w:r>
      <w:r>
        <w:rPr>
          <w:szCs w:val="22"/>
        </w:rPr>
        <w:t>support reductions for rates below the rate floor do</w:t>
      </w:r>
      <w:r w:rsidRPr="00D27BE8">
        <w:rPr>
          <w:szCs w:val="22"/>
        </w:rPr>
        <w:t xml:space="preserve"> </w:t>
      </w:r>
      <w:r w:rsidR="00DB7B67" w:rsidRPr="00D27BE8">
        <w:rPr>
          <w:szCs w:val="22"/>
        </w:rPr>
        <w:t xml:space="preserve">not negatively </w:t>
      </w:r>
      <w:r w:rsidR="002D5497">
        <w:rPr>
          <w:szCs w:val="22"/>
        </w:rPr>
        <w:t>affect</w:t>
      </w:r>
      <w:r w:rsidR="002D5497" w:rsidRPr="00D27BE8">
        <w:rPr>
          <w:szCs w:val="22"/>
        </w:rPr>
        <w:t xml:space="preserve"> </w:t>
      </w:r>
      <w:r w:rsidR="00DB7B67" w:rsidRPr="00D27BE8">
        <w:rPr>
          <w:szCs w:val="22"/>
        </w:rPr>
        <w:t xml:space="preserve">Lifeline customers, the Commission </w:t>
      </w:r>
      <w:r w:rsidR="002D5497">
        <w:rPr>
          <w:szCs w:val="22"/>
        </w:rPr>
        <w:t>waived</w:t>
      </w:r>
      <w:r w:rsidR="00DB7B67" w:rsidRPr="00D27BE8">
        <w:rPr>
          <w:szCs w:val="22"/>
        </w:rPr>
        <w:t xml:space="preserve"> application of section 54.318(i) for lines provided to customers enrolled in the Lifeline program.</w:t>
      </w:r>
      <w:r w:rsidR="00DB7B67" w:rsidRPr="00D27BE8">
        <w:rPr>
          <w:rStyle w:val="FootnoteReference"/>
          <w:sz w:val="22"/>
          <w:szCs w:val="22"/>
        </w:rPr>
        <w:footnoteReference w:id="32"/>
      </w:r>
      <w:r w:rsidR="00DF304D" w:rsidRPr="00D27BE8">
        <w:rPr>
          <w:szCs w:val="22"/>
        </w:rPr>
        <w:t xml:space="preserve">  However, </w:t>
      </w:r>
      <w:r w:rsidR="009548A0" w:rsidRPr="00D27BE8">
        <w:rPr>
          <w:szCs w:val="22"/>
        </w:rPr>
        <w:t xml:space="preserve">the Commission </w:t>
      </w:r>
      <w:r w:rsidR="00741462">
        <w:rPr>
          <w:szCs w:val="22"/>
        </w:rPr>
        <w:t xml:space="preserve">has never considered whether </w:t>
      </w:r>
      <w:r w:rsidR="008147CF" w:rsidRPr="00D27BE8">
        <w:rPr>
          <w:szCs w:val="22"/>
        </w:rPr>
        <w:t xml:space="preserve">the </w:t>
      </w:r>
      <w:r w:rsidR="00F200CA" w:rsidRPr="00D27BE8">
        <w:rPr>
          <w:szCs w:val="22"/>
        </w:rPr>
        <w:t xml:space="preserve">waiver of the </w:t>
      </w:r>
      <w:r w:rsidR="008147CF" w:rsidRPr="00D27BE8">
        <w:rPr>
          <w:szCs w:val="22"/>
        </w:rPr>
        <w:t xml:space="preserve">application of section 54.318(i) </w:t>
      </w:r>
      <w:r w:rsidR="002B2D8D">
        <w:rPr>
          <w:szCs w:val="22"/>
        </w:rPr>
        <w:t xml:space="preserve">should </w:t>
      </w:r>
      <w:r w:rsidR="00CF39CF">
        <w:rPr>
          <w:szCs w:val="22"/>
        </w:rPr>
        <w:t xml:space="preserve">include </w:t>
      </w:r>
      <w:r w:rsidR="009548A0" w:rsidRPr="00D27BE8">
        <w:rPr>
          <w:szCs w:val="22"/>
        </w:rPr>
        <w:t>either</w:t>
      </w:r>
      <w:r w:rsidR="00DF304D" w:rsidRPr="00D27BE8">
        <w:rPr>
          <w:szCs w:val="22"/>
        </w:rPr>
        <w:t xml:space="preserve"> “vacation lines” or “warm lines”</w:t>
      </w:r>
      <w:r w:rsidR="009548A0" w:rsidRPr="00D27BE8">
        <w:rPr>
          <w:rStyle w:val="FootnoteReference"/>
          <w:sz w:val="22"/>
          <w:szCs w:val="22"/>
        </w:rPr>
        <w:footnoteReference w:id="33"/>
      </w:r>
      <w:r w:rsidR="002D5497">
        <w:rPr>
          <w:szCs w:val="22"/>
        </w:rPr>
        <w:t xml:space="preserve"> nor can we find any reference to “vacation lines” or “warm lines” in the record of this proceeding. </w:t>
      </w:r>
      <w:r w:rsidR="009548A0" w:rsidRPr="00D27BE8">
        <w:rPr>
          <w:szCs w:val="22"/>
        </w:rPr>
        <w:t xml:space="preserve"> </w:t>
      </w:r>
      <w:r w:rsidR="008147CF" w:rsidRPr="00D27BE8">
        <w:rPr>
          <w:szCs w:val="22"/>
        </w:rPr>
        <w:t xml:space="preserve">Because </w:t>
      </w:r>
      <w:r w:rsidR="002D5497">
        <w:rPr>
          <w:szCs w:val="22"/>
        </w:rPr>
        <w:t xml:space="preserve">these issues have not been raised in the record and the Commission has had no opportunity to address these arguments, the petition for reconsideration of this issue </w:t>
      </w:r>
      <w:r w:rsidR="002B2D8D">
        <w:rPr>
          <w:szCs w:val="22"/>
        </w:rPr>
        <w:t xml:space="preserve">is </w:t>
      </w:r>
      <w:r w:rsidR="00307B58">
        <w:rPr>
          <w:szCs w:val="22"/>
        </w:rPr>
        <w:t>dismissed pursuant</w:t>
      </w:r>
      <w:r w:rsidR="008147CF" w:rsidRPr="00D27BE8">
        <w:rPr>
          <w:szCs w:val="22"/>
        </w:rPr>
        <w:t xml:space="preserve"> section 1.429(l)(2) of the </w:t>
      </w:r>
      <w:r w:rsidR="00F200CA" w:rsidRPr="00D27BE8">
        <w:rPr>
          <w:szCs w:val="22"/>
        </w:rPr>
        <w:t>Commission’s rules.</w:t>
      </w:r>
      <w:r w:rsidR="00F200CA" w:rsidRPr="00D27BE8">
        <w:rPr>
          <w:rStyle w:val="FootnoteReference"/>
          <w:sz w:val="22"/>
          <w:szCs w:val="22"/>
        </w:rPr>
        <w:footnoteReference w:id="34"/>
      </w:r>
      <w:r w:rsidR="00F200CA" w:rsidRPr="00D27BE8">
        <w:rPr>
          <w:szCs w:val="22"/>
        </w:rPr>
        <w:t xml:space="preserve">  </w:t>
      </w:r>
    </w:p>
    <w:p w:rsidR="00394C12" w:rsidRPr="00E40A48" w:rsidRDefault="00394C12" w:rsidP="00DB7B67">
      <w:pPr>
        <w:pStyle w:val="ParaNum"/>
        <w:tabs>
          <w:tab w:val="clear" w:pos="1080"/>
          <w:tab w:val="num" w:pos="1440"/>
        </w:tabs>
        <w:rPr>
          <w:szCs w:val="22"/>
        </w:rPr>
      </w:pPr>
      <w:r w:rsidRPr="002D5497">
        <w:rPr>
          <w:szCs w:val="22"/>
        </w:rPr>
        <w:t>Accordingly, IT IS ORDERED, pursuant to the authority in sections 0.91 and 1.429 of the Commission’s rules, 4</w:t>
      </w:r>
      <w:r w:rsidRPr="00E40A48">
        <w:rPr>
          <w:szCs w:val="22"/>
        </w:rPr>
        <w:t xml:space="preserve">7 C.F.R. §§ 0.91, 1.429, </w:t>
      </w:r>
      <w:r w:rsidR="00BC2B63" w:rsidRPr="00E40A48">
        <w:rPr>
          <w:szCs w:val="22"/>
        </w:rPr>
        <w:t xml:space="preserve">that </w:t>
      </w:r>
      <w:r w:rsidRPr="00E40A48">
        <w:rPr>
          <w:szCs w:val="22"/>
        </w:rPr>
        <w:t xml:space="preserve">the </w:t>
      </w:r>
      <w:r w:rsidR="00E40A48">
        <w:rPr>
          <w:szCs w:val="22"/>
        </w:rPr>
        <w:t xml:space="preserve">Rural </w:t>
      </w:r>
      <w:r w:rsidR="00653FA4">
        <w:rPr>
          <w:szCs w:val="22"/>
        </w:rPr>
        <w:t xml:space="preserve">Associations’ </w:t>
      </w:r>
      <w:r w:rsidRPr="00E40A48">
        <w:rPr>
          <w:szCs w:val="22"/>
        </w:rPr>
        <w:t>Petition for Reconsideration filed by the National Exchange Carrier Association et al. is DISMISSED as untimely.</w:t>
      </w:r>
    </w:p>
    <w:p w:rsidR="00F200CA" w:rsidRPr="00D27BE8" w:rsidRDefault="00F200CA" w:rsidP="00AA1CA7">
      <w:pPr>
        <w:pStyle w:val="ParaNum"/>
        <w:tabs>
          <w:tab w:val="clear" w:pos="1080"/>
          <w:tab w:val="num" w:pos="1440"/>
        </w:tabs>
        <w:spacing w:after="0"/>
        <w:rPr>
          <w:szCs w:val="22"/>
        </w:rPr>
      </w:pPr>
      <w:r w:rsidRPr="00D27BE8">
        <w:rPr>
          <w:szCs w:val="22"/>
        </w:rPr>
        <w:t xml:space="preserve">IT IS FURTHER ORDERED pursuant to the authority in sections 0.91 and 1.429 of the Commission’s rules, 47 C.F.R. §§ 0.91, 1.429, that the Petition for Reconsideration filed by </w:t>
      </w:r>
      <w:r w:rsidR="00E02EF0" w:rsidRPr="00D27BE8">
        <w:rPr>
          <w:szCs w:val="22"/>
        </w:rPr>
        <w:t xml:space="preserve">the United States Telecom Association </w:t>
      </w:r>
      <w:r w:rsidRPr="00D27BE8">
        <w:rPr>
          <w:szCs w:val="22"/>
        </w:rPr>
        <w:t>is DISMISSED as described herein.</w:t>
      </w:r>
    </w:p>
    <w:p w:rsidR="00E02EF0" w:rsidRPr="00D27BE8" w:rsidRDefault="00E02EF0" w:rsidP="00AA1CA7">
      <w:pPr>
        <w:pStyle w:val="ParaNum"/>
        <w:numPr>
          <w:ilvl w:val="0"/>
          <w:numId w:val="0"/>
        </w:numPr>
        <w:spacing w:after="0"/>
        <w:ind w:left="720"/>
        <w:rPr>
          <w:szCs w:val="22"/>
        </w:rPr>
      </w:pPr>
    </w:p>
    <w:p w:rsidR="00394C12" w:rsidRPr="00D27BE8" w:rsidRDefault="00394C12" w:rsidP="00394C12">
      <w:pPr>
        <w:widowControl/>
        <w:rPr>
          <w:snapToGrid/>
          <w:szCs w:val="22"/>
          <w:lang w:eastAsia="ja-JP"/>
        </w:rPr>
      </w:pP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t>FEDERAL COMMUNICATIONS COMMISSION</w:t>
      </w:r>
    </w:p>
    <w:p w:rsidR="00394C12" w:rsidRPr="00D27BE8" w:rsidRDefault="00394C12" w:rsidP="00394C12">
      <w:pPr>
        <w:widowControl/>
        <w:rPr>
          <w:snapToGrid/>
          <w:szCs w:val="22"/>
          <w:lang w:eastAsia="ja-JP"/>
        </w:rPr>
      </w:pPr>
    </w:p>
    <w:p w:rsidR="00394C12" w:rsidRDefault="00394C12" w:rsidP="00394C12">
      <w:pPr>
        <w:widowControl/>
        <w:rPr>
          <w:snapToGrid/>
          <w:szCs w:val="22"/>
          <w:lang w:eastAsia="ja-JP"/>
        </w:rPr>
      </w:pPr>
    </w:p>
    <w:p w:rsidR="00933C6C" w:rsidRPr="00D27BE8" w:rsidRDefault="00933C6C" w:rsidP="00394C12">
      <w:pPr>
        <w:widowControl/>
        <w:rPr>
          <w:snapToGrid/>
          <w:szCs w:val="22"/>
          <w:lang w:eastAsia="ja-JP"/>
        </w:rPr>
      </w:pPr>
    </w:p>
    <w:p w:rsidR="00394C12" w:rsidRPr="00D27BE8" w:rsidRDefault="00394C12" w:rsidP="00394C12">
      <w:pPr>
        <w:widowControl/>
        <w:rPr>
          <w:snapToGrid/>
          <w:szCs w:val="22"/>
          <w:lang w:eastAsia="ja-JP"/>
        </w:rPr>
      </w:pPr>
    </w:p>
    <w:p w:rsidR="00E02EF0" w:rsidRPr="00D27BE8" w:rsidRDefault="00394C12" w:rsidP="00E02EF0">
      <w:pPr>
        <w:widowControl/>
        <w:rPr>
          <w:snapToGrid/>
          <w:szCs w:val="22"/>
          <w:lang w:eastAsia="ja-JP"/>
        </w:rPr>
      </w:pP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r>
      <w:r w:rsidRPr="00D27BE8">
        <w:rPr>
          <w:snapToGrid/>
          <w:szCs w:val="22"/>
          <w:lang w:eastAsia="ja-JP"/>
        </w:rPr>
        <w:tab/>
      </w:r>
      <w:r w:rsidR="00E02EF0" w:rsidRPr="00D27BE8">
        <w:rPr>
          <w:snapToGrid/>
          <w:szCs w:val="22"/>
          <w:lang w:eastAsia="ja-JP"/>
        </w:rPr>
        <w:t xml:space="preserve">Julie A. Veach  </w:t>
      </w:r>
    </w:p>
    <w:p w:rsidR="00E02EF0" w:rsidRPr="00D27BE8" w:rsidRDefault="00E02EF0" w:rsidP="00E02EF0">
      <w:pPr>
        <w:widowControl/>
        <w:ind w:left="3600" w:firstLine="720"/>
        <w:rPr>
          <w:snapToGrid/>
          <w:szCs w:val="22"/>
          <w:lang w:eastAsia="ja-JP"/>
        </w:rPr>
      </w:pPr>
      <w:r w:rsidRPr="00D27BE8">
        <w:rPr>
          <w:snapToGrid/>
          <w:szCs w:val="22"/>
          <w:lang w:eastAsia="ja-JP"/>
        </w:rPr>
        <w:t>Chief</w:t>
      </w:r>
    </w:p>
    <w:p w:rsidR="0020436C" w:rsidRPr="00D27BE8" w:rsidRDefault="00E02EF0" w:rsidP="00E816C6">
      <w:pPr>
        <w:widowControl/>
        <w:ind w:left="4320"/>
        <w:rPr>
          <w:szCs w:val="22"/>
        </w:rPr>
      </w:pPr>
      <w:r w:rsidRPr="00D27BE8">
        <w:rPr>
          <w:snapToGrid/>
          <w:szCs w:val="22"/>
          <w:lang w:eastAsia="ja-JP"/>
        </w:rPr>
        <w:t>Wireline Competition Bureau</w:t>
      </w:r>
    </w:p>
    <w:sectPr w:rsidR="0020436C" w:rsidRPr="00D27B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C4" w:rsidRDefault="007074C4">
      <w:pPr>
        <w:spacing w:line="20" w:lineRule="exact"/>
      </w:pPr>
    </w:p>
  </w:endnote>
  <w:endnote w:type="continuationSeparator" w:id="0">
    <w:p w:rsidR="007074C4" w:rsidRDefault="007074C4">
      <w:r>
        <w:t xml:space="preserve"> </w:t>
      </w:r>
    </w:p>
  </w:endnote>
  <w:endnote w:type="continuationNotice" w:id="1">
    <w:p w:rsidR="007074C4" w:rsidRDefault="007074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12" w:rsidRDefault="00394C12" w:rsidP="0055614C">
    <w:pPr>
      <w:pStyle w:val="Footer"/>
      <w:framePr w:wrap="around" w:vAnchor="text" w:hAnchor="margin" w:xAlign="center" w:y="1"/>
    </w:pPr>
    <w:r>
      <w:fldChar w:fldCharType="begin"/>
    </w:r>
    <w:r>
      <w:instrText xml:space="preserve">PAGE  </w:instrText>
    </w:r>
    <w:r>
      <w:fldChar w:fldCharType="end"/>
    </w:r>
  </w:p>
  <w:p w:rsidR="00394C12" w:rsidRDefault="0039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12" w:rsidRDefault="00394C12" w:rsidP="0055614C">
    <w:pPr>
      <w:pStyle w:val="Footer"/>
      <w:framePr w:wrap="around" w:vAnchor="text" w:hAnchor="margin" w:xAlign="center" w:y="1"/>
    </w:pPr>
    <w:r>
      <w:fldChar w:fldCharType="begin"/>
    </w:r>
    <w:r>
      <w:instrText xml:space="preserve">PAGE  </w:instrText>
    </w:r>
    <w:r>
      <w:fldChar w:fldCharType="separate"/>
    </w:r>
    <w:r w:rsidR="00A1729F">
      <w:rPr>
        <w:noProof/>
      </w:rPr>
      <w:t>4</w:t>
    </w:r>
    <w:r>
      <w:fldChar w:fldCharType="end"/>
    </w:r>
  </w:p>
  <w:p w:rsidR="00394C12" w:rsidRDefault="00394C1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12" w:rsidRDefault="00394C1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C4" w:rsidRDefault="007074C4">
      <w:r>
        <w:separator/>
      </w:r>
    </w:p>
  </w:footnote>
  <w:footnote w:type="continuationSeparator" w:id="0">
    <w:p w:rsidR="007074C4" w:rsidRDefault="007074C4" w:rsidP="00C721AC">
      <w:pPr>
        <w:spacing w:before="120"/>
        <w:rPr>
          <w:sz w:val="20"/>
        </w:rPr>
      </w:pPr>
      <w:r>
        <w:rPr>
          <w:sz w:val="20"/>
        </w:rPr>
        <w:t xml:space="preserve">(Continued from previous page)  </w:t>
      </w:r>
      <w:r>
        <w:rPr>
          <w:sz w:val="20"/>
        </w:rPr>
        <w:separator/>
      </w:r>
    </w:p>
  </w:footnote>
  <w:footnote w:type="continuationNotice" w:id="1">
    <w:p w:rsidR="007074C4" w:rsidRDefault="007074C4" w:rsidP="00C721AC">
      <w:pPr>
        <w:jc w:val="right"/>
        <w:rPr>
          <w:sz w:val="20"/>
        </w:rPr>
      </w:pPr>
      <w:r>
        <w:rPr>
          <w:sz w:val="20"/>
        </w:rPr>
        <w:t>(continued….)</w:t>
      </w:r>
    </w:p>
  </w:footnote>
  <w:footnote w:id="2">
    <w:p w:rsidR="00D52602" w:rsidRPr="00D27BE8" w:rsidRDefault="00D52602" w:rsidP="00D52602">
      <w:pPr>
        <w:pStyle w:val="FootnoteText"/>
      </w:pPr>
      <w:r w:rsidRPr="00D27BE8">
        <w:rPr>
          <w:rStyle w:val="FootnoteReference"/>
        </w:rPr>
        <w:footnoteRef/>
      </w:r>
      <w:r w:rsidRPr="00D27BE8">
        <w:t xml:space="preserve"> </w:t>
      </w:r>
      <w:r w:rsidRPr="00D27BE8">
        <w:rPr>
          <w:i/>
          <w:color w:val="222222"/>
          <w:shd w:val="clear" w:color="auto" w:fill="FFFFFF"/>
        </w:rPr>
        <w:t>Connect America Fund et al</w:t>
      </w:r>
      <w:r w:rsidRPr="00D27BE8">
        <w:rPr>
          <w:color w:val="222222"/>
          <w:shd w:val="clear" w:color="auto" w:fill="FFFFFF"/>
        </w:rPr>
        <w:t>., WC Docket No. 10-90 et al., Report and Order et al., 29 FCC Rcd 7051 (2014) (</w:t>
      </w:r>
      <w:r w:rsidRPr="00D27BE8">
        <w:rPr>
          <w:i/>
          <w:color w:val="222222"/>
          <w:shd w:val="clear" w:color="auto" w:fill="FFFFFF"/>
        </w:rPr>
        <w:t>A</w:t>
      </w:r>
      <w:r>
        <w:rPr>
          <w:i/>
          <w:color w:val="222222"/>
          <w:shd w:val="clear" w:color="auto" w:fill="FFFFFF"/>
        </w:rPr>
        <w:t>pril 2014 Connect America Order/</w:t>
      </w:r>
      <w:r w:rsidRPr="00D27BE8">
        <w:rPr>
          <w:i/>
          <w:color w:val="222222"/>
          <w:shd w:val="clear" w:color="auto" w:fill="FFFFFF"/>
        </w:rPr>
        <w:t>FNPRM</w:t>
      </w:r>
      <w:r w:rsidRPr="00D27BE8">
        <w:rPr>
          <w:color w:val="222222"/>
          <w:shd w:val="clear" w:color="auto" w:fill="FFFFFF"/>
        </w:rPr>
        <w:t>).</w:t>
      </w:r>
    </w:p>
  </w:footnote>
  <w:footnote w:id="3">
    <w:p w:rsidR="00933C6C" w:rsidRPr="00D27BE8" w:rsidRDefault="00933C6C" w:rsidP="00933C6C">
      <w:pPr>
        <w:pStyle w:val="FootnoteText"/>
      </w:pPr>
      <w:r w:rsidRPr="00D27BE8">
        <w:rPr>
          <w:rStyle w:val="FootnoteReference"/>
        </w:rPr>
        <w:footnoteRef/>
      </w:r>
      <w:r w:rsidRPr="00D27BE8">
        <w:t xml:space="preserve"> Petition for Reconsideration, National Exchange Carrier Association et al., WC Docket No. 10-90 et al. (filed Aug. 4, 2014) (Joint Petition</w:t>
      </w:r>
      <w:r w:rsidRPr="00D27BE8">
        <w:rPr>
          <w:color w:val="222222"/>
          <w:shd w:val="clear" w:color="auto" w:fill="FFFFFF"/>
        </w:rPr>
        <w:t>).</w:t>
      </w:r>
    </w:p>
  </w:footnote>
  <w:footnote w:id="4">
    <w:p w:rsidR="00933C6C" w:rsidRPr="00D27BE8" w:rsidRDefault="00933C6C" w:rsidP="00933C6C">
      <w:pPr>
        <w:pStyle w:val="FootnoteText"/>
      </w:pPr>
      <w:r w:rsidRPr="00D27BE8">
        <w:rPr>
          <w:rStyle w:val="FootnoteReference"/>
        </w:rPr>
        <w:footnoteRef/>
      </w:r>
      <w:r w:rsidRPr="00D27BE8">
        <w:t xml:space="preserve"> Petition for Reconsideration, United States Telecom Association, WC Docket No. 10-90 et al. (filed Aug. 8, 2014) (USTelecom Petition).</w:t>
      </w:r>
      <w:r>
        <w:t xml:space="preserve">  The USTelecom Petition asked for reconsideration of three issues, the second and third of which we address herein.  The first issue was addressed in a recent Commission order.  </w:t>
      </w:r>
      <w:r w:rsidR="00A409A0" w:rsidRPr="00832F63">
        <w:rPr>
          <w:i/>
          <w:shd w:val="clear" w:color="auto" w:fill="FFFFFF"/>
        </w:rPr>
        <w:t>Connect America Fund et al</w:t>
      </w:r>
      <w:r w:rsidR="00A409A0" w:rsidRPr="00832F63">
        <w:rPr>
          <w:shd w:val="clear" w:color="auto" w:fill="FFFFFF"/>
        </w:rPr>
        <w:t xml:space="preserve">., WC Docket No. 10-90 et al., Report and Order, </w:t>
      </w:r>
      <w:r w:rsidR="00A409A0">
        <w:rPr>
          <w:shd w:val="clear" w:color="auto" w:fill="FFFFFF"/>
        </w:rPr>
        <w:t xml:space="preserve">FCC 14-190, </w:t>
      </w:r>
      <w:r w:rsidR="00AA1CA7">
        <w:rPr>
          <w:shd w:val="clear" w:color="auto" w:fill="FFFFFF"/>
        </w:rPr>
        <w:t xml:space="preserve">para. 115 n.253 </w:t>
      </w:r>
      <w:r w:rsidR="00A409A0">
        <w:rPr>
          <w:shd w:val="clear" w:color="auto" w:fill="FFFFFF"/>
        </w:rPr>
        <w:t xml:space="preserve">(rel. </w:t>
      </w:r>
      <w:r w:rsidR="00AA1CA7">
        <w:rPr>
          <w:shd w:val="clear" w:color="auto" w:fill="FFFFFF"/>
        </w:rPr>
        <w:t>Dec. 18, 2014</w:t>
      </w:r>
      <w:r w:rsidR="00A409A0" w:rsidRPr="00832F63">
        <w:rPr>
          <w:shd w:val="clear" w:color="auto" w:fill="FFFFFF"/>
        </w:rPr>
        <w:t>) (</w:t>
      </w:r>
      <w:r w:rsidR="00A409A0">
        <w:rPr>
          <w:i/>
          <w:shd w:val="clear" w:color="auto" w:fill="FFFFFF"/>
        </w:rPr>
        <w:t>December</w:t>
      </w:r>
      <w:r w:rsidR="00A409A0" w:rsidRPr="00832F63">
        <w:rPr>
          <w:i/>
          <w:shd w:val="clear" w:color="auto" w:fill="FFFFFF"/>
        </w:rPr>
        <w:t xml:space="preserve"> 2014 Connect America Order</w:t>
      </w:r>
      <w:r w:rsidR="00A409A0" w:rsidRPr="00832F63">
        <w:rPr>
          <w:shd w:val="clear" w:color="auto" w:fill="FFFFFF"/>
        </w:rPr>
        <w:t>).</w:t>
      </w:r>
    </w:p>
  </w:footnote>
  <w:footnote w:id="5">
    <w:p w:rsidR="00D52602" w:rsidRPr="00D27BE8" w:rsidRDefault="00D52602" w:rsidP="00D52602">
      <w:pPr>
        <w:pStyle w:val="FootnoteText"/>
      </w:pPr>
      <w:r w:rsidRPr="00D27BE8">
        <w:rPr>
          <w:rStyle w:val="FootnoteReference"/>
        </w:rPr>
        <w:footnoteRef/>
      </w:r>
      <w:r w:rsidRPr="00D27BE8">
        <w:t xml:space="preserve"> Under section 1.429(l), petitions for reconsideration of a Commission action that plainly do not warrant consideration by the Commission may be dismissed or denied by the relevant Bureau.  Examples of such petitions include petitions that are untimely.  47 C.F.R. § 1.429(l)(9).</w:t>
      </w:r>
    </w:p>
  </w:footnote>
  <w:footnote w:id="6">
    <w:p w:rsidR="00D52602" w:rsidRPr="00D27BE8" w:rsidRDefault="00D52602" w:rsidP="00D52602">
      <w:pPr>
        <w:pStyle w:val="FootnoteText"/>
      </w:pPr>
      <w:r w:rsidRPr="00D27BE8">
        <w:rPr>
          <w:rStyle w:val="FootnoteReference"/>
        </w:rPr>
        <w:footnoteRef/>
      </w:r>
      <w:r w:rsidRPr="00D27BE8">
        <w:t xml:space="preserve"> Under section 1.429(l)(2), petitions for reconsideration that rely on facts or arguments that have not previously been presented to the Commission may be dismissed or denied by the relevant Bureau.  47 C.F.R. § 1.429(l)(2). </w:t>
      </w:r>
    </w:p>
  </w:footnote>
  <w:footnote w:id="7">
    <w:p w:rsidR="00D52602" w:rsidRPr="00D27BE8" w:rsidRDefault="00D52602" w:rsidP="00D52602">
      <w:pPr>
        <w:pStyle w:val="FootnoteText"/>
      </w:pPr>
      <w:r w:rsidRPr="00D27BE8">
        <w:rPr>
          <w:rStyle w:val="FootnoteReference"/>
        </w:rPr>
        <w:footnoteRef/>
      </w:r>
      <w:r w:rsidRPr="00D27BE8">
        <w:t xml:space="preserve"> </w:t>
      </w:r>
      <w:r w:rsidRPr="00D27BE8">
        <w:rPr>
          <w:i/>
        </w:rPr>
        <w:t>Connect America Fund et al.</w:t>
      </w:r>
      <w:r w:rsidRPr="00D27BE8">
        <w:t>, WC Docket No. 10-90 et al., Report and Order et al., 26 FCC Rcd 17663 (2011)</w:t>
      </w:r>
      <w:r w:rsidR="007A484F">
        <w:t xml:space="preserve">, </w:t>
      </w:r>
      <w:r w:rsidRPr="00D27BE8">
        <w:rPr>
          <w:i/>
        </w:rPr>
        <w:t>aff’d</w:t>
      </w:r>
      <w:r w:rsidR="007A484F">
        <w:t>,</w:t>
      </w:r>
      <w:r w:rsidRPr="00D27BE8">
        <w:rPr>
          <w:i/>
        </w:rPr>
        <w:t xml:space="preserve"> </w:t>
      </w:r>
      <w:r w:rsidRPr="00D27BE8">
        <w:t>753 F.3d 1015 (10th Cir. 2014) (</w:t>
      </w:r>
      <w:r w:rsidRPr="00D27BE8">
        <w:rPr>
          <w:i/>
        </w:rPr>
        <w:t>USF/ICC Transformation Order</w:t>
      </w:r>
      <w:r w:rsidRPr="00D27BE8">
        <w:t xml:space="preserve">).  </w:t>
      </w:r>
    </w:p>
  </w:footnote>
  <w:footnote w:id="8">
    <w:p w:rsidR="00D52602" w:rsidRPr="00D27BE8" w:rsidRDefault="00D52602" w:rsidP="00D52602">
      <w:pPr>
        <w:pStyle w:val="FootnoteText"/>
      </w:pPr>
      <w:r w:rsidRPr="00D27BE8">
        <w:rPr>
          <w:rStyle w:val="FootnoteReference"/>
        </w:rPr>
        <w:footnoteRef/>
      </w:r>
      <w:r w:rsidRPr="00D27BE8">
        <w:t xml:space="preserve"> </w:t>
      </w:r>
      <w:r w:rsidRPr="00D27BE8">
        <w:rPr>
          <w:i/>
        </w:rPr>
        <w:t xml:space="preserve">Id. </w:t>
      </w:r>
      <w:r w:rsidRPr="00D27BE8">
        <w:t>at 17749, para. 235</w:t>
      </w:r>
      <w:r>
        <w:t xml:space="preserve">; </w:t>
      </w:r>
      <w:r w:rsidRPr="00D27BE8">
        <w:t>47 C.F.R. § 54.318.</w:t>
      </w:r>
    </w:p>
  </w:footnote>
  <w:footnote w:id="9">
    <w:p w:rsidR="00D52602" w:rsidRPr="00D27BE8" w:rsidRDefault="00D52602" w:rsidP="00D52602">
      <w:pPr>
        <w:pStyle w:val="FootnoteText"/>
      </w:pPr>
      <w:r w:rsidRPr="00D27BE8">
        <w:rPr>
          <w:rStyle w:val="FootnoteReference"/>
        </w:rPr>
        <w:footnoteRef/>
      </w:r>
      <w:r w:rsidRPr="00D27BE8">
        <w:t xml:space="preserve"> </w:t>
      </w:r>
      <w:r w:rsidRPr="00D27BE8">
        <w:rPr>
          <w:i/>
        </w:rPr>
        <w:t xml:space="preserve">Id. </w:t>
      </w:r>
      <w:r w:rsidRPr="00D27BE8">
        <w:t>at 17751, 17753</w:t>
      </w:r>
      <w:r>
        <w:t xml:space="preserve">, </w:t>
      </w:r>
      <w:r w:rsidRPr="00D27BE8">
        <w:t>para. 238</w:t>
      </w:r>
      <w:r>
        <w:t>, 243</w:t>
      </w:r>
      <w:r w:rsidRPr="00D27BE8">
        <w:t>.</w:t>
      </w:r>
    </w:p>
  </w:footnote>
  <w:footnote w:id="10">
    <w:p w:rsidR="00D52602" w:rsidRPr="00D27BE8" w:rsidRDefault="00D52602" w:rsidP="00D52602">
      <w:pPr>
        <w:pStyle w:val="FootnoteText"/>
      </w:pPr>
      <w:r w:rsidRPr="00D27BE8">
        <w:rPr>
          <w:rStyle w:val="FootnoteReference"/>
        </w:rPr>
        <w:footnoteRef/>
      </w:r>
      <w:r w:rsidRPr="00D27BE8">
        <w:t xml:space="preserve"> </w:t>
      </w:r>
      <w:r w:rsidRPr="00D27BE8">
        <w:rPr>
          <w:i/>
        </w:rPr>
        <w:t>Wireline Competition Bureau Announces the Results of Urban Rate Survey for Voice Services; Seeks Comment on Petition for Extension of Time to Comply with New Rate Floor</w:t>
      </w:r>
      <w:r w:rsidRPr="00D27BE8">
        <w:t>, WC Docket No. 10-90, Public Notice, 29 FCC Rcd 2967 (Wireline Comp. Bur. 2014).</w:t>
      </w:r>
    </w:p>
  </w:footnote>
  <w:footnote w:id="11">
    <w:p w:rsidR="00D52602" w:rsidRPr="00D27BE8" w:rsidRDefault="00D52602" w:rsidP="00D52602">
      <w:pPr>
        <w:pStyle w:val="FootnoteText"/>
      </w:pPr>
      <w:r w:rsidRPr="00D27BE8">
        <w:rPr>
          <w:rStyle w:val="FootnoteReference"/>
        </w:rPr>
        <w:footnoteRef/>
      </w:r>
      <w:r w:rsidRPr="00D27BE8">
        <w:t xml:space="preserve"> </w:t>
      </w:r>
      <w:r w:rsidRPr="00D27BE8">
        <w:rPr>
          <w:i/>
        </w:rPr>
        <w:t>Wireline Competition Bureau Announces Posting of Voice Data from Urban Rate Survey, and Explanatory Notes</w:t>
      </w:r>
      <w:r w:rsidRPr="00D27BE8">
        <w:t>, WC Docket No. 10-90, 29 FCC Rcd 3892 (Wireline Comp. Bur. 2014).</w:t>
      </w:r>
    </w:p>
  </w:footnote>
  <w:footnote w:id="12">
    <w:p w:rsidR="00D52602" w:rsidRPr="00D27BE8" w:rsidRDefault="00D52602" w:rsidP="00D52602">
      <w:pPr>
        <w:pStyle w:val="FootnoteText"/>
      </w:pPr>
      <w:r w:rsidRPr="00D27BE8">
        <w:rPr>
          <w:rStyle w:val="FootnoteReference"/>
        </w:rPr>
        <w:footnoteRef/>
      </w:r>
      <w:r w:rsidRPr="00D27BE8">
        <w:t xml:space="preserve"> </w:t>
      </w:r>
      <w:r w:rsidRPr="00D27BE8">
        <w:rPr>
          <w:i/>
        </w:rPr>
        <w:t>April 2014 Connect America Order/FNPRM</w:t>
      </w:r>
      <w:r w:rsidRPr="00D27BE8">
        <w:t xml:space="preserve">, </w:t>
      </w:r>
      <w:r w:rsidRPr="00D27BE8">
        <w:rPr>
          <w:color w:val="222222"/>
          <w:shd w:val="clear" w:color="auto" w:fill="FFFFFF"/>
        </w:rPr>
        <w:t>29 FCC Rcd at 7075-82</w:t>
      </w:r>
      <w:r w:rsidRPr="00D27BE8">
        <w:t xml:space="preserve">, paras. 73-86. </w:t>
      </w:r>
    </w:p>
  </w:footnote>
  <w:footnote w:id="13">
    <w:p w:rsidR="00394C12" w:rsidRPr="00D27BE8" w:rsidRDefault="00394C12">
      <w:pPr>
        <w:pStyle w:val="FootnoteText"/>
      </w:pPr>
      <w:r w:rsidRPr="00D27BE8">
        <w:rPr>
          <w:rStyle w:val="FootnoteReference"/>
        </w:rPr>
        <w:footnoteRef/>
      </w:r>
      <w:r w:rsidRPr="00D27BE8">
        <w:t xml:space="preserve"> Joint Petition at 7.</w:t>
      </w:r>
    </w:p>
  </w:footnote>
  <w:footnote w:id="14">
    <w:p w:rsidR="00394C12" w:rsidRPr="00D27BE8" w:rsidRDefault="00394C12">
      <w:pPr>
        <w:pStyle w:val="FootnoteText"/>
      </w:pPr>
      <w:r w:rsidRPr="00D27BE8">
        <w:rPr>
          <w:rStyle w:val="FootnoteReference"/>
        </w:rPr>
        <w:footnoteRef/>
      </w:r>
      <w:r w:rsidRPr="00D27BE8">
        <w:t xml:space="preserve"> </w:t>
      </w:r>
      <w:r w:rsidRPr="00D27BE8">
        <w:rPr>
          <w:i/>
        </w:rPr>
        <w:t xml:space="preserve">Id. </w:t>
      </w:r>
      <w:r w:rsidRPr="00D27BE8">
        <w:t>at 8-9.</w:t>
      </w:r>
    </w:p>
  </w:footnote>
  <w:footnote w:id="15">
    <w:p w:rsidR="00C97EF4" w:rsidRPr="00D27BE8" w:rsidRDefault="00C97EF4" w:rsidP="00C97EF4">
      <w:pPr>
        <w:pStyle w:val="FootnoteText"/>
      </w:pPr>
      <w:r w:rsidRPr="00D27BE8">
        <w:rPr>
          <w:rStyle w:val="FootnoteReference"/>
        </w:rPr>
        <w:footnoteRef/>
      </w:r>
      <w:r w:rsidRPr="00D27BE8">
        <w:t xml:space="preserve"> USTelecom Petition at 4-6.</w:t>
      </w:r>
    </w:p>
  </w:footnote>
  <w:footnote w:id="16">
    <w:p w:rsidR="00C97EF4" w:rsidRPr="00D27BE8" w:rsidRDefault="00C97EF4" w:rsidP="00C97EF4">
      <w:pPr>
        <w:pStyle w:val="FootnoteText"/>
      </w:pPr>
      <w:r w:rsidRPr="00D27BE8">
        <w:rPr>
          <w:rStyle w:val="FootnoteReference"/>
        </w:rPr>
        <w:footnoteRef/>
      </w:r>
      <w:r w:rsidRPr="00D27BE8">
        <w:t xml:space="preserve"> </w:t>
      </w:r>
      <w:r w:rsidRPr="00D27BE8">
        <w:rPr>
          <w:i/>
        </w:rPr>
        <w:t>See id.</w:t>
      </w:r>
    </w:p>
  </w:footnote>
  <w:footnote w:id="17">
    <w:p w:rsidR="00C97EF4" w:rsidRPr="00D27BE8" w:rsidRDefault="00C97EF4" w:rsidP="00C97EF4">
      <w:pPr>
        <w:pStyle w:val="FootnoteText"/>
      </w:pPr>
      <w:r w:rsidRPr="00D27BE8">
        <w:rPr>
          <w:rStyle w:val="FootnoteReference"/>
        </w:rPr>
        <w:footnoteRef/>
      </w:r>
      <w:r w:rsidRPr="00D27BE8">
        <w:t xml:space="preserve"> </w:t>
      </w:r>
      <w:r w:rsidRPr="00D27BE8">
        <w:rPr>
          <w:i/>
        </w:rPr>
        <w:t xml:space="preserve">See id. </w:t>
      </w:r>
      <w:r w:rsidRPr="00D27BE8">
        <w:t>at 6-8.</w:t>
      </w:r>
    </w:p>
  </w:footnote>
  <w:footnote w:id="18">
    <w:p w:rsidR="00C97EF4" w:rsidRPr="00D27BE8" w:rsidRDefault="00C97EF4" w:rsidP="00C97EF4">
      <w:pPr>
        <w:pStyle w:val="FootnoteText"/>
      </w:pPr>
      <w:r w:rsidRPr="00D27BE8">
        <w:rPr>
          <w:rStyle w:val="FootnoteReference"/>
        </w:rPr>
        <w:footnoteRef/>
      </w:r>
      <w:r w:rsidRPr="00D27BE8">
        <w:t xml:space="preserve"> </w:t>
      </w:r>
      <w:r w:rsidRPr="00D27BE8">
        <w:rPr>
          <w:i/>
        </w:rPr>
        <w:t xml:space="preserve">See id. </w:t>
      </w:r>
      <w:r w:rsidRPr="00D27BE8">
        <w:t>at 6-7.</w:t>
      </w:r>
    </w:p>
  </w:footnote>
  <w:footnote w:id="19">
    <w:p w:rsidR="00394C12" w:rsidRPr="00D27BE8" w:rsidRDefault="00394C12">
      <w:pPr>
        <w:pStyle w:val="FootnoteText"/>
      </w:pPr>
      <w:r w:rsidRPr="00D27BE8">
        <w:rPr>
          <w:rStyle w:val="FootnoteReference"/>
        </w:rPr>
        <w:footnoteRef/>
      </w:r>
      <w:r w:rsidRPr="00D27BE8">
        <w:t xml:space="preserve"> Joint Petition at 6 (“This Petition does not seek reconsideration of the Commission’s decision to phase-in support reductions associated with the urban rate floor.”).</w:t>
      </w:r>
    </w:p>
  </w:footnote>
  <w:footnote w:id="20">
    <w:p w:rsidR="00394C12" w:rsidRPr="00D27BE8" w:rsidRDefault="00394C12">
      <w:pPr>
        <w:pStyle w:val="FootnoteText"/>
      </w:pPr>
      <w:r w:rsidRPr="00D27BE8">
        <w:rPr>
          <w:rStyle w:val="FootnoteReference"/>
        </w:rPr>
        <w:footnoteRef/>
      </w:r>
      <w:r w:rsidRPr="00D27BE8">
        <w:t xml:space="preserve"> </w:t>
      </w:r>
      <w:r w:rsidRPr="00D27BE8">
        <w:rPr>
          <w:i/>
        </w:rPr>
        <w:t xml:space="preserve">Id. </w:t>
      </w:r>
      <w:r w:rsidRPr="00D27BE8">
        <w:t>at 7.</w:t>
      </w:r>
    </w:p>
  </w:footnote>
  <w:footnote w:id="21">
    <w:p w:rsidR="00E15538" w:rsidRPr="00D27BE8" w:rsidRDefault="00E15538">
      <w:pPr>
        <w:pStyle w:val="FootnoteText"/>
      </w:pPr>
      <w:r w:rsidRPr="00D27BE8">
        <w:rPr>
          <w:rStyle w:val="FootnoteReference"/>
        </w:rPr>
        <w:footnoteRef/>
      </w:r>
      <w:r w:rsidRPr="00D27BE8">
        <w:t xml:space="preserve"> Petitions for reconsideration must be filed within 30 days from the date of public notice of the Commission’s action.  47 C.F.R. § 1.429(d).</w:t>
      </w:r>
    </w:p>
  </w:footnote>
  <w:footnote w:id="22">
    <w:p w:rsidR="00394C12" w:rsidRPr="00D27BE8" w:rsidRDefault="00394C12">
      <w:pPr>
        <w:pStyle w:val="FootnoteText"/>
      </w:pPr>
      <w:r w:rsidRPr="00D27BE8">
        <w:rPr>
          <w:rStyle w:val="FootnoteReference"/>
        </w:rPr>
        <w:footnoteRef/>
      </w:r>
      <w:r w:rsidRPr="00D27BE8">
        <w:t xml:space="preserve"> </w:t>
      </w:r>
      <w:r w:rsidRPr="00D27BE8">
        <w:rPr>
          <w:i/>
        </w:rPr>
        <w:t>Id.</w:t>
      </w:r>
    </w:p>
  </w:footnote>
  <w:footnote w:id="23">
    <w:p w:rsidR="002E0293" w:rsidRPr="00D27BE8" w:rsidRDefault="002E0293">
      <w:pPr>
        <w:pStyle w:val="FootnoteText"/>
      </w:pPr>
      <w:r w:rsidRPr="00D27BE8">
        <w:rPr>
          <w:rStyle w:val="FootnoteReference"/>
        </w:rPr>
        <w:footnoteRef/>
      </w:r>
      <w:r w:rsidRPr="00D27BE8">
        <w:t xml:space="preserve"> 47 C.F.R. § 1.429(a).</w:t>
      </w:r>
    </w:p>
  </w:footnote>
  <w:footnote w:id="24">
    <w:p w:rsidR="00617924" w:rsidRDefault="00617924">
      <w:pPr>
        <w:pStyle w:val="FootnoteText"/>
      </w:pPr>
      <w:r>
        <w:rPr>
          <w:rStyle w:val="FootnoteReference"/>
        </w:rPr>
        <w:footnoteRef/>
      </w:r>
      <w:r>
        <w:t xml:space="preserve"> </w:t>
      </w:r>
      <w:r w:rsidR="00E960FC">
        <w:rPr>
          <w:i/>
        </w:rPr>
        <w:t>See</w:t>
      </w:r>
      <w:r w:rsidR="00E960FC" w:rsidRPr="00D27BE8">
        <w:rPr>
          <w:i/>
        </w:rPr>
        <w:t xml:space="preserve"> April 2014 Connect America Order/FNPRM</w:t>
      </w:r>
      <w:r w:rsidR="00E960FC" w:rsidRPr="00D27BE8">
        <w:t xml:space="preserve">, </w:t>
      </w:r>
      <w:r w:rsidR="00E960FC" w:rsidRPr="00D27BE8">
        <w:rPr>
          <w:color w:val="222222"/>
          <w:shd w:val="clear" w:color="auto" w:fill="FFFFFF"/>
        </w:rPr>
        <w:t>29 FCC Rcd at 70</w:t>
      </w:r>
      <w:r w:rsidR="00E960FC">
        <w:rPr>
          <w:color w:val="222222"/>
          <w:shd w:val="clear" w:color="auto" w:fill="FFFFFF"/>
        </w:rPr>
        <w:t>75-82</w:t>
      </w:r>
      <w:r w:rsidR="00E960FC" w:rsidRPr="00D27BE8">
        <w:t>, para</w:t>
      </w:r>
      <w:r w:rsidR="00E960FC">
        <w:t>s</w:t>
      </w:r>
      <w:r w:rsidR="00E960FC" w:rsidRPr="00D27BE8">
        <w:t xml:space="preserve">. </w:t>
      </w:r>
      <w:r w:rsidR="00E960FC">
        <w:t>73-86.</w:t>
      </w:r>
    </w:p>
  </w:footnote>
  <w:footnote w:id="25">
    <w:p w:rsidR="00394C12" w:rsidRPr="00D27BE8" w:rsidRDefault="00394C12">
      <w:pPr>
        <w:pStyle w:val="FootnoteText"/>
      </w:pPr>
      <w:r w:rsidRPr="00D27BE8">
        <w:rPr>
          <w:rStyle w:val="FootnoteReference"/>
        </w:rPr>
        <w:footnoteRef/>
      </w:r>
      <w:r w:rsidRPr="00D27BE8">
        <w:t xml:space="preserve"> </w:t>
      </w:r>
      <w:r w:rsidR="00933C6C">
        <w:rPr>
          <w:i/>
        </w:rPr>
        <w:t>Id.</w:t>
      </w:r>
      <w:r w:rsidRPr="00D27BE8">
        <w:t xml:space="preserve"> at </w:t>
      </w:r>
      <w:r w:rsidR="0008334E">
        <w:t>7086</w:t>
      </w:r>
      <w:r w:rsidR="00933C6C">
        <w:t xml:space="preserve">, </w:t>
      </w:r>
      <w:r w:rsidRPr="00D27BE8">
        <w:t>para. 102</w:t>
      </w:r>
      <w:r w:rsidR="002E0293" w:rsidRPr="00D27BE8">
        <w:t xml:space="preserve"> (“[R]eview of a Bureau decision implementing a Commission directive may not be used as a vehicle to seek reconsideration of the Commission’s earlier decision</w:t>
      </w:r>
      <w:r w:rsidRPr="00D27BE8">
        <w:t>.</w:t>
      </w:r>
      <w:r w:rsidR="002E0293" w:rsidRPr="00D27BE8">
        <w:t>”).</w:t>
      </w:r>
    </w:p>
  </w:footnote>
  <w:footnote w:id="26">
    <w:p w:rsidR="00741462" w:rsidRPr="00D27BE8" w:rsidRDefault="00741462" w:rsidP="00741462">
      <w:pPr>
        <w:pStyle w:val="FootnoteText"/>
      </w:pPr>
      <w:r w:rsidRPr="00D27BE8">
        <w:rPr>
          <w:rStyle w:val="FootnoteReference"/>
        </w:rPr>
        <w:footnoteRef/>
      </w:r>
      <w:r w:rsidRPr="00D27BE8">
        <w:t xml:space="preserve"> USTelecom Petition at 4-6.</w:t>
      </w:r>
    </w:p>
  </w:footnote>
  <w:footnote w:id="27">
    <w:p w:rsidR="00183B92" w:rsidRPr="00D27BE8" w:rsidRDefault="00183B92">
      <w:pPr>
        <w:pStyle w:val="FootnoteText"/>
        <w:rPr>
          <w:i/>
        </w:rPr>
      </w:pPr>
      <w:r w:rsidRPr="00D27BE8">
        <w:rPr>
          <w:rStyle w:val="FootnoteReference"/>
        </w:rPr>
        <w:footnoteRef/>
      </w:r>
      <w:r w:rsidRPr="00D27BE8">
        <w:t xml:space="preserve"> </w:t>
      </w:r>
      <w:r w:rsidRPr="00D27BE8">
        <w:rPr>
          <w:i/>
        </w:rPr>
        <w:t>See id</w:t>
      </w:r>
      <w:r w:rsidRPr="00D27BE8">
        <w:t>. at 5</w:t>
      </w:r>
      <w:r w:rsidR="00867AC5">
        <w:t>;</w:t>
      </w:r>
      <w:r w:rsidRPr="00D27BE8">
        <w:t xml:space="preserve"> </w:t>
      </w:r>
      <w:r w:rsidRPr="00D27BE8">
        <w:rPr>
          <w:i/>
        </w:rPr>
        <w:t xml:space="preserve">see also </w:t>
      </w:r>
      <w:r w:rsidR="00762F12" w:rsidRPr="00D27BE8">
        <w:rPr>
          <w:i/>
        </w:rPr>
        <w:t>April 2014 Connect America Order/FNPRM</w:t>
      </w:r>
      <w:r w:rsidR="00762F12" w:rsidRPr="00D27BE8">
        <w:t xml:space="preserve">, </w:t>
      </w:r>
      <w:r w:rsidR="00762F12" w:rsidRPr="00D27BE8">
        <w:rPr>
          <w:color w:val="222222"/>
          <w:shd w:val="clear" w:color="auto" w:fill="FFFFFF"/>
        </w:rPr>
        <w:t>29 FCC Rcd at 707</w:t>
      </w:r>
      <w:r w:rsidR="009A5D37" w:rsidRPr="00D27BE8">
        <w:rPr>
          <w:color w:val="222222"/>
          <w:shd w:val="clear" w:color="auto" w:fill="FFFFFF"/>
        </w:rPr>
        <w:t>9</w:t>
      </w:r>
      <w:r w:rsidR="00762F12" w:rsidRPr="00D27BE8">
        <w:t xml:space="preserve">, </w:t>
      </w:r>
      <w:r w:rsidR="009A5D37" w:rsidRPr="00D27BE8">
        <w:t>para. 80</w:t>
      </w:r>
      <w:r w:rsidR="00762F12" w:rsidRPr="00D27BE8">
        <w:t>.</w:t>
      </w:r>
    </w:p>
  </w:footnote>
  <w:footnote w:id="28">
    <w:p w:rsidR="009A5D37" w:rsidRPr="00D27BE8" w:rsidRDefault="009A5D37">
      <w:pPr>
        <w:pStyle w:val="FootnoteText"/>
      </w:pPr>
      <w:r w:rsidRPr="00D27BE8">
        <w:rPr>
          <w:rStyle w:val="FootnoteReference"/>
        </w:rPr>
        <w:footnoteRef/>
      </w:r>
      <w:r w:rsidRPr="00D27BE8">
        <w:t xml:space="preserve"> In directing the Bureau to determine the time in which the Urban Rate Survey should take place, the Commission stated </w:t>
      </w:r>
      <w:r w:rsidRPr="00D27BE8">
        <w:rPr>
          <w:color w:val="000000"/>
        </w:rPr>
        <w:t xml:space="preserve">“[e]ffective July 1, 2016, the rate floor will be determined by the next urban rate survey. We direct the Bureau to conduct the next survey in sufficient time to announce the results in early 2015 and to announce the 2016 rate floor no later than January 31, 2016.”  </w:t>
      </w:r>
      <w:r w:rsidRPr="00D27BE8">
        <w:rPr>
          <w:i/>
        </w:rPr>
        <w:t>See April 2014 Connect America Order/FNPRM</w:t>
      </w:r>
      <w:r w:rsidRPr="00D27BE8">
        <w:t xml:space="preserve">, </w:t>
      </w:r>
      <w:r w:rsidRPr="00D27BE8">
        <w:rPr>
          <w:color w:val="222222"/>
          <w:shd w:val="clear" w:color="auto" w:fill="FFFFFF"/>
        </w:rPr>
        <w:t>29 FCC Rcd at 7081</w:t>
      </w:r>
      <w:r w:rsidRPr="00D27BE8">
        <w:t>, para. 84.</w:t>
      </w:r>
    </w:p>
  </w:footnote>
  <w:footnote w:id="29">
    <w:p w:rsidR="008976C3" w:rsidRPr="00D27BE8" w:rsidRDefault="008976C3">
      <w:pPr>
        <w:pStyle w:val="FootnoteText"/>
      </w:pPr>
      <w:r w:rsidRPr="00D27BE8">
        <w:rPr>
          <w:rStyle w:val="FootnoteReference"/>
        </w:rPr>
        <w:footnoteRef/>
      </w:r>
      <w:r w:rsidRPr="00D27BE8">
        <w:t xml:space="preserve"> </w:t>
      </w:r>
      <w:r w:rsidRPr="00D27BE8">
        <w:rPr>
          <w:i/>
        </w:rPr>
        <w:t>See USF/ICC Transformation Order</w:t>
      </w:r>
      <w:r w:rsidRPr="00D27BE8">
        <w:t>,</w:t>
      </w:r>
      <w:r w:rsidRPr="00D27BE8">
        <w:rPr>
          <w:i/>
        </w:rPr>
        <w:t xml:space="preserve"> </w:t>
      </w:r>
      <w:r w:rsidRPr="00D27BE8">
        <w:t>26 FCC Rcd at 17694, para. 85.</w:t>
      </w:r>
    </w:p>
  </w:footnote>
  <w:footnote w:id="30">
    <w:p w:rsidR="00C82CF8" w:rsidRPr="00D27BE8" w:rsidRDefault="00C82CF8" w:rsidP="00C82CF8">
      <w:pPr>
        <w:pStyle w:val="FootnoteText"/>
      </w:pPr>
      <w:r w:rsidRPr="00D27BE8">
        <w:rPr>
          <w:rStyle w:val="FootnoteReference"/>
        </w:rPr>
        <w:footnoteRef/>
      </w:r>
      <w:r w:rsidRPr="00D27BE8">
        <w:t xml:space="preserve"> Petitions for reconsideration must be filed within 30 days from the date of public notice of the Commission’s action.  47 C.F.R. § 1.429(d).</w:t>
      </w:r>
    </w:p>
  </w:footnote>
  <w:footnote w:id="31">
    <w:p w:rsidR="00D43144" w:rsidRPr="00D27BE8" w:rsidRDefault="00D43144" w:rsidP="00D43144">
      <w:pPr>
        <w:pStyle w:val="FootnoteText"/>
      </w:pPr>
      <w:r w:rsidRPr="00D27BE8">
        <w:rPr>
          <w:rStyle w:val="FootnoteReference"/>
        </w:rPr>
        <w:footnoteRef/>
      </w:r>
      <w:r w:rsidRPr="00D27BE8">
        <w:t xml:space="preserve"> </w:t>
      </w:r>
      <w:r w:rsidR="00DB7B67" w:rsidRPr="00D27BE8">
        <w:t>USTelecom Petition at 6-8</w:t>
      </w:r>
      <w:r w:rsidRPr="00D27BE8">
        <w:t>.</w:t>
      </w:r>
      <w:r w:rsidR="00E816C6">
        <w:t xml:space="preserve">  To the extent that the USTelecom Petition could be viewed as a request for waiver, there is insufficient information to determine whether the waiver standard is met.</w:t>
      </w:r>
    </w:p>
  </w:footnote>
  <w:footnote w:id="32">
    <w:p w:rsidR="00DB7B67" w:rsidRPr="00D27BE8" w:rsidRDefault="00DB7B67">
      <w:pPr>
        <w:pStyle w:val="FootnoteText"/>
      </w:pPr>
      <w:r w:rsidRPr="00D27BE8">
        <w:rPr>
          <w:rStyle w:val="FootnoteReference"/>
        </w:rPr>
        <w:footnoteRef/>
      </w:r>
      <w:r w:rsidRPr="00D27BE8">
        <w:t xml:space="preserve"> </w:t>
      </w:r>
      <w:r w:rsidRPr="00D27BE8">
        <w:rPr>
          <w:i/>
        </w:rPr>
        <w:t>See April 2014 Connect America Order/FNPRM</w:t>
      </w:r>
      <w:r w:rsidRPr="00D27BE8">
        <w:t xml:space="preserve">, </w:t>
      </w:r>
      <w:r w:rsidRPr="00D27BE8">
        <w:rPr>
          <w:color w:val="222222"/>
          <w:shd w:val="clear" w:color="auto" w:fill="FFFFFF"/>
        </w:rPr>
        <w:t>29 FCC Rcd at 7081</w:t>
      </w:r>
      <w:r w:rsidRPr="00D27BE8">
        <w:t>, para. 85.</w:t>
      </w:r>
    </w:p>
  </w:footnote>
  <w:footnote w:id="33">
    <w:p w:rsidR="009548A0" w:rsidRPr="00D27BE8" w:rsidRDefault="009548A0">
      <w:pPr>
        <w:pStyle w:val="FootnoteText"/>
      </w:pPr>
      <w:r w:rsidRPr="00D27BE8">
        <w:rPr>
          <w:rStyle w:val="FootnoteReference"/>
        </w:rPr>
        <w:footnoteRef/>
      </w:r>
      <w:r w:rsidRPr="00D27BE8">
        <w:t xml:space="preserve"> </w:t>
      </w:r>
      <w:r w:rsidRPr="00D27BE8">
        <w:rPr>
          <w:i/>
        </w:rPr>
        <w:t>See id</w:t>
      </w:r>
      <w:r w:rsidRPr="00D27BE8">
        <w:t>.</w:t>
      </w:r>
    </w:p>
  </w:footnote>
  <w:footnote w:id="34">
    <w:p w:rsidR="00F200CA" w:rsidRPr="00D27BE8" w:rsidRDefault="00F200CA">
      <w:pPr>
        <w:pStyle w:val="FootnoteText"/>
      </w:pPr>
      <w:r w:rsidRPr="00D27BE8">
        <w:rPr>
          <w:rStyle w:val="FootnoteReference"/>
        </w:rPr>
        <w:footnoteRef/>
      </w:r>
      <w:r w:rsidRPr="00D27BE8">
        <w:t xml:space="preserve"> 47 C.F.R. § 1.429(l)(2).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45" w:rsidRDefault="00372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12" w:rsidRDefault="00394C12" w:rsidP="00810B6F">
    <w:pPr>
      <w:pStyle w:val="Header"/>
      <w:rPr>
        <w:b w:val="0"/>
      </w:rPr>
    </w:pPr>
    <w:r>
      <w:tab/>
      <w:t>Federal Communications Commission</w:t>
    </w:r>
    <w:r>
      <w:tab/>
    </w:r>
    <w:r w:rsidR="0022075B">
      <w:t xml:space="preserve">DA </w:t>
    </w:r>
    <w:r w:rsidR="008C64E1" w:rsidRPr="008C64E1">
      <w:t>14-1882</w:t>
    </w:r>
  </w:p>
  <w:p w:rsidR="00394C12" w:rsidRDefault="00394C1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88FD2B1" wp14:editId="5092A93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94C12" w:rsidRDefault="00394C1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12" w:rsidRDefault="00394C1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2075B">
      <w:rPr>
        <w:spacing w:val="-2"/>
      </w:rPr>
      <w:t xml:space="preserve">DA </w:t>
    </w:r>
    <w:r w:rsidR="008C64E1" w:rsidRPr="008C64E1">
      <w:rPr>
        <w:spacing w:val="-2"/>
      </w:rPr>
      <w:t>14-1882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364873"/>
    <w:multiLevelType w:val="hybridMultilevel"/>
    <w:tmpl w:val="A9AA692A"/>
    <w:lvl w:ilvl="0" w:tplc="EDD46C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C97ADD"/>
    <w:multiLevelType w:val="hybridMultilevel"/>
    <w:tmpl w:val="68307FB6"/>
    <w:lvl w:ilvl="0" w:tplc="CD889936">
      <w:start w:val="1"/>
      <w:numFmt w:val="upperLetter"/>
      <w:pStyle w:val="Heading2"/>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4E75B5"/>
    <w:multiLevelType w:val="hybridMultilevel"/>
    <w:tmpl w:val="B38CAC5E"/>
    <w:lvl w:ilvl="0" w:tplc="5ABA2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C36649F"/>
    <w:multiLevelType w:val="hybridMultilevel"/>
    <w:tmpl w:val="E6529D16"/>
    <w:lvl w:ilvl="0" w:tplc="4E5CA9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7"/>
  </w:num>
  <w:num w:numId="8">
    <w:abstractNumId w:val="1"/>
  </w:num>
  <w:num w:numId="9">
    <w:abstractNumId w:val="2"/>
  </w:num>
  <w:num w:numId="10">
    <w:abstractNumId w:val="10"/>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50"/>
    <w:rsid w:val="00014ECD"/>
    <w:rsid w:val="000159B6"/>
    <w:rsid w:val="00020FB0"/>
    <w:rsid w:val="000276C3"/>
    <w:rsid w:val="00036039"/>
    <w:rsid w:val="00037F90"/>
    <w:rsid w:val="00056721"/>
    <w:rsid w:val="00071645"/>
    <w:rsid w:val="0008334E"/>
    <w:rsid w:val="000875BF"/>
    <w:rsid w:val="00096D8C"/>
    <w:rsid w:val="000A3DA0"/>
    <w:rsid w:val="000C0B65"/>
    <w:rsid w:val="000C60D5"/>
    <w:rsid w:val="000E05FE"/>
    <w:rsid w:val="000E3D42"/>
    <w:rsid w:val="000E517A"/>
    <w:rsid w:val="001049E7"/>
    <w:rsid w:val="00122BD5"/>
    <w:rsid w:val="001332F1"/>
    <w:rsid w:val="00133F79"/>
    <w:rsid w:val="00156DC3"/>
    <w:rsid w:val="00183B92"/>
    <w:rsid w:val="00194A66"/>
    <w:rsid w:val="001D6BCF"/>
    <w:rsid w:val="001E01CA"/>
    <w:rsid w:val="001F7FFD"/>
    <w:rsid w:val="002005BF"/>
    <w:rsid w:val="0020436C"/>
    <w:rsid w:val="00216610"/>
    <w:rsid w:val="0022075B"/>
    <w:rsid w:val="00245339"/>
    <w:rsid w:val="0025256E"/>
    <w:rsid w:val="00275CF5"/>
    <w:rsid w:val="0028301F"/>
    <w:rsid w:val="00285017"/>
    <w:rsid w:val="002A2D2E"/>
    <w:rsid w:val="002B2D8D"/>
    <w:rsid w:val="002B3B03"/>
    <w:rsid w:val="002B3FBD"/>
    <w:rsid w:val="002C00E8"/>
    <w:rsid w:val="002D5497"/>
    <w:rsid w:val="002E0293"/>
    <w:rsid w:val="00307B58"/>
    <w:rsid w:val="00343749"/>
    <w:rsid w:val="003660ED"/>
    <w:rsid w:val="00372045"/>
    <w:rsid w:val="00382D2A"/>
    <w:rsid w:val="003943E6"/>
    <w:rsid w:val="00394C12"/>
    <w:rsid w:val="003B0097"/>
    <w:rsid w:val="003B0550"/>
    <w:rsid w:val="003B694F"/>
    <w:rsid w:val="003D6284"/>
    <w:rsid w:val="003F0806"/>
    <w:rsid w:val="003F171C"/>
    <w:rsid w:val="00412FC5"/>
    <w:rsid w:val="004136D6"/>
    <w:rsid w:val="004215D6"/>
    <w:rsid w:val="00422276"/>
    <w:rsid w:val="00423E04"/>
    <w:rsid w:val="004242F1"/>
    <w:rsid w:val="00427B3C"/>
    <w:rsid w:val="00432744"/>
    <w:rsid w:val="00445A00"/>
    <w:rsid w:val="00451B0F"/>
    <w:rsid w:val="00461F89"/>
    <w:rsid w:val="00467F7F"/>
    <w:rsid w:val="004C2EE3"/>
    <w:rsid w:val="004D4440"/>
    <w:rsid w:val="004E4A22"/>
    <w:rsid w:val="004F6E73"/>
    <w:rsid w:val="00511968"/>
    <w:rsid w:val="0055614C"/>
    <w:rsid w:val="00574447"/>
    <w:rsid w:val="005E0756"/>
    <w:rsid w:val="005E14C2"/>
    <w:rsid w:val="005F6BEE"/>
    <w:rsid w:val="005F7387"/>
    <w:rsid w:val="0060586F"/>
    <w:rsid w:val="00607BA5"/>
    <w:rsid w:val="0061180A"/>
    <w:rsid w:val="00617924"/>
    <w:rsid w:val="00626EB6"/>
    <w:rsid w:val="00653FA4"/>
    <w:rsid w:val="00655303"/>
    <w:rsid w:val="00655D03"/>
    <w:rsid w:val="00683388"/>
    <w:rsid w:val="00683F84"/>
    <w:rsid w:val="00697558"/>
    <w:rsid w:val="006A6A81"/>
    <w:rsid w:val="006F7393"/>
    <w:rsid w:val="006F7D6F"/>
    <w:rsid w:val="0070224F"/>
    <w:rsid w:val="007074C4"/>
    <w:rsid w:val="007115F7"/>
    <w:rsid w:val="00731E3F"/>
    <w:rsid w:val="00737FEB"/>
    <w:rsid w:val="00740877"/>
    <w:rsid w:val="00741462"/>
    <w:rsid w:val="00762F12"/>
    <w:rsid w:val="00785689"/>
    <w:rsid w:val="007959C4"/>
    <w:rsid w:val="0079754B"/>
    <w:rsid w:val="00797CC9"/>
    <w:rsid w:val="007A1E6D"/>
    <w:rsid w:val="007A484F"/>
    <w:rsid w:val="007B0EB2"/>
    <w:rsid w:val="007B539F"/>
    <w:rsid w:val="00810B6F"/>
    <w:rsid w:val="008147CF"/>
    <w:rsid w:val="00822CE0"/>
    <w:rsid w:val="00841AB1"/>
    <w:rsid w:val="0085184F"/>
    <w:rsid w:val="008644F4"/>
    <w:rsid w:val="00867AC5"/>
    <w:rsid w:val="00874A00"/>
    <w:rsid w:val="00876983"/>
    <w:rsid w:val="00896808"/>
    <w:rsid w:val="008976C3"/>
    <w:rsid w:val="008B14EF"/>
    <w:rsid w:val="008C64E1"/>
    <w:rsid w:val="008C68F1"/>
    <w:rsid w:val="008D28E1"/>
    <w:rsid w:val="008E1CB5"/>
    <w:rsid w:val="008F07EF"/>
    <w:rsid w:val="00921803"/>
    <w:rsid w:val="00926503"/>
    <w:rsid w:val="00930E94"/>
    <w:rsid w:val="00933C6C"/>
    <w:rsid w:val="009548A0"/>
    <w:rsid w:val="0095711C"/>
    <w:rsid w:val="00967A9B"/>
    <w:rsid w:val="009726D8"/>
    <w:rsid w:val="00972FBC"/>
    <w:rsid w:val="009A5D37"/>
    <w:rsid w:val="009D2126"/>
    <w:rsid w:val="009D502E"/>
    <w:rsid w:val="009E21A1"/>
    <w:rsid w:val="009E7985"/>
    <w:rsid w:val="009F2537"/>
    <w:rsid w:val="009F4055"/>
    <w:rsid w:val="009F76DB"/>
    <w:rsid w:val="00A05829"/>
    <w:rsid w:val="00A1729F"/>
    <w:rsid w:val="00A32C3B"/>
    <w:rsid w:val="00A409A0"/>
    <w:rsid w:val="00A45F4F"/>
    <w:rsid w:val="00A46381"/>
    <w:rsid w:val="00A600A9"/>
    <w:rsid w:val="00A73650"/>
    <w:rsid w:val="00A774E8"/>
    <w:rsid w:val="00AA03E3"/>
    <w:rsid w:val="00AA1CA7"/>
    <w:rsid w:val="00AA55B7"/>
    <w:rsid w:val="00AA5B9E"/>
    <w:rsid w:val="00AB1C7F"/>
    <w:rsid w:val="00AB2407"/>
    <w:rsid w:val="00AB53DF"/>
    <w:rsid w:val="00AB699F"/>
    <w:rsid w:val="00AC13DD"/>
    <w:rsid w:val="00AD11D4"/>
    <w:rsid w:val="00AE5DEC"/>
    <w:rsid w:val="00AF7450"/>
    <w:rsid w:val="00B07E5C"/>
    <w:rsid w:val="00B56804"/>
    <w:rsid w:val="00B61BDE"/>
    <w:rsid w:val="00B65941"/>
    <w:rsid w:val="00B66AC4"/>
    <w:rsid w:val="00B811F7"/>
    <w:rsid w:val="00B84B01"/>
    <w:rsid w:val="00B904DB"/>
    <w:rsid w:val="00BA43A7"/>
    <w:rsid w:val="00BA5DC6"/>
    <w:rsid w:val="00BA6196"/>
    <w:rsid w:val="00BC2B63"/>
    <w:rsid w:val="00BC6D8C"/>
    <w:rsid w:val="00BD6266"/>
    <w:rsid w:val="00BE27FF"/>
    <w:rsid w:val="00BE2DAB"/>
    <w:rsid w:val="00C110B7"/>
    <w:rsid w:val="00C16271"/>
    <w:rsid w:val="00C34006"/>
    <w:rsid w:val="00C426B1"/>
    <w:rsid w:val="00C66160"/>
    <w:rsid w:val="00C70B18"/>
    <w:rsid w:val="00C71D47"/>
    <w:rsid w:val="00C721AC"/>
    <w:rsid w:val="00C82CF8"/>
    <w:rsid w:val="00C90D6A"/>
    <w:rsid w:val="00C97EF4"/>
    <w:rsid w:val="00CA247E"/>
    <w:rsid w:val="00CA643F"/>
    <w:rsid w:val="00CB4F42"/>
    <w:rsid w:val="00CC72B6"/>
    <w:rsid w:val="00CE3ED4"/>
    <w:rsid w:val="00CE6774"/>
    <w:rsid w:val="00CF39CF"/>
    <w:rsid w:val="00D0218D"/>
    <w:rsid w:val="00D25FB5"/>
    <w:rsid w:val="00D27BE8"/>
    <w:rsid w:val="00D43144"/>
    <w:rsid w:val="00D44223"/>
    <w:rsid w:val="00D508C1"/>
    <w:rsid w:val="00D52602"/>
    <w:rsid w:val="00D77FB7"/>
    <w:rsid w:val="00D904A4"/>
    <w:rsid w:val="00DA2529"/>
    <w:rsid w:val="00DB130A"/>
    <w:rsid w:val="00DB2EBB"/>
    <w:rsid w:val="00DB7B67"/>
    <w:rsid w:val="00DC10A1"/>
    <w:rsid w:val="00DC59D8"/>
    <w:rsid w:val="00DC655F"/>
    <w:rsid w:val="00DC7DD3"/>
    <w:rsid w:val="00DD0B59"/>
    <w:rsid w:val="00DD7EBD"/>
    <w:rsid w:val="00DF304D"/>
    <w:rsid w:val="00DF62B6"/>
    <w:rsid w:val="00E02EF0"/>
    <w:rsid w:val="00E07225"/>
    <w:rsid w:val="00E15538"/>
    <w:rsid w:val="00E22A61"/>
    <w:rsid w:val="00E33F66"/>
    <w:rsid w:val="00E40A48"/>
    <w:rsid w:val="00E5409F"/>
    <w:rsid w:val="00E54884"/>
    <w:rsid w:val="00E80466"/>
    <w:rsid w:val="00E816C6"/>
    <w:rsid w:val="00E960FC"/>
    <w:rsid w:val="00EB652B"/>
    <w:rsid w:val="00EE6488"/>
    <w:rsid w:val="00F021FA"/>
    <w:rsid w:val="00F07223"/>
    <w:rsid w:val="00F1636F"/>
    <w:rsid w:val="00F200CA"/>
    <w:rsid w:val="00F24558"/>
    <w:rsid w:val="00F30F96"/>
    <w:rsid w:val="00F54BD5"/>
    <w:rsid w:val="00F574FE"/>
    <w:rsid w:val="00F62E97"/>
    <w:rsid w:val="00F64209"/>
    <w:rsid w:val="00F8509D"/>
    <w:rsid w:val="00F93BF5"/>
    <w:rsid w:val="00FA670E"/>
    <w:rsid w:val="00FC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uiPriority w:val="9"/>
    <w:qFormat/>
    <w:rsid w:val="00BE27FF"/>
    <w:pPr>
      <w:keepNext/>
      <w:widowControl/>
      <w:numPr>
        <w:numId w:val="9"/>
      </w:numPr>
      <w:tabs>
        <w:tab w:val="num" w:pos="1440"/>
      </w:tabs>
      <w:spacing w:after="120"/>
      <w:ind w:left="1440" w:firstLine="0"/>
      <w:outlineLvl w:val="1"/>
    </w:pPr>
    <w:rPr>
      <w:b/>
    </w:rPr>
  </w:style>
  <w:style w:type="paragraph" w:styleId="Heading3">
    <w:name w:val="heading 3"/>
    <w:basedOn w:val="Normal"/>
    <w:next w:val="ParaNum"/>
    <w:qFormat/>
    <w:rsid w:val="00BA6196"/>
    <w:pPr>
      <w:keepNext/>
      <w:tabs>
        <w:tab w:val="left" w:pos="2160"/>
      </w:tabs>
      <w:spacing w:after="120"/>
      <w:outlineLvl w:val="2"/>
    </w:pPr>
    <w:rPr>
      <w:b/>
    </w:rPr>
  </w:style>
  <w:style w:type="paragraph" w:styleId="Heading4">
    <w:name w:val="heading 4"/>
    <w:basedOn w:val="Normal"/>
    <w:next w:val="ParaNum"/>
    <w:qFormat/>
    <w:rsid w:val="00C426B1"/>
    <w:pPr>
      <w:keepNext/>
      <w:tabs>
        <w:tab w:val="left" w:pos="2880"/>
      </w:tabs>
      <w:spacing w:after="120"/>
      <w:outlineLvl w:val="3"/>
    </w:pPr>
    <w:rPr>
      <w:b/>
    </w:rPr>
  </w:style>
  <w:style w:type="paragraph" w:styleId="Heading5">
    <w:name w:val="heading 5"/>
    <w:basedOn w:val="Normal"/>
    <w:next w:val="ParaNum"/>
    <w:qFormat/>
    <w:rsid w:val="00511968"/>
    <w:pPr>
      <w:keepNext/>
      <w:tabs>
        <w:tab w:val="left" w:pos="3600"/>
      </w:tabs>
      <w:suppressAutoHyphens/>
      <w:spacing w:after="120"/>
      <w:outlineLvl w:val="4"/>
    </w:pPr>
    <w:rPr>
      <w:b/>
    </w:rPr>
  </w:style>
  <w:style w:type="paragraph" w:styleId="Heading6">
    <w:name w:val="heading 6"/>
    <w:basedOn w:val="Normal"/>
    <w:next w:val="ParaNum"/>
    <w:qFormat/>
    <w:rsid w:val="00036039"/>
    <w:pPr>
      <w:tabs>
        <w:tab w:val="left" w:pos="4320"/>
      </w:tabs>
      <w:spacing w:after="120"/>
      <w:outlineLvl w:val="5"/>
    </w:pPr>
    <w:rPr>
      <w:b/>
    </w:rPr>
  </w:style>
  <w:style w:type="paragraph" w:styleId="Heading7">
    <w:name w:val="heading 7"/>
    <w:basedOn w:val="Normal"/>
    <w:next w:val="ParaNum"/>
    <w:qFormat/>
    <w:rsid w:val="00036039"/>
    <w:pPr>
      <w:tabs>
        <w:tab w:val="left" w:pos="5040"/>
      </w:tabs>
      <w:spacing w:after="120"/>
      <w:outlineLvl w:val="6"/>
    </w:pPr>
    <w:rPr>
      <w:b/>
    </w:rPr>
  </w:style>
  <w:style w:type="paragraph" w:styleId="Heading8">
    <w:name w:val="heading 8"/>
    <w:basedOn w:val="Normal"/>
    <w:next w:val="ParaNum"/>
    <w:qFormat/>
    <w:rsid w:val="001E01CA"/>
    <w:pPr>
      <w:tabs>
        <w:tab w:val="left" w:pos="5760"/>
      </w:tabs>
      <w:spacing w:after="120"/>
      <w:outlineLvl w:val="7"/>
    </w:pPr>
    <w:rPr>
      <w:b/>
    </w:rPr>
  </w:style>
  <w:style w:type="paragraph" w:styleId="Heading9">
    <w:name w:val="heading 9"/>
    <w:basedOn w:val="Normal"/>
    <w:next w:val="ParaNum"/>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uiPriority w:val="99"/>
    <w:locked/>
    <w:rsid w:val="00394C12"/>
    <w:rPr>
      <w:snapToGrid w:val="0"/>
      <w:kern w:val="28"/>
      <w:sz w:val="22"/>
    </w:rPr>
  </w:style>
  <w:style w:type="paragraph" w:styleId="BalloonText">
    <w:name w:val="Balloon Text"/>
    <w:basedOn w:val="Normal"/>
    <w:link w:val="BalloonTextChar"/>
    <w:rsid w:val="00E15538"/>
    <w:rPr>
      <w:rFonts w:ascii="Tahoma" w:hAnsi="Tahoma" w:cs="Tahoma"/>
      <w:sz w:val="16"/>
      <w:szCs w:val="16"/>
    </w:rPr>
  </w:style>
  <w:style w:type="character" w:customStyle="1" w:styleId="BalloonTextChar">
    <w:name w:val="Balloon Text Char"/>
    <w:basedOn w:val="DefaultParagraphFont"/>
    <w:link w:val="BalloonText"/>
    <w:rsid w:val="00E15538"/>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uiPriority w:val="9"/>
    <w:rsid w:val="00BE27FF"/>
    <w:rPr>
      <w:b/>
      <w:snapToGrid w:val="0"/>
      <w:kern w:val="28"/>
      <w:sz w:val="22"/>
    </w:rPr>
  </w:style>
  <w:style w:type="character" w:customStyle="1" w:styleId="Heading1Char">
    <w:name w:val="Heading 1 Char"/>
    <w:link w:val="Heading1"/>
    <w:uiPriority w:val="99"/>
    <w:locked/>
    <w:rsid w:val="009F2537"/>
    <w:rPr>
      <w:rFonts w:ascii="Times New Roman Bold" w:hAnsi="Times New Roman Bold"/>
      <w:b/>
      <w:caps/>
      <w:snapToGrid w:val="0"/>
      <w:kern w:val="28"/>
      <w:sz w:val="22"/>
    </w:rPr>
  </w:style>
  <w:style w:type="character" w:customStyle="1" w:styleId="FootnoteTextChar">
    <w:name w:val="Footnote Text Char"/>
    <w:basedOn w:val="DefaultParagraphFont"/>
    <w:link w:val="FootnoteText"/>
    <w:rsid w:val="00C70B18"/>
  </w:style>
  <w:style w:type="character" w:customStyle="1" w:styleId="ParaNumChar">
    <w:name w:val="ParaNum Char"/>
    <w:uiPriority w:val="99"/>
    <w:locked/>
    <w:rsid w:val="00F200CA"/>
    <w:rPr>
      <w:sz w:val="22"/>
    </w:rPr>
  </w:style>
  <w:style w:type="character" w:styleId="CommentReference">
    <w:name w:val="annotation reference"/>
    <w:basedOn w:val="DefaultParagraphFont"/>
    <w:rsid w:val="00F07223"/>
    <w:rPr>
      <w:sz w:val="16"/>
      <w:szCs w:val="16"/>
    </w:rPr>
  </w:style>
  <w:style w:type="paragraph" w:styleId="CommentText">
    <w:name w:val="annotation text"/>
    <w:basedOn w:val="Normal"/>
    <w:link w:val="CommentTextChar"/>
    <w:rsid w:val="00F07223"/>
    <w:rPr>
      <w:sz w:val="20"/>
    </w:rPr>
  </w:style>
  <w:style w:type="character" w:customStyle="1" w:styleId="CommentTextChar">
    <w:name w:val="Comment Text Char"/>
    <w:basedOn w:val="DefaultParagraphFont"/>
    <w:link w:val="CommentText"/>
    <w:rsid w:val="00F07223"/>
    <w:rPr>
      <w:snapToGrid w:val="0"/>
      <w:kern w:val="28"/>
    </w:rPr>
  </w:style>
  <w:style w:type="paragraph" w:styleId="CommentSubject">
    <w:name w:val="annotation subject"/>
    <w:basedOn w:val="CommentText"/>
    <w:next w:val="CommentText"/>
    <w:link w:val="CommentSubjectChar"/>
    <w:rsid w:val="00F07223"/>
    <w:rPr>
      <w:b/>
      <w:bCs/>
    </w:rPr>
  </w:style>
  <w:style w:type="character" w:customStyle="1" w:styleId="CommentSubjectChar">
    <w:name w:val="Comment Subject Char"/>
    <w:basedOn w:val="CommentTextChar"/>
    <w:link w:val="CommentSubject"/>
    <w:rsid w:val="00F0722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uiPriority w:val="9"/>
    <w:qFormat/>
    <w:rsid w:val="00BE27FF"/>
    <w:pPr>
      <w:keepNext/>
      <w:widowControl/>
      <w:numPr>
        <w:numId w:val="9"/>
      </w:numPr>
      <w:tabs>
        <w:tab w:val="num" w:pos="1440"/>
      </w:tabs>
      <w:spacing w:after="120"/>
      <w:ind w:left="1440" w:firstLine="0"/>
      <w:outlineLvl w:val="1"/>
    </w:pPr>
    <w:rPr>
      <w:b/>
    </w:rPr>
  </w:style>
  <w:style w:type="paragraph" w:styleId="Heading3">
    <w:name w:val="heading 3"/>
    <w:basedOn w:val="Normal"/>
    <w:next w:val="ParaNum"/>
    <w:qFormat/>
    <w:rsid w:val="00BA6196"/>
    <w:pPr>
      <w:keepNext/>
      <w:tabs>
        <w:tab w:val="left" w:pos="2160"/>
      </w:tabs>
      <w:spacing w:after="120"/>
      <w:outlineLvl w:val="2"/>
    </w:pPr>
    <w:rPr>
      <w:b/>
    </w:rPr>
  </w:style>
  <w:style w:type="paragraph" w:styleId="Heading4">
    <w:name w:val="heading 4"/>
    <w:basedOn w:val="Normal"/>
    <w:next w:val="ParaNum"/>
    <w:qFormat/>
    <w:rsid w:val="00C426B1"/>
    <w:pPr>
      <w:keepNext/>
      <w:tabs>
        <w:tab w:val="left" w:pos="2880"/>
      </w:tabs>
      <w:spacing w:after="120"/>
      <w:outlineLvl w:val="3"/>
    </w:pPr>
    <w:rPr>
      <w:b/>
    </w:rPr>
  </w:style>
  <w:style w:type="paragraph" w:styleId="Heading5">
    <w:name w:val="heading 5"/>
    <w:basedOn w:val="Normal"/>
    <w:next w:val="ParaNum"/>
    <w:qFormat/>
    <w:rsid w:val="00511968"/>
    <w:pPr>
      <w:keepNext/>
      <w:tabs>
        <w:tab w:val="left" w:pos="3600"/>
      </w:tabs>
      <w:suppressAutoHyphens/>
      <w:spacing w:after="120"/>
      <w:outlineLvl w:val="4"/>
    </w:pPr>
    <w:rPr>
      <w:b/>
    </w:rPr>
  </w:style>
  <w:style w:type="paragraph" w:styleId="Heading6">
    <w:name w:val="heading 6"/>
    <w:basedOn w:val="Normal"/>
    <w:next w:val="ParaNum"/>
    <w:qFormat/>
    <w:rsid w:val="00036039"/>
    <w:pPr>
      <w:tabs>
        <w:tab w:val="left" w:pos="4320"/>
      </w:tabs>
      <w:spacing w:after="120"/>
      <w:outlineLvl w:val="5"/>
    </w:pPr>
    <w:rPr>
      <w:b/>
    </w:rPr>
  </w:style>
  <w:style w:type="paragraph" w:styleId="Heading7">
    <w:name w:val="heading 7"/>
    <w:basedOn w:val="Normal"/>
    <w:next w:val="ParaNum"/>
    <w:qFormat/>
    <w:rsid w:val="00036039"/>
    <w:pPr>
      <w:tabs>
        <w:tab w:val="left" w:pos="5040"/>
      </w:tabs>
      <w:spacing w:after="120"/>
      <w:outlineLvl w:val="6"/>
    </w:pPr>
    <w:rPr>
      <w:b/>
    </w:rPr>
  </w:style>
  <w:style w:type="paragraph" w:styleId="Heading8">
    <w:name w:val="heading 8"/>
    <w:basedOn w:val="Normal"/>
    <w:next w:val="ParaNum"/>
    <w:qFormat/>
    <w:rsid w:val="001E01CA"/>
    <w:pPr>
      <w:tabs>
        <w:tab w:val="left" w:pos="5760"/>
      </w:tabs>
      <w:spacing w:after="120"/>
      <w:outlineLvl w:val="7"/>
    </w:pPr>
    <w:rPr>
      <w:b/>
    </w:rPr>
  </w:style>
  <w:style w:type="paragraph" w:styleId="Heading9">
    <w:name w:val="heading 9"/>
    <w:basedOn w:val="Normal"/>
    <w:next w:val="ParaNum"/>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uiPriority w:val="99"/>
    <w:locked/>
    <w:rsid w:val="00394C12"/>
    <w:rPr>
      <w:snapToGrid w:val="0"/>
      <w:kern w:val="28"/>
      <w:sz w:val="22"/>
    </w:rPr>
  </w:style>
  <w:style w:type="paragraph" w:styleId="BalloonText">
    <w:name w:val="Balloon Text"/>
    <w:basedOn w:val="Normal"/>
    <w:link w:val="BalloonTextChar"/>
    <w:rsid w:val="00E15538"/>
    <w:rPr>
      <w:rFonts w:ascii="Tahoma" w:hAnsi="Tahoma" w:cs="Tahoma"/>
      <w:sz w:val="16"/>
      <w:szCs w:val="16"/>
    </w:rPr>
  </w:style>
  <w:style w:type="character" w:customStyle="1" w:styleId="BalloonTextChar">
    <w:name w:val="Balloon Text Char"/>
    <w:basedOn w:val="DefaultParagraphFont"/>
    <w:link w:val="BalloonText"/>
    <w:rsid w:val="00E15538"/>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uiPriority w:val="9"/>
    <w:rsid w:val="00BE27FF"/>
    <w:rPr>
      <w:b/>
      <w:snapToGrid w:val="0"/>
      <w:kern w:val="28"/>
      <w:sz w:val="22"/>
    </w:rPr>
  </w:style>
  <w:style w:type="character" w:customStyle="1" w:styleId="Heading1Char">
    <w:name w:val="Heading 1 Char"/>
    <w:link w:val="Heading1"/>
    <w:uiPriority w:val="99"/>
    <w:locked/>
    <w:rsid w:val="009F2537"/>
    <w:rPr>
      <w:rFonts w:ascii="Times New Roman Bold" w:hAnsi="Times New Roman Bold"/>
      <w:b/>
      <w:caps/>
      <w:snapToGrid w:val="0"/>
      <w:kern w:val="28"/>
      <w:sz w:val="22"/>
    </w:rPr>
  </w:style>
  <w:style w:type="character" w:customStyle="1" w:styleId="FootnoteTextChar">
    <w:name w:val="Footnote Text Char"/>
    <w:basedOn w:val="DefaultParagraphFont"/>
    <w:link w:val="FootnoteText"/>
    <w:rsid w:val="00C70B18"/>
  </w:style>
  <w:style w:type="character" w:customStyle="1" w:styleId="ParaNumChar">
    <w:name w:val="ParaNum Char"/>
    <w:uiPriority w:val="99"/>
    <w:locked/>
    <w:rsid w:val="00F200CA"/>
    <w:rPr>
      <w:sz w:val="22"/>
    </w:rPr>
  </w:style>
  <w:style w:type="character" w:styleId="CommentReference">
    <w:name w:val="annotation reference"/>
    <w:basedOn w:val="DefaultParagraphFont"/>
    <w:rsid w:val="00F07223"/>
    <w:rPr>
      <w:sz w:val="16"/>
      <w:szCs w:val="16"/>
    </w:rPr>
  </w:style>
  <w:style w:type="paragraph" w:styleId="CommentText">
    <w:name w:val="annotation text"/>
    <w:basedOn w:val="Normal"/>
    <w:link w:val="CommentTextChar"/>
    <w:rsid w:val="00F07223"/>
    <w:rPr>
      <w:sz w:val="20"/>
    </w:rPr>
  </w:style>
  <w:style w:type="character" w:customStyle="1" w:styleId="CommentTextChar">
    <w:name w:val="Comment Text Char"/>
    <w:basedOn w:val="DefaultParagraphFont"/>
    <w:link w:val="CommentText"/>
    <w:rsid w:val="00F07223"/>
    <w:rPr>
      <w:snapToGrid w:val="0"/>
      <w:kern w:val="28"/>
    </w:rPr>
  </w:style>
  <w:style w:type="paragraph" w:styleId="CommentSubject">
    <w:name w:val="annotation subject"/>
    <w:basedOn w:val="CommentText"/>
    <w:next w:val="CommentText"/>
    <w:link w:val="CommentSubjectChar"/>
    <w:rsid w:val="00F07223"/>
    <w:rPr>
      <w:b/>
      <w:bCs/>
    </w:rPr>
  </w:style>
  <w:style w:type="character" w:customStyle="1" w:styleId="CommentSubjectChar">
    <w:name w:val="Comment Subject Char"/>
    <w:basedOn w:val="CommentTextChar"/>
    <w:link w:val="CommentSubject"/>
    <w:rsid w:val="00F0722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1280</Words>
  <Characters>7002</Characters>
  <Application>Microsoft Office Word</Application>
  <DocSecurity>0</DocSecurity>
  <Lines>146</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2014-08-12T14:27:00Z</cp:lastPrinted>
  <dcterms:created xsi:type="dcterms:W3CDTF">2014-12-22T22:56:00Z</dcterms:created>
  <dcterms:modified xsi:type="dcterms:W3CDTF">2014-12-22T22:56:00Z</dcterms:modified>
  <cp:category> </cp:category>
  <cp:contentStatus> </cp:contentStatus>
</cp:coreProperties>
</file>