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21" w:rsidRDefault="00C337F7" w:rsidP="007A63E5">
      <w:pPr>
        <w:ind w:left="5760" w:firstLine="720"/>
        <w:jc w:val="right"/>
        <w:rPr>
          <w:sz w:val="24"/>
        </w:rPr>
      </w:pPr>
      <w:bookmarkStart w:id="0" w:name="Text1"/>
      <w:bookmarkStart w:id="1" w:name="_GoBack"/>
      <w:bookmarkEnd w:id="1"/>
      <w:r>
        <w:rPr>
          <w:sz w:val="24"/>
        </w:rPr>
        <w:t xml:space="preserve">  </w:t>
      </w:r>
    </w:p>
    <w:p w:rsidR="007A63E5" w:rsidRDefault="005C7D25" w:rsidP="007A63E5">
      <w:pPr>
        <w:ind w:left="5760" w:firstLine="720"/>
        <w:jc w:val="right"/>
        <w:rPr>
          <w:sz w:val="24"/>
        </w:rPr>
      </w:pPr>
      <w:r>
        <w:rPr>
          <w:sz w:val="24"/>
        </w:rPr>
        <w:t>DA 1</w:t>
      </w:r>
      <w:bookmarkEnd w:id="0"/>
      <w:r w:rsidR="004B4900">
        <w:rPr>
          <w:sz w:val="24"/>
        </w:rPr>
        <w:t>4</w:t>
      </w:r>
      <w:r w:rsidR="00A51C5B">
        <w:rPr>
          <w:sz w:val="24"/>
        </w:rPr>
        <w:t>-</w:t>
      </w:r>
      <w:r w:rsidR="001C1B1F">
        <w:rPr>
          <w:sz w:val="24"/>
        </w:rPr>
        <w:t>1890</w:t>
      </w:r>
    </w:p>
    <w:p w:rsidR="00C41AE0" w:rsidRDefault="004B4900" w:rsidP="007A63E5">
      <w:pPr>
        <w:ind w:left="5760" w:firstLine="720"/>
        <w:jc w:val="right"/>
        <w:rPr>
          <w:sz w:val="24"/>
        </w:rPr>
      </w:pPr>
      <w:r>
        <w:rPr>
          <w:sz w:val="24"/>
        </w:rPr>
        <w:t>December 23</w:t>
      </w:r>
      <w:r w:rsidR="007A63E5">
        <w:rPr>
          <w:sz w:val="24"/>
        </w:rPr>
        <w:t>, 2014</w:t>
      </w:r>
    </w:p>
    <w:p w:rsidR="00C41AE0" w:rsidRDefault="00C41AE0">
      <w:pPr>
        <w:jc w:val="right"/>
        <w:rPr>
          <w:sz w:val="24"/>
        </w:rPr>
      </w:pPr>
    </w:p>
    <w:p w:rsidR="003D4CF5" w:rsidRDefault="003D4CF5" w:rsidP="005C7D25">
      <w:pPr>
        <w:spacing w:after="120"/>
        <w:jc w:val="center"/>
        <w:rPr>
          <w:b/>
          <w:szCs w:val="22"/>
        </w:rPr>
      </w:pPr>
    </w:p>
    <w:p w:rsidR="004B4900" w:rsidRDefault="008D2CF4" w:rsidP="004B4900">
      <w:pPr>
        <w:jc w:val="center"/>
        <w:rPr>
          <w:b/>
          <w:szCs w:val="22"/>
        </w:rPr>
      </w:pPr>
      <w:r>
        <w:rPr>
          <w:b/>
          <w:szCs w:val="22"/>
        </w:rPr>
        <w:t xml:space="preserve">COMMENT DEADLINES ESTABLISHED </w:t>
      </w:r>
      <w:r w:rsidR="00F37B6A">
        <w:rPr>
          <w:b/>
          <w:szCs w:val="22"/>
        </w:rPr>
        <w:t xml:space="preserve">FOR </w:t>
      </w:r>
      <w:r w:rsidR="004B4900">
        <w:rPr>
          <w:b/>
          <w:szCs w:val="22"/>
        </w:rPr>
        <w:t>REQUEST FOR UPDATED INFORMATION AND COMMENT ON WIRELESS HEARING AID COMPATIBILITY REGULATIONS</w:t>
      </w:r>
    </w:p>
    <w:p w:rsidR="008D2CF4" w:rsidRDefault="008D2CF4" w:rsidP="004B4900">
      <w:pPr>
        <w:jc w:val="center"/>
        <w:rPr>
          <w:b/>
          <w:szCs w:val="22"/>
        </w:rPr>
      </w:pPr>
    </w:p>
    <w:p w:rsidR="005C7D25" w:rsidRPr="005C7D25" w:rsidRDefault="004B4900" w:rsidP="004B4900">
      <w:pPr>
        <w:jc w:val="center"/>
        <w:rPr>
          <w:b/>
          <w:szCs w:val="22"/>
        </w:rPr>
      </w:pPr>
      <w:r>
        <w:rPr>
          <w:b/>
          <w:szCs w:val="22"/>
        </w:rPr>
        <w:t>WT Docket Nos. 07-250 and 10-254</w:t>
      </w:r>
    </w:p>
    <w:p w:rsidR="00962680" w:rsidRDefault="00962680" w:rsidP="001421E0">
      <w:pPr>
        <w:ind w:firstLine="720"/>
        <w:rPr>
          <w:szCs w:val="22"/>
        </w:rPr>
      </w:pPr>
    </w:p>
    <w:p w:rsidR="00684C53" w:rsidRDefault="00A23D63" w:rsidP="004B4900">
      <w:pPr>
        <w:ind w:firstLine="720"/>
        <w:rPr>
          <w:szCs w:val="22"/>
        </w:rPr>
      </w:pPr>
      <w:r>
        <w:rPr>
          <w:szCs w:val="22"/>
        </w:rPr>
        <w:t>On November 21</w:t>
      </w:r>
      <w:r w:rsidR="004B4900">
        <w:rPr>
          <w:szCs w:val="22"/>
        </w:rPr>
        <w:t xml:space="preserve">, 2014, the Wireless Telecommunication Bureau and the Consumer and </w:t>
      </w:r>
      <w:r w:rsidR="008D2CF4">
        <w:rPr>
          <w:szCs w:val="22"/>
        </w:rPr>
        <w:t xml:space="preserve">the </w:t>
      </w:r>
      <w:r w:rsidR="004B4900">
        <w:rPr>
          <w:szCs w:val="22"/>
        </w:rPr>
        <w:t>Government</w:t>
      </w:r>
      <w:r w:rsidR="008D2CF4">
        <w:rPr>
          <w:szCs w:val="22"/>
        </w:rPr>
        <w:t>al</w:t>
      </w:r>
      <w:r w:rsidR="004B4900">
        <w:rPr>
          <w:szCs w:val="22"/>
        </w:rPr>
        <w:t xml:space="preserve"> Affairs Bureau</w:t>
      </w:r>
      <w:r w:rsidR="000F7C75">
        <w:rPr>
          <w:szCs w:val="22"/>
        </w:rPr>
        <w:t xml:space="preserve"> released </w:t>
      </w:r>
      <w:r>
        <w:rPr>
          <w:szCs w:val="22"/>
        </w:rPr>
        <w:t>a Public</w:t>
      </w:r>
      <w:r w:rsidR="004B4900">
        <w:rPr>
          <w:szCs w:val="22"/>
        </w:rPr>
        <w:t xml:space="preserve"> Notice requesting </w:t>
      </w:r>
      <w:r w:rsidR="004B4900" w:rsidRPr="004B4900">
        <w:rPr>
          <w:szCs w:val="22"/>
        </w:rPr>
        <w:t>updated information to assess</w:t>
      </w:r>
      <w:r w:rsidR="004B4900">
        <w:rPr>
          <w:szCs w:val="22"/>
        </w:rPr>
        <w:t xml:space="preserve"> </w:t>
      </w:r>
      <w:r w:rsidR="004B4900" w:rsidRPr="004B4900">
        <w:rPr>
          <w:szCs w:val="22"/>
        </w:rPr>
        <w:t>whether the Commission’s hearing aid</w:t>
      </w:r>
      <w:r w:rsidR="004B4900">
        <w:rPr>
          <w:szCs w:val="22"/>
        </w:rPr>
        <w:t xml:space="preserve"> </w:t>
      </w:r>
      <w:r w:rsidR="004B4900" w:rsidRPr="004B4900">
        <w:rPr>
          <w:szCs w:val="22"/>
        </w:rPr>
        <w:t>compatibility rules for wireless handsets</w:t>
      </w:r>
      <w:r w:rsidR="004B4900">
        <w:rPr>
          <w:szCs w:val="22"/>
        </w:rPr>
        <w:t xml:space="preserve"> </w:t>
      </w:r>
      <w:r w:rsidR="004B4900" w:rsidRPr="004B4900">
        <w:rPr>
          <w:szCs w:val="22"/>
        </w:rPr>
        <w:t>effectively meet the needs of individuals</w:t>
      </w:r>
      <w:r w:rsidR="004B4900">
        <w:rPr>
          <w:szCs w:val="22"/>
        </w:rPr>
        <w:t xml:space="preserve"> </w:t>
      </w:r>
      <w:r w:rsidR="004B4900" w:rsidRPr="004B4900">
        <w:rPr>
          <w:szCs w:val="22"/>
        </w:rPr>
        <w:t>who are deaf and hard of hear</w:t>
      </w:r>
      <w:r>
        <w:rPr>
          <w:szCs w:val="22"/>
        </w:rPr>
        <w:t>ing.</w:t>
      </w:r>
      <w:r>
        <w:rPr>
          <w:rStyle w:val="FootnoteReference"/>
          <w:szCs w:val="22"/>
        </w:rPr>
        <w:footnoteReference w:id="1"/>
      </w:r>
      <w:r>
        <w:rPr>
          <w:szCs w:val="22"/>
        </w:rPr>
        <w:t xml:space="preserve">  </w:t>
      </w:r>
      <w:r w:rsidR="008D2CF4">
        <w:rPr>
          <w:szCs w:val="22"/>
        </w:rPr>
        <w:t xml:space="preserve">In this Public Notice, the Bureaus requested comment </w:t>
      </w:r>
      <w:r w:rsidR="004B4900">
        <w:rPr>
          <w:szCs w:val="22"/>
        </w:rPr>
        <w:t xml:space="preserve">on two principal issues.  </w:t>
      </w:r>
      <w:r w:rsidR="004B4900" w:rsidRPr="004B4900">
        <w:rPr>
          <w:szCs w:val="22"/>
        </w:rPr>
        <w:t>First, should the Commission revise the hearing aid compatibility requirement to apply in a technologically neutral way to all mobile wireless devices that can be used for voice communications?  Second, should the Commission consider moving away from the fractional compliance regime that exists today and implement a requirement that all mobile wireless devices must comply with the hearing aid compatibility rules?</w:t>
      </w:r>
    </w:p>
    <w:p w:rsidR="00684C53" w:rsidRDefault="00684C53" w:rsidP="001421E0">
      <w:pPr>
        <w:ind w:firstLine="720"/>
        <w:rPr>
          <w:szCs w:val="22"/>
        </w:rPr>
      </w:pPr>
    </w:p>
    <w:p w:rsidR="005C7D25" w:rsidRPr="0038054C" w:rsidRDefault="00493D77" w:rsidP="001421E0">
      <w:pPr>
        <w:ind w:firstLine="720"/>
        <w:rPr>
          <w:szCs w:val="22"/>
        </w:rPr>
      </w:pPr>
      <w:r>
        <w:rPr>
          <w:szCs w:val="22"/>
        </w:rPr>
        <w:t>T</w:t>
      </w:r>
      <w:r w:rsidR="000F7C75" w:rsidRPr="0038054C">
        <w:rPr>
          <w:szCs w:val="22"/>
        </w:rPr>
        <w:t xml:space="preserve">he </w:t>
      </w:r>
      <w:r w:rsidR="004B4900">
        <w:rPr>
          <w:szCs w:val="22"/>
        </w:rPr>
        <w:t>Public Notice</w:t>
      </w:r>
      <w:r w:rsidR="008D2CF4">
        <w:rPr>
          <w:szCs w:val="22"/>
        </w:rPr>
        <w:t xml:space="preserve"> requesting updating information and comment</w:t>
      </w:r>
      <w:r w:rsidR="004B4900">
        <w:rPr>
          <w:szCs w:val="22"/>
        </w:rPr>
        <w:t xml:space="preserve"> was</w:t>
      </w:r>
      <w:r w:rsidR="009F3720" w:rsidRPr="0038054C">
        <w:rPr>
          <w:szCs w:val="22"/>
        </w:rPr>
        <w:t xml:space="preserve"> published in the </w:t>
      </w:r>
      <w:r w:rsidR="009F3720" w:rsidRPr="0038054C">
        <w:rPr>
          <w:i/>
          <w:szCs w:val="22"/>
        </w:rPr>
        <w:t>Federal Register</w:t>
      </w:r>
      <w:r>
        <w:rPr>
          <w:szCs w:val="22"/>
        </w:rPr>
        <w:t xml:space="preserve"> o</w:t>
      </w:r>
      <w:r w:rsidRPr="0038054C">
        <w:rPr>
          <w:szCs w:val="22"/>
        </w:rPr>
        <w:t xml:space="preserve">n </w:t>
      </w:r>
      <w:r w:rsidR="004B4900">
        <w:rPr>
          <w:szCs w:val="22"/>
        </w:rPr>
        <w:t>December 23</w:t>
      </w:r>
      <w:r w:rsidR="00FA639E">
        <w:rPr>
          <w:szCs w:val="22"/>
        </w:rPr>
        <w:t>, 2014</w:t>
      </w:r>
      <w:r w:rsidR="003D4CF5">
        <w:rPr>
          <w:szCs w:val="22"/>
        </w:rPr>
        <w:t>.</w:t>
      </w:r>
      <w:r w:rsidR="001421E0" w:rsidRPr="0038054C">
        <w:rPr>
          <w:rStyle w:val="FootnoteReference"/>
          <w:szCs w:val="22"/>
        </w:rPr>
        <w:footnoteReference w:id="2"/>
      </w:r>
      <w:r w:rsidR="001954E5">
        <w:rPr>
          <w:szCs w:val="22"/>
        </w:rPr>
        <w:t xml:space="preserve">  </w:t>
      </w:r>
      <w:r w:rsidR="003D4CF5">
        <w:rPr>
          <w:szCs w:val="22"/>
        </w:rPr>
        <w:t>Accordingly, comments must be filed with the Commission no later than</w:t>
      </w:r>
      <w:r w:rsidR="004B4900">
        <w:rPr>
          <w:szCs w:val="22"/>
        </w:rPr>
        <w:t xml:space="preserve"> January 22</w:t>
      </w:r>
      <w:r w:rsidR="00FA639E">
        <w:rPr>
          <w:szCs w:val="22"/>
        </w:rPr>
        <w:t>, 2015</w:t>
      </w:r>
      <w:r w:rsidR="003D4CF5">
        <w:rPr>
          <w:szCs w:val="22"/>
        </w:rPr>
        <w:t>, and reply comments must be filed no later than</w:t>
      </w:r>
      <w:r w:rsidR="008D2CF4">
        <w:rPr>
          <w:szCs w:val="22"/>
        </w:rPr>
        <w:t xml:space="preserve"> February 6</w:t>
      </w:r>
      <w:r w:rsidR="00170AA6">
        <w:rPr>
          <w:szCs w:val="22"/>
        </w:rPr>
        <w:t>, 2015.</w:t>
      </w:r>
      <w:r w:rsidR="00684C53">
        <w:rPr>
          <w:szCs w:val="22"/>
        </w:rPr>
        <w:t xml:space="preserve">  </w:t>
      </w:r>
      <w:r w:rsidR="00F34ACA">
        <w:rPr>
          <w:szCs w:val="22"/>
        </w:rPr>
        <w:t xml:space="preserve"> </w:t>
      </w:r>
      <w:r w:rsidR="009F3720" w:rsidRPr="0038054C">
        <w:rPr>
          <w:szCs w:val="22"/>
        </w:rPr>
        <w:t xml:space="preserve">  </w:t>
      </w:r>
    </w:p>
    <w:p w:rsidR="001421E0" w:rsidRPr="0038054C" w:rsidRDefault="001421E0" w:rsidP="001421E0">
      <w:pPr>
        <w:ind w:firstLine="720"/>
        <w:rPr>
          <w:szCs w:val="22"/>
        </w:rPr>
      </w:pPr>
    </w:p>
    <w:p w:rsidR="005C7D25" w:rsidRPr="0038054C" w:rsidRDefault="005C7D25" w:rsidP="00AB6E31">
      <w:pPr>
        <w:ind w:firstLine="720"/>
        <w:rPr>
          <w:szCs w:val="22"/>
        </w:rPr>
      </w:pPr>
      <w:r w:rsidRPr="0038054C">
        <w:rPr>
          <w:szCs w:val="22"/>
        </w:rPr>
        <w:t xml:space="preserve">Action by the Chief, </w:t>
      </w:r>
      <w:r w:rsidR="004B4900">
        <w:rPr>
          <w:szCs w:val="22"/>
        </w:rPr>
        <w:t>Spectrum and Competition Policy</w:t>
      </w:r>
      <w:r w:rsidRPr="0038054C">
        <w:rPr>
          <w:szCs w:val="22"/>
        </w:rPr>
        <w:t xml:space="preserve"> Division, Wireless Telecommunications Bureau.</w:t>
      </w:r>
    </w:p>
    <w:p w:rsidR="005C7D25" w:rsidRPr="0038054C" w:rsidRDefault="005C7D25" w:rsidP="005C7D25">
      <w:pPr>
        <w:rPr>
          <w:szCs w:val="22"/>
        </w:rPr>
      </w:pPr>
    </w:p>
    <w:p w:rsidR="005C7D25" w:rsidRPr="0038054C" w:rsidRDefault="005C7D25" w:rsidP="00DB346B">
      <w:pPr>
        <w:jc w:val="center"/>
        <w:rPr>
          <w:szCs w:val="22"/>
        </w:rPr>
      </w:pPr>
      <w:r w:rsidRPr="0038054C">
        <w:rPr>
          <w:szCs w:val="22"/>
        </w:rPr>
        <w:t>- FCC -</w:t>
      </w:r>
    </w:p>
    <w:sectPr w:rsidR="005C7D25" w:rsidRPr="0038054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CD" w:rsidRDefault="00F576CD">
      <w:r>
        <w:separator/>
      </w:r>
    </w:p>
  </w:endnote>
  <w:endnote w:type="continuationSeparator" w:id="0">
    <w:p w:rsidR="00F576CD" w:rsidRDefault="00F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2D" w:rsidRDefault="00A07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CF13CF" w:rsidRDefault="00CF13CF">
        <w:pPr>
          <w:pStyle w:val="Footer"/>
          <w:jc w:val="center"/>
        </w:pPr>
        <w:r>
          <w:fldChar w:fldCharType="begin"/>
        </w:r>
        <w:r>
          <w:instrText xml:space="preserve"> PAGE   \* MERGEFORMAT </w:instrText>
        </w:r>
        <w:r>
          <w:fldChar w:fldCharType="separate"/>
        </w:r>
        <w:r w:rsidR="004B4900">
          <w:rPr>
            <w:noProof/>
          </w:rPr>
          <w:t>2</w:t>
        </w:r>
        <w:r>
          <w:rPr>
            <w:noProof/>
          </w:rPr>
          <w:fldChar w:fldCharType="end"/>
        </w:r>
      </w:p>
    </w:sdtContent>
  </w:sdt>
  <w:p w:rsidR="00CF13CF" w:rsidRDefault="00CF13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2D" w:rsidRDefault="00A07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CD" w:rsidRDefault="00F576CD">
      <w:r>
        <w:separator/>
      </w:r>
    </w:p>
  </w:footnote>
  <w:footnote w:type="continuationSeparator" w:id="0">
    <w:p w:rsidR="00F576CD" w:rsidRDefault="00F576CD">
      <w:r>
        <w:continuationSeparator/>
      </w:r>
    </w:p>
  </w:footnote>
  <w:footnote w:id="1">
    <w:p w:rsidR="00A23D63" w:rsidRPr="008D2CF4" w:rsidRDefault="00A23D63">
      <w:pPr>
        <w:pStyle w:val="FootnoteText"/>
        <w:rPr>
          <w:sz w:val="20"/>
        </w:rPr>
      </w:pPr>
      <w:r w:rsidRPr="008D2CF4">
        <w:rPr>
          <w:rStyle w:val="FootnoteReference"/>
          <w:sz w:val="20"/>
        </w:rPr>
        <w:footnoteRef/>
      </w:r>
      <w:r w:rsidRPr="008D2CF4">
        <w:rPr>
          <w:sz w:val="20"/>
        </w:rPr>
        <w:t xml:space="preserve"> Request for Updated Information and Comment on Wireless Hearing Aid Compatibility Regulations, WT Docket Nos. 07-250 &amp; 10-254, </w:t>
      </w:r>
      <w:r w:rsidRPr="008D2CF4">
        <w:rPr>
          <w:i/>
          <w:sz w:val="20"/>
        </w:rPr>
        <w:t>Public Notice</w:t>
      </w:r>
      <w:r w:rsidRPr="008D2CF4">
        <w:rPr>
          <w:sz w:val="20"/>
        </w:rPr>
        <w:t xml:space="preserve">, </w:t>
      </w:r>
      <w:r w:rsidR="008D2CF4" w:rsidRPr="008D2CF4">
        <w:rPr>
          <w:sz w:val="20"/>
        </w:rPr>
        <w:t>DA 14-1688</w:t>
      </w:r>
      <w:r w:rsidRPr="008D2CF4">
        <w:rPr>
          <w:sz w:val="20"/>
        </w:rPr>
        <w:t xml:space="preserve"> (</w:t>
      </w:r>
      <w:r w:rsidR="008D2CF4" w:rsidRPr="008D2CF4">
        <w:rPr>
          <w:sz w:val="20"/>
        </w:rPr>
        <w:t>rel. Nov. 21, 2014</w:t>
      </w:r>
      <w:r w:rsidRPr="008D2CF4">
        <w:rPr>
          <w:sz w:val="20"/>
        </w:rPr>
        <w:t>).</w:t>
      </w:r>
    </w:p>
  </w:footnote>
  <w:footnote w:id="2">
    <w:p w:rsidR="001421E0" w:rsidRPr="002D7E30" w:rsidRDefault="001421E0" w:rsidP="0049625C">
      <w:pPr>
        <w:pStyle w:val="FootnoteText"/>
        <w:spacing w:after="120"/>
        <w:rPr>
          <w:sz w:val="20"/>
        </w:rPr>
      </w:pPr>
      <w:r w:rsidRPr="008D2CF4">
        <w:rPr>
          <w:rStyle w:val="FootnoteReference"/>
          <w:sz w:val="20"/>
        </w:rPr>
        <w:footnoteRef/>
      </w:r>
      <w:r w:rsidRPr="008D2CF4">
        <w:rPr>
          <w:sz w:val="20"/>
        </w:rPr>
        <w:t xml:space="preserve"> </w:t>
      </w:r>
      <w:r w:rsidR="004546F6" w:rsidRPr="008D2CF4">
        <w:rPr>
          <w:i/>
          <w:sz w:val="20"/>
        </w:rPr>
        <w:t>See</w:t>
      </w:r>
      <w:r w:rsidR="004546F6" w:rsidRPr="008D2CF4">
        <w:rPr>
          <w:sz w:val="20"/>
        </w:rPr>
        <w:t xml:space="preserve"> 79</w:t>
      </w:r>
      <w:r w:rsidR="002D7E30" w:rsidRPr="008D2CF4">
        <w:rPr>
          <w:sz w:val="20"/>
        </w:rPr>
        <w:t xml:space="preserve"> Fed. Reg</w:t>
      </w:r>
      <w:r w:rsidR="002D7E30" w:rsidRPr="008D2CF4">
        <w:rPr>
          <w:i/>
          <w:sz w:val="20"/>
        </w:rPr>
        <w:t>.</w:t>
      </w:r>
      <w:r w:rsidR="004546F6" w:rsidRPr="008D2CF4">
        <w:rPr>
          <w:i/>
          <w:sz w:val="20"/>
        </w:rPr>
        <w:t xml:space="preserve"> </w:t>
      </w:r>
      <w:r w:rsidR="004B4900" w:rsidRPr="008D2CF4">
        <w:rPr>
          <w:sz w:val="20"/>
        </w:rPr>
        <w:t>76944</w:t>
      </w:r>
      <w:r w:rsidR="002D7E30" w:rsidRPr="008D2CF4">
        <w:rPr>
          <w:sz w:val="20"/>
        </w:rPr>
        <w:t xml:space="preserve"> (</w:t>
      </w:r>
      <w:r w:rsidR="004B4900" w:rsidRPr="008D2CF4">
        <w:rPr>
          <w:sz w:val="20"/>
        </w:rPr>
        <w:t>Dec. 23</w:t>
      </w:r>
      <w:r w:rsidR="00FA639E" w:rsidRPr="008D2CF4">
        <w:rPr>
          <w:sz w:val="20"/>
        </w:rPr>
        <w:t>, 2014</w:t>
      </w:r>
      <w:r w:rsidR="002D7E30" w:rsidRPr="008D2CF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2D" w:rsidRDefault="00A07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2D" w:rsidRDefault="00A07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AE0" w:rsidRDefault="005C7D25">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7D1DF1DC" wp14:editId="00D47731">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EBB">
      <w:rPr>
        <w:rFonts w:ascii="News Gothic MT" w:hAnsi="News Gothic MT"/>
        <w:b/>
        <w:kern w:val="28"/>
        <w:sz w:val="96"/>
      </w:rPr>
      <w:t>PUBLIC NOTICE</w:t>
    </w:r>
  </w:p>
  <w:p w:rsidR="00C41AE0" w:rsidRPr="00FA639E" w:rsidRDefault="00737884" w:rsidP="00FA639E">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09DFCAB8" wp14:editId="6970B3DB">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C41AE0" w:rsidRDefault="006A7EBB">
                    <w:pPr>
                      <w:spacing w:before="40"/>
                      <w:jc w:val="right"/>
                      <w:rPr>
                        <w:rFonts w:ascii="Arial" w:hAnsi="Arial"/>
                        <w:b/>
                        <w:sz w:val="16"/>
                      </w:rPr>
                    </w:pPr>
                    <w:r>
                      <w:rPr>
                        <w:rFonts w:ascii="Arial" w:hAnsi="Arial"/>
                        <w:b/>
                        <w:sz w:val="16"/>
                      </w:rPr>
                      <w:t>News Media Information 202 / 418-0500</w:t>
                    </w:r>
                  </w:p>
                  <w:p w:rsidR="00C41AE0" w:rsidRDefault="006A7EBB">
                    <w:pPr>
                      <w:jc w:val="right"/>
                      <w:rPr>
                        <w:rFonts w:ascii="Arial" w:hAnsi="Arial"/>
                        <w:b/>
                        <w:sz w:val="16"/>
                      </w:rPr>
                    </w:pPr>
                    <w:r>
                      <w:rPr>
                        <w:rFonts w:ascii="Arial" w:hAnsi="Arial"/>
                        <w:b/>
                        <w:sz w:val="16"/>
                      </w:rPr>
                      <w:tab/>
                      <w:t xml:space="preserve">Internet: </w:t>
                    </w:r>
                    <w:bookmarkStart w:id="6" w:name="_Hlt233824"/>
                    <w:r>
                      <w:rPr>
                        <w:rFonts w:ascii="Arial" w:hAnsi="Arial"/>
                        <w:b/>
                        <w:sz w:val="16"/>
                      </w:rPr>
                      <w:t>h</w:t>
                    </w:r>
                    <w:bookmarkEnd w:id="6"/>
                    <w:r>
                      <w:rPr>
                        <w:rFonts w:ascii="Arial" w:hAnsi="Arial"/>
                        <w:b/>
                        <w:sz w:val="16"/>
                      </w:rPr>
                      <w:t>ttp://www.fcc.gov</w:t>
                    </w:r>
                  </w:p>
                  <w:p w:rsidR="00C41AE0" w:rsidRDefault="006A7EBB">
                    <w:pPr>
                      <w:jc w:val="right"/>
                      <w:rPr>
                        <w:rFonts w:ascii="Arial" w:hAnsi="Arial"/>
                        <w:b/>
                        <w:sz w:val="16"/>
                      </w:rPr>
                    </w:pPr>
                    <w:r>
                      <w:rPr>
                        <w:rFonts w:ascii="Arial" w:hAnsi="Arial"/>
                        <w:b/>
                        <w:sz w:val="16"/>
                      </w:rPr>
                      <w:t>TTY: 1-888-835-5322</w:t>
                    </w:r>
                  </w:p>
                  <w:p w:rsidR="00C41AE0" w:rsidRDefault="00C41AE0">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3B0CF8C" wp14:editId="5116F26B">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C41AE0" w:rsidRDefault="006A7EBB">
                    <w:pPr>
                      <w:rPr>
                        <w:rFonts w:ascii="Arial" w:hAnsi="Arial"/>
                        <w:b/>
                      </w:rPr>
                    </w:pPr>
                    <w:r>
                      <w:rPr>
                        <w:rFonts w:ascii="Arial" w:hAnsi="Arial"/>
                        <w:b/>
                      </w:rPr>
                      <w:t>Federal Communications Commission</w:t>
                    </w:r>
                  </w:p>
                  <w:p w:rsidR="00C41AE0" w:rsidRDefault="006A7E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1AE0" w:rsidRDefault="006A7EBB">
                    <w:pPr>
                      <w:rPr>
                        <w:rFonts w:ascii="Arial" w:hAnsi="Arial"/>
                        <w:sz w:val="24"/>
                      </w:rPr>
                    </w:pPr>
                    <w:r>
                      <w:rPr>
                        <w:rFonts w:ascii="Arial" w:hAnsi="Arial"/>
                        <w:b/>
                      </w:rPr>
                      <w:t>Washington, D.C. 20554</w:t>
                    </w:r>
                  </w:p>
                </w:txbxContent>
              </v:textbox>
            </v:shape>
          </w:pict>
        </mc:Fallback>
      </mc:AlternateContent>
    </w:r>
    <w:r w:rsidR="005C7D25">
      <w:rPr>
        <w:rFonts w:ascii="Arial" w:hAnsi="Arial"/>
        <w:b/>
        <w:noProof/>
      </w:rPr>
      <mc:AlternateContent>
        <mc:Choice Requires="wps">
          <w:drawing>
            <wp:anchor distT="0" distB="0" distL="114300" distR="114300" simplePos="0" relativeHeight="251657216" behindDoc="0" locked="0" layoutInCell="0" allowOverlap="1" wp14:anchorId="785ED46D" wp14:editId="69084677">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00FA639E">
      <w:rPr>
        <w:rFonts w:ascii="Arial" w:hAnsi="Arial"/>
        <w:b/>
        <w:sz w:val="28"/>
      </w:rPr>
      <w:t>rev.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FF8"/>
    <w:multiLevelType w:val="hybridMultilevel"/>
    <w:tmpl w:val="7C2E7642"/>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2">
    <w:nsid w:val="2106182D"/>
    <w:multiLevelType w:val="hybridMultilevel"/>
    <w:tmpl w:val="6008A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3"/>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5"/>
  </w:num>
  <w:num w:numId="13">
    <w:abstractNumId w:val="1"/>
  </w:num>
  <w:num w:numId="14">
    <w:abstractNumId w:val="10"/>
  </w:num>
  <w:num w:numId="15">
    <w:abstractNumId w:val="4"/>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D25"/>
    <w:rsid w:val="000069AB"/>
    <w:rsid w:val="0004386A"/>
    <w:rsid w:val="00057F48"/>
    <w:rsid w:val="00066516"/>
    <w:rsid w:val="00094C8A"/>
    <w:rsid w:val="000B3B0D"/>
    <w:rsid w:val="000F7C75"/>
    <w:rsid w:val="00106675"/>
    <w:rsid w:val="001421E0"/>
    <w:rsid w:val="00170AA6"/>
    <w:rsid w:val="001954E5"/>
    <w:rsid w:val="001C1B1F"/>
    <w:rsid w:val="001C62C8"/>
    <w:rsid w:val="001D6BCA"/>
    <w:rsid w:val="001E120F"/>
    <w:rsid w:val="002213A5"/>
    <w:rsid w:val="00263999"/>
    <w:rsid w:val="002758CC"/>
    <w:rsid w:val="00296EEE"/>
    <w:rsid w:val="002C7F5A"/>
    <w:rsid w:val="002D7E30"/>
    <w:rsid w:val="002E0C4A"/>
    <w:rsid w:val="00302921"/>
    <w:rsid w:val="003157E0"/>
    <w:rsid w:val="0038054C"/>
    <w:rsid w:val="003810C0"/>
    <w:rsid w:val="003B6B6A"/>
    <w:rsid w:val="003D4CF5"/>
    <w:rsid w:val="003D58A5"/>
    <w:rsid w:val="003E4302"/>
    <w:rsid w:val="003E4C59"/>
    <w:rsid w:val="003F7C76"/>
    <w:rsid w:val="0042461D"/>
    <w:rsid w:val="0044173C"/>
    <w:rsid w:val="004546F6"/>
    <w:rsid w:val="004609D1"/>
    <w:rsid w:val="0049148B"/>
    <w:rsid w:val="00493D77"/>
    <w:rsid w:val="0049625C"/>
    <w:rsid w:val="004B1162"/>
    <w:rsid w:val="004B4900"/>
    <w:rsid w:val="005529C3"/>
    <w:rsid w:val="00586BAA"/>
    <w:rsid w:val="005B0DFF"/>
    <w:rsid w:val="005B35A4"/>
    <w:rsid w:val="005C3F06"/>
    <w:rsid w:val="005C7D25"/>
    <w:rsid w:val="00630480"/>
    <w:rsid w:val="00641EB1"/>
    <w:rsid w:val="00651B16"/>
    <w:rsid w:val="0067388B"/>
    <w:rsid w:val="0067543B"/>
    <w:rsid w:val="0067724A"/>
    <w:rsid w:val="00684C53"/>
    <w:rsid w:val="006A7EBB"/>
    <w:rsid w:val="00711684"/>
    <w:rsid w:val="00737884"/>
    <w:rsid w:val="007A63E5"/>
    <w:rsid w:val="007D265F"/>
    <w:rsid w:val="007E03FD"/>
    <w:rsid w:val="00826841"/>
    <w:rsid w:val="00830067"/>
    <w:rsid w:val="0083660F"/>
    <w:rsid w:val="00844259"/>
    <w:rsid w:val="00882544"/>
    <w:rsid w:val="008B1762"/>
    <w:rsid w:val="008D2CF4"/>
    <w:rsid w:val="008F3F2D"/>
    <w:rsid w:val="009075E9"/>
    <w:rsid w:val="00914AB9"/>
    <w:rsid w:val="009203E1"/>
    <w:rsid w:val="00962680"/>
    <w:rsid w:val="00987010"/>
    <w:rsid w:val="009F3720"/>
    <w:rsid w:val="00A05BB8"/>
    <w:rsid w:val="00A05D15"/>
    <w:rsid w:val="00A07E2D"/>
    <w:rsid w:val="00A23D63"/>
    <w:rsid w:val="00A51C5B"/>
    <w:rsid w:val="00A97061"/>
    <w:rsid w:val="00AB6E31"/>
    <w:rsid w:val="00AC277B"/>
    <w:rsid w:val="00AD416B"/>
    <w:rsid w:val="00AD5A1D"/>
    <w:rsid w:val="00AD5DB7"/>
    <w:rsid w:val="00B6292A"/>
    <w:rsid w:val="00BB2EC5"/>
    <w:rsid w:val="00C109C7"/>
    <w:rsid w:val="00C337F7"/>
    <w:rsid w:val="00C41AE0"/>
    <w:rsid w:val="00CA0FAA"/>
    <w:rsid w:val="00CA77AB"/>
    <w:rsid w:val="00CD72BC"/>
    <w:rsid w:val="00CF13CF"/>
    <w:rsid w:val="00CF4270"/>
    <w:rsid w:val="00D16424"/>
    <w:rsid w:val="00D3329A"/>
    <w:rsid w:val="00D77882"/>
    <w:rsid w:val="00DB346B"/>
    <w:rsid w:val="00E05E26"/>
    <w:rsid w:val="00E26C7A"/>
    <w:rsid w:val="00E45294"/>
    <w:rsid w:val="00E613DE"/>
    <w:rsid w:val="00E67A2A"/>
    <w:rsid w:val="00F059EB"/>
    <w:rsid w:val="00F34ACA"/>
    <w:rsid w:val="00F37B6A"/>
    <w:rsid w:val="00F576CD"/>
    <w:rsid w:val="00F60872"/>
    <w:rsid w:val="00FA639E"/>
    <w:rsid w:val="00FD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paragraph" w:styleId="ListParagraph">
    <w:name w:val="List Paragraph"/>
    <w:basedOn w:val="Normal"/>
    <w:uiPriority w:val="34"/>
    <w:qFormat/>
    <w:rsid w:val="003E4C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erChar">
    <w:name w:val="Footer Char"/>
    <w:basedOn w:val="DefaultParagraphFont"/>
    <w:link w:val="Footer"/>
    <w:uiPriority w:val="99"/>
    <w:rsid w:val="00CF13CF"/>
    <w:rPr>
      <w:sz w:val="22"/>
    </w:rPr>
  </w:style>
  <w:style w:type="paragraph" w:styleId="BalloonText">
    <w:name w:val="Balloon Text"/>
    <w:basedOn w:val="Normal"/>
    <w:link w:val="BalloonTextChar"/>
    <w:uiPriority w:val="99"/>
    <w:semiHidden/>
    <w:unhideWhenUsed/>
    <w:rsid w:val="00737884"/>
    <w:rPr>
      <w:rFonts w:ascii="Tahoma" w:hAnsi="Tahoma" w:cs="Tahoma"/>
      <w:sz w:val="16"/>
      <w:szCs w:val="16"/>
    </w:rPr>
  </w:style>
  <w:style w:type="character" w:customStyle="1" w:styleId="BalloonTextChar">
    <w:name w:val="Balloon Text Char"/>
    <w:basedOn w:val="DefaultParagraphFont"/>
    <w:link w:val="BalloonText"/>
    <w:uiPriority w:val="99"/>
    <w:semiHidden/>
    <w:rsid w:val="00737884"/>
    <w:rPr>
      <w:rFonts w:ascii="Tahoma" w:hAnsi="Tahoma" w:cs="Tahoma"/>
      <w:sz w:val="16"/>
      <w:szCs w:val="16"/>
    </w:rPr>
  </w:style>
  <w:style w:type="paragraph" w:styleId="ListParagraph">
    <w:name w:val="List Paragraph"/>
    <w:basedOn w:val="Normal"/>
    <w:uiPriority w:val="34"/>
    <w:qFormat/>
    <w:rsid w:val="003E4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1195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1405</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2014-12-16T22:45:00Z</cp:lastPrinted>
  <dcterms:created xsi:type="dcterms:W3CDTF">2014-12-23T18:02:00Z</dcterms:created>
  <dcterms:modified xsi:type="dcterms:W3CDTF">2014-12-23T18:02:00Z</dcterms:modified>
  <cp:category> </cp:category>
  <cp:contentStatus> </cp:contentStatus>
</cp:coreProperties>
</file>