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8F3" w:rsidRDefault="006518F3" w:rsidP="00804593">
      <w:pPr>
        <w:jc w:val="center"/>
        <w:rPr>
          <w:b/>
          <w:szCs w:val="22"/>
        </w:rPr>
      </w:pPr>
      <w:bookmarkStart w:id="0" w:name="_GoBack"/>
      <w:bookmarkEnd w:id="0"/>
      <w:r>
        <w:rPr>
          <w:b/>
          <w:szCs w:val="22"/>
        </w:rPr>
        <w:t>Before the</w:t>
      </w:r>
    </w:p>
    <w:p w:rsidR="006518F3" w:rsidRDefault="006518F3" w:rsidP="00804593">
      <w:pPr>
        <w:jc w:val="center"/>
        <w:rPr>
          <w:b/>
          <w:szCs w:val="22"/>
        </w:rPr>
      </w:pPr>
      <w:r>
        <w:rPr>
          <w:b/>
          <w:szCs w:val="22"/>
        </w:rPr>
        <w:t>Federal Communications Commission</w:t>
      </w:r>
    </w:p>
    <w:p w:rsidR="006518F3" w:rsidRDefault="006518F3" w:rsidP="00804593">
      <w:pPr>
        <w:jc w:val="center"/>
        <w:rPr>
          <w:b/>
          <w:szCs w:val="22"/>
        </w:rPr>
      </w:pPr>
      <w:smartTag w:uri="urn:schemas-microsoft-com:office:smarttags" w:element="Street">
        <w:smartTag w:uri="urn:schemas-microsoft-com:office:smarttags" w:element="address">
          <w:r>
            <w:rPr>
              <w:b/>
              <w:szCs w:val="22"/>
            </w:rPr>
            <w:t>Washington</w:t>
          </w:r>
        </w:smartTag>
        <w:r>
          <w:rPr>
            <w:b/>
            <w:szCs w:val="22"/>
          </w:rPr>
          <w:t xml:space="preserve">, </w:t>
        </w:r>
        <w:smartTag w:uri="urn:schemas-microsoft-com:office:smarttags" w:element="State">
          <w:r>
            <w:rPr>
              <w:b/>
              <w:szCs w:val="22"/>
            </w:rPr>
            <w:t>D.C.</w:t>
          </w:r>
        </w:smartTag>
        <w:r>
          <w:rPr>
            <w:b/>
            <w:szCs w:val="22"/>
          </w:rPr>
          <w:t xml:space="preserve"> </w:t>
        </w:r>
        <w:smartTag w:uri="urn:schemas-microsoft-com:office:smarttags" w:element="PlaceName">
          <w:r>
            <w:rPr>
              <w:b/>
              <w:szCs w:val="22"/>
            </w:rPr>
            <w:t>20554</w:t>
          </w:r>
        </w:smartTag>
      </w:smartTag>
    </w:p>
    <w:p w:rsidR="006518F3" w:rsidRDefault="006518F3" w:rsidP="00804593">
      <w:pPr>
        <w:rPr>
          <w:szCs w:val="22"/>
        </w:rPr>
      </w:pPr>
    </w:p>
    <w:tbl>
      <w:tblPr>
        <w:tblW w:w="9648" w:type="dxa"/>
        <w:tblLayout w:type="fixed"/>
        <w:tblLook w:val="0000" w:firstRow="0" w:lastRow="0" w:firstColumn="0" w:lastColumn="0" w:noHBand="0" w:noVBand="0"/>
      </w:tblPr>
      <w:tblGrid>
        <w:gridCol w:w="4698"/>
        <w:gridCol w:w="720"/>
        <w:gridCol w:w="4230"/>
      </w:tblGrid>
      <w:tr w:rsidR="006518F3">
        <w:tc>
          <w:tcPr>
            <w:tcW w:w="4698" w:type="dxa"/>
          </w:tcPr>
          <w:p w:rsidR="006518F3" w:rsidRDefault="006518F3" w:rsidP="00804593">
            <w:pPr>
              <w:ind w:right="-18"/>
              <w:rPr>
                <w:szCs w:val="22"/>
              </w:rPr>
            </w:pPr>
            <w:r>
              <w:rPr>
                <w:szCs w:val="22"/>
              </w:rPr>
              <w:t xml:space="preserve">In the Matter </w:t>
            </w:r>
          </w:p>
          <w:p w:rsidR="006518F3" w:rsidRDefault="006518F3" w:rsidP="00804593">
            <w:pPr>
              <w:ind w:right="-18"/>
            </w:pPr>
          </w:p>
          <w:p w:rsidR="00825499" w:rsidRDefault="009C7F89" w:rsidP="00825499">
            <w:pPr>
              <w:ind w:right="-18"/>
            </w:pPr>
            <w:r>
              <w:t>TOUCH</w:t>
            </w:r>
            <w:r w:rsidR="00825499">
              <w:t>TEL CORPORATION, Assignor</w:t>
            </w:r>
          </w:p>
          <w:p w:rsidR="00825499" w:rsidRDefault="00825499" w:rsidP="00825499">
            <w:pPr>
              <w:ind w:right="-18"/>
            </w:pPr>
          </w:p>
          <w:p w:rsidR="00825499" w:rsidRDefault="00825499" w:rsidP="00825499">
            <w:pPr>
              <w:ind w:right="-18"/>
            </w:pPr>
            <w:r>
              <w:t xml:space="preserve">PENRYN </w:t>
            </w:r>
            <w:r w:rsidR="00DB410D">
              <w:t>CORPORATION</w:t>
            </w:r>
            <w:r>
              <w:t>, Assignee</w:t>
            </w:r>
          </w:p>
          <w:p w:rsidR="00825499" w:rsidRDefault="00825499" w:rsidP="00804593">
            <w:pPr>
              <w:ind w:right="-18"/>
            </w:pPr>
          </w:p>
          <w:p w:rsidR="00FD2D69" w:rsidRDefault="00825499" w:rsidP="00804593">
            <w:pPr>
              <w:ind w:right="-18"/>
            </w:pPr>
            <w:r>
              <w:t xml:space="preserve">Application to Assign Broadband Radio Service Station WNTA626 </w:t>
            </w:r>
          </w:p>
          <w:p w:rsidR="00FD2D69" w:rsidRDefault="00FD2D69" w:rsidP="00804593">
            <w:pPr>
              <w:ind w:right="-18"/>
              <w:rPr>
                <w:szCs w:val="22"/>
              </w:rPr>
            </w:pPr>
          </w:p>
        </w:tc>
        <w:tc>
          <w:tcPr>
            <w:tcW w:w="720" w:type="dxa"/>
          </w:tcPr>
          <w:p w:rsidR="006518F3" w:rsidRDefault="006518F3" w:rsidP="00804593">
            <w:pPr>
              <w:rPr>
                <w:b/>
                <w:szCs w:val="22"/>
              </w:rPr>
            </w:pPr>
            <w:r>
              <w:rPr>
                <w:b/>
                <w:szCs w:val="22"/>
              </w:rPr>
              <w:t>)</w:t>
            </w:r>
          </w:p>
          <w:p w:rsidR="006518F3" w:rsidRDefault="006518F3" w:rsidP="00804593">
            <w:pPr>
              <w:rPr>
                <w:b/>
                <w:szCs w:val="22"/>
              </w:rPr>
            </w:pPr>
            <w:r>
              <w:rPr>
                <w:b/>
                <w:szCs w:val="22"/>
              </w:rPr>
              <w:t>)</w:t>
            </w:r>
          </w:p>
          <w:p w:rsidR="006518F3" w:rsidRDefault="006518F3" w:rsidP="00804593">
            <w:pPr>
              <w:rPr>
                <w:b/>
                <w:szCs w:val="22"/>
              </w:rPr>
            </w:pPr>
            <w:r>
              <w:rPr>
                <w:b/>
                <w:szCs w:val="22"/>
              </w:rPr>
              <w:t>)</w:t>
            </w:r>
          </w:p>
          <w:p w:rsidR="006518F3" w:rsidRDefault="006518F3" w:rsidP="00804593">
            <w:pPr>
              <w:rPr>
                <w:b/>
                <w:szCs w:val="22"/>
              </w:rPr>
            </w:pPr>
            <w:r>
              <w:rPr>
                <w:b/>
                <w:szCs w:val="22"/>
              </w:rPr>
              <w:t>)</w:t>
            </w:r>
          </w:p>
          <w:p w:rsidR="006518F3" w:rsidRDefault="006518F3" w:rsidP="00804593">
            <w:pPr>
              <w:rPr>
                <w:b/>
                <w:szCs w:val="22"/>
              </w:rPr>
            </w:pPr>
            <w:r>
              <w:rPr>
                <w:b/>
                <w:szCs w:val="22"/>
              </w:rPr>
              <w:t>)</w:t>
            </w:r>
          </w:p>
          <w:p w:rsidR="006518F3" w:rsidRDefault="006518F3" w:rsidP="00804593">
            <w:pPr>
              <w:rPr>
                <w:b/>
                <w:szCs w:val="22"/>
              </w:rPr>
            </w:pPr>
            <w:r>
              <w:rPr>
                <w:b/>
                <w:szCs w:val="22"/>
              </w:rPr>
              <w:t>)</w:t>
            </w:r>
          </w:p>
          <w:p w:rsidR="006518F3" w:rsidRDefault="006518F3" w:rsidP="00804593">
            <w:pPr>
              <w:rPr>
                <w:b/>
                <w:szCs w:val="22"/>
              </w:rPr>
            </w:pPr>
            <w:r>
              <w:rPr>
                <w:b/>
                <w:szCs w:val="22"/>
              </w:rPr>
              <w:t>)</w:t>
            </w:r>
          </w:p>
          <w:p w:rsidR="00FD2D69" w:rsidRDefault="006518F3" w:rsidP="00804593">
            <w:pPr>
              <w:rPr>
                <w:b/>
                <w:szCs w:val="22"/>
              </w:rPr>
            </w:pPr>
            <w:r>
              <w:rPr>
                <w:b/>
                <w:szCs w:val="22"/>
              </w:rPr>
              <w:t>)</w:t>
            </w:r>
          </w:p>
          <w:p w:rsidR="00895754" w:rsidRDefault="00895754" w:rsidP="00804593">
            <w:pPr>
              <w:rPr>
                <w:b/>
                <w:szCs w:val="22"/>
              </w:rPr>
            </w:pPr>
            <w:r>
              <w:rPr>
                <w:b/>
                <w:szCs w:val="22"/>
              </w:rPr>
              <w:t>)</w:t>
            </w:r>
          </w:p>
        </w:tc>
        <w:tc>
          <w:tcPr>
            <w:tcW w:w="4230" w:type="dxa"/>
          </w:tcPr>
          <w:p w:rsidR="006518F3" w:rsidRDefault="006518F3" w:rsidP="00804593">
            <w:pPr>
              <w:rPr>
                <w:szCs w:val="22"/>
              </w:rPr>
            </w:pPr>
          </w:p>
          <w:p w:rsidR="006518F3" w:rsidRDefault="006518F3" w:rsidP="00804593">
            <w:pPr>
              <w:rPr>
                <w:spacing w:val="-2"/>
                <w:szCs w:val="22"/>
              </w:rPr>
            </w:pPr>
          </w:p>
          <w:p w:rsidR="00AC2AA9" w:rsidRDefault="006518F3" w:rsidP="00804593">
            <w:pPr>
              <w:rPr>
                <w:szCs w:val="22"/>
              </w:rPr>
            </w:pPr>
            <w:r>
              <w:rPr>
                <w:spacing w:val="-2"/>
              </w:rPr>
              <w:t xml:space="preserve">File Nos. </w:t>
            </w:r>
            <w:r w:rsidR="00825499">
              <w:rPr>
                <w:spacing w:val="-2"/>
              </w:rPr>
              <w:t>00060</w:t>
            </w:r>
            <w:r w:rsidR="00A11C39">
              <w:rPr>
                <w:spacing w:val="-2"/>
              </w:rPr>
              <w:t>7</w:t>
            </w:r>
            <w:r w:rsidR="00825499">
              <w:rPr>
                <w:spacing w:val="-2"/>
              </w:rPr>
              <w:t>7769</w:t>
            </w:r>
            <w:r w:rsidR="00895754">
              <w:rPr>
                <w:spacing w:val="-2"/>
              </w:rPr>
              <w:t>,</w:t>
            </w:r>
            <w:r>
              <w:rPr>
                <w:spacing w:val="-2"/>
              </w:rPr>
              <w:t xml:space="preserve"> 000</w:t>
            </w:r>
            <w:r w:rsidR="00825499">
              <w:rPr>
                <w:spacing w:val="-2"/>
              </w:rPr>
              <w:t>6127513</w:t>
            </w:r>
          </w:p>
          <w:p w:rsidR="00AC2AA9" w:rsidRDefault="00AC2AA9" w:rsidP="00804593">
            <w:pPr>
              <w:rPr>
                <w:szCs w:val="22"/>
              </w:rPr>
            </w:pPr>
          </w:p>
          <w:p w:rsidR="00AC2AA9" w:rsidRDefault="00AC2AA9" w:rsidP="00804593">
            <w:pPr>
              <w:rPr>
                <w:szCs w:val="22"/>
              </w:rPr>
            </w:pPr>
          </w:p>
          <w:p w:rsidR="00AC2AA9" w:rsidRDefault="00AC2AA9" w:rsidP="00804593">
            <w:pPr>
              <w:rPr>
                <w:szCs w:val="22"/>
              </w:rPr>
            </w:pPr>
          </w:p>
          <w:p w:rsidR="00AC2AA9" w:rsidRDefault="00AC2AA9" w:rsidP="00804593">
            <w:pPr>
              <w:rPr>
                <w:szCs w:val="22"/>
              </w:rPr>
            </w:pPr>
          </w:p>
        </w:tc>
      </w:tr>
    </w:tbl>
    <w:p w:rsidR="006518F3" w:rsidRDefault="00577F93" w:rsidP="00804593">
      <w:pPr>
        <w:spacing w:before="120"/>
        <w:jc w:val="center"/>
        <w:rPr>
          <w:b/>
          <w:szCs w:val="22"/>
          <w:u w:val="single"/>
        </w:rPr>
      </w:pPr>
      <w:r>
        <w:rPr>
          <w:b/>
          <w:spacing w:val="-2"/>
          <w:szCs w:val="22"/>
        </w:rPr>
        <w:t>ORDER</w:t>
      </w:r>
      <w:r w:rsidR="00FD2D69">
        <w:rPr>
          <w:b/>
          <w:spacing w:val="-2"/>
          <w:szCs w:val="22"/>
        </w:rPr>
        <w:t xml:space="preserve"> ON RECONSIDERATION</w:t>
      </w:r>
    </w:p>
    <w:p w:rsidR="006518F3" w:rsidRDefault="006518F3" w:rsidP="00804593">
      <w:pPr>
        <w:rPr>
          <w:szCs w:val="22"/>
        </w:rPr>
      </w:pPr>
    </w:p>
    <w:p w:rsidR="006518F3" w:rsidRDefault="006518F3" w:rsidP="00804593">
      <w:pPr>
        <w:tabs>
          <w:tab w:val="left" w:pos="5760"/>
        </w:tabs>
        <w:rPr>
          <w:b/>
          <w:szCs w:val="22"/>
        </w:rPr>
      </w:pPr>
      <w:r>
        <w:rPr>
          <w:b/>
          <w:szCs w:val="22"/>
        </w:rPr>
        <w:t xml:space="preserve">Adopted:  </w:t>
      </w:r>
      <w:r w:rsidR="00DA6013">
        <w:rPr>
          <w:b/>
          <w:szCs w:val="22"/>
        </w:rPr>
        <w:t xml:space="preserve">December </w:t>
      </w:r>
      <w:r w:rsidR="006E4F6B">
        <w:rPr>
          <w:b/>
          <w:szCs w:val="22"/>
        </w:rPr>
        <w:t>23</w:t>
      </w:r>
      <w:r>
        <w:rPr>
          <w:b/>
          <w:szCs w:val="22"/>
        </w:rPr>
        <w:t>, 201</w:t>
      </w:r>
      <w:r w:rsidR="00825499">
        <w:rPr>
          <w:b/>
          <w:szCs w:val="22"/>
        </w:rPr>
        <w:t>4</w:t>
      </w:r>
      <w:r>
        <w:rPr>
          <w:b/>
          <w:szCs w:val="22"/>
        </w:rPr>
        <w:tab/>
      </w:r>
      <w:r w:rsidR="00FF4D2F">
        <w:rPr>
          <w:b/>
          <w:szCs w:val="22"/>
        </w:rPr>
        <w:t xml:space="preserve">            </w:t>
      </w:r>
      <w:r>
        <w:rPr>
          <w:b/>
          <w:szCs w:val="22"/>
        </w:rPr>
        <w:t xml:space="preserve">Released:  </w:t>
      </w:r>
      <w:r w:rsidR="00DA6013">
        <w:rPr>
          <w:b/>
          <w:szCs w:val="22"/>
        </w:rPr>
        <w:t xml:space="preserve">December </w:t>
      </w:r>
      <w:r w:rsidR="006E4F6B">
        <w:rPr>
          <w:b/>
          <w:szCs w:val="22"/>
        </w:rPr>
        <w:t>23</w:t>
      </w:r>
      <w:r>
        <w:rPr>
          <w:b/>
          <w:szCs w:val="22"/>
        </w:rPr>
        <w:t>, 201</w:t>
      </w:r>
      <w:r w:rsidR="00825499">
        <w:rPr>
          <w:b/>
          <w:szCs w:val="22"/>
        </w:rPr>
        <w:t>4</w:t>
      </w:r>
    </w:p>
    <w:p w:rsidR="006518F3" w:rsidRDefault="006518F3" w:rsidP="00804593">
      <w:pPr>
        <w:tabs>
          <w:tab w:val="left" w:pos="5760"/>
        </w:tabs>
        <w:rPr>
          <w:b/>
          <w:szCs w:val="22"/>
        </w:rPr>
      </w:pPr>
    </w:p>
    <w:p w:rsidR="006518F3" w:rsidRDefault="006518F3" w:rsidP="00804593">
      <w:pPr>
        <w:tabs>
          <w:tab w:val="left" w:pos="5760"/>
        </w:tabs>
        <w:rPr>
          <w:szCs w:val="22"/>
        </w:rPr>
      </w:pPr>
      <w:r>
        <w:rPr>
          <w:szCs w:val="22"/>
        </w:rPr>
        <w:t xml:space="preserve">By the </w:t>
      </w:r>
      <w:r w:rsidR="002C2E3C">
        <w:rPr>
          <w:szCs w:val="22"/>
        </w:rPr>
        <w:t xml:space="preserve">Deputy </w:t>
      </w:r>
      <w:r w:rsidR="00E27625">
        <w:rPr>
          <w:szCs w:val="22"/>
        </w:rPr>
        <w:t>C</w:t>
      </w:r>
      <w:r w:rsidR="00FD2D69">
        <w:rPr>
          <w:szCs w:val="22"/>
        </w:rPr>
        <w:t>hief, Broadband Division, Wireless Telecommunications Bureau</w:t>
      </w:r>
      <w:r>
        <w:rPr>
          <w:spacing w:val="-2"/>
          <w:szCs w:val="22"/>
        </w:rPr>
        <w:t>:</w:t>
      </w:r>
    </w:p>
    <w:p w:rsidR="006518F3" w:rsidRDefault="006518F3" w:rsidP="00804593">
      <w:pPr>
        <w:tabs>
          <w:tab w:val="left" w:pos="5760"/>
        </w:tabs>
        <w:rPr>
          <w:b/>
          <w:szCs w:val="22"/>
        </w:rPr>
      </w:pPr>
    </w:p>
    <w:p w:rsidR="00F12715" w:rsidRPr="00825499" w:rsidRDefault="00895754" w:rsidP="00C84E39">
      <w:pPr>
        <w:pStyle w:val="ParaNum"/>
        <w:rPr>
          <w:szCs w:val="22"/>
        </w:rPr>
      </w:pPr>
      <w:r>
        <w:rPr>
          <w:i/>
          <w:szCs w:val="22"/>
        </w:rPr>
        <w:t xml:space="preserve">Introduction.  </w:t>
      </w:r>
      <w:r>
        <w:rPr>
          <w:szCs w:val="22"/>
        </w:rPr>
        <w:t xml:space="preserve">In this </w:t>
      </w:r>
      <w:r>
        <w:rPr>
          <w:i/>
          <w:szCs w:val="22"/>
        </w:rPr>
        <w:t>Order on Reconsideration</w:t>
      </w:r>
      <w:r>
        <w:rPr>
          <w:szCs w:val="22"/>
        </w:rPr>
        <w:t>, we dismiss a petition for reconsideration filed against a</w:t>
      </w:r>
      <w:r w:rsidR="005F69CB">
        <w:rPr>
          <w:szCs w:val="22"/>
        </w:rPr>
        <w:t xml:space="preserve"> consummation notice for a</w:t>
      </w:r>
      <w:r>
        <w:rPr>
          <w:szCs w:val="22"/>
        </w:rPr>
        <w:t xml:space="preserve">n assignment application because the petitioners lack standing. </w:t>
      </w:r>
      <w:r>
        <w:rPr>
          <w:i/>
          <w:szCs w:val="22"/>
        </w:rPr>
        <w:t xml:space="preserve"> </w:t>
      </w:r>
      <w:r w:rsidR="008F6570">
        <w:rPr>
          <w:szCs w:val="22"/>
        </w:rPr>
        <w:t xml:space="preserve">We further note that the basis for the </w:t>
      </w:r>
      <w:r>
        <w:rPr>
          <w:szCs w:val="22"/>
        </w:rPr>
        <w:t>p</w:t>
      </w:r>
      <w:r w:rsidR="008F6570">
        <w:rPr>
          <w:szCs w:val="22"/>
        </w:rPr>
        <w:t xml:space="preserve">etition </w:t>
      </w:r>
      <w:r>
        <w:rPr>
          <w:szCs w:val="22"/>
        </w:rPr>
        <w:t xml:space="preserve">for reconsideration </w:t>
      </w:r>
      <w:r w:rsidR="008F6570">
        <w:rPr>
          <w:szCs w:val="22"/>
        </w:rPr>
        <w:t xml:space="preserve">is a disagreement regarding a settlement agreement and find that private contractual disputes are more appropriately </w:t>
      </w:r>
      <w:r w:rsidR="00DB410D">
        <w:rPr>
          <w:szCs w:val="22"/>
        </w:rPr>
        <w:t>addressed in a court of competent jurisdiction.</w:t>
      </w:r>
      <w:r w:rsidR="008F6570">
        <w:rPr>
          <w:szCs w:val="22"/>
        </w:rPr>
        <w:t xml:space="preserve">  </w:t>
      </w:r>
    </w:p>
    <w:p w:rsidR="00A51CE1" w:rsidRDefault="006518F3" w:rsidP="00C84E39">
      <w:pPr>
        <w:pStyle w:val="ParaNum"/>
        <w:widowControl/>
        <w:rPr>
          <w:szCs w:val="22"/>
        </w:rPr>
      </w:pPr>
      <w:r>
        <w:rPr>
          <w:i/>
          <w:szCs w:val="22"/>
        </w:rPr>
        <w:t>Background.</w:t>
      </w:r>
      <w:r>
        <w:rPr>
          <w:szCs w:val="22"/>
        </w:rPr>
        <w:t xml:space="preserve">  </w:t>
      </w:r>
      <w:r w:rsidR="004528AD">
        <w:rPr>
          <w:szCs w:val="22"/>
        </w:rPr>
        <w:t xml:space="preserve">On December 6, 2013, </w:t>
      </w:r>
      <w:r w:rsidR="000B76A1">
        <w:rPr>
          <w:szCs w:val="22"/>
        </w:rPr>
        <w:t xml:space="preserve">various divisions of the Wireless Telecommunications Bureau </w:t>
      </w:r>
      <w:r w:rsidR="006D7831">
        <w:rPr>
          <w:szCs w:val="22"/>
        </w:rPr>
        <w:t xml:space="preserve">(“Bureau”) </w:t>
      </w:r>
      <w:r w:rsidR="000B76A1">
        <w:rPr>
          <w:szCs w:val="22"/>
        </w:rPr>
        <w:t xml:space="preserve">granted requests filed by Warren Havens, </w:t>
      </w:r>
      <w:r w:rsidR="000B76A1" w:rsidRPr="00FD0E06">
        <w:rPr>
          <w:szCs w:val="22"/>
        </w:rPr>
        <w:t>Skybridge Spectrum Foundation</w:t>
      </w:r>
      <w:r w:rsidR="00A51CE1">
        <w:rPr>
          <w:szCs w:val="22"/>
        </w:rPr>
        <w:t xml:space="preserve"> (“Skybridge”)</w:t>
      </w:r>
      <w:r w:rsidR="000B76A1">
        <w:rPr>
          <w:szCs w:val="22"/>
        </w:rPr>
        <w:t>, Verde Systems, LLC</w:t>
      </w:r>
      <w:r w:rsidR="00A51CE1">
        <w:rPr>
          <w:szCs w:val="22"/>
        </w:rPr>
        <w:t xml:space="preserve"> (“Verde”)</w:t>
      </w:r>
      <w:r w:rsidR="000B76A1">
        <w:rPr>
          <w:szCs w:val="22"/>
        </w:rPr>
        <w:t>, Environmental, LLC, Intelligent Transportation &amp; Monitoring Wireless LLC, Telesaurus Holdings GB LLC, Environemntal-2 LLC, V2G LLC, ATLIS Wireless LLC, Paging Systems, Inc. (“PS</w:t>
      </w:r>
      <w:r w:rsidR="00A51CE1">
        <w:rPr>
          <w:szCs w:val="22"/>
        </w:rPr>
        <w:t>I</w:t>
      </w:r>
      <w:r w:rsidR="000B76A1">
        <w:rPr>
          <w:szCs w:val="22"/>
        </w:rPr>
        <w:t>”) and TouchTel Corp. (“TouchTel”)</w:t>
      </w:r>
      <w:r w:rsidR="000B76A1" w:rsidRPr="00FD0E06">
        <w:rPr>
          <w:szCs w:val="22"/>
        </w:rPr>
        <w:t xml:space="preserve"> </w:t>
      </w:r>
      <w:r w:rsidR="000B76A1">
        <w:rPr>
          <w:szCs w:val="22"/>
        </w:rPr>
        <w:t>to dismiss various pleadings the parties had filed against each other with the Commission.</w:t>
      </w:r>
      <w:r w:rsidR="000B76A1">
        <w:rPr>
          <w:rStyle w:val="FootnoteReference"/>
          <w:szCs w:val="22"/>
        </w:rPr>
        <w:footnoteReference w:id="2"/>
      </w:r>
      <w:r w:rsidR="000B76A1">
        <w:rPr>
          <w:szCs w:val="22"/>
        </w:rPr>
        <w:t xml:space="preserve">  </w:t>
      </w:r>
      <w:r w:rsidR="00A51CE1">
        <w:rPr>
          <w:szCs w:val="22"/>
        </w:rPr>
        <w:t>The requests were filed pursuant to a settlement agreement entered into between the parties resolving disputes before the Commission and in federal court.</w:t>
      </w:r>
      <w:r w:rsidR="00A51CE1">
        <w:rPr>
          <w:rStyle w:val="FootnoteReference"/>
          <w:szCs w:val="22"/>
        </w:rPr>
        <w:footnoteReference w:id="3"/>
      </w:r>
      <w:r w:rsidR="00A51CE1">
        <w:rPr>
          <w:szCs w:val="22"/>
        </w:rPr>
        <w:t xml:space="preserve">  Among the pleadings dismissed was an application for review challenging the grant of an application for renewal of license of Broadband Radio Service (“BRS”) License WNTA626, licensed to TouchTel.</w:t>
      </w:r>
      <w:r w:rsidR="00A51CE1">
        <w:rPr>
          <w:rStyle w:val="FootnoteReference"/>
          <w:szCs w:val="22"/>
        </w:rPr>
        <w:footnoteReference w:id="4"/>
      </w:r>
    </w:p>
    <w:p w:rsidR="000A7A93" w:rsidRDefault="006518F3" w:rsidP="00C84E39">
      <w:pPr>
        <w:pStyle w:val="ParaNum"/>
        <w:widowControl/>
        <w:rPr>
          <w:szCs w:val="22"/>
        </w:rPr>
      </w:pPr>
      <w:r>
        <w:rPr>
          <w:szCs w:val="22"/>
        </w:rPr>
        <w:t xml:space="preserve">On January </w:t>
      </w:r>
      <w:r w:rsidR="00D757AC">
        <w:rPr>
          <w:szCs w:val="22"/>
        </w:rPr>
        <w:t>2</w:t>
      </w:r>
      <w:r>
        <w:rPr>
          <w:szCs w:val="22"/>
        </w:rPr>
        <w:t>4, 201</w:t>
      </w:r>
      <w:r w:rsidR="00D757AC">
        <w:rPr>
          <w:szCs w:val="22"/>
        </w:rPr>
        <w:t>4</w:t>
      </w:r>
      <w:r>
        <w:rPr>
          <w:szCs w:val="22"/>
        </w:rPr>
        <w:t xml:space="preserve">, </w:t>
      </w:r>
      <w:r w:rsidR="00D757AC">
        <w:rPr>
          <w:szCs w:val="22"/>
        </w:rPr>
        <w:t>an application was filed to assign Broadband Radio Service Station WNTA626 from Touch Tel</w:t>
      </w:r>
      <w:r w:rsidR="000A7A93">
        <w:rPr>
          <w:szCs w:val="22"/>
        </w:rPr>
        <w:t xml:space="preserve"> </w:t>
      </w:r>
      <w:r w:rsidR="00D757AC">
        <w:rPr>
          <w:szCs w:val="22"/>
        </w:rPr>
        <w:t>to Penryn</w:t>
      </w:r>
      <w:r w:rsidR="00895754">
        <w:rPr>
          <w:szCs w:val="22"/>
        </w:rPr>
        <w:t xml:space="preserve"> Corporation (“Penryn”)</w:t>
      </w:r>
      <w:r w:rsidR="00D757AC">
        <w:rPr>
          <w:szCs w:val="22"/>
        </w:rPr>
        <w:t>.</w:t>
      </w:r>
      <w:r w:rsidR="00D757AC">
        <w:rPr>
          <w:rStyle w:val="FootnoteReference"/>
          <w:szCs w:val="22"/>
        </w:rPr>
        <w:footnoteReference w:id="5"/>
      </w:r>
      <w:r w:rsidR="00D757AC">
        <w:rPr>
          <w:szCs w:val="22"/>
        </w:rPr>
        <w:t xml:space="preserve">  The Bureau </w:t>
      </w:r>
      <w:r w:rsidR="00895754">
        <w:rPr>
          <w:szCs w:val="22"/>
        </w:rPr>
        <w:t xml:space="preserve">consented to </w:t>
      </w:r>
      <w:r w:rsidR="00D757AC">
        <w:rPr>
          <w:szCs w:val="22"/>
        </w:rPr>
        <w:t>the application on January 25, 2014</w:t>
      </w:r>
      <w:r w:rsidR="008A41A8">
        <w:rPr>
          <w:szCs w:val="22"/>
        </w:rPr>
        <w:t>, and t</w:t>
      </w:r>
      <w:r w:rsidR="00D757AC">
        <w:rPr>
          <w:szCs w:val="22"/>
        </w:rPr>
        <w:t>he public notice for the Bureau’s action on the Assignment Application was released on January 29, 2014.</w:t>
      </w:r>
      <w:r w:rsidR="008A41A8">
        <w:rPr>
          <w:rStyle w:val="FootnoteReference"/>
          <w:szCs w:val="22"/>
        </w:rPr>
        <w:footnoteReference w:id="6"/>
      </w:r>
      <w:r w:rsidR="00D757AC">
        <w:rPr>
          <w:szCs w:val="22"/>
        </w:rPr>
        <w:t xml:space="preserve">  </w:t>
      </w:r>
      <w:r w:rsidR="000D4A28">
        <w:rPr>
          <w:szCs w:val="22"/>
        </w:rPr>
        <w:t>On January 30, 2014, the Bureau was notified that the transaction was consummated.</w:t>
      </w:r>
      <w:r w:rsidR="008A41A8">
        <w:rPr>
          <w:rStyle w:val="FootnoteReference"/>
          <w:szCs w:val="22"/>
        </w:rPr>
        <w:footnoteReference w:id="7"/>
      </w:r>
      <w:r w:rsidR="00515EDF">
        <w:rPr>
          <w:szCs w:val="22"/>
        </w:rPr>
        <w:t xml:space="preserve">  On February 12</w:t>
      </w:r>
      <w:r w:rsidR="000D4A28">
        <w:rPr>
          <w:szCs w:val="22"/>
        </w:rPr>
        <w:t>, 2014, the Bureau released a public notice of the consummation.</w:t>
      </w:r>
      <w:r w:rsidR="008A41A8">
        <w:rPr>
          <w:rStyle w:val="FootnoteReference"/>
          <w:szCs w:val="22"/>
        </w:rPr>
        <w:footnoteReference w:id="8"/>
      </w:r>
      <w:r w:rsidR="000D4A28">
        <w:rPr>
          <w:szCs w:val="22"/>
        </w:rPr>
        <w:t xml:space="preserve"> </w:t>
      </w:r>
    </w:p>
    <w:p w:rsidR="000A7A93" w:rsidRDefault="000D4A28" w:rsidP="00C84E39">
      <w:pPr>
        <w:pStyle w:val="ParaNum"/>
        <w:widowControl/>
        <w:rPr>
          <w:szCs w:val="22"/>
        </w:rPr>
      </w:pPr>
      <w:r>
        <w:rPr>
          <w:szCs w:val="22"/>
        </w:rPr>
        <w:lastRenderedPageBreak/>
        <w:t xml:space="preserve"> </w:t>
      </w:r>
      <w:r w:rsidR="000A7A93" w:rsidRPr="00825499">
        <w:rPr>
          <w:szCs w:val="22"/>
        </w:rPr>
        <w:t>Warren C. Havens, Environmental LLC, Verde, Intelligent Transportation and Monitoring Wireless LLC, Telesaurus Holdings GB LLC, Skybridge, and V2G LLC</w:t>
      </w:r>
      <w:r w:rsidR="000A7A93">
        <w:rPr>
          <w:szCs w:val="22"/>
        </w:rPr>
        <w:t xml:space="preserve"> (collectively, “Petitioners”) </w:t>
      </w:r>
      <w:r w:rsidR="000A7A93" w:rsidRPr="00FD0E06">
        <w:rPr>
          <w:szCs w:val="22"/>
        </w:rPr>
        <w:t xml:space="preserve">contend that, on February 20, 2014, </w:t>
      </w:r>
      <w:r w:rsidR="000A7A93">
        <w:rPr>
          <w:szCs w:val="22"/>
        </w:rPr>
        <w:t xml:space="preserve">they </w:t>
      </w:r>
      <w:r w:rsidR="000A7A93" w:rsidRPr="00FD0E06">
        <w:rPr>
          <w:szCs w:val="22"/>
        </w:rPr>
        <w:t>learned that PSI filed notices of consummation of certain partitioned license assignments by Verde</w:t>
      </w:r>
      <w:r w:rsidR="000A7A93">
        <w:rPr>
          <w:szCs w:val="22"/>
        </w:rPr>
        <w:t xml:space="preserve"> </w:t>
      </w:r>
      <w:r w:rsidR="000A7A93" w:rsidRPr="00FD0E06">
        <w:rPr>
          <w:szCs w:val="22"/>
        </w:rPr>
        <w:t>and Skybridge to PSI but states that Verde and Skybridge never “executed the assignment to PSI reported on in the notifications of consummation, as required in the settlement agreement, as part of the closing of certain reciprocal license assignments, which included the two assignments that PSI reported as consummated.”</w:t>
      </w:r>
      <w:r w:rsidR="000A7A93">
        <w:rPr>
          <w:rStyle w:val="FootnoteReference"/>
          <w:szCs w:val="22"/>
        </w:rPr>
        <w:footnoteReference w:id="9"/>
      </w:r>
      <w:r w:rsidR="000A7A93" w:rsidRPr="00FD0E06">
        <w:rPr>
          <w:szCs w:val="22"/>
        </w:rPr>
        <w:t xml:space="preserve">  </w:t>
      </w:r>
    </w:p>
    <w:p w:rsidR="002A5113" w:rsidRPr="00FD0E06" w:rsidRDefault="00895754" w:rsidP="00C84E39">
      <w:pPr>
        <w:pStyle w:val="ParaNum"/>
        <w:rPr>
          <w:szCs w:val="22"/>
        </w:rPr>
      </w:pPr>
      <w:r w:rsidRPr="00825499">
        <w:rPr>
          <w:szCs w:val="22"/>
        </w:rPr>
        <w:t xml:space="preserve">On March 14, 2014, </w:t>
      </w:r>
      <w:r w:rsidR="000A7A93">
        <w:rPr>
          <w:szCs w:val="22"/>
        </w:rPr>
        <w:t xml:space="preserve">Petitioners </w:t>
      </w:r>
      <w:r>
        <w:rPr>
          <w:szCs w:val="22"/>
        </w:rPr>
        <w:t xml:space="preserve">filed a conditional petition for reconsideration of the assignment of </w:t>
      </w:r>
      <w:r w:rsidR="000A7A93">
        <w:rPr>
          <w:szCs w:val="22"/>
        </w:rPr>
        <w:t>Station WNTA626 from Touch</w:t>
      </w:r>
      <w:r>
        <w:rPr>
          <w:szCs w:val="22"/>
        </w:rPr>
        <w:t>Tel</w:t>
      </w:r>
      <w:r w:rsidR="006872C0">
        <w:rPr>
          <w:szCs w:val="22"/>
        </w:rPr>
        <w:t xml:space="preserve"> </w:t>
      </w:r>
      <w:r>
        <w:rPr>
          <w:szCs w:val="22"/>
        </w:rPr>
        <w:t>to Penryn.</w:t>
      </w:r>
      <w:r>
        <w:rPr>
          <w:rStyle w:val="FootnoteReference"/>
          <w:szCs w:val="22"/>
        </w:rPr>
        <w:footnoteReference w:id="10"/>
      </w:r>
      <w:r>
        <w:rPr>
          <w:szCs w:val="22"/>
        </w:rPr>
        <w:t xml:space="preserve">  Petitioners </w:t>
      </w:r>
      <w:r w:rsidR="000D4A28">
        <w:t>state that “[t]</w:t>
      </w:r>
      <w:r w:rsidR="000D4A28" w:rsidRPr="00FD0E06">
        <w:rPr>
          <w:szCs w:val="22"/>
        </w:rPr>
        <w:t>his filing is part of action by Petitioners to mitigate damages caused by Touch Tel and Paging Systems, Inc. . . . in violation of the settlement agreement and fair competition.”</w:t>
      </w:r>
      <w:r w:rsidR="008A41A8">
        <w:rPr>
          <w:rStyle w:val="FootnoteReference"/>
          <w:szCs w:val="22"/>
        </w:rPr>
        <w:footnoteReference w:id="11"/>
      </w:r>
      <w:r w:rsidR="000D4A28" w:rsidRPr="00FD0E06">
        <w:rPr>
          <w:szCs w:val="22"/>
        </w:rPr>
        <w:t xml:space="preserve">  </w:t>
      </w:r>
      <w:r w:rsidR="004D4AFA">
        <w:rPr>
          <w:szCs w:val="22"/>
        </w:rPr>
        <w:t xml:space="preserve">Petitioners </w:t>
      </w:r>
      <w:r w:rsidR="000D4A28" w:rsidRPr="00FD0E06">
        <w:rPr>
          <w:szCs w:val="22"/>
        </w:rPr>
        <w:t xml:space="preserve">explain that the petition </w:t>
      </w:r>
      <w:r w:rsidR="007339B6" w:rsidRPr="00FD0E06">
        <w:rPr>
          <w:szCs w:val="22"/>
        </w:rPr>
        <w:t xml:space="preserve">is “conditional” because it </w:t>
      </w:r>
      <w:r w:rsidR="000D4A28" w:rsidRPr="00FD0E06">
        <w:rPr>
          <w:szCs w:val="22"/>
        </w:rPr>
        <w:t>“is solely a ‘protective’ filing</w:t>
      </w:r>
      <w:r w:rsidR="007339B6" w:rsidRPr="00FD0E06">
        <w:rPr>
          <w:szCs w:val="22"/>
        </w:rPr>
        <w:t xml:space="preserve"> . . . [to be]</w:t>
      </w:r>
      <w:r w:rsidR="000D4A28" w:rsidRPr="00FD0E06">
        <w:rPr>
          <w:szCs w:val="22"/>
        </w:rPr>
        <w:t xml:space="preserve"> considered only if Touch Tel and Paging Systems,</w:t>
      </w:r>
      <w:r w:rsidR="007339B6" w:rsidRPr="00FD0E06">
        <w:rPr>
          <w:szCs w:val="22"/>
        </w:rPr>
        <w:t xml:space="preserve"> </w:t>
      </w:r>
      <w:r w:rsidR="000D4A28" w:rsidRPr="00FD0E06">
        <w:rPr>
          <w:szCs w:val="22"/>
        </w:rPr>
        <w:t>Inc. do not cure their actions in violation of certain FCC law and procedure</w:t>
      </w:r>
      <w:r w:rsidR="007339B6" w:rsidRPr="00FD0E06">
        <w:rPr>
          <w:szCs w:val="22"/>
        </w:rPr>
        <w:t>” with respect to an application in a different wireless service.</w:t>
      </w:r>
      <w:r w:rsidR="002A5113">
        <w:rPr>
          <w:rStyle w:val="FootnoteReference"/>
          <w:szCs w:val="22"/>
        </w:rPr>
        <w:footnoteReference w:id="12"/>
      </w:r>
      <w:r w:rsidR="006948AD" w:rsidRPr="00FD0E06">
        <w:rPr>
          <w:szCs w:val="22"/>
        </w:rPr>
        <w:t xml:space="preserve">  </w:t>
      </w:r>
      <w:r w:rsidR="00E63B2B">
        <w:rPr>
          <w:szCs w:val="22"/>
        </w:rPr>
        <w:t xml:space="preserve">Petitioners </w:t>
      </w:r>
      <w:r w:rsidR="000C54E5" w:rsidRPr="00FD0E06">
        <w:rPr>
          <w:szCs w:val="22"/>
        </w:rPr>
        <w:t xml:space="preserve">filed the instant </w:t>
      </w:r>
      <w:r w:rsidR="00E63B2B">
        <w:rPr>
          <w:szCs w:val="22"/>
        </w:rPr>
        <w:t>P</w:t>
      </w:r>
      <w:r w:rsidR="000C54E5" w:rsidRPr="00FD0E06">
        <w:rPr>
          <w:szCs w:val="22"/>
        </w:rPr>
        <w:t xml:space="preserve">etition for “conditional” relief asking the </w:t>
      </w:r>
      <w:r w:rsidR="007E3B82" w:rsidRPr="00FD0E06">
        <w:rPr>
          <w:szCs w:val="22"/>
        </w:rPr>
        <w:t xml:space="preserve">Commission </w:t>
      </w:r>
      <w:r w:rsidR="000C54E5" w:rsidRPr="00FD0E06">
        <w:rPr>
          <w:szCs w:val="22"/>
        </w:rPr>
        <w:t>to not take action on the instant Assignment Application “until the above noted matters with regard to described PSI-filed notifications of consummation and actions to withdraw past pleadings are decided upon.”</w:t>
      </w:r>
      <w:r w:rsidR="002A5113">
        <w:rPr>
          <w:rStyle w:val="FootnoteReference"/>
          <w:szCs w:val="22"/>
        </w:rPr>
        <w:footnoteReference w:id="13"/>
      </w:r>
    </w:p>
    <w:p w:rsidR="00D17D13" w:rsidRPr="000C54E5" w:rsidRDefault="002A5113" w:rsidP="00C84E39">
      <w:pPr>
        <w:pStyle w:val="ParaNum"/>
        <w:rPr>
          <w:szCs w:val="22"/>
        </w:rPr>
      </w:pPr>
      <w:r>
        <w:rPr>
          <w:szCs w:val="22"/>
        </w:rPr>
        <w:t>On March 25, 2014, Penryn filed an Opposition to the Petition.</w:t>
      </w:r>
      <w:r>
        <w:rPr>
          <w:rStyle w:val="FootnoteReference"/>
          <w:szCs w:val="22"/>
        </w:rPr>
        <w:footnoteReference w:id="14"/>
      </w:r>
      <w:r>
        <w:rPr>
          <w:szCs w:val="22"/>
        </w:rPr>
        <w:t xml:space="preserve">  </w:t>
      </w:r>
      <w:r w:rsidR="00F16554">
        <w:rPr>
          <w:szCs w:val="22"/>
        </w:rPr>
        <w:t>Penryn requests that the Commission dismiss the Petition as untimely filed and for lack of standing.</w:t>
      </w:r>
      <w:r w:rsidR="00F16554">
        <w:rPr>
          <w:rStyle w:val="FootnoteReference"/>
          <w:szCs w:val="22"/>
        </w:rPr>
        <w:footnoteReference w:id="15"/>
      </w:r>
      <w:r w:rsidR="00F16554">
        <w:rPr>
          <w:szCs w:val="22"/>
        </w:rPr>
        <w:t xml:space="preserve">  </w:t>
      </w:r>
      <w:r>
        <w:rPr>
          <w:szCs w:val="22"/>
        </w:rPr>
        <w:t xml:space="preserve">Penryn filed a Supplement to its Opposition on </w:t>
      </w:r>
      <w:r w:rsidR="00A93665">
        <w:rPr>
          <w:szCs w:val="22"/>
        </w:rPr>
        <w:t>July 17, 2014.</w:t>
      </w:r>
      <w:r w:rsidR="00A93665">
        <w:rPr>
          <w:rStyle w:val="FootnoteReference"/>
          <w:szCs w:val="22"/>
        </w:rPr>
        <w:footnoteReference w:id="16"/>
      </w:r>
      <w:r w:rsidR="00A93665">
        <w:rPr>
          <w:szCs w:val="22"/>
        </w:rPr>
        <w:t xml:space="preserve">  </w:t>
      </w:r>
      <w:r>
        <w:rPr>
          <w:szCs w:val="22"/>
        </w:rPr>
        <w:t xml:space="preserve">  </w:t>
      </w:r>
      <w:r w:rsidR="000C54E5">
        <w:rPr>
          <w:szCs w:val="22"/>
        </w:rPr>
        <w:t xml:space="preserve"> </w:t>
      </w:r>
      <w:r w:rsidR="006948AD" w:rsidRPr="000C54E5">
        <w:rPr>
          <w:szCs w:val="22"/>
        </w:rPr>
        <w:t xml:space="preserve">  </w:t>
      </w:r>
    </w:p>
    <w:p w:rsidR="007E3B82" w:rsidRDefault="006518F3" w:rsidP="00C84E39">
      <w:pPr>
        <w:pStyle w:val="ParaNum"/>
      </w:pPr>
      <w:r w:rsidRPr="00A82589">
        <w:rPr>
          <w:i/>
        </w:rPr>
        <w:t>Discussion</w:t>
      </w:r>
      <w:r w:rsidRPr="008C1C26">
        <w:t>.</w:t>
      </w:r>
      <w:r w:rsidR="00225F6C">
        <w:t xml:space="preserve">  </w:t>
      </w:r>
      <w:r w:rsidR="00A82589">
        <w:t>W</w:t>
      </w:r>
      <w:r w:rsidR="00302886">
        <w:t xml:space="preserve">e dismiss the Petition for lack of standing to file against the Assignment Application.  </w:t>
      </w:r>
      <w:r w:rsidR="00E63B2B">
        <w:rPr>
          <w:szCs w:val="22"/>
        </w:rPr>
        <w:t>To establish party-in-interest standing to challenge an application, a petitioner must allege facts sufficient to demonstrate that grant of the application would cause it to suffer a direct injury.</w:t>
      </w:r>
      <w:bookmarkStart w:id="1" w:name="_Ref386016382"/>
      <w:r w:rsidR="00E63B2B">
        <w:rPr>
          <w:rStyle w:val="FootnoteReference"/>
          <w:szCs w:val="22"/>
        </w:rPr>
        <w:footnoteReference w:id="17"/>
      </w:r>
      <w:bookmarkEnd w:id="1"/>
      <w:r w:rsidR="00E63B2B">
        <w:rPr>
          <w:szCs w:val="22"/>
        </w:rPr>
        <w:t xml:space="preserve">  In </w:t>
      </w:r>
      <w:r w:rsidR="00E63B2B">
        <w:rPr>
          <w:szCs w:val="22"/>
        </w:rPr>
        <w:lastRenderedPageBreak/>
        <w:t>addition, petitioners must demonstrate a causal link between the claimed injury and the challenged action.</w:t>
      </w:r>
      <w:r w:rsidR="00E63B2B">
        <w:rPr>
          <w:rStyle w:val="FootnoteReference"/>
          <w:szCs w:val="22"/>
        </w:rPr>
        <w:footnoteReference w:id="18"/>
      </w:r>
      <w:r w:rsidR="00E63B2B">
        <w:rPr>
          <w:szCs w:val="22"/>
        </w:rPr>
        <w:t xml:space="preserve">  To demonstrate a causal link, petitioners must establish that the injury can be traced to the challenged action and that the injury would be prevented or redressed by the relief requested.</w:t>
      </w:r>
      <w:r w:rsidR="00E63B2B">
        <w:rPr>
          <w:rStyle w:val="FootnoteReference"/>
          <w:szCs w:val="22"/>
        </w:rPr>
        <w:footnoteReference w:id="19"/>
      </w:r>
      <w:r w:rsidR="00E63B2B">
        <w:rPr>
          <w:szCs w:val="22"/>
        </w:rPr>
        <w:t xml:space="preserve">  For these purposes, an injury must be both “concrete and particularized” and “actual or imminent, not conjectural or hypothetical.”</w:t>
      </w:r>
      <w:r w:rsidR="00E63B2B">
        <w:rPr>
          <w:rStyle w:val="FootnoteReference"/>
          <w:szCs w:val="22"/>
        </w:rPr>
        <w:footnoteReference w:id="20"/>
      </w:r>
      <w:r w:rsidR="00E63B2B">
        <w:rPr>
          <w:szCs w:val="22"/>
        </w:rPr>
        <w:t xml:space="preserve">  </w:t>
      </w:r>
      <w:r w:rsidR="00F23955">
        <w:rPr>
          <w:szCs w:val="22"/>
        </w:rPr>
        <w:t xml:space="preserve">Petitioners </w:t>
      </w:r>
      <w:r w:rsidR="00302886">
        <w:t xml:space="preserve">provide no explanation </w:t>
      </w:r>
      <w:r w:rsidR="00F23955">
        <w:t xml:space="preserve">as </w:t>
      </w:r>
      <w:r w:rsidR="00302886">
        <w:t xml:space="preserve">to </w:t>
      </w:r>
      <w:r w:rsidR="00F23955">
        <w:t xml:space="preserve">how </w:t>
      </w:r>
      <w:r w:rsidR="0087260C">
        <w:t>t</w:t>
      </w:r>
      <w:r w:rsidR="00F23955">
        <w:t>he</w:t>
      </w:r>
      <w:r w:rsidR="0087260C">
        <w:t>y</w:t>
      </w:r>
      <w:r w:rsidR="00F23955">
        <w:t xml:space="preserve"> would be injured by the grant of the Assignment Application or how denying the Assignment Application would remedy any harm they allege with respect to the settlement between themselves and PSI</w:t>
      </w:r>
      <w:r w:rsidR="00302886">
        <w:t xml:space="preserve">.  Indeed, the only issue raised by Havens in the instant Petition </w:t>
      </w:r>
      <w:r w:rsidR="00CF0EAC">
        <w:t>is</w:t>
      </w:r>
      <w:r w:rsidR="00302886">
        <w:t xml:space="preserve"> not specific to Station WNTA626 </w:t>
      </w:r>
      <w:r w:rsidR="003E052A">
        <w:t>but relate</w:t>
      </w:r>
      <w:r w:rsidR="00CF0EAC">
        <w:t>s</w:t>
      </w:r>
      <w:r w:rsidR="003E052A">
        <w:t xml:space="preserve"> to differen</w:t>
      </w:r>
      <w:r w:rsidR="0087260C">
        <w:t>t</w:t>
      </w:r>
      <w:r w:rsidR="003E052A">
        <w:t xml:space="preserve"> license</w:t>
      </w:r>
      <w:r w:rsidR="0087260C">
        <w:t>s</w:t>
      </w:r>
      <w:r w:rsidR="003E052A">
        <w:t xml:space="preserve"> in an</w:t>
      </w:r>
      <w:r w:rsidR="0087260C">
        <w:t>other</w:t>
      </w:r>
      <w:r w:rsidR="003E052A">
        <w:t xml:space="preserve"> service.</w:t>
      </w:r>
      <w:r w:rsidR="00726D4E">
        <w:t xml:space="preserve">  We also note that </w:t>
      </w:r>
      <w:r w:rsidR="00726D4E">
        <w:rPr>
          <w:szCs w:val="22"/>
        </w:rPr>
        <w:t>no allegation is raised as to any defect in the instant Assignment Application or Consummation Notice.</w:t>
      </w:r>
      <w:r w:rsidR="00B2482A">
        <w:t xml:space="preserve">  Accordingly</w:t>
      </w:r>
      <w:r w:rsidR="00453037">
        <w:t xml:space="preserve">, </w:t>
      </w:r>
      <w:r w:rsidR="00B2482A">
        <w:t xml:space="preserve">we find that </w:t>
      </w:r>
      <w:r w:rsidR="00F23955">
        <w:t xml:space="preserve">Petitioners have </w:t>
      </w:r>
      <w:r w:rsidR="00B2482A">
        <w:t xml:space="preserve">failed to demonstrate standing to file the instant Petition.   </w:t>
      </w:r>
      <w:r w:rsidR="00BB7C39">
        <w:t xml:space="preserve">  </w:t>
      </w:r>
      <w:r w:rsidR="00647D99" w:rsidRPr="00A82589">
        <w:rPr>
          <w:szCs w:val="22"/>
        </w:rPr>
        <w:t xml:space="preserve">  </w:t>
      </w:r>
      <w:r w:rsidR="003E052A">
        <w:t xml:space="preserve">  </w:t>
      </w:r>
    </w:p>
    <w:p w:rsidR="00FB4576" w:rsidRDefault="003E052A" w:rsidP="00C84E39">
      <w:pPr>
        <w:pStyle w:val="ParaNum"/>
        <w:widowControl/>
      </w:pPr>
      <w:r>
        <w:t xml:space="preserve">We recognize that an </w:t>
      </w:r>
      <w:r w:rsidR="00BE28AE">
        <w:t xml:space="preserve">informal objection </w:t>
      </w:r>
      <w:r>
        <w:t xml:space="preserve">may be </w:t>
      </w:r>
      <w:r w:rsidR="00BE28AE">
        <w:t>filed pursuant to Section 1.41 of the Commission’s Rules</w:t>
      </w:r>
      <w:r w:rsidR="00FF06BF">
        <w:rPr>
          <w:rStyle w:val="FootnoteReference"/>
        </w:rPr>
        <w:footnoteReference w:id="21"/>
      </w:r>
      <w:r>
        <w:t xml:space="preserve"> without </w:t>
      </w:r>
      <w:r w:rsidR="0087260C">
        <w:t xml:space="preserve">demonstrating </w:t>
      </w:r>
      <w:r>
        <w:t>standing.  However, t</w:t>
      </w:r>
      <w:r w:rsidR="003D29F9">
        <w:t>he Commission has discretion whether or not to consider an informal objection.</w:t>
      </w:r>
      <w:r w:rsidR="003D29F9">
        <w:rPr>
          <w:rStyle w:val="FootnoteReference"/>
        </w:rPr>
        <w:footnoteReference w:id="22"/>
      </w:r>
      <w:r w:rsidR="003D29F9">
        <w:t xml:space="preserve">  </w:t>
      </w:r>
      <w:r w:rsidR="00E12566">
        <w:t xml:space="preserve">In this case, we note that </w:t>
      </w:r>
      <w:r w:rsidR="00E12566" w:rsidRPr="007E3B82">
        <w:rPr>
          <w:szCs w:val="22"/>
        </w:rPr>
        <w:t xml:space="preserve">the only issue raised by </w:t>
      </w:r>
      <w:r w:rsidR="003F0AB2">
        <w:rPr>
          <w:szCs w:val="22"/>
        </w:rPr>
        <w:t>P</w:t>
      </w:r>
      <w:r w:rsidR="00E12566" w:rsidRPr="007E3B82">
        <w:rPr>
          <w:szCs w:val="22"/>
        </w:rPr>
        <w:t>etition</w:t>
      </w:r>
      <w:r w:rsidR="003F0AB2">
        <w:rPr>
          <w:szCs w:val="22"/>
        </w:rPr>
        <w:t>ers</w:t>
      </w:r>
      <w:r w:rsidR="00E12566" w:rsidRPr="007E3B82">
        <w:rPr>
          <w:szCs w:val="22"/>
        </w:rPr>
        <w:t xml:space="preserve"> </w:t>
      </w:r>
      <w:r w:rsidR="00C04DAF" w:rsidRPr="007E3B82">
        <w:rPr>
          <w:szCs w:val="22"/>
        </w:rPr>
        <w:t xml:space="preserve">is </w:t>
      </w:r>
      <w:r w:rsidR="00E12566" w:rsidRPr="007E3B82">
        <w:rPr>
          <w:szCs w:val="22"/>
        </w:rPr>
        <w:t xml:space="preserve">not specific to Station WNTA626.  Moreover, we note that </w:t>
      </w:r>
      <w:r w:rsidR="0087260C">
        <w:rPr>
          <w:szCs w:val="22"/>
        </w:rPr>
        <w:t xml:space="preserve">Petitioners have filed a separate </w:t>
      </w:r>
      <w:r w:rsidR="00C04DAF" w:rsidRPr="007E3B82">
        <w:rPr>
          <w:szCs w:val="22"/>
        </w:rPr>
        <w:t>petition for reconsideration filed against the application and consummation where the alleged defect occurs.</w:t>
      </w:r>
      <w:r w:rsidR="007E3B82">
        <w:rPr>
          <w:rStyle w:val="FootnoteReference"/>
        </w:rPr>
        <w:footnoteReference w:id="23"/>
      </w:r>
      <w:r w:rsidR="007E3B82">
        <w:t xml:space="preserve">  </w:t>
      </w:r>
      <w:r w:rsidR="00C84E39">
        <w:t xml:space="preserve">We also note that </w:t>
      </w:r>
      <w:r w:rsidR="00C84E39" w:rsidRPr="002A41BB">
        <w:rPr>
          <w:szCs w:val="22"/>
        </w:rPr>
        <w:t>the Commission has consistently refused to become involved in private contractual matters that can best be resolved in a court of competent jurisdiction.</w:t>
      </w:r>
      <w:r w:rsidR="00C84E39" w:rsidRPr="002A41BB">
        <w:rPr>
          <w:rStyle w:val="FootnoteReference"/>
          <w:color w:val="000000"/>
          <w:szCs w:val="22"/>
        </w:rPr>
        <w:footnoteReference w:id="24"/>
      </w:r>
      <w:r w:rsidR="00C84E39" w:rsidRPr="002A41BB">
        <w:rPr>
          <w:color w:val="000000"/>
          <w:szCs w:val="22"/>
        </w:rPr>
        <w:t xml:space="preserve">  </w:t>
      </w:r>
      <w:r w:rsidR="00C84E39" w:rsidRPr="002A41BB">
        <w:rPr>
          <w:szCs w:val="22"/>
        </w:rPr>
        <w:t>The Commission has held that it “generally does not adjudicate private contractual disputes, but instead attempts to reach a fair accommodation between its ex</w:t>
      </w:r>
      <w:r w:rsidR="00C84E39" w:rsidRPr="002A41BB">
        <w:rPr>
          <w:color w:val="000000"/>
          <w:szCs w:val="22"/>
        </w:rPr>
        <w:t>clusive authority over licensing matters and the authority of state and local courts through procedures that defer contractual matters to courts to decide under state and local law.”</w:t>
      </w:r>
      <w:r w:rsidR="00C84E39" w:rsidRPr="002A41BB">
        <w:rPr>
          <w:rStyle w:val="FootnoteReference"/>
          <w:color w:val="000000"/>
          <w:szCs w:val="22"/>
        </w:rPr>
        <w:footnoteReference w:id="25"/>
      </w:r>
      <w:r w:rsidR="00C84E39">
        <w:rPr>
          <w:color w:val="000000"/>
          <w:szCs w:val="22"/>
        </w:rPr>
        <w:t xml:space="preserve">  Here, the parties are actively litigating the issues in court.  </w:t>
      </w:r>
      <w:r w:rsidR="00A11C39">
        <w:rPr>
          <w:szCs w:val="22"/>
        </w:rPr>
        <w:t xml:space="preserve">Penryn reports that the United States District Court for the District of New Jersey </w:t>
      </w:r>
      <w:r w:rsidR="0087260C">
        <w:rPr>
          <w:szCs w:val="22"/>
        </w:rPr>
        <w:t xml:space="preserve">has </w:t>
      </w:r>
      <w:r w:rsidR="00A11C39">
        <w:rPr>
          <w:szCs w:val="22"/>
        </w:rPr>
        <w:t xml:space="preserve">granted a </w:t>
      </w:r>
      <w:r w:rsidR="00603436">
        <w:rPr>
          <w:szCs w:val="22"/>
        </w:rPr>
        <w:t>motion to enforce the settlement agreement.</w:t>
      </w:r>
      <w:r w:rsidR="00603436">
        <w:rPr>
          <w:rStyle w:val="FootnoteReference"/>
          <w:szCs w:val="22"/>
        </w:rPr>
        <w:footnoteReference w:id="26"/>
      </w:r>
      <w:r w:rsidR="00603436">
        <w:rPr>
          <w:szCs w:val="22"/>
        </w:rPr>
        <w:t xml:space="preserve">  Petitioners have filed an appeal with the United States Court of Appeals for the Third Circuit.</w:t>
      </w:r>
      <w:r w:rsidR="00603436">
        <w:rPr>
          <w:rStyle w:val="FootnoteReference"/>
          <w:szCs w:val="22"/>
        </w:rPr>
        <w:footnoteReference w:id="27"/>
      </w:r>
      <w:r w:rsidR="00603436">
        <w:rPr>
          <w:szCs w:val="22"/>
        </w:rPr>
        <w:t xml:space="preserve">  </w:t>
      </w:r>
      <w:r w:rsidR="00C04DAF" w:rsidRPr="007E3B82">
        <w:rPr>
          <w:szCs w:val="22"/>
        </w:rPr>
        <w:t xml:space="preserve">Based on the above, we decline to consider the pleading as an informal objection. </w:t>
      </w:r>
      <w:r w:rsidR="006E4F6B">
        <w:rPr>
          <w:rStyle w:val="FootnoteReference"/>
          <w:szCs w:val="22"/>
        </w:rPr>
        <w:footnoteReference w:id="28"/>
      </w:r>
    </w:p>
    <w:p w:rsidR="00493D75" w:rsidRPr="00B2482A" w:rsidRDefault="004C5D63" w:rsidP="00C84E39">
      <w:pPr>
        <w:pStyle w:val="ParaNum"/>
        <w:widowControl/>
        <w:rPr>
          <w:szCs w:val="22"/>
        </w:rPr>
      </w:pPr>
      <w:r>
        <w:rPr>
          <w:i/>
          <w:szCs w:val="22"/>
        </w:rPr>
        <w:t xml:space="preserve">Ordering Clause.  </w:t>
      </w:r>
      <w:r w:rsidR="006975C8" w:rsidRPr="006975C8">
        <w:rPr>
          <w:szCs w:val="22"/>
        </w:rPr>
        <w:t>Accordingly, IT IS ORDERED that</w:t>
      </w:r>
      <w:r w:rsidR="00AD6C5F" w:rsidRPr="00B2482A">
        <w:rPr>
          <w:szCs w:val="22"/>
        </w:rPr>
        <w:t xml:space="preserve">, pursuant to Sections 4(i) and 405 of the Communications Act, as amended, 47 U.S.C. §§ 154(i), 405, and Section 1.106 of the Commission’s Rules, 47 C.F.R. § 1.106, the </w:t>
      </w:r>
      <w:r w:rsidR="00B2482A">
        <w:rPr>
          <w:szCs w:val="22"/>
        </w:rPr>
        <w:t xml:space="preserve">Conditional </w:t>
      </w:r>
      <w:r w:rsidR="00AD6C5F" w:rsidRPr="00B2482A">
        <w:rPr>
          <w:szCs w:val="22"/>
        </w:rPr>
        <w:t xml:space="preserve">Petition for Reconsideration filed by </w:t>
      </w:r>
      <w:r w:rsidR="00B2482A" w:rsidRPr="00825499">
        <w:rPr>
          <w:szCs w:val="22"/>
        </w:rPr>
        <w:t>Warren C. Havens, Environmental LLC, Verde Systems LLC, Intelligent Transportation and Monitoring Wireless LLC, Telesaurus Holdings GB LLC, Skybridge Spectrum Foundation, and V2G LLC</w:t>
      </w:r>
      <w:r w:rsidR="00B2482A" w:rsidRPr="00B2482A">
        <w:rPr>
          <w:szCs w:val="22"/>
        </w:rPr>
        <w:t xml:space="preserve"> </w:t>
      </w:r>
      <w:r w:rsidR="00AD6C5F" w:rsidRPr="00B2482A">
        <w:rPr>
          <w:szCs w:val="22"/>
        </w:rPr>
        <w:t xml:space="preserve">on </w:t>
      </w:r>
      <w:r w:rsidR="00174C44">
        <w:rPr>
          <w:szCs w:val="22"/>
        </w:rPr>
        <w:t>March 14, 2014 IS DISMISSED</w:t>
      </w:r>
      <w:r w:rsidR="00AD6C5F" w:rsidRPr="00B2482A">
        <w:rPr>
          <w:szCs w:val="22"/>
        </w:rPr>
        <w:t>.</w:t>
      </w:r>
    </w:p>
    <w:p w:rsidR="006518F3" w:rsidRDefault="006518F3" w:rsidP="00804593">
      <w:pPr>
        <w:ind w:left="3600" w:firstLine="720"/>
        <w:rPr>
          <w:szCs w:val="22"/>
        </w:rPr>
      </w:pPr>
      <w:r>
        <w:rPr>
          <w:szCs w:val="22"/>
        </w:rPr>
        <w:t>FEDERAL COMMUNICATIONS COMMISSION</w:t>
      </w:r>
    </w:p>
    <w:p w:rsidR="006518F3" w:rsidRDefault="006518F3" w:rsidP="00804593">
      <w:pPr>
        <w:ind w:left="3600" w:firstLine="720"/>
        <w:rPr>
          <w:szCs w:val="22"/>
        </w:rPr>
      </w:pPr>
    </w:p>
    <w:p w:rsidR="006518F3" w:rsidRDefault="006518F3" w:rsidP="00804593">
      <w:pPr>
        <w:ind w:left="3600" w:firstLine="720"/>
        <w:rPr>
          <w:szCs w:val="22"/>
        </w:rPr>
      </w:pPr>
    </w:p>
    <w:p w:rsidR="006518F3" w:rsidRDefault="006518F3" w:rsidP="00804593">
      <w:pPr>
        <w:ind w:left="3600" w:firstLine="720"/>
        <w:rPr>
          <w:szCs w:val="22"/>
        </w:rPr>
      </w:pPr>
    </w:p>
    <w:p w:rsidR="007475E1" w:rsidRDefault="002C2E3C" w:rsidP="00804593">
      <w:pPr>
        <w:ind w:left="3600" w:firstLine="720"/>
        <w:rPr>
          <w:szCs w:val="22"/>
        </w:rPr>
      </w:pPr>
      <w:r>
        <w:rPr>
          <w:szCs w:val="22"/>
        </w:rPr>
        <w:t>John J. Schauble</w:t>
      </w:r>
    </w:p>
    <w:p w:rsidR="002C2E3C" w:rsidRPr="007475E1" w:rsidRDefault="002C2E3C" w:rsidP="00804593">
      <w:pPr>
        <w:ind w:left="3600" w:firstLine="720"/>
        <w:rPr>
          <w:szCs w:val="22"/>
        </w:rPr>
      </w:pPr>
      <w:r>
        <w:rPr>
          <w:szCs w:val="22"/>
        </w:rPr>
        <w:t>Deputy Chief, Broadband Division</w:t>
      </w:r>
    </w:p>
    <w:p w:rsidR="006518F3" w:rsidRDefault="002C2E3C" w:rsidP="00804593">
      <w:pPr>
        <w:ind w:left="3600" w:firstLine="720"/>
        <w:rPr>
          <w:szCs w:val="22"/>
        </w:rPr>
      </w:pPr>
      <w:r>
        <w:rPr>
          <w:szCs w:val="22"/>
        </w:rPr>
        <w:t>Wireless Telecommunications Bureau</w:t>
      </w:r>
    </w:p>
    <w:sectPr w:rsidR="006518F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485" w:rsidRDefault="00E86485">
      <w:r>
        <w:separator/>
      </w:r>
    </w:p>
  </w:endnote>
  <w:endnote w:type="continuationSeparator" w:id="0">
    <w:p w:rsidR="00E86485" w:rsidRDefault="00E86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626" w:rsidRDefault="00CF2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972" w:rsidRDefault="00195972">
    <w:pPr>
      <w:pStyle w:val="Footer"/>
      <w:jc w:val="center"/>
    </w:pPr>
    <w:r>
      <w:rPr>
        <w:rStyle w:val="PageNumber"/>
      </w:rPr>
      <w:fldChar w:fldCharType="begin"/>
    </w:r>
    <w:r>
      <w:rPr>
        <w:rStyle w:val="PageNumber"/>
      </w:rPr>
      <w:instrText xml:space="preserve"> PAGE </w:instrText>
    </w:r>
    <w:r>
      <w:rPr>
        <w:rStyle w:val="PageNumber"/>
      </w:rPr>
      <w:fldChar w:fldCharType="separate"/>
    </w:r>
    <w:r w:rsidR="00041D6E">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626" w:rsidRDefault="00CF2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485" w:rsidRDefault="00E86485">
      <w:pPr>
        <w:rPr>
          <w:sz w:val="20"/>
        </w:rPr>
      </w:pPr>
      <w:r>
        <w:rPr>
          <w:sz w:val="20"/>
        </w:rPr>
        <w:separator/>
      </w:r>
    </w:p>
  </w:footnote>
  <w:footnote w:type="continuationSeparator" w:id="0">
    <w:p w:rsidR="00E86485" w:rsidRDefault="00E86485">
      <w:pPr>
        <w:rPr>
          <w:sz w:val="20"/>
        </w:rPr>
      </w:pPr>
      <w:r>
        <w:rPr>
          <w:sz w:val="20"/>
        </w:rPr>
        <w:separator/>
      </w:r>
    </w:p>
    <w:p w:rsidR="00E86485" w:rsidRDefault="00E86485">
      <w:pPr>
        <w:rPr>
          <w:sz w:val="20"/>
        </w:rPr>
      </w:pPr>
      <w:r>
        <w:rPr>
          <w:sz w:val="20"/>
        </w:rPr>
        <w:t>(...continued from previous page)</w:t>
      </w:r>
    </w:p>
  </w:footnote>
  <w:footnote w:type="continuationNotice" w:id="1">
    <w:p w:rsidR="00E86485" w:rsidRDefault="00E86485">
      <w:pPr>
        <w:jc w:val="right"/>
        <w:rPr>
          <w:sz w:val="20"/>
        </w:rPr>
      </w:pPr>
      <w:r>
        <w:rPr>
          <w:sz w:val="20"/>
        </w:rPr>
        <w:t>(continued....)</w:t>
      </w:r>
    </w:p>
  </w:footnote>
  <w:footnote w:id="2">
    <w:p w:rsidR="000B76A1" w:rsidRPr="000B76A1" w:rsidRDefault="000B76A1" w:rsidP="006D7831">
      <w:pPr>
        <w:pStyle w:val="FootnoteText"/>
      </w:pPr>
      <w:r>
        <w:rPr>
          <w:rStyle w:val="FootnoteReference"/>
        </w:rPr>
        <w:footnoteRef/>
      </w:r>
      <w:r>
        <w:t xml:space="preserve"> </w:t>
      </w:r>
      <w:r>
        <w:rPr>
          <w:i/>
        </w:rPr>
        <w:t>See</w:t>
      </w:r>
      <w:r>
        <w:t xml:space="preserve"> Letter from Scot Stone, Deputy Chief, Mobility Division, John Schauble, Deputy Chief, Broadband Division, and Gary Michaels, Deputy Chief, Auction and Spectrum Access Division, Wireless Telecommunications Bureau to Warren C. Havens, Audrey P. Rasmussen and David Hill (Dec. 6, 2013).</w:t>
      </w:r>
    </w:p>
  </w:footnote>
  <w:footnote w:id="3">
    <w:p w:rsidR="00A51CE1" w:rsidRPr="00A51CE1" w:rsidRDefault="00A51CE1" w:rsidP="006D7831">
      <w:pPr>
        <w:pStyle w:val="FootnoteText"/>
      </w:pPr>
      <w:r>
        <w:rPr>
          <w:rStyle w:val="FootnoteReference"/>
        </w:rPr>
        <w:footnoteRef/>
      </w:r>
      <w:r>
        <w:t xml:space="preserve"> </w:t>
      </w:r>
      <w:r>
        <w:rPr>
          <w:i/>
        </w:rPr>
        <w:t>Id.</w:t>
      </w:r>
      <w:r>
        <w:t xml:space="preserve"> at 1-2.</w:t>
      </w:r>
    </w:p>
  </w:footnote>
  <w:footnote w:id="4">
    <w:p w:rsidR="00A51CE1" w:rsidRPr="00A51CE1" w:rsidRDefault="00A51CE1" w:rsidP="006D7831">
      <w:pPr>
        <w:pStyle w:val="FootnoteText"/>
      </w:pPr>
      <w:r>
        <w:rPr>
          <w:rStyle w:val="FootnoteReference"/>
        </w:rPr>
        <w:footnoteRef/>
      </w:r>
      <w:r>
        <w:t xml:space="preserve"> </w:t>
      </w:r>
      <w:r>
        <w:rPr>
          <w:i/>
        </w:rPr>
        <w:t>Id.</w:t>
      </w:r>
      <w:r>
        <w:t xml:space="preserve"> at 3.</w:t>
      </w:r>
    </w:p>
  </w:footnote>
  <w:footnote w:id="5">
    <w:p w:rsidR="00D757AC" w:rsidRPr="008A41A8" w:rsidRDefault="00D757AC" w:rsidP="006D7831">
      <w:pPr>
        <w:pStyle w:val="FootnoteText"/>
      </w:pPr>
      <w:r w:rsidRPr="008A41A8">
        <w:rPr>
          <w:rStyle w:val="FootnoteReference"/>
        </w:rPr>
        <w:footnoteRef/>
      </w:r>
      <w:r w:rsidRPr="008A41A8">
        <w:t xml:space="preserve"> File No. </w:t>
      </w:r>
      <w:r w:rsidRPr="008A41A8">
        <w:rPr>
          <w:spacing w:val="-2"/>
        </w:rPr>
        <w:t>000607</w:t>
      </w:r>
      <w:r w:rsidR="00E63B2B">
        <w:rPr>
          <w:spacing w:val="-2"/>
        </w:rPr>
        <w:t>7</w:t>
      </w:r>
      <w:r w:rsidRPr="008A41A8">
        <w:rPr>
          <w:spacing w:val="-2"/>
        </w:rPr>
        <w:t>769 (</w:t>
      </w:r>
      <w:r w:rsidR="00895754">
        <w:rPr>
          <w:spacing w:val="-2"/>
        </w:rPr>
        <w:t xml:space="preserve">filed </w:t>
      </w:r>
      <w:r w:rsidRPr="008A41A8">
        <w:rPr>
          <w:spacing w:val="-2"/>
        </w:rPr>
        <w:t xml:space="preserve">Jan. 24, 2014) (“Assignment Application”).  </w:t>
      </w:r>
    </w:p>
  </w:footnote>
  <w:footnote w:id="6">
    <w:p w:rsidR="008A41A8" w:rsidRPr="008A41A8" w:rsidRDefault="008A41A8" w:rsidP="006D7831">
      <w:pPr>
        <w:spacing w:after="120"/>
      </w:pPr>
      <w:r w:rsidRPr="008A41A8">
        <w:rPr>
          <w:rStyle w:val="FootnoteReference"/>
        </w:rPr>
        <w:footnoteRef/>
      </w:r>
      <w:r w:rsidRPr="008A41A8">
        <w:rPr>
          <w:sz w:val="20"/>
        </w:rPr>
        <w:t xml:space="preserve"> </w:t>
      </w:r>
      <w:r w:rsidRPr="008A41A8">
        <w:rPr>
          <w:i/>
          <w:sz w:val="20"/>
        </w:rPr>
        <w:t xml:space="preserve">See </w:t>
      </w:r>
      <w:r w:rsidRPr="008A41A8">
        <w:rPr>
          <w:sz w:val="20"/>
        </w:rPr>
        <w:t xml:space="preserve">Wireless Telecommunications Bureau Assignment of License Authorization Applications, Transfer of Control of License Applications, </w:t>
      </w:r>
      <w:r w:rsidRPr="008A41A8">
        <w:rPr>
          <w:i/>
          <w:sz w:val="20"/>
        </w:rPr>
        <w:t xml:space="preserve">De Facto </w:t>
      </w:r>
      <w:r w:rsidRPr="008A41A8">
        <w:rPr>
          <w:sz w:val="20"/>
        </w:rPr>
        <w:t xml:space="preserve">Transfer Lease Applications and Spectrum Manager Lease Notifications, Designated Entity Reportable Eligibility Event Applications, and Designated Entity Annual Reports Action, </w:t>
      </w:r>
      <w:r w:rsidRPr="008A41A8">
        <w:rPr>
          <w:i/>
          <w:sz w:val="20"/>
        </w:rPr>
        <w:t xml:space="preserve">Public Notice, </w:t>
      </w:r>
      <w:r w:rsidRPr="008A41A8">
        <w:rPr>
          <w:sz w:val="20"/>
        </w:rPr>
        <w:t>Report No. 9325 (rel. Jan. 29, 2014)</w:t>
      </w:r>
      <w:r w:rsidR="005F69CB">
        <w:rPr>
          <w:sz w:val="20"/>
        </w:rPr>
        <w:t xml:space="preserve"> at 7</w:t>
      </w:r>
      <w:r w:rsidRPr="008A41A8">
        <w:rPr>
          <w:sz w:val="20"/>
        </w:rPr>
        <w:t>.</w:t>
      </w:r>
      <w:r>
        <w:t xml:space="preserve"> </w:t>
      </w:r>
    </w:p>
  </w:footnote>
  <w:footnote w:id="7">
    <w:p w:rsidR="008A41A8" w:rsidRDefault="008A41A8" w:rsidP="006D7831">
      <w:pPr>
        <w:pStyle w:val="FootnoteText"/>
      </w:pPr>
      <w:r>
        <w:rPr>
          <w:rStyle w:val="FootnoteReference"/>
        </w:rPr>
        <w:footnoteRef/>
      </w:r>
      <w:r>
        <w:t xml:space="preserve"> </w:t>
      </w:r>
      <w:r>
        <w:rPr>
          <w:spacing w:val="-2"/>
        </w:rPr>
        <w:t xml:space="preserve">File No. </w:t>
      </w:r>
      <w:r w:rsidR="00E63B2B">
        <w:rPr>
          <w:spacing w:val="-2"/>
        </w:rPr>
        <w:t>0</w:t>
      </w:r>
      <w:r>
        <w:rPr>
          <w:spacing w:val="-2"/>
        </w:rPr>
        <w:t>006127513 (</w:t>
      </w:r>
      <w:r w:rsidR="00895754">
        <w:rPr>
          <w:spacing w:val="-2"/>
        </w:rPr>
        <w:t xml:space="preserve">filed </w:t>
      </w:r>
      <w:r>
        <w:rPr>
          <w:spacing w:val="-2"/>
        </w:rPr>
        <w:t>Jan. 30, 2014) (“Consummation Notice”).</w:t>
      </w:r>
    </w:p>
  </w:footnote>
  <w:footnote w:id="8">
    <w:p w:rsidR="008A41A8" w:rsidRDefault="008A41A8" w:rsidP="006D7831">
      <w:pPr>
        <w:pStyle w:val="FootnoteText"/>
      </w:pPr>
      <w:r>
        <w:rPr>
          <w:rStyle w:val="FootnoteReference"/>
        </w:rPr>
        <w:footnoteRef/>
      </w:r>
      <w:r>
        <w:t xml:space="preserve"> </w:t>
      </w:r>
      <w:r w:rsidRPr="008A41A8">
        <w:rPr>
          <w:i/>
        </w:rPr>
        <w:t xml:space="preserve">See </w:t>
      </w:r>
      <w:r w:rsidRPr="008A41A8">
        <w:t xml:space="preserve">Wireless Telecommunications Bureau Assignment of License Authorization Applications, Transfer of Control of License Applications, </w:t>
      </w:r>
      <w:r w:rsidRPr="008A41A8">
        <w:rPr>
          <w:i/>
        </w:rPr>
        <w:t xml:space="preserve">De Facto </w:t>
      </w:r>
      <w:r w:rsidRPr="008A41A8">
        <w:t xml:space="preserve">Transfer Lease Applications and Spectrum Manager Lease Notifications, Designated Entity Reportable Eligibility Event Applications, and Designated Entity Annual Reports Action, </w:t>
      </w:r>
      <w:r w:rsidRPr="008A41A8">
        <w:rPr>
          <w:i/>
        </w:rPr>
        <w:t xml:space="preserve">Public Notice, </w:t>
      </w:r>
      <w:r w:rsidRPr="008A41A8">
        <w:t>Report No. 93</w:t>
      </w:r>
      <w:r w:rsidR="00CE5D6B">
        <w:t>59</w:t>
      </w:r>
      <w:r w:rsidRPr="008A41A8">
        <w:t xml:space="preserve"> (rel. </w:t>
      </w:r>
      <w:r w:rsidR="00CE5D6B">
        <w:t>Feb</w:t>
      </w:r>
      <w:r w:rsidRPr="008A41A8">
        <w:t xml:space="preserve">. </w:t>
      </w:r>
      <w:r w:rsidR="00CE5D6B">
        <w:t>12, 2014)</w:t>
      </w:r>
      <w:r w:rsidR="005F69CB">
        <w:t xml:space="preserve"> at 16</w:t>
      </w:r>
      <w:r w:rsidRPr="008A41A8">
        <w:t>.</w:t>
      </w:r>
    </w:p>
  </w:footnote>
  <w:footnote w:id="9">
    <w:p w:rsidR="000A7A93" w:rsidRDefault="000A7A93" w:rsidP="006D7831">
      <w:pPr>
        <w:pStyle w:val="FootnoteText"/>
      </w:pPr>
      <w:r>
        <w:rPr>
          <w:rStyle w:val="FootnoteReference"/>
        </w:rPr>
        <w:footnoteRef/>
      </w:r>
      <w:r w:rsidR="009010BB">
        <w:rPr>
          <w:szCs w:val="22"/>
        </w:rPr>
        <w:t xml:space="preserve"> </w:t>
      </w:r>
      <w:r w:rsidRPr="00825499">
        <w:rPr>
          <w:szCs w:val="22"/>
        </w:rPr>
        <w:t>Warren C. Havens, Environmental LLC, Verde Systems LLC, Intelligent Transportation and Monitoring Wireless LLC, Telesaurus Holdings GB LLC, Skybridge Spectrum Foundation, and V2G LLC</w:t>
      </w:r>
      <w:r>
        <w:rPr>
          <w:szCs w:val="22"/>
        </w:rPr>
        <w:t xml:space="preserve">, Petition for Reconsideration, </w:t>
      </w:r>
      <w:r>
        <w:rPr>
          <w:spacing w:val="-2"/>
        </w:rPr>
        <w:t>(filed Mar. 14, 2014) (Petition) at 2.</w:t>
      </w:r>
      <w:r>
        <w:t xml:space="preserve">  </w:t>
      </w:r>
    </w:p>
  </w:footnote>
  <w:footnote w:id="10">
    <w:p w:rsidR="00895754" w:rsidRDefault="00895754" w:rsidP="006D7831">
      <w:pPr>
        <w:pStyle w:val="FootnoteText"/>
      </w:pPr>
      <w:r>
        <w:rPr>
          <w:rStyle w:val="FootnoteReference"/>
        </w:rPr>
        <w:footnoteRef/>
      </w:r>
      <w:r w:rsidR="006872C0">
        <w:rPr>
          <w:spacing w:val="-2"/>
        </w:rPr>
        <w:t xml:space="preserve"> Petition</w:t>
      </w:r>
      <w:r>
        <w:rPr>
          <w:spacing w:val="-2"/>
        </w:rPr>
        <w:t xml:space="preserve">.   </w:t>
      </w:r>
    </w:p>
  </w:footnote>
  <w:footnote w:id="11">
    <w:p w:rsidR="008A41A8" w:rsidRPr="002A5113" w:rsidRDefault="008A41A8" w:rsidP="006D7831">
      <w:pPr>
        <w:pStyle w:val="FootnoteText"/>
      </w:pPr>
      <w:r>
        <w:rPr>
          <w:rStyle w:val="FootnoteReference"/>
        </w:rPr>
        <w:footnoteRef/>
      </w:r>
      <w:r>
        <w:t xml:space="preserve"> </w:t>
      </w:r>
      <w:r w:rsidR="002A5113">
        <w:t xml:space="preserve">Petition at 1.  </w:t>
      </w:r>
    </w:p>
  </w:footnote>
  <w:footnote w:id="12">
    <w:p w:rsidR="002A5113" w:rsidRDefault="002A5113" w:rsidP="006D7831">
      <w:pPr>
        <w:pStyle w:val="FootnoteText"/>
      </w:pPr>
      <w:r>
        <w:rPr>
          <w:rStyle w:val="FootnoteReference"/>
        </w:rPr>
        <w:footnoteRef/>
      </w:r>
      <w:r>
        <w:t xml:space="preserve"> Petition at 1.</w:t>
      </w:r>
    </w:p>
  </w:footnote>
  <w:footnote w:id="13">
    <w:p w:rsidR="002A5113" w:rsidRDefault="002A5113" w:rsidP="006D7831">
      <w:pPr>
        <w:pStyle w:val="FootnoteText"/>
      </w:pPr>
      <w:r>
        <w:rPr>
          <w:rStyle w:val="FootnoteReference"/>
        </w:rPr>
        <w:footnoteRef/>
      </w:r>
      <w:r>
        <w:t xml:space="preserve"> Petition at 3-4.  </w:t>
      </w:r>
    </w:p>
  </w:footnote>
  <w:footnote w:id="14">
    <w:p w:rsidR="002A5113" w:rsidRDefault="002A5113" w:rsidP="006D7831">
      <w:pPr>
        <w:pStyle w:val="FootnoteText"/>
      </w:pPr>
      <w:r>
        <w:rPr>
          <w:rStyle w:val="FootnoteReference"/>
        </w:rPr>
        <w:footnoteRef/>
      </w:r>
      <w:r>
        <w:t xml:space="preserve"> Penryn Corporation, Opposition to Conditional Petition for Reconsideration (</w:t>
      </w:r>
      <w:r w:rsidR="00F17AAA">
        <w:t xml:space="preserve">filed </w:t>
      </w:r>
      <w:r>
        <w:t xml:space="preserve">Mar. 25, 2014) (“Opposition”).   </w:t>
      </w:r>
    </w:p>
  </w:footnote>
  <w:footnote w:id="15">
    <w:p w:rsidR="00F16554" w:rsidRPr="00F16554" w:rsidRDefault="00F16554" w:rsidP="006D7831">
      <w:pPr>
        <w:pStyle w:val="FootnoteText"/>
      </w:pPr>
      <w:r>
        <w:rPr>
          <w:rStyle w:val="FootnoteReference"/>
        </w:rPr>
        <w:footnoteRef/>
      </w:r>
      <w:r>
        <w:t xml:space="preserve"> </w:t>
      </w:r>
      <w:r>
        <w:rPr>
          <w:i/>
        </w:rPr>
        <w:t xml:space="preserve">See </w:t>
      </w:r>
      <w:r>
        <w:t xml:space="preserve">Opposition at 2-3.  </w:t>
      </w:r>
    </w:p>
  </w:footnote>
  <w:footnote w:id="16">
    <w:p w:rsidR="00A93665" w:rsidRDefault="00A93665" w:rsidP="006D7831">
      <w:pPr>
        <w:pStyle w:val="FootnoteText"/>
      </w:pPr>
      <w:r>
        <w:rPr>
          <w:rStyle w:val="FootnoteReference"/>
        </w:rPr>
        <w:footnoteRef/>
      </w:r>
      <w:r>
        <w:t xml:space="preserve"> Penryn Corporation, Supplement to Opposition to Conditional Petition for Reconsideration (</w:t>
      </w:r>
      <w:r w:rsidR="00F17AAA">
        <w:t xml:space="preserve">filed </w:t>
      </w:r>
      <w:r>
        <w:t xml:space="preserve">July 17, 2014) (“Supplement”).  </w:t>
      </w:r>
    </w:p>
  </w:footnote>
  <w:footnote w:id="17">
    <w:p w:rsidR="00E63B2B" w:rsidRPr="00FF5DC3" w:rsidRDefault="00E63B2B" w:rsidP="006D7831">
      <w:pPr>
        <w:pStyle w:val="FootnoteText"/>
      </w:pPr>
      <w:r>
        <w:rPr>
          <w:rStyle w:val="FootnoteReference"/>
        </w:rPr>
        <w:footnoteRef/>
      </w:r>
      <w:r>
        <w:t xml:space="preserve"> </w:t>
      </w:r>
      <w:r>
        <w:rPr>
          <w:i/>
        </w:rPr>
        <w:t xml:space="preserve">See, e.g., </w:t>
      </w:r>
      <w:r>
        <w:t xml:space="preserve">Applications of AT&amp;T Mobility Spectrum LLC, </w:t>
      </w:r>
      <w:r>
        <w:rPr>
          <w:i/>
        </w:rPr>
        <w:t xml:space="preserve">Memorandum Opinion and Order, </w:t>
      </w:r>
      <w:r>
        <w:t xml:space="preserve">27 FCC Rcd 16459, 16465 ¶ 16 (2012); Wireless Co., L.P., </w:t>
      </w:r>
      <w:r>
        <w:rPr>
          <w:i/>
        </w:rPr>
        <w:t>Order</w:t>
      </w:r>
      <w:r>
        <w:t>, 10 FCC Rcd 13233, 13235 ¶ 7 (WTB 1995) (“</w:t>
      </w:r>
      <w:r>
        <w:rPr>
          <w:i/>
        </w:rPr>
        <w:t>Wireless Co</w:t>
      </w:r>
      <w:r>
        <w:t xml:space="preserve">.”), </w:t>
      </w:r>
      <w:r w:rsidRPr="0061357B">
        <w:rPr>
          <w:i/>
        </w:rPr>
        <w:t>citing</w:t>
      </w:r>
      <w:r>
        <w:t xml:space="preserve"> </w:t>
      </w:r>
      <w:r>
        <w:rPr>
          <w:i/>
        </w:rPr>
        <w:t>Sierra Club v</w:t>
      </w:r>
      <w:r>
        <w:t xml:space="preserve">. </w:t>
      </w:r>
      <w:r>
        <w:rPr>
          <w:i/>
        </w:rPr>
        <w:t>Morton</w:t>
      </w:r>
      <w:r>
        <w:t xml:space="preserve">, 405 U.S. 727, 733 (1972).  </w:t>
      </w:r>
      <w:r>
        <w:rPr>
          <w:i/>
        </w:rPr>
        <w:t xml:space="preserve">See also New World Radio, Inc. v. FCC, </w:t>
      </w:r>
      <w:r>
        <w:t>294 F.3d 164 (D.C. Cir. 2002).</w:t>
      </w:r>
    </w:p>
  </w:footnote>
  <w:footnote w:id="18">
    <w:p w:rsidR="00E63B2B" w:rsidRDefault="00E63B2B" w:rsidP="006D7831">
      <w:pPr>
        <w:pStyle w:val="FootnoteText"/>
      </w:pPr>
      <w:r>
        <w:rPr>
          <w:rStyle w:val="FootnoteReference"/>
        </w:rPr>
        <w:footnoteRef/>
      </w:r>
      <w:r>
        <w:t xml:space="preserve"> </w:t>
      </w:r>
      <w:r>
        <w:rPr>
          <w:i/>
        </w:rPr>
        <w:t>Wireless Co</w:t>
      </w:r>
      <w:r>
        <w:t>., 10 FCC Rcd at 13235 ¶ 7.</w:t>
      </w:r>
    </w:p>
  </w:footnote>
  <w:footnote w:id="19">
    <w:p w:rsidR="00E63B2B" w:rsidRDefault="00E63B2B" w:rsidP="006D7831">
      <w:pPr>
        <w:pStyle w:val="FootnoteText"/>
      </w:pPr>
      <w:r>
        <w:rPr>
          <w:rStyle w:val="FootnoteReference"/>
        </w:rPr>
        <w:footnoteRef/>
      </w:r>
      <w:r>
        <w:t xml:space="preserve"> </w:t>
      </w:r>
      <w:r>
        <w:rPr>
          <w:i/>
        </w:rPr>
        <w:t>Id</w:t>
      </w:r>
      <w:r>
        <w:t xml:space="preserve">.  Because “a licensing proceeding before the Commission is not an Article III proceeding,” the Commission may determine in the public interest to allow participation by parties pursuant to Section 309(d) of the Communications Act who would lack Article III standing.  Channel 32 Hispanic Broadcasters, Ltd., </w:t>
      </w:r>
      <w:r>
        <w:rPr>
          <w:i/>
        </w:rPr>
        <w:t xml:space="preserve">Order, </w:t>
      </w:r>
      <w:r>
        <w:t xml:space="preserve">15 FCC Rcd 22649, 22651 ¶ 7 (2000), </w:t>
      </w:r>
      <w:r>
        <w:rPr>
          <w:i/>
        </w:rPr>
        <w:t xml:space="preserve">aff’d per curiam, </w:t>
      </w:r>
      <w:r>
        <w:t xml:space="preserve">22 Fed. Appx. 12 (2001).  However, wireless applications have generally been reviewed using the foregoing Article III standard.  Rockne Educational Television, Inc., </w:t>
      </w:r>
      <w:r>
        <w:rPr>
          <w:i/>
        </w:rPr>
        <w:t>Memorandum Opinion and Order</w:t>
      </w:r>
      <w:r>
        <w:t xml:space="preserve">, 26 FCC Rcd 14402, 14405 ¶ 7 (WTB BD 2011).  </w:t>
      </w:r>
      <w:r w:rsidR="009010BB">
        <w:t>W</w:t>
      </w:r>
      <w:r>
        <w:t xml:space="preserve">e find no public interest reason to depart from this practice here.  </w:t>
      </w:r>
      <w:r>
        <w:rPr>
          <w:i/>
        </w:rPr>
        <w:t xml:space="preserve">See </w:t>
      </w:r>
      <w:r>
        <w:t xml:space="preserve">Airadigm Communications, Inc. , </w:t>
      </w:r>
      <w:r>
        <w:rPr>
          <w:i/>
        </w:rPr>
        <w:t xml:space="preserve">Order on Reconsideration, </w:t>
      </w:r>
      <w:r>
        <w:t xml:space="preserve">21 FCC Rcd 3893, 3897 ¶ 14 &amp; n.30 (WTB 2006), </w:t>
      </w:r>
      <w:r>
        <w:rPr>
          <w:i/>
        </w:rPr>
        <w:t xml:space="preserve">review dismissed, </w:t>
      </w:r>
      <w:r>
        <w:t xml:space="preserve">26 FCC Rcd 6739 (WTB 2011).   </w:t>
      </w:r>
    </w:p>
  </w:footnote>
  <w:footnote w:id="20">
    <w:p w:rsidR="00E63B2B" w:rsidRPr="00FF5DC3" w:rsidRDefault="00E63B2B" w:rsidP="006D7831">
      <w:pPr>
        <w:pStyle w:val="FootnoteText"/>
      </w:pPr>
      <w:r>
        <w:rPr>
          <w:rStyle w:val="FootnoteReference"/>
        </w:rPr>
        <w:footnoteRef/>
      </w:r>
      <w:r>
        <w:t xml:space="preserve"> </w:t>
      </w:r>
      <w:r>
        <w:rPr>
          <w:i/>
        </w:rPr>
        <w:t xml:space="preserve">Conference Group, LLC v. FCC, </w:t>
      </w:r>
      <w:r>
        <w:t xml:space="preserve">720 F.3d 956 (D.C. Cir. 2013), </w:t>
      </w:r>
      <w:r>
        <w:rPr>
          <w:i/>
        </w:rPr>
        <w:t xml:space="preserve">quoting Lujan v. Defenders of Wildlife, </w:t>
      </w:r>
      <w:r>
        <w:t>504 U.S. 555, 560 (1992).</w:t>
      </w:r>
    </w:p>
  </w:footnote>
  <w:footnote w:id="21">
    <w:p w:rsidR="00195972" w:rsidRPr="00BE28AE" w:rsidRDefault="00195972" w:rsidP="006D7831">
      <w:pPr>
        <w:pStyle w:val="FootnoteText"/>
      </w:pPr>
      <w:r>
        <w:rPr>
          <w:rStyle w:val="FootnoteReference"/>
        </w:rPr>
        <w:footnoteRef/>
      </w:r>
      <w:r>
        <w:t xml:space="preserve"> </w:t>
      </w:r>
      <w:r>
        <w:rPr>
          <w:i/>
        </w:rPr>
        <w:t>See</w:t>
      </w:r>
      <w:r>
        <w:t xml:space="preserve"> 47 C.F.R.</w:t>
      </w:r>
      <w:r w:rsidR="00BF7F3D">
        <w:t xml:space="preserve"> </w:t>
      </w:r>
      <w:r>
        <w:t>§ 1.41.</w:t>
      </w:r>
    </w:p>
  </w:footnote>
  <w:footnote w:id="22">
    <w:p w:rsidR="00195972" w:rsidRPr="003D29F9" w:rsidRDefault="00195972" w:rsidP="006D7831">
      <w:pPr>
        <w:pStyle w:val="FootnoteText"/>
      </w:pPr>
      <w:r>
        <w:rPr>
          <w:rStyle w:val="FootnoteReference"/>
        </w:rPr>
        <w:footnoteRef/>
      </w:r>
      <w:r>
        <w:t xml:space="preserve"> </w:t>
      </w:r>
      <w:r w:rsidRPr="00DC5C67">
        <w:rPr>
          <w:i/>
          <w:iCs/>
        </w:rPr>
        <w:t>See, e.g.,</w:t>
      </w:r>
      <w:r w:rsidRPr="00DC5C67">
        <w:t xml:space="preserve"> Applications of Nextel Communications, Inc. and Sprint Corporation, WT Docket No. 05-63, </w:t>
      </w:r>
      <w:r w:rsidRPr="00DC5C67">
        <w:rPr>
          <w:i/>
          <w:iCs/>
        </w:rPr>
        <w:t>Memorandum Opinion and Order</w:t>
      </w:r>
      <w:r w:rsidRPr="00DC5C67">
        <w:t>, 20 FCC Rcd 13967, 14021 n.335 (2005) (“</w:t>
      </w:r>
      <w:r w:rsidRPr="00DC5C67">
        <w:rPr>
          <w:i/>
          <w:iCs/>
        </w:rPr>
        <w:t>Sprint-Nextel</w:t>
      </w:r>
      <w:r w:rsidRPr="00DC5C67">
        <w:t>”) (</w:t>
      </w:r>
      <w:r w:rsidRPr="00C24156">
        <w:rPr>
          <w:i/>
        </w:rPr>
        <w:t>citing</w:t>
      </w:r>
      <w:r w:rsidRPr="00DC5C67">
        <w:t xml:space="preserve"> Applications of AT&amp;T Wireless Services, Inc. and Cingular Wireless Corp., </w:t>
      </w:r>
      <w:r w:rsidRPr="00DC5C67">
        <w:rPr>
          <w:i/>
          <w:iCs/>
        </w:rPr>
        <w:t>Memorandum Opinion and Order</w:t>
      </w:r>
      <w:r w:rsidRPr="00DC5C67">
        <w:t>, 19 FCC Rcd 21522, 21547 n.196 (2004)).</w:t>
      </w:r>
    </w:p>
  </w:footnote>
  <w:footnote w:id="23">
    <w:p w:rsidR="007E3B82" w:rsidRPr="007E3B82" w:rsidRDefault="007E3B82" w:rsidP="006D7831">
      <w:pPr>
        <w:pStyle w:val="FootnoteText"/>
        <w:rPr>
          <w:u w:val="single"/>
        </w:rPr>
      </w:pPr>
      <w:r>
        <w:rPr>
          <w:rStyle w:val="FootnoteReference"/>
        </w:rPr>
        <w:footnoteRef/>
      </w:r>
      <w:r>
        <w:t xml:space="preserve"> </w:t>
      </w:r>
      <w:r w:rsidR="00A11C39">
        <w:rPr>
          <w:i/>
        </w:rPr>
        <w:t xml:space="preserve">See </w:t>
      </w:r>
      <w:r w:rsidR="0074172A">
        <w:t xml:space="preserve">Petition for Reconsideration, Warren Havens, Verde Systems </w:t>
      </w:r>
      <w:r w:rsidR="00FF4D2F">
        <w:t>LLC and</w:t>
      </w:r>
      <w:r w:rsidR="0074172A">
        <w:t xml:space="preserve"> Skybridge Spectrum Foundation, File Nos. 0006156961 and 0006156952 (filed Mar. 28, 2014).  </w:t>
      </w:r>
      <w:r w:rsidR="0074172A">
        <w:rPr>
          <w:i/>
        </w:rPr>
        <w:t xml:space="preserve">See also </w:t>
      </w:r>
      <w:r>
        <w:t xml:space="preserve">Paging Systems, Inc., </w:t>
      </w:r>
      <w:r>
        <w:rPr>
          <w:i/>
        </w:rPr>
        <w:t>Memorandum Opinion and Order</w:t>
      </w:r>
      <w:r>
        <w:t>, 25 FCC Rcd 450 (2010) (</w:t>
      </w:r>
      <w:r w:rsidRPr="00F42BA2">
        <w:t xml:space="preserve">allegations </w:t>
      </w:r>
      <w:r>
        <w:t xml:space="preserve">relating </w:t>
      </w:r>
      <w:r w:rsidRPr="00F42BA2">
        <w:t xml:space="preserve">to other licenses </w:t>
      </w:r>
      <w:r>
        <w:t xml:space="preserve">that are </w:t>
      </w:r>
      <w:r w:rsidRPr="00F42BA2">
        <w:t>the subject of other pending proceedings</w:t>
      </w:r>
      <w:r>
        <w:t xml:space="preserve"> </w:t>
      </w:r>
      <w:r w:rsidRPr="00F42BA2">
        <w:t xml:space="preserve">are more appropriately addressed </w:t>
      </w:r>
      <w:r>
        <w:t>in those proceedings)</w:t>
      </w:r>
      <w:r w:rsidR="0074172A">
        <w:t xml:space="preserve">; </w:t>
      </w:r>
      <w:r>
        <w:t xml:space="preserve">Paging Systems, Inc., </w:t>
      </w:r>
      <w:r>
        <w:rPr>
          <w:i/>
        </w:rPr>
        <w:t>et al.</w:t>
      </w:r>
      <w:r>
        <w:t xml:space="preserve">, </w:t>
      </w:r>
      <w:r>
        <w:rPr>
          <w:i/>
        </w:rPr>
        <w:t>Order on Reconsideration</w:t>
      </w:r>
      <w:r>
        <w:t xml:space="preserve">, </w:t>
      </w:r>
      <w:r w:rsidR="004C5D63" w:rsidRPr="004C5D63">
        <w:t>26 FCC Rcd 16573</w:t>
      </w:r>
      <w:r w:rsidR="004C5D63">
        <w:t xml:space="preserve"> </w:t>
      </w:r>
      <w:r>
        <w:t>(2011) (the Commission will not encumber proceedings involving the licensee’s other licenses with consideration of the pending character allegations made in the principal proceeding).</w:t>
      </w:r>
      <w:r w:rsidRPr="007E3B82">
        <w:rPr>
          <w:u w:val="single"/>
        </w:rPr>
        <w:t xml:space="preserve"> </w:t>
      </w:r>
    </w:p>
  </w:footnote>
  <w:footnote w:id="24">
    <w:p w:rsidR="00C84E39" w:rsidRDefault="00C84E39" w:rsidP="006D7831">
      <w:pPr>
        <w:pStyle w:val="FootnoteText"/>
      </w:pPr>
      <w:r>
        <w:rPr>
          <w:rStyle w:val="FootnoteReference"/>
        </w:rPr>
        <w:footnoteRef/>
      </w:r>
      <w:r>
        <w:t xml:space="preserve"> S.A. Dawson, </w:t>
      </w:r>
      <w:r>
        <w:rPr>
          <w:i/>
        </w:rPr>
        <w:t xml:space="preserve">Memorandum Opinion and Order, </w:t>
      </w:r>
      <w:r>
        <w:t xml:space="preserve">17 FCC Rcd 472, 474 n.15 (WTB 2002) </w:t>
      </w:r>
      <w:r>
        <w:rPr>
          <w:i/>
          <w:color w:val="000000"/>
        </w:rPr>
        <w:t xml:space="preserve">citing </w:t>
      </w:r>
      <w:r>
        <w:rPr>
          <w:color w:val="000000"/>
        </w:rPr>
        <w:t xml:space="preserve">Airtouch Paging, Inc., </w:t>
      </w:r>
      <w:r>
        <w:rPr>
          <w:i/>
          <w:color w:val="000000"/>
        </w:rPr>
        <w:t>Order</w:t>
      </w:r>
      <w:r>
        <w:rPr>
          <w:color w:val="000000"/>
        </w:rPr>
        <w:t xml:space="preserve">, 14 FCC Rcd 9658 (WTB CWB P&amp;RB 1999); </w:t>
      </w:r>
      <w:r w:rsidRPr="00707F03">
        <w:rPr>
          <w:i/>
          <w:color w:val="000000"/>
        </w:rPr>
        <w:t>Listeners’ Guild, Inc. v. FCC</w:t>
      </w:r>
      <w:r>
        <w:rPr>
          <w:color w:val="000000"/>
        </w:rPr>
        <w:t>, 813 F.2d 465, 469 (D.C. Cir. 1987).</w:t>
      </w:r>
    </w:p>
  </w:footnote>
  <w:footnote w:id="25">
    <w:p w:rsidR="00C84E39" w:rsidRPr="00866464" w:rsidRDefault="00C84E39" w:rsidP="006D7831">
      <w:pPr>
        <w:pStyle w:val="FootnoteText"/>
      </w:pPr>
      <w:r>
        <w:rPr>
          <w:rStyle w:val="FootnoteReference"/>
        </w:rPr>
        <w:footnoteRef/>
      </w:r>
      <w:r>
        <w:t xml:space="preserve"> S.A. Dawson, </w:t>
      </w:r>
      <w:r>
        <w:rPr>
          <w:i/>
        </w:rPr>
        <w:t>supra</w:t>
      </w:r>
      <w:r>
        <w:t>, 17 FCC Rcd at 474 n.15.</w:t>
      </w:r>
    </w:p>
  </w:footnote>
  <w:footnote w:id="26">
    <w:p w:rsidR="00603436" w:rsidRPr="00603436" w:rsidRDefault="00603436" w:rsidP="006D7831">
      <w:pPr>
        <w:pStyle w:val="FootnoteText"/>
      </w:pPr>
      <w:r>
        <w:rPr>
          <w:rStyle w:val="FootnoteReference"/>
        </w:rPr>
        <w:footnoteRef/>
      </w:r>
      <w:r>
        <w:t xml:space="preserve"> </w:t>
      </w:r>
      <w:r>
        <w:rPr>
          <w:i/>
        </w:rPr>
        <w:t xml:space="preserve">See </w:t>
      </w:r>
      <w:r>
        <w:t>Supplement.</w:t>
      </w:r>
    </w:p>
  </w:footnote>
  <w:footnote w:id="27">
    <w:p w:rsidR="00603436" w:rsidRPr="00603436" w:rsidRDefault="00603436" w:rsidP="006D7831">
      <w:pPr>
        <w:pStyle w:val="FootnoteText"/>
      </w:pPr>
      <w:r>
        <w:rPr>
          <w:rStyle w:val="FootnoteReference"/>
        </w:rPr>
        <w:footnoteRef/>
      </w:r>
      <w:r>
        <w:t xml:space="preserve"> </w:t>
      </w:r>
      <w:r>
        <w:rPr>
          <w:i/>
        </w:rPr>
        <w:t>See</w:t>
      </w:r>
      <w:r>
        <w:t xml:space="preserve"> e-mail from Warren Havens to Stanislava Kimball, Mobility Division, Wireless Telecommunications Bureau (Nov. 19, 2014), </w:t>
      </w:r>
      <w:r>
        <w:rPr>
          <w:i/>
        </w:rPr>
        <w:t>filed in</w:t>
      </w:r>
      <w:r>
        <w:t xml:space="preserve"> File No</w:t>
      </w:r>
      <w:r w:rsidR="0074172A">
        <w:t>s</w:t>
      </w:r>
      <w:r>
        <w:t xml:space="preserve">. </w:t>
      </w:r>
      <w:r w:rsidRPr="00603436">
        <w:t>0006156961</w:t>
      </w:r>
      <w:r w:rsidR="0074172A">
        <w:t xml:space="preserve"> and 0006156962</w:t>
      </w:r>
      <w:r>
        <w:t>.</w:t>
      </w:r>
    </w:p>
  </w:footnote>
  <w:footnote w:id="28">
    <w:p w:rsidR="006E4F6B" w:rsidRDefault="006E4F6B">
      <w:pPr>
        <w:pStyle w:val="FootnoteText"/>
      </w:pPr>
      <w:r>
        <w:rPr>
          <w:rStyle w:val="FootnoteReference"/>
        </w:rPr>
        <w:footnoteRef/>
      </w:r>
      <w:r>
        <w:t xml:space="preserve"> In light of our decision to dismiss the Petition for lack of standing, we need not address Penryn’s argument that the Petition was untimely filed.  Accordingly, we are not deciding whether the Petition was timely filed.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626" w:rsidRDefault="00CF26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972" w:rsidRDefault="00195972" w:rsidP="002C3A89">
    <w:pPr>
      <w:pStyle w:val="Header"/>
    </w:pPr>
    <w:r>
      <w:tab/>
      <w:t>Federal Communications Commission</w:t>
    </w:r>
    <w:r>
      <w:tab/>
      <w:t>DA 1</w:t>
    </w:r>
    <w:r w:rsidR="00DB410D">
      <w:t>4</w:t>
    </w:r>
    <w:r w:rsidR="002416C0">
      <w:t>-1891</w:t>
    </w:r>
  </w:p>
  <w:p w:rsidR="00195972" w:rsidRDefault="002416C0" w:rsidP="002C3A89">
    <w:pPr>
      <w:pStyle w:val="Header"/>
    </w:pPr>
    <w:r>
      <w:rPr>
        <w:noProof/>
        <w:snapToGrid/>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195972" w:rsidRDefault="00195972" w:rsidP="002C3A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972" w:rsidRPr="002C3A89" w:rsidRDefault="00195972" w:rsidP="002C3A89">
    <w:pPr>
      <w:pStyle w:val="Header"/>
    </w:pPr>
    <w:r>
      <w:tab/>
    </w:r>
    <w:r w:rsidRPr="002C3A89">
      <w:t>Federal Communications Commission</w:t>
    </w:r>
    <w:r w:rsidRPr="002C3A89">
      <w:tab/>
      <w:t>DA 1</w:t>
    </w:r>
    <w:r w:rsidR="00825499" w:rsidRPr="002C3A89">
      <w:t>4</w:t>
    </w:r>
    <w:r w:rsidR="002416C0">
      <w:t>-1891</w:t>
    </w:r>
    <w:r w:rsidRPr="002C3A89">
      <w:t xml:space="preserve"> </w:t>
    </w:r>
  </w:p>
  <w:p w:rsidR="00195972" w:rsidRDefault="002416C0" w:rsidP="002C3A89">
    <w:pPr>
      <w:pStyle w:val="Header"/>
    </w:pPr>
    <w:r>
      <w:rPr>
        <w:noProof/>
        <w:snapToGrid/>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0">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0">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1">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2">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23">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5">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5"/>
  </w:num>
  <w:num w:numId="2">
    <w:abstractNumId w:val="26"/>
  </w:num>
  <w:num w:numId="3">
    <w:abstractNumId w:val="4"/>
  </w:num>
  <w:num w:numId="4">
    <w:abstractNumId w:val="20"/>
  </w:num>
  <w:num w:numId="5">
    <w:abstractNumId w:val="8"/>
  </w:num>
  <w:num w:numId="6">
    <w:abstractNumId w:val="23"/>
  </w:num>
  <w:num w:numId="7">
    <w:abstractNumId w:val="16"/>
  </w:num>
  <w:num w:numId="8">
    <w:abstractNumId w:val="9"/>
  </w:num>
  <w:num w:numId="9">
    <w:abstractNumId w:val="22"/>
  </w:num>
  <w:num w:numId="10">
    <w:abstractNumId w:val="14"/>
  </w:num>
  <w:num w:numId="11">
    <w:abstractNumId w:val="13"/>
  </w:num>
  <w:num w:numId="12">
    <w:abstractNumId w:val="10"/>
  </w:num>
  <w:num w:numId="13">
    <w:abstractNumId w:val="15"/>
  </w:num>
  <w:num w:numId="14">
    <w:abstractNumId w:val="21"/>
  </w:num>
  <w:num w:numId="15">
    <w:abstractNumId w:val="2"/>
  </w:num>
  <w:num w:numId="16">
    <w:abstractNumId w:val="3"/>
  </w:num>
  <w:num w:numId="17">
    <w:abstractNumId w:val="11"/>
  </w:num>
  <w:num w:numId="18">
    <w:abstractNumId w:val="1"/>
  </w:num>
  <w:num w:numId="19">
    <w:abstractNumId w:val="12"/>
  </w:num>
  <w:num w:numId="20">
    <w:abstractNumId w:val="17"/>
  </w:num>
  <w:num w:numId="21">
    <w:abstractNumId w:val="19"/>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lvlOverride w:ilvl="0">
      <w:startOverride w:val="1"/>
    </w:lvlOverride>
  </w:num>
  <w:num w:numId="31">
    <w:abstractNumId w:val="5"/>
  </w:num>
  <w:num w:numId="32">
    <w:abstractNumId w:val="24"/>
  </w:num>
  <w:num w:numId="33">
    <w:abstractNumId w:val="7"/>
  </w:num>
  <w:num w:numId="34">
    <w:abstractNumId w:val="18"/>
  </w:num>
  <w:num w:numId="35">
    <w:abstractNumId w:val="6"/>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8F3"/>
    <w:rsid w:val="00004C03"/>
    <w:rsid w:val="00041D6E"/>
    <w:rsid w:val="00070AC7"/>
    <w:rsid w:val="00084D67"/>
    <w:rsid w:val="000A7A93"/>
    <w:rsid w:val="000B76A1"/>
    <w:rsid w:val="000C29F0"/>
    <w:rsid w:val="000C3E24"/>
    <w:rsid w:val="000C54E5"/>
    <w:rsid w:val="000D4A28"/>
    <w:rsid w:val="000F19CD"/>
    <w:rsid w:val="00105E06"/>
    <w:rsid w:val="00137391"/>
    <w:rsid w:val="00153BCC"/>
    <w:rsid w:val="00155C7E"/>
    <w:rsid w:val="00174C44"/>
    <w:rsid w:val="001800D0"/>
    <w:rsid w:val="00183D5B"/>
    <w:rsid w:val="00195972"/>
    <w:rsid w:val="001A1FD8"/>
    <w:rsid w:val="001A2FFE"/>
    <w:rsid w:val="001B00D4"/>
    <w:rsid w:val="001B5896"/>
    <w:rsid w:val="001C285B"/>
    <w:rsid w:val="001C7B12"/>
    <w:rsid w:val="001D184F"/>
    <w:rsid w:val="001D663A"/>
    <w:rsid w:val="001E56AA"/>
    <w:rsid w:val="00210E83"/>
    <w:rsid w:val="00211F47"/>
    <w:rsid w:val="0021478A"/>
    <w:rsid w:val="00225F6C"/>
    <w:rsid w:val="00240072"/>
    <w:rsid w:val="002416C0"/>
    <w:rsid w:val="00244D9B"/>
    <w:rsid w:val="00245275"/>
    <w:rsid w:val="00255FF5"/>
    <w:rsid w:val="00263A6E"/>
    <w:rsid w:val="002804CD"/>
    <w:rsid w:val="00286599"/>
    <w:rsid w:val="002A5113"/>
    <w:rsid w:val="002C1186"/>
    <w:rsid w:val="002C2E3C"/>
    <w:rsid w:val="002C3A89"/>
    <w:rsid w:val="002C7BCA"/>
    <w:rsid w:val="002E0B79"/>
    <w:rsid w:val="002F4E64"/>
    <w:rsid w:val="00302886"/>
    <w:rsid w:val="00303B0F"/>
    <w:rsid w:val="00323C0B"/>
    <w:rsid w:val="00327AF5"/>
    <w:rsid w:val="00343F11"/>
    <w:rsid w:val="00344BED"/>
    <w:rsid w:val="00357374"/>
    <w:rsid w:val="003653B1"/>
    <w:rsid w:val="00386CB6"/>
    <w:rsid w:val="003931DC"/>
    <w:rsid w:val="003A0C6F"/>
    <w:rsid w:val="003A3D2F"/>
    <w:rsid w:val="003A4B34"/>
    <w:rsid w:val="003B20FC"/>
    <w:rsid w:val="003B4284"/>
    <w:rsid w:val="003D29F9"/>
    <w:rsid w:val="003E052A"/>
    <w:rsid w:val="003E7522"/>
    <w:rsid w:val="003F0AB2"/>
    <w:rsid w:val="003F1CF9"/>
    <w:rsid w:val="00403944"/>
    <w:rsid w:val="00410EE1"/>
    <w:rsid w:val="004125F3"/>
    <w:rsid w:val="00420A8A"/>
    <w:rsid w:val="0042299D"/>
    <w:rsid w:val="004408D4"/>
    <w:rsid w:val="00440FA7"/>
    <w:rsid w:val="00446939"/>
    <w:rsid w:val="004528AD"/>
    <w:rsid w:val="00453037"/>
    <w:rsid w:val="00453A02"/>
    <w:rsid w:val="0047704E"/>
    <w:rsid w:val="004770EE"/>
    <w:rsid w:val="00486C0A"/>
    <w:rsid w:val="00491F6C"/>
    <w:rsid w:val="00493D75"/>
    <w:rsid w:val="004B7E68"/>
    <w:rsid w:val="004C53FF"/>
    <w:rsid w:val="004C5D63"/>
    <w:rsid w:val="004D00D6"/>
    <w:rsid w:val="004D4AFA"/>
    <w:rsid w:val="004D4B49"/>
    <w:rsid w:val="004D6BFB"/>
    <w:rsid w:val="004E17C1"/>
    <w:rsid w:val="004F1812"/>
    <w:rsid w:val="00502A82"/>
    <w:rsid w:val="005049B4"/>
    <w:rsid w:val="0050542D"/>
    <w:rsid w:val="005068B9"/>
    <w:rsid w:val="005137F1"/>
    <w:rsid w:val="00514484"/>
    <w:rsid w:val="00515EDF"/>
    <w:rsid w:val="005235DC"/>
    <w:rsid w:val="00554441"/>
    <w:rsid w:val="0057539B"/>
    <w:rsid w:val="00577F93"/>
    <w:rsid w:val="005871BC"/>
    <w:rsid w:val="0059040F"/>
    <w:rsid w:val="005B7FC4"/>
    <w:rsid w:val="005C2D3D"/>
    <w:rsid w:val="005C31BD"/>
    <w:rsid w:val="005D4EC3"/>
    <w:rsid w:val="005D7810"/>
    <w:rsid w:val="005E2418"/>
    <w:rsid w:val="005E2CEE"/>
    <w:rsid w:val="005F11CE"/>
    <w:rsid w:val="005F69CB"/>
    <w:rsid w:val="00602966"/>
    <w:rsid w:val="00603436"/>
    <w:rsid w:val="00612635"/>
    <w:rsid w:val="00617DD6"/>
    <w:rsid w:val="0062255D"/>
    <w:rsid w:val="00624A9E"/>
    <w:rsid w:val="00624AEA"/>
    <w:rsid w:val="00625DEB"/>
    <w:rsid w:val="00635CA9"/>
    <w:rsid w:val="006426D1"/>
    <w:rsid w:val="00644D65"/>
    <w:rsid w:val="00647D99"/>
    <w:rsid w:val="006518F3"/>
    <w:rsid w:val="0066441F"/>
    <w:rsid w:val="0066588A"/>
    <w:rsid w:val="00674F32"/>
    <w:rsid w:val="00675FD9"/>
    <w:rsid w:val="006872C0"/>
    <w:rsid w:val="006948AD"/>
    <w:rsid w:val="006975C8"/>
    <w:rsid w:val="006B5EAE"/>
    <w:rsid w:val="006C49BF"/>
    <w:rsid w:val="006D2353"/>
    <w:rsid w:val="006D3338"/>
    <w:rsid w:val="006D7831"/>
    <w:rsid w:val="006E32FF"/>
    <w:rsid w:val="006E4F6B"/>
    <w:rsid w:val="006E505B"/>
    <w:rsid w:val="006E7C04"/>
    <w:rsid w:val="006F687D"/>
    <w:rsid w:val="00714D52"/>
    <w:rsid w:val="00716C4F"/>
    <w:rsid w:val="00726D4E"/>
    <w:rsid w:val="007339B6"/>
    <w:rsid w:val="0074172A"/>
    <w:rsid w:val="007475E1"/>
    <w:rsid w:val="00750611"/>
    <w:rsid w:val="00753569"/>
    <w:rsid w:val="007654F6"/>
    <w:rsid w:val="00771086"/>
    <w:rsid w:val="007910C7"/>
    <w:rsid w:val="00797ED5"/>
    <w:rsid w:val="007A190C"/>
    <w:rsid w:val="007A2BB2"/>
    <w:rsid w:val="007A5DD8"/>
    <w:rsid w:val="007A6681"/>
    <w:rsid w:val="007B0A8B"/>
    <w:rsid w:val="007B3BFF"/>
    <w:rsid w:val="007B405B"/>
    <w:rsid w:val="007B666A"/>
    <w:rsid w:val="007C5523"/>
    <w:rsid w:val="007E3B82"/>
    <w:rsid w:val="007F02BD"/>
    <w:rsid w:val="007F761B"/>
    <w:rsid w:val="00804593"/>
    <w:rsid w:val="00814267"/>
    <w:rsid w:val="00825499"/>
    <w:rsid w:val="0082571D"/>
    <w:rsid w:val="008355D2"/>
    <w:rsid w:val="00847530"/>
    <w:rsid w:val="0085782A"/>
    <w:rsid w:val="0087130A"/>
    <w:rsid w:val="0087260C"/>
    <w:rsid w:val="00873243"/>
    <w:rsid w:val="008804A2"/>
    <w:rsid w:val="00895754"/>
    <w:rsid w:val="00897EF9"/>
    <w:rsid w:val="008A41A8"/>
    <w:rsid w:val="008B0E3B"/>
    <w:rsid w:val="008C1C26"/>
    <w:rsid w:val="008D3906"/>
    <w:rsid w:val="008D4F84"/>
    <w:rsid w:val="008E0B9E"/>
    <w:rsid w:val="008E5542"/>
    <w:rsid w:val="008F37CD"/>
    <w:rsid w:val="008F6570"/>
    <w:rsid w:val="009010BB"/>
    <w:rsid w:val="009054CF"/>
    <w:rsid w:val="009154DE"/>
    <w:rsid w:val="009439EC"/>
    <w:rsid w:val="00945F1A"/>
    <w:rsid w:val="00967316"/>
    <w:rsid w:val="00990F6A"/>
    <w:rsid w:val="009A6089"/>
    <w:rsid w:val="009A62D4"/>
    <w:rsid w:val="009B0913"/>
    <w:rsid w:val="009C37A6"/>
    <w:rsid w:val="009C7F89"/>
    <w:rsid w:val="009E291B"/>
    <w:rsid w:val="009E5EAA"/>
    <w:rsid w:val="009F54B6"/>
    <w:rsid w:val="00A11C39"/>
    <w:rsid w:val="00A23D96"/>
    <w:rsid w:val="00A24DCA"/>
    <w:rsid w:val="00A26817"/>
    <w:rsid w:val="00A26DDC"/>
    <w:rsid w:val="00A470B6"/>
    <w:rsid w:val="00A51CE1"/>
    <w:rsid w:val="00A6593A"/>
    <w:rsid w:val="00A707B8"/>
    <w:rsid w:val="00A76969"/>
    <w:rsid w:val="00A82589"/>
    <w:rsid w:val="00A90808"/>
    <w:rsid w:val="00A93665"/>
    <w:rsid w:val="00A95D4D"/>
    <w:rsid w:val="00AC2AA9"/>
    <w:rsid w:val="00AD2E2B"/>
    <w:rsid w:val="00AD35EE"/>
    <w:rsid w:val="00AD6C5F"/>
    <w:rsid w:val="00AE1205"/>
    <w:rsid w:val="00AE3B1B"/>
    <w:rsid w:val="00AF0278"/>
    <w:rsid w:val="00AF1F2F"/>
    <w:rsid w:val="00AF67C6"/>
    <w:rsid w:val="00B1069E"/>
    <w:rsid w:val="00B2482A"/>
    <w:rsid w:val="00B25EA5"/>
    <w:rsid w:val="00B26ADF"/>
    <w:rsid w:val="00B40A13"/>
    <w:rsid w:val="00B45F09"/>
    <w:rsid w:val="00B524DA"/>
    <w:rsid w:val="00B611F8"/>
    <w:rsid w:val="00B62800"/>
    <w:rsid w:val="00B63CB2"/>
    <w:rsid w:val="00B87DDA"/>
    <w:rsid w:val="00BB1113"/>
    <w:rsid w:val="00BB7C39"/>
    <w:rsid w:val="00BC06D8"/>
    <w:rsid w:val="00BC0DB7"/>
    <w:rsid w:val="00BC1B40"/>
    <w:rsid w:val="00BD1D12"/>
    <w:rsid w:val="00BD2A86"/>
    <w:rsid w:val="00BD6ED0"/>
    <w:rsid w:val="00BE28AE"/>
    <w:rsid w:val="00BE77D1"/>
    <w:rsid w:val="00BF1980"/>
    <w:rsid w:val="00BF1D09"/>
    <w:rsid w:val="00BF7F3D"/>
    <w:rsid w:val="00C012F8"/>
    <w:rsid w:val="00C02FC3"/>
    <w:rsid w:val="00C04DAF"/>
    <w:rsid w:val="00C11BD8"/>
    <w:rsid w:val="00C2009C"/>
    <w:rsid w:val="00C24156"/>
    <w:rsid w:val="00C24914"/>
    <w:rsid w:val="00C40890"/>
    <w:rsid w:val="00C442B1"/>
    <w:rsid w:val="00C51C2D"/>
    <w:rsid w:val="00C5716A"/>
    <w:rsid w:val="00C77185"/>
    <w:rsid w:val="00C84A51"/>
    <w:rsid w:val="00C84E39"/>
    <w:rsid w:val="00C939E7"/>
    <w:rsid w:val="00C96F75"/>
    <w:rsid w:val="00CE5D6B"/>
    <w:rsid w:val="00CF0EAC"/>
    <w:rsid w:val="00CF1D15"/>
    <w:rsid w:val="00CF2626"/>
    <w:rsid w:val="00CF3E6C"/>
    <w:rsid w:val="00CF728B"/>
    <w:rsid w:val="00D15A6C"/>
    <w:rsid w:val="00D17D13"/>
    <w:rsid w:val="00D42DE8"/>
    <w:rsid w:val="00D454F4"/>
    <w:rsid w:val="00D60E42"/>
    <w:rsid w:val="00D757AC"/>
    <w:rsid w:val="00DA3B54"/>
    <w:rsid w:val="00DA6013"/>
    <w:rsid w:val="00DA6EB0"/>
    <w:rsid w:val="00DB0824"/>
    <w:rsid w:val="00DB410D"/>
    <w:rsid w:val="00DC5C67"/>
    <w:rsid w:val="00DC6376"/>
    <w:rsid w:val="00DC792F"/>
    <w:rsid w:val="00DE2C51"/>
    <w:rsid w:val="00E04941"/>
    <w:rsid w:val="00E12566"/>
    <w:rsid w:val="00E27625"/>
    <w:rsid w:val="00E42E50"/>
    <w:rsid w:val="00E475A9"/>
    <w:rsid w:val="00E579A7"/>
    <w:rsid w:val="00E63B2B"/>
    <w:rsid w:val="00E6452E"/>
    <w:rsid w:val="00E66C95"/>
    <w:rsid w:val="00E80FBF"/>
    <w:rsid w:val="00E84788"/>
    <w:rsid w:val="00E86485"/>
    <w:rsid w:val="00E91D57"/>
    <w:rsid w:val="00E95C14"/>
    <w:rsid w:val="00EA67D8"/>
    <w:rsid w:val="00EB0A1F"/>
    <w:rsid w:val="00EB20CD"/>
    <w:rsid w:val="00ED5474"/>
    <w:rsid w:val="00EE40B4"/>
    <w:rsid w:val="00EF2862"/>
    <w:rsid w:val="00F03B10"/>
    <w:rsid w:val="00F12715"/>
    <w:rsid w:val="00F16554"/>
    <w:rsid w:val="00F17A04"/>
    <w:rsid w:val="00F17AAA"/>
    <w:rsid w:val="00F23955"/>
    <w:rsid w:val="00F261FE"/>
    <w:rsid w:val="00F31306"/>
    <w:rsid w:val="00F42BA2"/>
    <w:rsid w:val="00F46595"/>
    <w:rsid w:val="00F47299"/>
    <w:rsid w:val="00F477B4"/>
    <w:rsid w:val="00F71BBC"/>
    <w:rsid w:val="00FB4576"/>
    <w:rsid w:val="00FB5CFE"/>
    <w:rsid w:val="00FC3296"/>
    <w:rsid w:val="00FD0E06"/>
    <w:rsid w:val="00FD2D69"/>
    <w:rsid w:val="00FF06BF"/>
    <w:rsid w:val="00FF4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Name"/>
  <w:smartTagType w:namespaceuri="urn:schemas-microsoft-com:office:smarttags" w:name="State"/>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6E"/>
    <w:pPr>
      <w:widowControl w:val="0"/>
    </w:pPr>
    <w:rPr>
      <w:snapToGrid w:val="0"/>
      <w:kern w:val="28"/>
      <w:sz w:val="22"/>
    </w:rPr>
  </w:style>
  <w:style w:type="paragraph" w:styleId="Heading1">
    <w:name w:val="heading 1"/>
    <w:basedOn w:val="Normal"/>
    <w:next w:val="ParaNum"/>
    <w:qFormat/>
    <w:rsid w:val="00041D6E"/>
    <w:pPr>
      <w:keepNext/>
      <w:numPr>
        <w:numId w:val="3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41D6E"/>
    <w:pPr>
      <w:keepNext/>
      <w:numPr>
        <w:ilvl w:val="1"/>
        <w:numId w:val="33"/>
      </w:numPr>
      <w:spacing w:after="120"/>
      <w:outlineLvl w:val="1"/>
    </w:pPr>
    <w:rPr>
      <w:b/>
    </w:rPr>
  </w:style>
  <w:style w:type="paragraph" w:styleId="Heading3">
    <w:name w:val="heading 3"/>
    <w:basedOn w:val="Normal"/>
    <w:next w:val="ParaNum"/>
    <w:qFormat/>
    <w:rsid w:val="00041D6E"/>
    <w:pPr>
      <w:keepNext/>
      <w:numPr>
        <w:ilvl w:val="2"/>
        <w:numId w:val="33"/>
      </w:numPr>
      <w:tabs>
        <w:tab w:val="left" w:pos="2160"/>
      </w:tabs>
      <w:spacing w:after="120"/>
      <w:outlineLvl w:val="2"/>
    </w:pPr>
    <w:rPr>
      <w:b/>
    </w:rPr>
  </w:style>
  <w:style w:type="paragraph" w:styleId="Heading4">
    <w:name w:val="heading 4"/>
    <w:basedOn w:val="Normal"/>
    <w:next w:val="ParaNum"/>
    <w:qFormat/>
    <w:rsid w:val="00041D6E"/>
    <w:pPr>
      <w:keepNext/>
      <w:numPr>
        <w:ilvl w:val="3"/>
        <w:numId w:val="33"/>
      </w:numPr>
      <w:tabs>
        <w:tab w:val="left" w:pos="2880"/>
      </w:tabs>
      <w:spacing w:after="120"/>
      <w:outlineLvl w:val="3"/>
    </w:pPr>
    <w:rPr>
      <w:b/>
    </w:rPr>
  </w:style>
  <w:style w:type="paragraph" w:styleId="Heading5">
    <w:name w:val="heading 5"/>
    <w:basedOn w:val="Normal"/>
    <w:next w:val="ParaNum"/>
    <w:qFormat/>
    <w:rsid w:val="00041D6E"/>
    <w:pPr>
      <w:keepNext/>
      <w:numPr>
        <w:ilvl w:val="4"/>
        <w:numId w:val="33"/>
      </w:numPr>
      <w:tabs>
        <w:tab w:val="left" w:pos="3600"/>
      </w:tabs>
      <w:suppressAutoHyphens/>
      <w:spacing w:after="120"/>
      <w:outlineLvl w:val="4"/>
    </w:pPr>
    <w:rPr>
      <w:b/>
    </w:rPr>
  </w:style>
  <w:style w:type="paragraph" w:styleId="Heading6">
    <w:name w:val="heading 6"/>
    <w:basedOn w:val="Normal"/>
    <w:next w:val="ParaNum"/>
    <w:qFormat/>
    <w:rsid w:val="00041D6E"/>
    <w:pPr>
      <w:numPr>
        <w:ilvl w:val="5"/>
        <w:numId w:val="33"/>
      </w:numPr>
      <w:tabs>
        <w:tab w:val="left" w:pos="4320"/>
      </w:tabs>
      <w:spacing w:after="120"/>
      <w:outlineLvl w:val="5"/>
    </w:pPr>
    <w:rPr>
      <w:b/>
    </w:rPr>
  </w:style>
  <w:style w:type="paragraph" w:styleId="Heading7">
    <w:name w:val="heading 7"/>
    <w:basedOn w:val="Normal"/>
    <w:next w:val="ParaNum"/>
    <w:qFormat/>
    <w:rsid w:val="00041D6E"/>
    <w:pPr>
      <w:numPr>
        <w:ilvl w:val="6"/>
        <w:numId w:val="33"/>
      </w:numPr>
      <w:tabs>
        <w:tab w:val="left" w:pos="5040"/>
      </w:tabs>
      <w:spacing w:after="120"/>
      <w:ind w:left="5040" w:hanging="720"/>
      <w:outlineLvl w:val="6"/>
    </w:pPr>
    <w:rPr>
      <w:b/>
    </w:rPr>
  </w:style>
  <w:style w:type="paragraph" w:styleId="Heading8">
    <w:name w:val="heading 8"/>
    <w:basedOn w:val="Normal"/>
    <w:next w:val="ParaNum"/>
    <w:qFormat/>
    <w:rsid w:val="00041D6E"/>
    <w:pPr>
      <w:numPr>
        <w:ilvl w:val="7"/>
        <w:numId w:val="33"/>
      </w:numPr>
      <w:tabs>
        <w:tab w:val="clear" w:pos="5400"/>
        <w:tab w:val="left" w:pos="5760"/>
      </w:tabs>
      <w:spacing w:after="120"/>
      <w:ind w:left="5760" w:hanging="720"/>
      <w:outlineLvl w:val="7"/>
    </w:pPr>
    <w:rPr>
      <w:b/>
    </w:rPr>
  </w:style>
  <w:style w:type="paragraph" w:styleId="Heading9">
    <w:name w:val="heading 9"/>
    <w:basedOn w:val="Normal"/>
    <w:next w:val="ParaNum"/>
    <w:qFormat/>
    <w:rsid w:val="00041D6E"/>
    <w:pPr>
      <w:numPr>
        <w:ilvl w:val="8"/>
        <w:numId w:val="3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41D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41D6E"/>
  </w:style>
  <w:style w:type="paragraph" w:styleId="Caption">
    <w:name w:val="caption"/>
    <w:basedOn w:val="Normal"/>
    <w:next w:val="Normal"/>
    <w:qFormat/>
    <w:pPr>
      <w:spacing w:before="120" w:after="120"/>
    </w:pPr>
    <w:rPr>
      <w:b/>
    </w:rPr>
  </w:style>
  <w:style w:type="paragraph" w:customStyle="1" w:styleId="ParaNum">
    <w:name w:val="ParaNum"/>
    <w:basedOn w:val="Normal"/>
    <w:rsid w:val="00041D6E"/>
    <w:pPr>
      <w:numPr>
        <w:numId w:val="32"/>
      </w:numPr>
      <w:tabs>
        <w:tab w:val="clear" w:pos="1080"/>
        <w:tab w:val="num" w:pos="1440"/>
      </w:tabs>
      <w:spacing w:after="120"/>
    </w:pPr>
  </w:style>
  <w:style w:type="paragraph" w:styleId="FootnoteText">
    <w:name w:val="footnote text"/>
    <w:aliases w:val="Footnote Text Char1,Footnote Text Char Char,Footnote Text Char1 Char Char,Footnote Text Char Char Char Char,ft,ALTS FOOTNOTE,fn,Footnote Text Char1 Char2 Char,Footnote Text Char1 Char Char Char Char,Footnote Text Char Char Char1 Char,f"/>
    <w:link w:val="FootnoteTextChar"/>
    <w:rsid w:val="00041D6E"/>
    <w:pPr>
      <w:spacing w:after="120"/>
    </w:pPr>
  </w:style>
  <w:style w:type="paragraph" w:customStyle="1" w:styleId="Bullet">
    <w:name w:val="Bullet"/>
    <w:basedOn w:val="Normal"/>
    <w:rsid w:val="00041D6E"/>
    <w:pPr>
      <w:tabs>
        <w:tab w:val="left" w:pos="2160"/>
      </w:tabs>
      <w:spacing w:after="220"/>
      <w:ind w:left="2160" w:hanging="720"/>
    </w:pPr>
  </w:style>
  <w:style w:type="paragraph" w:styleId="BlockText">
    <w:name w:val="Block Text"/>
    <w:basedOn w:val="Normal"/>
    <w:rsid w:val="00041D6E"/>
    <w:pPr>
      <w:spacing w:after="240"/>
      <w:ind w:left="1440" w:right="1440"/>
    </w:pPr>
  </w:style>
  <w:style w:type="paragraph" w:customStyle="1" w:styleId="TableFormat">
    <w:name w:val="TableFormat"/>
    <w:basedOn w:val="Bullet"/>
    <w:rsid w:val="00041D6E"/>
    <w:pPr>
      <w:tabs>
        <w:tab w:val="clear" w:pos="2160"/>
        <w:tab w:val="left" w:pos="5040"/>
      </w:tabs>
      <w:ind w:left="5040" w:hanging="3600"/>
    </w:pPr>
  </w:style>
  <w:style w:type="character" w:styleId="FootnoteReference">
    <w:name w:val="footnote reference"/>
    <w:aliases w:val="o,fr,Appel note de bas de p,Style 12,(NECG) Footnote Reference,Style 124,Style 3,Style 17,FR,Style 13,Style 6,Footnote Reference/"/>
    <w:rsid w:val="00041D6E"/>
    <w:rPr>
      <w:rFonts w:ascii="Times New Roman" w:hAnsi="Times New Roman"/>
      <w:dstrike w:val="0"/>
      <w:color w:val="auto"/>
      <w:sz w:val="20"/>
      <w:vertAlign w:val="superscript"/>
    </w:rPr>
  </w:style>
  <w:style w:type="paragraph" w:styleId="Header">
    <w:name w:val="header"/>
    <w:basedOn w:val="Normal"/>
    <w:autoRedefine/>
    <w:rsid w:val="00041D6E"/>
    <w:pPr>
      <w:tabs>
        <w:tab w:val="center" w:pos="4680"/>
        <w:tab w:val="right" w:pos="9360"/>
      </w:tabs>
    </w:pPr>
    <w:rPr>
      <w:b/>
    </w:rPr>
  </w:style>
  <w:style w:type="paragraph" w:styleId="Footer">
    <w:name w:val="footer"/>
    <w:basedOn w:val="Normal"/>
    <w:rsid w:val="00041D6E"/>
    <w:pPr>
      <w:tabs>
        <w:tab w:val="center" w:pos="4320"/>
        <w:tab w:val="right" w:pos="8640"/>
      </w:tabs>
    </w:pPr>
  </w:style>
  <w:style w:type="paragraph" w:styleId="TOC2">
    <w:name w:val="toc 2"/>
    <w:basedOn w:val="Normal"/>
    <w:next w:val="Normal"/>
    <w:semiHidden/>
    <w:rsid w:val="00041D6E"/>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041D6E"/>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041D6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41D6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41D6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41D6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41D6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41D6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41D6E"/>
    <w:pPr>
      <w:tabs>
        <w:tab w:val="left" w:pos="3240"/>
        <w:tab w:val="right" w:leader="dot" w:pos="9360"/>
      </w:tabs>
      <w:suppressAutoHyphens/>
      <w:ind w:left="3240" w:hanging="360"/>
    </w:pPr>
    <w:rPr>
      <w:noProof/>
    </w:rPr>
  </w:style>
  <w:style w:type="character" w:styleId="PageNumber">
    <w:name w:val="page number"/>
    <w:basedOn w:val="DefaultParagraphFont"/>
    <w:rsid w:val="00041D6E"/>
  </w:style>
  <w:style w:type="paragraph" w:styleId="Title">
    <w:name w:val="Title"/>
    <w:basedOn w:val="Normal"/>
    <w:qFormat/>
    <w:pPr>
      <w:jc w:val="center"/>
    </w:pPr>
    <w:rPr>
      <w:b/>
    </w:rPr>
  </w:style>
  <w:style w:type="paragraph" w:styleId="BalloonText">
    <w:name w:val="Balloon Text"/>
    <w:basedOn w:val="Normal"/>
    <w:semiHidden/>
    <w:rPr>
      <w:rFonts w:ascii="Tahoma" w:hAnsi="Tahoma" w:cs="Tahoma"/>
      <w:sz w:val="16"/>
      <w:szCs w:val="16"/>
    </w:rPr>
  </w:style>
  <w:style w:type="paragraph" w:customStyle="1" w:styleId="Style1">
    <w:name w:val="Style1"/>
    <w:basedOn w:val="FootnoteText"/>
    <w:autoRedefine/>
  </w:style>
  <w:style w:type="character" w:customStyle="1" w:styleId="Style1Char">
    <w:name w:val="Style1 Char"/>
    <w:rPr>
      <w:noProof w:val="0"/>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Hyperlink">
    <w:name w:val="Hyperlink"/>
    <w:rsid w:val="00041D6E"/>
    <w:rPr>
      <w:color w:val="0000FF"/>
      <w:u w:val="single"/>
    </w:rPr>
  </w:style>
  <w:style w:type="paragraph" w:styleId="ListParagraph">
    <w:name w:val="List Paragraph"/>
    <w:basedOn w:val="Normal"/>
    <w:uiPriority w:val="34"/>
    <w:qFormat/>
    <w:pPr>
      <w:ind w:left="720"/>
    </w:pPr>
  </w:style>
  <w:style w:type="character" w:customStyle="1" w:styleId="FootnoteTextChar">
    <w:name w:val="Footnote Text Char"/>
    <w:aliases w:val="Footnote Text Char1 Char,Footnote Text Char Char Char,Footnote Text Char1 Char Char Char,Footnote Text Char Char Char Char Char,ft Char,ALTS FOOTNOTE Char,fn Char,Footnote Text Char1 Char2 Char Char,f Char"/>
    <w:link w:val="FootnoteText"/>
  </w:style>
  <w:style w:type="character" w:styleId="Emphasis">
    <w:name w:val="Emphasis"/>
    <w:qFormat/>
    <w:rsid w:val="009A6089"/>
    <w:rPr>
      <w:i/>
      <w:iCs/>
    </w:rPr>
  </w:style>
  <w:style w:type="character" w:customStyle="1" w:styleId="FootnoteTextChar1Char1">
    <w:name w:val="Footnote Text Char1 Char1"/>
    <w:aliases w:val="Footnote Text Char3 Char Char1,Footnote Text Char2 Char Char Char1,Footnote Text Char Char1 Char Char Char,Footnote Text Char2 Char Char1 Char Char Char,Footnote Text Char Char1 Char Char Char Char Char2"/>
    <w:rsid w:val="009A6089"/>
    <w:rPr>
      <w:lang w:val="en-US" w:eastAsia="en-US" w:bidi="ar-SA"/>
    </w:rPr>
  </w:style>
  <w:style w:type="paragraph" w:styleId="EndnoteText">
    <w:name w:val="endnote text"/>
    <w:basedOn w:val="Normal"/>
    <w:link w:val="EndnoteTextChar"/>
    <w:rsid w:val="00041D6E"/>
    <w:rPr>
      <w:sz w:val="20"/>
    </w:rPr>
  </w:style>
  <w:style w:type="character" w:customStyle="1" w:styleId="EndnoteTextChar">
    <w:name w:val="Endnote Text Char"/>
    <w:basedOn w:val="DefaultParagraphFont"/>
    <w:link w:val="EndnoteText"/>
    <w:rsid w:val="00FF4D2F"/>
    <w:rPr>
      <w:snapToGrid w:val="0"/>
      <w:kern w:val="28"/>
    </w:rPr>
  </w:style>
  <w:style w:type="character" w:styleId="EndnoteReference">
    <w:name w:val="endnote reference"/>
    <w:rsid w:val="00041D6E"/>
    <w:rPr>
      <w:vertAlign w:val="superscript"/>
    </w:rPr>
  </w:style>
  <w:style w:type="paragraph" w:styleId="TOAHeading">
    <w:name w:val="toa heading"/>
    <w:basedOn w:val="Normal"/>
    <w:next w:val="Normal"/>
    <w:rsid w:val="00041D6E"/>
    <w:pPr>
      <w:tabs>
        <w:tab w:val="right" w:pos="9360"/>
      </w:tabs>
      <w:suppressAutoHyphens/>
    </w:pPr>
  </w:style>
  <w:style w:type="character" w:customStyle="1" w:styleId="EquationCaption">
    <w:name w:val="_Equation Caption"/>
    <w:rsid w:val="00041D6E"/>
  </w:style>
  <w:style w:type="paragraph" w:customStyle="1" w:styleId="Paratitle">
    <w:name w:val="Para title"/>
    <w:basedOn w:val="Normal"/>
    <w:rsid w:val="00041D6E"/>
    <w:pPr>
      <w:tabs>
        <w:tab w:val="center" w:pos="9270"/>
      </w:tabs>
      <w:spacing w:after="240"/>
    </w:pPr>
    <w:rPr>
      <w:spacing w:val="-2"/>
    </w:rPr>
  </w:style>
  <w:style w:type="paragraph" w:customStyle="1" w:styleId="TOCTitle">
    <w:name w:val="TOC Title"/>
    <w:basedOn w:val="Normal"/>
    <w:rsid w:val="00041D6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41D6E"/>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6E"/>
    <w:pPr>
      <w:widowControl w:val="0"/>
    </w:pPr>
    <w:rPr>
      <w:snapToGrid w:val="0"/>
      <w:kern w:val="28"/>
      <w:sz w:val="22"/>
    </w:rPr>
  </w:style>
  <w:style w:type="paragraph" w:styleId="Heading1">
    <w:name w:val="heading 1"/>
    <w:basedOn w:val="Normal"/>
    <w:next w:val="ParaNum"/>
    <w:qFormat/>
    <w:rsid w:val="00041D6E"/>
    <w:pPr>
      <w:keepNext/>
      <w:numPr>
        <w:numId w:val="3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41D6E"/>
    <w:pPr>
      <w:keepNext/>
      <w:numPr>
        <w:ilvl w:val="1"/>
        <w:numId w:val="33"/>
      </w:numPr>
      <w:spacing w:after="120"/>
      <w:outlineLvl w:val="1"/>
    </w:pPr>
    <w:rPr>
      <w:b/>
    </w:rPr>
  </w:style>
  <w:style w:type="paragraph" w:styleId="Heading3">
    <w:name w:val="heading 3"/>
    <w:basedOn w:val="Normal"/>
    <w:next w:val="ParaNum"/>
    <w:qFormat/>
    <w:rsid w:val="00041D6E"/>
    <w:pPr>
      <w:keepNext/>
      <w:numPr>
        <w:ilvl w:val="2"/>
        <w:numId w:val="33"/>
      </w:numPr>
      <w:tabs>
        <w:tab w:val="left" w:pos="2160"/>
      </w:tabs>
      <w:spacing w:after="120"/>
      <w:outlineLvl w:val="2"/>
    </w:pPr>
    <w:rPr>
      <w:b/>
    </w:rPr>
  </w:style>
  <w:style w:type="paragraph" w:styleId="Heading4">
    <w:name w:val="heading 4"/>
    <w:basedOn w:val="Normal"/>
    <w:next w:val="ParaNum"/>
    <w:qFormat/>
    <w:rsid w:val="00041D6E"/>
    <w:pPr>
      <w:keepNext/>
      <w:numPr>
        <w:ilvl w:val="3"/>
        <w:numId w:val="33"/>
      </w:numPr>
      <w:tabs>
        <w:tab w:val="left" w:pos="2880"/>
      </w:tabs>
      <w:spacing w:after="120"/>
      <w:outlineLvl w:val="3"/>
    </w:pPr>
    <w:rPr>
      <w:b/>
    </w:rPr>
  </w:style>
  <w:style w:type="paragraph" w:styleId="Heading5">
    <w:name w:val="heading 5"/>
    <w:basedOn w:val="Normal"/>
    <w:next w:val="ParaNum"/>
    <w:qFormat/>
    <w:rsid w:val="00041D6E"/>
    <w:pPr>
      <w:keepNext/>
      <w:numPr>
        <w:ilvl w:val="4"/>
        <w:numId w:val="33"/>
      </w:numPr>
      <w:tabs>
        <w:tab w:val="left" w:pos="3600"/>
      </w:tabs>
      <w:suppressAutoHyphens/>
      <w:spacing w:after="120"/>
      <w:outlineLvl w:val="4"/>
    </w:pPr>
    <w:rPr>
      <w:b/>
    </w:rPr>
  </w:style>
  <w:style w:type="paragraph" w:styleId="Heading6">
    <w:name w:val="heading 6"/>
    <w:basedOn w:val="Normal"/>
    <w:next w:val="ParaNum"/>
    <w:qFormat/>
    <w:rsid w:val="00041D6E"/>
    <w:pPr>
      <w:numPr>
        <w:ilvl w:val="5"/>
        <w:numId w:val="33"/>
      </w:numPr>
      <w:tabs>
        <w:tab w:val="left" w:pos="4320"/>
      </w:tabs>
      <w:spacing w:after="120"/>
      <w:outlineLvl w:val="5"/>
    </w:pPr>
    <w:rPr>
      <w:b/>
    </w:rPr>
  </w:style>
  <w:style w:type="paragraph" w:styleId="Heading7">
    <w:name w:val="heading 7"/>
    <w:basedOn w:val="Normal"/>
    <w:next w:val="ParaNum"/>
    <w:qFormat/>
    <w:rsid w:val="00041D6E"/>
    <w:pPr>
      <w:numPr>
        <w:ilvl w:val="6"/>
        <w:numId w:val="33"/>
      </w:numPr>
      <w:tabs>
        <w:tab w:val="left" w:pos="5040"/>
      </w:tabs>
      <w:spacing w:after="120"/>
      <w:ind w:left="5040" w:hanging="720"/>
      <w:outlineLvl w:val="6"/>
    </w:pPr>
    <w:rPr>
      <w:b/>
    </w:rPr>
  </w:style>
  <w:style w:type="paragraph" w:styleId="Heading8">
    <w:name w:val="heading 8"/>
    <w:basedOn w:val="Normal"/>
    <w:next w:val="ParaNum"/>
    <w:qFormat/>
    <w:rsid w:val="00041D6E"/>
    <w:pPr>
      <w:numPr>
        <w:ilvl w:val="7"/>
        <w:numId w:val="33"/>
      </w:numPr>
      <w:tabs>
        <w:tab w:val="clear" w:pos="5400"/>
        <w:tab w:val="left" w:pos="5760"/>
      </w:tabs>
      <w:spacing w:after="120"/>
      <w:ind w:left="5760" w:hanging="720"/>
      <w:outlineLvl w:val="7"/>
    </w:pPr>
    <w:rPr>
      <w:b/>
    </w:rPr>
  </w:style>
  <w:style w:type="paragraph" w:styleId="Heading9">
    <w:name w:val="heading 9"/>
    <w:basedOn w:val="Normal"/>
    <w:next w:val="ParaNum"/>
    <w:qFormat/>
    <w:rsid w:val="00041D6E"/>
    <w:pPr>
      <w:numPr>
        <w:ilvl w:val="8"/>
        <w:numId w:val="3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41D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41D6E"/>
  </w:style>
  <w:style w:type="paragraph" w:styleId="Caption">
    <w:name w:val="caption"/>
    <w:basedOn w:val="Normal"/>
    <w:next w:val="Normal"/>
    <w:qFormat/>
    <w:pPr>
      <w:spacing w:before="120" w:after="120"/>
    </w:pPr>
    <w:rPr>
      <w:b/>
    </w:rPr>
  </w:style>
  <w:style w:type="paragraph" w:customStyle="1" w:styleId="ParaNum">
    <w:name w:val="ParaNum"/>
    <w:basedOn w:val="Normal"/>
    <w:rsid w:val="00041D6E"/>
    <w:pPr>
      <w:numPr>
        <w:numId w:val="32"/>
      </w:numPr>
      <w:tabs>
        <w:tab w:val="clear" w:pos="1080"/>
        <w:tab w:val="num" w:pos="1440"/>
      </w:tabs>
      <w:spacing w:after="120"/>
    </w:pPr>
  </w:style>
  <w:style w:type="paragraph" w:styleId="FootnoteText">
    <w:name w:val="footnote text"/>
    <w:aliases w:val="Footnote Text Char1,Footnote Text Char Char,Footnote Text Char1 Char Char,Footnote Text Char Char Char Char,ft,ALTS FOOTNOTE,fn,Footnote Text Char1 Char2 Char,Footnote Text Char1 Char Char Char Char,Footnote Text Char Char Char1 Char,f"/>
    <w:link w:val="FootnoteTextChar"/>
    <w:rsid w:val="00041D6E"/>
    <w:pPr>
      <w:spacing w:after="120"/>
    </w:pPr>
  </w:style>
  <w:style w:type="paragraph" w:customStyle="1" w:styleId="Bullet">
    <w:name w:val="Bullet"/>
    <w:basedOn w:val="Normal"/>
    <w:rsid w:val="00041D6E"/>
    <w:pPr>
      <w:tabs>
        <w:tab w:val="left" w:pos="2160"/>
      </w:tabs>
      <w:spacing w:after="220"/>
      <w:ind w:left="2160" w:hanging="720"/>
    </w:pPr>
  </w:style>
  <w:style w:type="paragraph" w:styleId="BlockText">
    <w:name w:val="Block Text"/>
    <w:basedOn w:val="Normal"/>
    <w:rsid w:val="00041D6E"/>
    <w:pPr>
      <w:spacing w:after="240"/>
      <w:ind w:left="1440" w:right="1440"/>
    </w:pPr>
  </w:style>
  <w:style w:type="paragraph" w:customStyle="1" w:styleId="TableFormat">
    <w:name w:val="TableFormat"/>
    <w:basedOn w:val="Bullet"/>
    <w:rsid w:val="00041D6E"/>
    <w:pPr>
      <w:tabs>
        <w:tab w:val="clear" w:pos="2160"/>
        <w:tab w:val="left" w:pos="5040"/>
      </w:tabs>
      <w:ind w:left="5040" w:hanging="3600"/>
    </w:pPr>
  </w:style>
  <w:style w:type="character" w:styleId="FootnoteReference">
    <w:name w:val="footnote reference"/>
    <w:aliases w:val="o,fr,Appel note de bas de p,Style 12,(NECG) Footnote Reference,Style 124,Style 3,Style 17,FR,Style 13,Style 6,Footnote Reference/"/>
    <w:rsid w:val="00041D6E"/>
    <w:rPr>
      <w:rFonts w:ascii="Times New Roman" w:hAnsi="Times New Roman"/>
      <w:dstrike w:val="0"/>
      <w:color w:val="auto"/>
      <w:sz w:val="20"/>
      <w:vertAlign w:val="superscript"/>
    </w:rPr>
  </w:style>
  <w:style w:type="paragraph" w:styleId="Header">
    <w:name w:val="header"/>
    <w:basedOn w:val="Normal"/>
    <w:autoRedefine/>
    <w:rsid w:val="00041D6E"/>
    <w:pPr>
      <w:tabs>
        <w:tab w:val="center" w:pos="4680"/>
        <w:tab w:val="right" w:pos="9360"/>
      </w:tabs>
    </w:pPr>
    <w:rPr>
      <w:b/>
    </w:rPr>
  </w:style>
  <w:style w:type="paragraph" w:styleId="Footer">
    <w:name w:val="footer"/>
    <w:basedOn w:val="Normal"/>
    <w:rsid w:val="00041D6E"/>
    <w:pPr>
      <w:tabs>
        <w:tab w:val="center" w:pos="4320"/>
        <w:tab w:val="right" w:pos="8640"/>
      </w:tabs>
    </w:pPr>
  </w:style>
  <w:style w:type="paragraph" w:styleId="TOC2">
    <w:name w:val="toc 2"/>
    <w:basedOn w:val="Normal"/>
    <w:next w:val="Normal"/>
    <w:semiHidden/>
    <w:rsid w:val="00041D6E"/>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041D6E"/>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041D6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41D6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41D6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41D6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41D6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41D6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41D6E"/>
    <w:pPr>
      <w:tabs>
        <w:tab w:val="left" w:pos="3240"/>
        <w:tab w:val="right" w:leader="dot" w:pos="9360"/>
      </w:tabs>
      <w:suppressAutoHyphens/>
      <w:ind w:left="3240" w:hanging="360"/>
    </w:pPr>
    <w:rPr>
      <w:noProof/>
    </w:rPr>
  </w:style>
  <w:style w:type="character" w:styleId="PageNumber">
    <w:name w:val="page number"/>
    <w:basedOn w:val="DefaultParagraphFont"/>
    <w:rsid w:val="00041D6E"/>
  </w:style>
  <w:style w:type="paragraph" w:styleId="Title">
    <w:name w:val="Title"/>
    <w:basedOn w:val="Normal"/>
    <w:qFormat/>
    <w:pPr>
      <w:jc w:val="center"/>
    </w:pPr>
    <w:rPr>
      <w:b/>
    </w:rPr>
  </w:style>
  <w:style w:type="paragraph" w:styleId="BalloonText">
    <w:name w:val="Balloon Text"/>
    <w:basedOn w:val="Normal"/>
    <w:semiHidden/>
    <w:rPr>
      <w:rFonts w:ascii="Tahoma" w:hAnsi="Tahoma" w:cs="Tahoma"/>
      <w:sz w:val="16"/>
      <w:szCs w:val="16"/>
    </w:rPr>
  </w:style>
  <w:style w:type="paragraph" w:customStyle="1" w:styleId="Style1">
    <w:name w:val="Style1"/>
    <w:basedOn w:val="FootnoteText"/>
    <w:autoRedefine/>
  </w:style>
  <w:style w:type="character" w:customStyle="1" w:styleId="Style1Char">
    <w:name w:val="Style1 Char"/>
    <w:rPr>
      <w:noProof w:val="0"/>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Hyperlink">
    <w:name w:val="Hyperlink"/>
    <w:rsid w:val="00041D6E"/>
    <w:rPr>
      <w:color w:val="0000FF"/>
      <w:u w:val="single"/>
    </w:rPr>
  </w:style>
  <w:style w:type="paragraph" w:styleId="ListParagraph">
    <w:name w:val="List Paragraph"/>
    <w:basedOn w:val="Normal"/>
    <w:uiPriority w:val="34"/>
    <w:qFormat/>
    <w:pPr>
      <w:ind w:left="720"/>
    </w:pPr>
  </w:style>
  <w:style w:type="character" w:customStyle="1" w:styleId="FootnoteTextChar">
    <w:name w:val="Footnote Text Char"/>
    <w:aliases w:val="Footnote Text Char1 Char,Footnote Text Char Char Char,Footnote Text Char1 Char Char Char,Footnote Text Char Char Char Char Char,ft Char,ALTS FOOTNOTE Char,fn Char,Footnote Text Char1 Char2 Char Char,f Char"/>
    <w:link w:val="FootnoteText"/>
  </w:style>
  <w:style w:type="character" w:styleId="Emphasis">
    <w:name w:val="Emphasis"/>
    <w:qFormat/>
    <w:rsid w:val="009A6089"/>
    <w:rPr>
      <w:i/>
      <w:iCs/>
    </w:rPr>
  </w:style>
  <w:style w:type="character" w:customStyle="1" w:styleId="FootnoteTextChar1Char1">
    <w:name w:val="Footnote Text Char1 Char1"/>
    <w:aliases w:val="Footnote Text Char3 Char Char1,Footnote Text Char2 Char Char Char1,Footnote Text Char Char1 Char Char Char,Footnote Text Char2 Char Char1 Char Char Char,Footnote Text Char Char1 Char Char Char Char Char2"/>
    <w:rsid w:val="009A6089"/>
    <w:rPr>
      <w:lang w:val="en-US" w:eastAsia="en-US" w:bidi="ar-SA"/>
    </w:rPr>
  </w:style>
  <w:style w:type="paragraph" w:styleId="EndnoteText">
    <w:name w:val="endnote text"/>
    <w:basedOn w:val="Normal"/>
    <w:link w:val="EndnoteTextChar"/>
    <w:rsid w:val="00041D6E"/>
    <w:rPr>
      <w:sz w:val="20"/>
    </w:rPr>
  </w:style>
  <w:style w:type="character" w:customStyle="1" w:styleId="EndnoteTextChar">
    <w:name w:val="Endnote Text Char"/>
    <w:basedOn w:val="DefaultParagraphFont"/>
    <w:link w:val="EndnoteText"/>
    <w:rsid w:val="00FF4D2F"/>
    <w:rPr>
      <w:snapToGrid w:val="0"/>
      <w:kern w:val="28"/>
    </w:rPr>
  </w:style>
  <w:style w:type="character" w:styleId="EndnoteReference">
    <w:name w:val="endnote reference"/>
    <w:rsid w:val="00041D6E"/>
    <w:rPr>
      <w:vertAlign w:val="superscript"/>
    </w:rPr>
  </w:style>
  <w:style w:type="paragraph" w:styleId="TOAHeading">
    <w:name w:val="toa heading"/>
    <w:basedOn w:val="Normal"/>
    <w:next w:val="Normal"/>
    <w:rsid w:val="00041D6E"/>
    <w:pPr>
      <w:tabs>
        <w:tab w:val="right" w:pos="9360"/>
      </w:tabs>
      <w:suppressAutoHyphens/>
    </w:pPr>
  </w:style>
  <w:style w:type="character" w:customStyle="1" w:styleId="EquationCaption">
    <w:name w:val="_Equation Caption"/>
    <w:rsid w:val="00041D6E"/>
  </w:style>
  <w:style w:type="paragraph" w:customStyle="1" w:styleId="Paratitle">
    <w:name w:val="Para title"/>
    <w:basedOn w:val="Normal"/>
    <w:rsid w:val="00041D6E"/>
    <w:pPr>
      <w:tabs>
        <w:tab w:val="center" w:pos="9270"/>
      </w:tabs>
      <w:spacing w:after="240"/>
    </w:pPr>
    <w:rPr>
      <w:spacing w:val="-2"/>
    </w:rPr>
  </w:style>
  <w:style w:type="paragraph" w:customStyle="1" w:styleId="TOCTitle">
    <w:name w:val="TOC Title"/>
    <w:basedOn w:val="Normal"/>
    <w:rsid w:val="00041D6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41D6E"/>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081465">
      <w:bodyDiv w:val="1"/>
      <w:marLeft w:val="0"/>
      <w:marRight w:val="0"/>
      <w:marTop w:val="0"/>
      <w:marBottom w:val="0"/>
      <w:divBdr>
        <w:top w:val="none" w:sz="0" w:space="0" w:color="auto"/>
        <w:left w:val="none" w:sz="0" w:space="0" w:color="auto"/>
        <w:bottom w:val="none" w:sz="0" w:space="0" w:color="auto"/>
        <w:right w:val="none" w:sz="0" w:space="0" w:color="auto"/>
      </w:divBdr>
    </w:div>
    <w:div w:id="939799041">
      <w:bodyDiv w:val="1"/>
      <w:marLeft w:val="0"/>
      <w:marRight w:val="0"/>
      <w:marTop w:val="0"/>
      <w:marBottom w:val="0"/>
      <w:divBdr>
        <w:top w:val="none" w:sz="0" w:space="0" w:color="auto"/>
        <w:left w:val="none" w:sz="0" w:space="0" w:color="auto"/>
        <w:bottom w:val="none" w:sz="0" w:space="0" w:color="auto"/>
        <w:right w:val="none" w:sz="0" w:space="0" w:color="auto"/>
      </w:divBdr>
      <w:divsChild>
        <w:div w:id="812217924">
          <w:marLeft w:val="0"/>
          <w:marRight w:val="0"/>
          <w:marTop w:val="0"/>
          <w:marBottom w:val="0"/>
          <w:divBdr>
            <w:top w:val="none" w:sz="0" w:space="0" w:color="auto"/>
            <w:left w:val="none" w:sz="0" w:space="0" w:color="auto"/>
            <w:bottom w:val="none" w:sz="0" w:space="0" w:color="auto"/>
            <w:right w:val="none" w:sz="0" w:space="0" w:color="auto"/>
          </w:divBdr>
        </w:div>
      </w:divsChild>
    </w:div>
    <w:div w:id="1088116850">
      <w:bodyDiv w:val="1"/>
      <w:marLeft w:val="0"/>
      <w:marRight w:val="0"/>
      <w:marTop w:val="0"/>
      <w:marBottom w:val="0"/>
      <w:divBdr>
        <w:top w:val="none" w:sz="0" w:space="0" w:color="auto"/>
        <w:left w:val="none" w:sz="0" w:space="0" w:color="auto"/>
        <w:bottom w:val="none" w:sz="0" w:space="0" w:color="auto"/>
        <w:right w:val="none" w:sz="0" w:space="0" w:color="auto"/>
      </w:divBdr>
    </w:div>
    <w:div w:id="1457601676">
      <w:bodyDiv w:val="1"/>
      <w:marLeft w:val="0"/>
      <w:marRight w:val="0"/>
      <w:marTop w:val="0"/>
      <w:marBottom w:val="0"/>
      <w:divBdr>
        <w:top w:val="none" w:sz="0" w:space="0" w:color="auto"/>
        <w:left w:val="none" w:sz="0" w:space="0" w:color="auto"/>
        <w:bottom w:val="none" w:sz="0" w:space="0" w:color="auto"/>
        <w:right w:val="none" w:sz="0" w:space="0" w:color="auto"/>
      </w:divBdr>
      <w:divsChild>
        <w:div w:id="1935044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3</Pages>
  <Words>1110</Words>
  <Characters>6297</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7445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2011-10-17T22:46:00Z</cp:lastPrinted>
  <dcterms:created xsi:type="dcterms:W3CDTF">2014-12-23T18:13:00Z</dcterms:created>
  <dcterms:modified xsi:type="dcterms:W3CDTF">2014-12-23T18:13:00Z</dcterms:modified>
  <cp:category> </cp:category>
  <cp:contentStatus> </cp:contentStatus>
</cp:coreProperties>
</file>