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sidR="00430F82">
        <w:rPr>
          <w:caps w:val="0"/>
        </w:rPr>
        <w:t xml:space="preserve">ederal Communications </w:t>
      </w:r>
      <w:r>
        <w:rPr>
          <w:caps w:val="0"/>
        </w:rPr>
        <w:t>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4C2EE3" w:rsidRPr="007115F7" w:rsidRDefault="00A677E3" w:rsidP="007115F7">
            <w:pPr>
              <w:tabs>
                <w:tab w:val="center" w:pos="4680"/>
              </w:tabs>
              <w:suppressAutoHyphens/>
              <w:rPr>
                <w:spacing w:val="-2"/>
              </w:rPr>
            </w:pPr>
            <w:r>
              <w:rPr>
                <w:spacing w:val="-2"/>
              </w:rPr>
              <w:t>Telecommunications Relay Services and Speech-to-Speech Services for Individuals with Hearing and Speech Disabilities</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A677E3">
            <w:pPr>
              <w:tabs>
                <w:tab w:val="center" w:pos="4680"/>
              </w:tabs>
              <w:suppressAutoHyphens/>
              <w:rPr>
                <w:spacing w:val="-2"/>
              </w:rPr>
            </w:pPr>
            <w:r>
              <w:rPr>
                <w:spacing w:val="-2"/>
              </w:rPr>
              <w:t>CG Docket No. 03-123</w:t>
            </w:r>
          </w:p>
        </w:tc>
      </w:tr>
    </w:tbl>
    <w:p w:rsidR="004C2EE3" w:rsidRDefault="004C2EE3" w:rsidP="0070224F"/>
    <w:p w:rsidR="00841AB1" w:rsidRDefault="00A677E3" w:rsidP="00F021FA">
      <w:pPr>
        <w:pStyle w:val="StyleBoldCentered"/>
      </w:pPr>
      <w:r>
        <w:t>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437B8F">
        <w:rPr>
          <w:b/>
          <w:spacing w:val="-2"/>
        </w:rPr>
        <w:t>December 29, 2014</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437B8F">
        <w:rPr>
          <w:b/>
          <w:spacing w:val="-2"/>
        </w:rPr>
        <w:t>December 29, 2014</w:t>
      </w:r>
    </w:p>
    <w:p w:rsidR="00822CE0" w:rsidRDefault="00822CE0"/>
    <w:p w:rsidR="004C2EE3" w:rsidRDefault="004C2EE3">
      <w:pPr>
        <w:rPr>
          <w:spacing w:val="-2"/>
        </w:rPr>
      </w:pPr>
      <w:r>
        <w:t xml:space="preserve">By </w:t>
      </w:r>
      <w:r w:rsidR="004E4A22">
        <w:t>the</w:t>
      </w:r>
      <w:r w:rsidR="002A2D2E">
        <w:t xml:space="preserve"> </w:t>
      </w:r>
      <w:r w:rsidR="00A677E3">
        <w:rPr>
          <w:spacing w:val="-2"/>
        </w:rPr>
        <w:t>Acting Chief, Consumer and Governmental Affairs Bureau</w:t>
      </w:r>
      <w:r>
        <w:rPr>
          <w:spacing w:val="-2"/>
        </w:rPr>
        <w:t>:</w:t>
      </w:r>
    </w:p>
    <w:p w:rsidR="00822CE0" w:rsidRDefault="00822CE0">
      <w:pPr>
        <w:rPr>
          <w:spacing w:val="-2"/>
        </w:rPr>
      </w:pPr>
    </w:p>
    <w:p w:rsidR="00412FC5" w:rsidRDefault="00412FC5" w:rsidP="00412FC5"/>
    <w:p w:rsidR="002C00E8" w:rsidRDefault="00A677E3" w:rsidP="002C00E8">
      <w:pPr>
        <w:pStyle w:val="Heading1"/>
      </w:pPr>
      <w:r>
        <w:t>introduction</w:t>
      </w:r>
    </w:p>
    <w:p w:rsidR="00A677E3" w:rsidRDefault="007C06B1" w:rsidP="00A677E3">
      <w:pPr>
        <w:pStyle w:val="ParaNum"/>
      </w:pPr>
      <w:r>
        <w:t>In t</w:t>
      </w:r>
      <w:r w:rsidR="00A677E3">
        <w:t>his order</w:t>
      </w:r>
      <w:r>
        <w:t>, the Consumer and Governmental Affairs Bureau (Bureau)</w:t>
      </w:r>
      <w:r w:rsidR="00A44755">
        <w:t xml:space="preserve"> </w:t>
      </w:r>
      <w:r w:rsidR="003B6985">
        <w:t>adopts</w:t>
      </w:r>
      <w:r w:rsidR="00DF06A1">
        <w:t>, based on emergency circumstances,</w:t>
      </w:r>
      <w:r w:rsidR="00A44755">
        <w:t xml:space="preserve"> </w:t>
      </w:r>
      <w:r w:rsidR="00A57380">
        <w:t>a</w:t>
      </w:r>
      <w:r w:rsidR="003B6985">
        <w:t xml:space="preserve"> mid-year</w:t>
      </w:r>
      <w:r w:rsidR="00DF06A1">
        <w:t xml:space="preserve"> adjustment </w:t>
      </w:r>
      <w:r w:rsidR="003B6985">
        <w:t xml:space="preserve">of the </w:t>
      </w:r>
      <w:r w:rsidR="003B6985" w:rsidRPr="003B6985">
        <w:t>per-minute</w:t>
      </w:r>
      <w:r w:rsidR="003B6985">
        <w:t xml:space="preserve"> </w:t>
      </w:r>
      <w:r w:rsidR="003B6985" w:rsidRPr="003B6985">
        <w:t>rate</w:t>
      </w:r>
      <w:r w:rsidR="001F33E4">
        <w:t xml:space="preserve"> of compensation from the Interstate Telecommunications Relay Service Fund (TRS Fund)</w:t>
      </w:r>
      <w:r w:rsidR="003B6985" w:rsidRPr="003B6985">
        <w:t xml:space="preserve"> </w:t>
      </w:r>
      <w:r w:rsidR="00A57380">
        <w:t xml:space="preserve">for </w:t>
      </w:r>
      <w:r w:rsidR="002E0602">
        <w:t xml:space="preserve">the provision of </w:t>
      </w:r>
      <w:r w:rsidR="00A44755">
        <w:t>Internet Protocol Relay</w:t>
      </w:r>
      <w:r w:rsidR="00B551E3">
        <w:t xml:space="preserve"> (IP Relay</w:t>
      </w:r>
      <w:r w:rsidR="005E1652">
        <w:t>)</w:t>
      </w:r>
      <w:r w:rsidR="00B551E3">
        <w:t xml:space="preserve"> </w:t>
      </w:r>
      <w:r w:rsidR="003B6985">
        <w:t xml:space="preserve">service. </w:t>
      </w:r>
      <w:r w:rsidR="00D05546">
        <w:t xml:space="preserve"> </w:t>
      </w:r>
      <w:r w:rsidR="003B6985">
        <w:t>Th</w:t>
      </w:r>
      <w:r w:rsidR="00CC324A">
        <w:t>e</w:t>
      </w:r>
      <w:r w:rsidR="003B6985">
        <w:t xml:space="preserve"> adjust</w:t>
      </w:r>
      <w:r w:rsidR="00CC324A">
        <w:t>ed rate</w:t>
      </w:r>
      <w:r w:rsidR="003B6985">
        <w:t xml:space="preserve">, which is </w:t>
      </w:r>
      <w:r w:rsidR="00752D87">
        <w:t xml:space="preserve">retroactive </w:t>
      </w:r>
      <w:r w:rsidR="003B6985">
        <w:t>to</w:t>
      </w:r>
      <w:r w:rsidR="00752D87">
        <w:t xml:space="preserve"> November 14, 2014</w:t>
      </w:r>
      <w:r w:rsidR="003B6985">
        <w:t>,</w:t>
      </w:r>
      <w:r w:rsidR="00752D87">
        <w:t xml:space="preserve"> </w:t>
      </w:r>
      <w:r w:rsidR="003B6985">
        <w:t xml:space="preserve">will remain in effect until </w:t>
      </w:r>
      <w:r w:rsidR="00CC324A">
        <w:t xml:space="preserve">June 30, </w:t>
      </w:r>
      <w:r w:rsidR="008A7481">
        <w:t>2015</w:t>
      </w:r>
      <w:r w:rsidR="00CC324A">
        <w:t>, except that a higher rate applicable to monthly minutes in excess of 300,000 will terminate</w:t>
      </w:r>
      <w:r w:rsidR="00A10527">
        <w:t xml:space="preserve"> </w:t>
      </w:r>
      <w:r w:rsidR="00D05546">
        <w:t xml:space="preserve">on </w:t>
      </w:r>
      <w:r w:rsidR="00A10527">
        <w:t>May 15, 2015.  We take this action</w:t>
      </w:r>
      <w:r w:rsidR="007E4258">
        <w:t xml:space="preserve"> in response to the </w:t>
      </w:r>
      <w:r w:rsidR="00D05546">
        <w:t xml:space="preserve">sudden </w:t>
      </w:r>
      <w:r w:rsidR="007E4258">
        <w:t>termination of service by one of two IP Relay service providers</w:t>
      </w:r>
      <w:r w:rsidR="00D05546">
        <w:t xml:space="preserve"> on November 14, 2014</w:t>
      </w:r>
      <w:r w:rsidR="002E0602">
        <w:t>.</w:t>
      </w:r>
      <w:r w:rsidR="007E4258">
        <w:t xml:space="preserve"> </w:t>
      </w:r>
      <w:r w:rsidR="002E0602">
        <w:t xml:space="preserve"> Our purpose is </w:t>
      </w:r>
      <w:r w:rsidR="007E4258">
        <w:t xml:space="preserve">to </w:t>
      </w:r>
      <w:r w:rsidR="007E4258" w:rsidRPr="007E4258">
        <w:t>ensur</w:t>
      </w:r>
      <w:r w:rsidR="007E4258">
        <w:t>e</w:t>
      </w:r>
      <w:r w:rsidR="007E4258" w:rsidRPr="007E4258">
        <w:t xml:space="preserve"> that </w:t>
      </w:r>
      <w:r w:rsidR="007E4258">
        <w:t>the remaining provider is reasonably compensated for providing service</w:t>
      </w:r>
      <w:r w:rsidR="002E0602">
        <w:t>, including service</w:t>
      </w:r>
      <w:r w:rsidR="00D05546">
        <w:t xml:space="preserve"> to users</w:t>
      </w:r>
      <w:r w:rsidR="00C1214D">
        <w:t xml:space="preserve"> who migrate from the departing provider</w:t>
      </w:r>
      <w:r w:rsidR="002E0602">
        <w:t xml:space="preserve">, and </w:t>
      </w:r>
      <w:r w:rsidR="007E4258">
        <w:t xml:space="preserve">that </w:t>
      </w:r>
      <w:r w:rsidR="00D05546">
        <w:t xml:space="preserve">IP Relay </w:t>
      </w:r>
      <w:r w:rsidR="007E4258" w:rsidRPr="007E4258">
        <w:t xml:space="preserve">service </w:t>
      </w:r>
      <w:r w:rsidR="00D05546">
        <w:t xml:space="preserve">will </w:t>
      </w:r>
      <w:r w:rsidR="007E4258">
        <w:t>continue to be</w:t>
      </w:r>
      <w:r w:rsidR="007E4258" w:rsidRPr="007E4258">
        <w:t xml:space="preserve"> provided with</w:t>
      </w:r>
      <w:r w:rsidR="007E4258">
        <w:t>out</w:t>
      </w:r>
      <w:r w:rsidR="007E4258" w:rsidRPr="007E4258">
        <w:t xml:space="preserve"> interruption to </w:t>
      </w:r>
      <w:r w:rsidR="007E4258">
        <w:t xml:space="preserve">eligible </w:t>
      </w:r>
      <w:r w:rsidR="002D5A8F">
        <w:t xml:space="preserve">consumers, </w:t>
      </w:r>
      <w:r w:rsidR="007E4258" w:rsidRPr="007E4258">
        <w:t xml:space="preserve">especially </w:t>
      </w:r>
      <w:r w:rsidR="00D05546">
        <w:t xml:space="preserve">those </w:t>
      </w:r>
      <w:r w:rsidR="002D5A8F">
        <w:t xml:space="preserve">who rely on IP Relay as their sole or primary source of </w:t>
      </w:r>
      <w:r w:rsidR="007E4258" w:rsidRPr="007E4258">
        <w:t>functionally equivalent telephone service</w:t>
      </w:r>
      <w:r w:rsidR="002D5A8F">
        <w:t>.</w:t>
      </w:r>
      <w:r w:rsidR="00596A1B" w:rsidDel="00596A1B">
        <w:t xml:space="preserve"> </w:t>
      </w:r>
    </w:p>
    <w:p w:rsidR="00D42668" w:rsidRDefault="00D42668" w:rsidP="00596A1B">
      <w:pPr>
        <w:pStyle w:val="Heading1"/>
      </w:pPr>
      <w:r>
        <w:t>BACKGROUND</w:t>
      </w:r>
    </w:p>
    <w:p w:rsidR="00AF7BE1" w:rsidRDefault="005D707D" w:rsidP="00A677E3">
      <w:pPr>
        <w:pStyle w:val="ParaNum"/>
      </w:pPr>
      <w:r>
        <w:t>Section 225 requires the Commission to ensure that telecommunications relay services (TRS) “are available to the extent possible and in the most efficient manner” to individuals in the United States</w:t>
      </w:r>
      <w:r w:rsidDel="00A33FB1">
        <w:t xml:space="preserve"> </w:t>
      </w:r>
      <w:r>
        <w:t>who are deaf, hard of hearing, or deaf-blind or have speech disabilities.</w:t>
      </w:r>
      <w:r>
        <w:rPr>
          <w:rStyle w:val="FootnoteReference"/>
        </w:rPr>
        <w:footnoteReference w:id="2"/>
      </w:r>
      <w:r>
        <w:t xml:space="preserve">  </w:t>
      </w:r>
      <w:r w:rsidR="00C1214D" w:rsidRPr="00C1214D">
        <w:t xml:space="preserve"> </w:t>
      </w:r>
      <w:r w:rsidR="00C1214D" w:rsidRPr="00225A5B">
        <w:t>TRS</w:t>
      </w:r>
      <w:r w:rsidR="00C1214D">
        <w:t xml:space="preserve"> </w:t>
      </w:r>
      <w:r w:rsidR="00C1214D" w:rsidRPr="00225A5B">
        <w:t xml:space="preserve">enables an individual who is deaf, hard of hearing, </w:t>
      </w:r>
      <w:r w:rsidR="002E0602">
        <w:t xml:space="preserve">or </w:t>
      </w:r>
      <w:r w:rsidR="00C1214D" w:rsidRPr="00225A5B">
        <w:t>deaf-blind</w:t>
      </w:r>
      <w:r w:rsidR="00C1214D">
        <w:t xml:space="preserve"> or who has a </w:t>
      </w:r>
      <w:r w:rsidR="00C1214D" w:rsidRPr="00225A5B">
        <w:t>speech disability to communicate by telephone or other device through the telephone system with another person</w:t>
      </w:r>
      <w:r w:rsidR="00C1214D">
        <w:t xml:space="preserve"> in a manner that is functionally equivalent to the ability of persons without these communication disabilities.</w:t>
      </w:r>
      <w:r w:rsidR="00C1214D">
        <w:rPr>
          <w:rStyle w:val="FootnoteReference"/>
        </w:rPr>
        <w:footnoteReference w:id="3"/>
      </w:r>
      <w:r w:rsidR="00C1214D">
        <w:t xml:space="preserve">  </w:t>
      </w:r>
      <w:r w:rsidR="00B551E3">
        <w:t xml:space="preserve">IP Relay service is a form of TRS that </w:t>
      </w:r>
      <w:r w:rsidR="003E5E05">
        <w:t xml:space="preserve">enables </w:t>
      </w:r>
      <w:r w:rsidR="00B551E3">
        <w:t xml:space="preserve">an individual </w:t>
      </w:r>
      <w:r w:rsidR="003E5E05">
        <w:t>who is deaf, hard of</w:t>
      </w:r>
      <w:r w:rsidR="00B551E3">
        <w:t xml:space="preserve"> hearing</w:t>
      </w:r>
      <w:r w:rsidR="00F352EE">
        <w:t>, deaf-blind,</w:t>
      </w:r>
      <w:r w:rsidR="003E5E05">
        <w:t xml:space="preserve"> or has a speech disability</w:t>
      </w:r>
      <w:r w:rsidR="00B551E3">
        <w:t xml:space="preserve"> to communicate in text using an Internet Protocol-enabled device via a communications assistant (CA) contacted via the Internet, rather than using a text telephone (TTY) and the public switched </w:t>
      </w:r>
      <w:r w:rsidR="00B551E3">
        <w:lastRenderedPageBreak/>
        <w:t>telephone network.</w:t>
      </w:r>
      <w:r w:rsidR="00B551E3">
        <w:rPr>
          <w:rStyle w:val="FootnoteReference"/>
        </w:rPr>
        <w:footnoteReference w:id="4"/>
      </w:r>
      <w:r w:rsidR="00B551E3">
        <w:t xml:space="preserve">  </w:t>
      </w:r>
    </w:p>
    <w:p w:rsidR="00030B10" w:rsidRDefault="00E94911" w:rsidP="00074B9C">
      <w:pPr>
        <w:pStyle w:val="ParaNum"/>
      </w:pPr>
      <w:r>
        <w:t>In 2013</w:t>
      </w:r>
      <w:r w:rsidR="007E4258">
        <w:t>, t</w:t>
      </w:r>
      <w:r w:rsidR="007E4258" w:rsidRPr="007E4258">
        <w:t xml:space="preserve">hree </w:t>
      </w:r>
      <w:r w:rsidR="007E4258">
        <w:t>IP Relay</w:t>
      </w:r>
      <w:r w:rsidR="007E4258" w:rsidRPr="007E4258">
        <w:t xml:space="preserve"> service providers – AT&amp;T Services, Inc., Hamilton Relay, Inc., and Sorenson Communications, Inc. (Sorenson) – </w:t>
      </w:r>
      <w:r w:rsidR="007E4258">
        <w:t>terminated their provision of the service</w:t>
      </w:r>
      <w:r w:rsidR="007E4258" w:rsidRPr="007E4258">
        <w:t>.</w:t>
      </w:r>
      <w:r>
        <w:rPr>
          <w:rStyle w:val="FootnoteReference"/>
        </w:rPr>
        <w:footnoteReference w:id="5"/>
      </w:r>
      <w:r w:rsidR="007E4258">
        <w:t xml:space="preserve">  As a result, f</w:t>
      </w:r>
      <w:r w:rsidR="00E817DD">
        <w:t xml:space="preserve">rom </w:t>
      </w:r>
      <w:r w:rsidR="006A1C53">
        <w:t>July 31, 2013</w:t>
      </w:r>
      <w:r w:rsidR="007E4258">
        <w:t>,</w:t>
      </w:r>
      <w:r w:rsidR="00E817DD">
        <w:t xml:space="preserve"> through</w:t>
      </w:r>
      <w:r w:rsidR="00CA6064">
        <w:t xml:space="preserve"> November 14, 2014</w:t>
      </w:r>
      <w:r w:rsidR="00E817DD">
        <w:t>,</w:t>
      </w:r>
      <w:r w:rsidR="00CA6064">
        <w:t xml:space="preserve"> </w:t>
      </w:r>
      <w:r w:rsidR="00596A1B">
        <w:t xml:space="preserve">only </w:t>
      </w:r>
      <w:r w:rsidR="00CA6064">
        <w:t xml:space="preserve">two providers </w:t>
      </w:r>
      <w:r w:rsidR="007C06B1">
        <w:t xml:space="preserve">offered </w:t>
      </w:r>
      <w:r w:rsidR="00CA6064">
        <w:t>IP Relay service</w:t>
      </w:r>
      <w:r w:rsidR="00F352EE">
        <w:t xml:space="preserve"> –</w:t>
      </w:r>
      <w:r w:rsidR="003B6985">
        <w:t xml:space="preserve"> </w:t>
      </w:r>
      <w:r w:rsidR="003B6985" w:rsidRPr="003B6985">
        <w:t>Sprint Corporation (Sprint)</w:t>
      </w:r>
      <w:r w:rsidR="00CA6064">
        <w:t xml:space="preserve"> and Purple</w:t>
      </w:r>
      <w:r w:rsidR="00596A1B">
        <w:t xml:space="preserve"> Communications</w:t>
      </w:r>
      <w:r w:rsidR="002E0602">
        <w:t>, Inc.</w:t>
      </w:r>
      <w:r w:rsidR="00596A1B">
        <w:t xml:space="preserve"> (Purple)</w:t>
      </w:r>
      <w:r w:rsidR="00CA6064">
        <w:t>.  On October 15, 2014</w:t>
      </w:r>
      <w:r w:rsidR="00E817DD">
        <w:t>,</w:t>
      </w:r>
      <w:r w:rsidR="00CA6064">
        <w:t xml:space="preserve"> Purple </w:t>
      </w:r>
      <w:r w:rsidR="007F4CC8">
        <w:t xml:space="preserve">notified the Commission </w:t>
      </w:r>
      <w:r w:rsidR="00CA6064">
        <w:t>that</w:t>
      </w:r>
      <w:r w:rsidR="00FC339C">
        <w:t xml:space="preserve"> it would </w:t>
      </w:r>
      <w:r w:rsidR="007F4CC8">
        <w:t>cease</w:t>
      </w:r>
      <w:r w:rsidR="00FC339C">
        <w:t xml:space="preserve"> provid</w:t>
      </w:r>
      <w:r w:rsidR="007F4CC8">
        <w:t>ing</w:t>
      </w:r>
      <w:r w:rsidR="00CA6064">
        <w:t xml:space="preserve"> IP Relay se</w:t>
      </w:r>
      <w:r w:rsidR="00FC339C">
        <w:t>rvice, effective November 15, 2014.</w:t>
      </w:r>
      <w:r w:rsidR="00FC339C">
        <w:rPr>
          <w:rStyle w:val="FootnoteReference"/>
        </w:rPr>
        <w:footnoteReference w:id="6"/>
      </w:r>
      <w:r w:rsidR="00B3009B">
        <w:t xml:space="preserve">  </w:t>
      </w:r>
      <w:r w:rsidR="00D42668" w:rsidRPr="00D42668">
        <w:t xml:space="preserve">On November 17, 2014, Sprint filed a request </w:t>
      </w:r>
      <w:r w:rsidR="00D42668">
        <w:t>seeking a</w:t>
      </w:r>
      <w:r w:rsidR="00D42668" w:rsidRPr="00AF7BE1">
        <w:rPr>
          <w:b/>
        </w:rPr>
        <w:t xml:space="preserve"> </w:t>
      </w:r>
      <w:r w:rsidR="00D42668">
        <w:t xml:space="preserve">temporary </w:t>
      </w:r>
      <w:r w:rsidR="001C2F7F" w:rsidRPr="008523F9">
        <w:t xml:space="preserve">adjustment of the </w:t>
      </w:r>
      <w:r w:rsidR="001C2F7F">
        <w:t>per-</w:t>
      </w:r>
      <w:r w:rsidR="001C2F7F" w:rsidRPr="008523F9">
        <w:t xml:space="preserve">minute </w:t>
      </w:r>
      <w:r w:rsidR="00D42668">
        <w:t xml:space="preserve">compensation </w:t>
      </w:r>
      <w:r w:rsidR="001C2F7F" w:rsidRPr="008523F9">
        <w:t xml:space="preserve">rate </w:t>
      </w:r>
      <w:r w:rsidR="00D42668">
        <w:t>for</w:t>
      </w:r>
      <w:r w:rsidR="001C2F7F" w:rsidRPr="008523F9">
        <w:t xml:space="preserve"> </w:t>
      </w:r>
      <w:r w:rsidR="006A5429">
        <w:t xml:space="preserve">IP Relay </w:t>
      </w:r>
      <w:r w:rsidR="00D42668">
        <w:t>service.</w:t>
      </w:r>
      <w:r w:rsidR="001C2F7F">
        <w:rPr>
          <w:rStyle w:val="FootnoteReference"/>
        </w:rPr>
        <w:footnoteReference w:id="7"/>
      </w:r>
      <w:r w:rsidR="001C2F7F" w:rsidRPr="008523F9">
        <w:t xml:space="preserve">  </w:t>
      </w:r>
      <w:r w:rsidR="00E2796B">
        <w:t>Sprint states that the current compensation rate does not reflect Sprint’s allowable costs and that its costs will increase as a result of Purple’s exit.</w:t>
      </w:r>
      <w:r w:rsidR="00E2796B">
        <w:rPr>
          <w:rStyle w:val="FootnoteReference"/>
        </w:rPr>
        <w:footnoteReference w:id="8"/>
      </w:r>
      <w:r w:rsidR="00E2796B">
        <w:t xml:space="preserve">  </w:t>
      </w:r>
      <w:r w:rsidR="009C6316">
        <w:t>In addition,</w:t>
      </w:r>
      <w:r w:rsidR="007C0A7A">
        <w:t xml:space="preserve"> Sprint </w:t>
      </w:r>
      <w:r w:rsidR="009C6316">
        <w:t>asserts that</w:t>
      </w:r>
      <w:r w:rsidR="00AF7BE1">
        <w:t xml:space="preserve"> even before Purple’s announced departure,</w:t>
      </w:r>
      <w:r w:rsidR="009C6316">
        <w:t xml:space="preserve"> it ha</w:t>
      </w:r>
      <w:r w:rsidR="00596A1B">
        <w:t>d</w:t>
      </w:r>
      <w:r w:rsidR="009C6316">
        <w:t xml:space="preserve"> been planning to terminate its IP Relay service</w:t>
      </w:r>
      <w:r w:rsidR="007C0A7A">
        <w:t xml:space="preserve"> and </w:t>
      </w:r>
      <w:r w:rsidR="009C6316">
        <w:t>ha</w:t>
      </w:r>
      <w:r w:rsidR="00596A1B">
        <w:t xml:space="preserve">d begun </w:t>
      </w:r>
      <w:r w:rsidR="007C0A7A">
        <w:t>winding down its business.</w:t>
      </w:r>
      <w:r w:rsidR="006F5BB8">
        <w:rPr>
          <w:rStyle w:val="FootnoteReference"/>
        </w:rPr>
        <w:footnoteReference w:id="9"/>
      </w:r>
      <w:r w:rsidR="00430F82">
        <w:t xml:space="preserve">  </w:t>
      </w:r>
      <w:r w:rsidR="001C2F7F" w:rsidRPr="008523F9">
        <w:t xml:space="preserve">Sprint </w:t>
      </w:r>
      <w:r w:rsidR="004B2BA3">
        <w:t>adds, however,</w:t>
      </w:r>
      <w:r w:rsidR="004B2BA3" w:rsidRPr="008523F9">
        <w:t xml:space="preserve"> </w:t>
      </w:r>
      <w:r w:rsidR="001C2F7F" w:rsidRPr="008523F9">
        <w:t>that a</w:t>
      </w:r>
      <w:r w:rsidR="0021307B">
        <w:t xml:space="preserve"> sufficient</w:t>
      </w:r>
      <w:r w:rsidR="001C2F7F" w:rsidRPr="008523F9">
        <w:t xml:space="preserve"> upward adjustment</w:t>
      </w:r>
      <w:r w:rsidR="0095082C">
        <w:t xml:space="preserve"> of</w:t>
      </w:r>
      <w:r w:rsidR="001C2F7F" w:rsidRPr="008523F9">
        <w:t xml:space="preserve"> the rate w</w:t>
      </w:r>
      <w:r w:rsidR="00596A1B">
        <w:t>ould</w:t>
      </w:r>
      <w:r w:rsidR="001C2F7F" w:rsidRPr="008523F9">
        <w:t xml:space="preserve"> enable it </w:t>
      </w:r>
      <w:r w:rsidR="00856353">
        <w:t>to stay in business</w:t>
      </w:r>
      <w:r w:rsidR="0021307B">
        <w:t>, and thereby</w:t>
      </w:r>
      <w:r w:rsidR="00856353">
        <w:t xml:space="preserve"> </w:t>
      </w:r>
      <w:r w:rsidR="00596A1B">
        <w:t xml:space="preserve">enable it </w:t>
      </w:r>
      <w:r w:rsidR="00856353">
        <w:t>to serve</w:t>
      </w:r>
      <w:r w:rsidR="0021307B">
        <w:t xml:space="preserve"> both</w:t>
      </w:r>
      <w:r w:rsidR="001C2F7F" w:rsidRPr="008523F9">
        <w:t xml:space="preserve"> </w:t>
      </w:r>
      <w:r w:rsidR="00430F82">
        <w:t xml:space="preserve">its current </w:t>
      </w:r>
      <w:r w:rsidR="0021307B">
        <w:t xml:space="preserve">customers </w:t>
      </w:r>
      <w:r w:rsidR="00430F82">
        <w:t xml:space="preserve">and </w:t>
      </w:r>
      <w:r w:rsidR="0021307B">
        <w:t>any new users migrating from Purple</w:t>
      </w:r>
      <w:r w:rsidR="001C2F7F" w:rsidRPr="008523F9">
        <w:t>.</w:t>
      </w:r>
      <w:r w:rsidR="007C0A7A">
        <w:rPr>
          <w:rStyle w:val="FootnoteReference"/>
        </w:rPr>
        <w:footnoteReference w:id="10"/>
      </w:r>
      <w:r w:rsidR="001C2F7F" w:rsidRPr="008523F9">
        <w:t xml:space="preserve">  </w:t>
      </w:r>
      <w:r w:rsidR="001C2F7F">
        <w:t xml:space="preserve">Sprint requests </w:t>
      </w:r>
      <w:r w:rsidR="0021307B">
        <w:t xml:space="preserve">that the Bureau adopt a </w:t>
      </w:r>
      <w:r w:rsidR="001C2F7F">
        <w:t>two</w:t>
      </w:r>
      <w:r w:rsidR="0021307B">
        <w:t>-tiered</w:t>
      </w:r>
      <w:r w:rsidR="001C2F7F">
        <w:t xml:space="preserve"> </w:t>
      </w:r>
      <w:r w:rsidR="00856353">
        <w:t>IP Relay rate</w:t>
      </w:r>
      <w:r w:rsidR="0021307B">
        <w:t xml:space="preserve"> increase</w:t>
      </w:r>
      <w:r w:rsidR="001C2F7F">
        <w:t>.</w:t>
      </w:r>
      <w:r w:rsidR="00665AD9">
        <w:rPr>
          <w:rStyle w:val="FootnoteReference"/>
        </w:rPr>
        <w:footnoteReference w:id="11"/>
      </w:r>
      <w:r w:rsidR="00856353">
        <w:t xml:space="preserve">  First, Sprint </w:t>
      </w:r>
      <w:r w:rsidR="00596A1B">
        <w:t>seeks</w:t>
      </w:r>
      <w:r w:rsidR="00856353">
        <w:t xml:space="preserve"> an adjusted </w:t>
      </w:r>
      <w:r w:rsidR="0095082C">
        <w:t>per</w:t>
      </w:r>
      <w:r w:rsidR="006A5429">
        <w:t>-</w:t>
      </w:r>
      <w:r w:rsidR="001C2F7F">
        <w:t xml:space="preserve">minute </w:t>
      </w:r>
      <w:r w:rsidR="00665AD9">
        <w:t xml:space="preserve">IP Relay compensation </w:t>
      </w:r>
      <w:r w:rsidR="001C2F7F">
        <w:t>rate</w:t>
      </w:r>
      <w:r w:rsidR="00934819">
        <w:t xml:space="preserve"> so that it can continue to serve its current customers</w:t>
      </w:r>
      <w:r w:rsidR="001C2F7F">
        <w:t>.</w:t>
      </w:r>
      <w:r w:rsidR="00665AD9">
        <w:rPr>
          <w:rStyle w:val="FootnoteReference"/>
        </w:rPr>
        <w:footnoteReference w:id="12"/>
      </w:r>
      <w:r w:rsidR="001C2F7F">
        <w:t xml:space="preserve">  Second, Sprint requests that the Commission </w:t>
      </w:r>
      <w:r w:rsidR="00856353">
        <w:t>establish</w:t>
      </w:r>
      <w:r w:rsidR="001C2F7F">
        <w:t xml:space="preserve"> </w:t>
      </w:r>
      <w:r w:rsidR="004B2BA3">
        <w:t xml:space="preserve">a </w:t>
      </w:r>
      <w:r w:rsidR="001C2F7F">
        <w:t xml:space="preserve">higher </w:t>
      </w:r>
      <w:r w:rsidR="00856353">
        <w:t xml:space="preserve">per-minute </w:t>
      </w:r>
      <w:r w:rsidR="001C2F7F">
        <w:t>rate</w:t>
      </w:r>
      <w:r w:rsidR="004B2BA3">
        <w:t xml:space="preserve"> applicable to minutes in excess of</w:t>
      </w:r>
      <w:r w:rsidR="001C2F7F">
        <w:t xml:space="preserve"> </w:t>
      </w:r>
      <w:r w:rsidR="004B2BA3">
        <w:t xml:space="preserve">Sprint’s </w:t>
      </w:r>
      <w:r w:rsidR="00243011">
        <w:t>pre-</w:t>
      </w:r>
      <w:r w:rsidR="00082F7C">
        <w:t>November 14, 2014</w:t>
      </w:r>
      <w:r w:rsidR="00243011">
        <w:t xml:space="preserve"> traffic volume</w:t>
      </w:r>
      <w:r w:rsidR="004B2BA3">
        <w:t xml:space="preserve"> to enable Sprint to recover the additional costs</w:t>
      </w:r>
      <w:r w:rsidR="001C2F7F">
        <w:t xml:space="preserve"> </w:t>
      </w:r>
      <w:r w:rsidR="004B2BA3">
        <w:t xml:space="preserve">incurred to serve new </w:t>
      </w:r>
      <w:r w:rsidR="001C2F7F">
        <w:t>customers</w:t>
      </w:r>
      <w:r w:rsidR="004B2BA3">
        <w:t xml:space="preserve"> migrating from Purple</w:t>
      </w:r>
      <w:r w:rsidR="001C2F7F">
        <w:t>.</w:t>
      </w:r>
      <w:r w:rsidR="00665AD9">
        <w:rPr>
          <w:rStyle w:val="FootnoteReference"/>
        </w:rPr>
        <w:footnoteReference w:id="13"/>
      </w:r>
      <w:r w:rsidR="00856353">
        <w:t xml:space="preserve">  </w:t>
      </w:r>
    </w:p>
    <w:p w:rsidR="004B2BA3" w:rsidRDefault="005826F3" w:rsidP="00A677E3">
      <w:pPr>
        <w:pStyle w:val="ParaNum"/>
      </w:pPr>
      <w:r w:rsidRPr="005826F3">
        <w:t xml:space="preserve">Sprint identifies a number of specific factors in </w:t>
      </w:r>
      <w:r w:rsidR="00082F7C">
        <w:t xml:space="preserve">its </w:t>
      </w:r>
      <w:r w:rsidRPr="005826F3">
        <w:t xml:space="preserve">justification </w:t>
      </w:r>
      <w:r w:rsidR="00082F7C">
        <w:t>for</w:t>
      </w:r>
      <w:r w:rsidRPr="005826F3">
        <w:t xml:space="preserve"> a rate increase.  First,</w:t>
      </w:r>
      <w:r>
        <w:t xml:space="preserve"> Sprint states that</w:t>
      </w:r>
      <w:r w:rsidRPr="005826F3">
        <w:t xml:space="preserve">, in its submission of costs last year, it </w:t>
      </w:r>
      <w:r w:rsidR="00303D0D">
        <w:t xml:space="preserve">made some errors that resulted in </w:t>
      </w:r>
      <w:r w:rsidRPr="005826F3">
        <w:t>underestimat</w:t>
      </w:r>
      <w:r w:rsidR="00303D0D">
        <w:t>ing</w:t>
      </w:r>
      <w:r w:rsidRPr="005826F3">
        <w:t xml:space="preserve"> the </w:t>
      </w:r>
      <w:r w:rsidR="00303D0D">
        <w:t>allocation</w:t>
      </w:r>
      <w:r w:rsidRPr="005826F3">
        <w:t xml:space="preserve"> of overhead </w:t>
      </w:r>
      <w:r w:rsidR="00303D0D">
        <w:t>to</w:t>
      </w:r>
      <w:r w:rsidRPr="005826F3">
        <w:t xml:space="preserve"> IP Relay services </w:t>
      </w:r>
      <w:r w:rsidR="00303D0D">
        <w:t xml:space="preserve">and </w:t>
      </w:r>
      <w:r w:rsidRPr="005826F3">
        <w:t>significantly underestimat</w:t>
      </w:r>
      <w:r w:rsidR="00303D0D">
        <w:t>ing</w:t>
      </w:r>
      <w:r w:rsidRPr="005826F3">
        <w:t xml:space="preserve"> </w:t>
      </w:r>
      <w:r w:rsidR="00303D0D">
        <w:t xml:space="preserve">its call center </w:t>
      </w:r>
      <w:r w:rsidRPr="005826F3">
        <w:t xml:space="preserve">costs </w:t>
      </w:r>
      <w:r w:rsidR="00303D0D">
        <w:t>attributable to IP Relay</w:t>
      </w:r>
      <w:r w:rsidRPr="005826F3">
        <w:t>.</w:t>
      </w:r>
      <w:r w:rsidR="00303D0D">
        <w:rPr>
          <w:rStyle w:val="FootnoteReference"/>
        </w:rPr>
        <w:footnoteReference w:id="14"/>
      </w:r>
      <w:r w:rsidRPr="005826F3">
        <w:t xml:space="preserve">  </w:t>
      </w:r>
      <w:r w:rsidR="00303D0D">
        <w:t>Second</w:t>
      </w:r>
      <w:r w:rsidRPr="005826F3">
        <w:t xml:space="preserve">, Sprint </w:t>
      </w:r>
      <w:r w:rsidR="00303D0D">
        <w:t>report</w:t>
      </w:r>
      <w:r w:rsidRPr="005826F3">
        <w:t xml:space="preserve">s </w:t>
      </w:r>
      <w:r w:rsidR="00303D0D">
        <w:t>that it has experienced higher than expected call volume, as well as per-minute costs,</w:t>
      </w:r>
      <w:r w:rsidRPr="005826F3">
        <w:t xml:space="preserve"> </w:t>
      </w:r>
      <w:r w:rsidR="00303D0D">
        <w:t>at a call center operated by a subcontractor</w:t>
      </w:r>
      <w:r w:rsidRPr="005826F3">
        <w:t>.</w:t>
      </w:r>
      <w:r w:rsidR="00303D0D">
        <w:rPr>
          <w:rStyle w:val="FootnoteReference"/>
        </w:rPr>
        <w:footnoteReference w:id="15"/>
      </w:r>
      <w:r w:rsidRPr="005826F3">
        <w:t xml:space="preserve"> </w:t>
      </w:r>
      <w:r w:rsidR="00303D0D">
        <w:t xml:space="preserve"> Third, as noted above,</w:t>
      </w:r>
      <w:r w:rsidR="002D5A8F">
        <w:t xml:space="preserve"> </w:t>
      </w:r>
      <w:r w:rsidR="009078D4">
        <w:t xml:space="preserve">Sprint </w:t>
      </w:r>
      <w:r w:rsidR="009048D5">
        <w:t>asserts that it ha</w:t>
      </w:r>
      <w:r w:rsidR="00082F7C">
        <w:t>d</w:t>
      </w:r>
      <w:r w:rsidR="009048D5">
        <w:t xml:space="preserve"> been </w:t>
      </w:r>
      <w:r w:rsidR="009078D4">
        <w:t xml:space="preserve">contemplating </w:t>
      </w:r>
      <w:r w:rsidR="009048D5">
        <w:t>the termination of its IP</w:t>
      </w:r>
      <w:r w:rsidR="009048D5" w:rsidRPr="00082F7C">
        <w:rPr>
          <w:i/>
        </w:rPr>
        <w:t xml:space="preserve"> </w:t>
      </w:r>
      <w:r w:rsidR="009048D5">
        <w:t>Relay</w:t>
      </w:r>
      <w:r w:rsidR="000621EC">
        <w:t xml:space="preserve"> </w:t>
      </w:r>
      <w:r w:rsidR="00030B10">
        <w:t xml:space="preserve">well before Purple announced its </w:t>
      </w:r>
      <w:r w:rsidR="00082F7C">
        <w:t xml:space="preserve">departure </w:t>
      </w:r>
      <w:r w:rsidR="00030B10">
        <w:t>plans</w:t>
      </w:r>
      <w:r w:rsidR="009078D4">
        <w:rPr>
          <w:rStyle w:val="FootnoteReference"/>
        </w:rPr>
        <w:footnoteReference w:id="16"/>
      </w:r>
      <w:r w:rsidR="009078D4">
        <w:t xml:space="preserve"> </w:t>
      </w:r>
      <w:r w:rsidR="000621EC">
        <w:t>a</w:t>
      </w:r>
      <w:r w:rsidR="009048D5">
        <w:t>nd</w:t>
      </w:r>
      <w:r w:rsidR="000621EC">
        <w:t>,</w:t>
      </w:r>
      <w:r w:rsidR="009048D5">
        <w:t xml:space="preserve"> in light of declining demand for its IP Relay service,</w:t>
      </w:r>
      <w:r w:rsidR="009078D4">
        <w:t xml:space="preserve"> </w:t>
      </w:r>
      <w:r w:rsidR="009048D5">
        <w:t>ha</w:t>
      </w:r>
      <w:r w:rsidR="00082F7C">
        <w:t>d</w:t>
      </w:r>
      <w:r w:rsidR="009048D5">
        <w:t xml:space="preserve"> </w:t>
      </w:r>
      <w:r w:rsidR="00500A23">
        <w:t xml:space="preserve">avoided making capital </w:t>
      </w:r>
      <w:r w:rsidR="00500A23">
        <w:lastRenderedPageBreak/>
        <w:t>investments in the service in recent years</w:t>
      </w:r>
      <w:r w:rsidR="009078D4">
        <w:t>.</w:t>
      </w:r>
      <w:r w:rsidR="009078D4">
        <w:rPr>
          <w:rStyle w:val="FootnoteReference"/>
        </w:rPr>
        <w:footnoteReference w:id="17"/>
      </w:r>
      <w:r w:rsidR="009078D4">
        <w:t xml:space="preserve">  </w:t>
      </w:r>
      <w:r w:rsidR="009048D5">
        <w:t>To</w:t>
      </w:r>
      <w:r w:rsidR="00B3164B">
        <w:t xml:space="preserve"> continue to provide IP Relay services </w:t>
      </w:r>
      <w:r w:rsidR="009048D5">
        <w:t>as the sole provider, Sprint states that it must incur new capital investments</w:t>
      </w:r>
      <w:r w:rsidR="00B3164B">
        <w:t>.</w:t>
      </w:r>
      <w:r w:rsidR="00B3164B">
        <w:rPr>
          <w:rStyle w:val="FootnoteReference"/>
        </w:rPr>
        <w:footnoteReference w:id="18"/>
      </w:r>
      <w:r w:rsidR="00082F7C">
        <w:t xml:space="preserve">  </w:t>
      </w:r>
      <w:r w:rsidR="009B0D3A">
        <w:t xml:space="preserve">Fourth, according </w:t>
      </w:r>
      <w:r w:rsidR="00760D72">
        <w:t>to Sprint, providing service to former Purple customers will unexpectedly increase its short-term costs.</w:t>
      </w:r>
      <w:r w:rsidR="00760D72">
        <w:rPr>
          <w:rStyle w:val="FootnoteReference"/>
        </w:rPr>
        <w:footnoteReference w:id="19"/>
      </w:r>
      <w:r w:rsidR="00760D72">
        <w:t xml:space="preserve">  Sprint</w:t>
      </w:r>
      <w:r w:rsidR="00082F7C">
        <w:t xml:space="preserve"> explains that this is because Sprint</w:t>
      </w:r>
      <w:r w:rsidR="00760D72">
        <w:t xml:space="preserve">’s subcontractor has informed Sprint that it will impose a higher rate going forward to accommodate the </w:t>
      </w:r>
      <w:r w:rsidR="0021307B">
        <w:t xml:space="preserve">expected </w:t>
      </w:r>
      <w:r w:rsidR="00760D72">
        <w:t>increase</w:t>
      </w:r>
      <w:r w:rsidR="0021307B">
        <w:t xml:space="preserve"> in traffic</w:t>
      </w:r>
      <w:r w:rsidR="00760D72">
        <w:t xml:space="preserve"> volume</w:t>
      </w:r>
      <w:r w:rsidR="00942D3F">
        <w:rPr>
          <w:rStyle w:val="FootnoteReference"/>
        </w:rPr>
        <w:footnoteReference w:id="20"/>
      </w:r>
      <w:r w:rsidR="00942D3F">
        <w:t xml:space="preserve"> </w:t>
      </w:r>
      <w:r w:rsidR="00922F12">
        <w:t>and because</w:t>
      </w:r>
      <w:r w:rsidR="00A171DD">
        <w:t xml:space="preserve"> </w:t>
      </w:r>
      <w:r w:rsidR="00942D3F">
        <w:t>Sprint</w:t>
      </w:r>
      <w:r w:rsidR="00082F7C">
        <w:t xml:space="preserve"> </w:t>
      </w:r>
      <w:r w:rsidR="00942D3F">
        <w:t>will be required to hire and train more communications assistants (CAs), hire more people to enroll and verify new consumers, and purchase additional workstations and equipment.</w:t>
      </w:r>
      <w:r w:rsidR="00942D3F">
        <w:rPr>
          <w:rStyle w:val="FootnoteReference"/>
        </w:rPr>
        <w:footnoteReference w:id="21"/>
      </w:r>
    </w:p>
    <w:p w:rsidR="004B2BA3" w:rsidRDefault="004B2BA3" w:rsidP="00082F7C">
      <w:pPr>
        <w:pStyle w:val="Heading1"/>
      </w:pPr>
      <w:r>
        <w:t>DISCUSSION</w:t>
      </w:r>
    </w:p>
    <w:p w:rsidR="00A33FB1" w:rsidRDefault="00E008EB" w:rsidP="00D03058">
      <w:pPr>
        <w:pStyle w:val="ParaNum"/>
      </w:pPr>
      <w:r>
        <w:t>Ordinarily, TRS Fund compensation rates and revenue requirements are established before the commencement of the July 1 – June 30 Fund Year and remain effective throughout the Fund Year.</w:t>
      </w:r>
      <w:r>
        <w:rPr>
          <w:rStyle w:val="FootnoteReference"/>
        </w:rPr>
        <w:footnoteReference w:id="22"/>
      </w:r>
      <w:r w:rsidR="00271186" w:rsidRPr="00271186">
        <w:t xml:space="preserve"> </w:t>
      </w:r>
      <w:r w:rsidR="00271186">
        <w:t xml:space="preserve">In the case of IP Relay, moreover, rates are </w:t>
      </w:r>
      <w:r w:rsidR="00271186" w:rsidRPr="00271186">
        <w:t>determined pursuant to a price cap methodology</w:t>
      </w:r>
      <w:r w:rsidR="00271186">
        <w:t xml:space="preserve">, which contemplates </w:t>
      </w:r>
      <w:r w:rsidR="00C457F5">
        <w:t>a three year rate cycle with predictable adjustment</w:t>
      </w:r>
      <w:r w:rsidR="00082F7C">
        <w:t>s</w:t>
      </w:r>
      <w:r w:rsidR="00C457F5">
        <w:t xml:space="preserve"> of the rate</w:t>
      </w:r>
      <w:r w:rsidR="00271186">
        <w:t xml:space="preserve"> </w:t>
      </w:r>
      <w:r w:rsidR="00C457F5">
        <w:t>in the second and third</w:t>
      </w:r>
      <w:r w:rsidR="00271186">
        <w:t xml:space="preserve"> year</w:t>
      </w:r>
      <w:r w:rsidR="00C457F5">
        <w:t>s</w:t>
      </w:r>
      <w:r w:rsidR="00936273">
        <w:t>,</w:t>
      </w:r>
      <w:r w:rsidR="00271186">
        <w:t xml:space="preserve"> in accordance with </w:t>
      </w:r>
      <w:r w:rsidR="00C457F5">
        <w:t>specific adjustment factors</w:t>
      </w:r>
      <w:r w:rsidR="00271186" w:rsidRPr="00271186">
        <w:t>.</w:t>
      </w:r>
      <w:r w:rsidR="00271186">
        <w:rPr>
          <w:rStyle w:val="FootnoteReference"/>
        </w:rPr>
        <w:footnoteReference w:id="23"/>
      </w:r>
      <w:r>
        <w:t xml:space="preserve">  On occasion, however, </w:t>
      </w:r>
      <w:r w:rsidR="002C2580">
        <w:t>situational changes</w:t>
      </w:r>
      <w:r w:rsidR="00936273">
        <w:t xml:space="preserve"> occurr</w:t>
      </w:r>
      <w:r w:rsidR="00C41B17">
        <w:t>ing</w:t>
      </w:r>
      <w:r w:rsidR="00936273">
        <w:t xml:space="preserve"> </w:t>
      </w:r>
      <w:r w:rsidR="009424CD">
        <w:t xml:space="preserve">during </w:t>
      </w:r>
      <w:r w:rsidR="00922F12">
        <w:t>a</w:t>
      </w:r>
      <w:r w:rsidR="00936273">
        <w:t xml:space="preserve"> Fund year</w:t>
      </w:r>
      <w:r w:rsidR="002C2580">
        <w:t xml:space="preserve">, such as fluctuations in relay demand, have </w:t>
      </w:r>
      <w:r w:rsidR="009424CD">
        <w:t xml:space="preserve">required the Bureau to make mid-term adjustments in </w:t>
      </w:r>
      <w:r>
        <w:t>TRS Fund compensation rate</w:t>
      </w:r>
      <w:r w:rsidR="00F33B1E">
        <w:t>s</w:t>
      </w:r>
      <w:r>
        <w:t xml:space="preserve"> or contribution factor</w:t>
      </w:r>
      <w:r w:rsidR="00F33B1E">
        <w:t>s</w:t>
      </w:r>
      <w:r>
        <w:t>.</w:t>
      </w:r>
      <w:r>
        <w:rPr>
          <w:rStyle w:val="FootnoteReference"/>
        </w:rPr>
        <w:footnoteReference w:id="24"/>
      </w:r>
      <w:r w:rsidR="00BA569E">
        <w:t xml:space="preserve">  In this instance, we </w:t>
      </w:r>
      <w:r w:rsidR="00752D87">
        <w:t>find</w:t>
      </w:r>
      <w:r w:rsidR="00B47852">
        <w:t xml:space="preserve"> that</w:t>
      </w:r>
      <w:r w:rsidR="00BA569E">
        <w:t xml:space="preserve"> </w:t>
      </w:r>
      <w:r w:rsidR="00B47852">
        <w:t xml:space="preserve">exigent circumstances </w:t>
      </w:r>
      <w:r w:rsidR="002C2580">
        <w:t xml:space="preserve">exist to </w:t>
      </w:r>
      <w:r w:rsidR="00BA569E">
        <w:t xml:space="preserve">justify </w:t>
      </w:r>
      <w:r w:rsidR="00B47852">
        <w:t xml:space="preserve">a </w:t>
      </w:r>
      <w:r w:rsidR="00271186">
        <w:t xml:space="preserve">mid-cycle </w:t>
      </w:r>
      <w:r w:rsidR="00B47852">
        <w:t>rate adjustment</w:t>
      </w:r>
      <w:r w:rsidR="002C2580">
        <w:t>.  We make this adjustment</w:t>
      </w:r>
      <w:r w:rsidR="00752D87">
        <w:t xml:space="preserve"> </w:t>
      </w:r>
      <w:r w:rsidR="00BA569E">
        <w:t xml:space="preserve">in order to </w:t>
      </w:r>
      <w:r w:rsidR="00B47852">
        <w:t xml:space="preserve">serve the public interest </w:t>
      </w:r>
      <w:r w:rsidR="00BA569E">
        <w:t>and ensure that</w:t>
      </w:r>
      <w:r w:rsidR="00B47852">
        <w:t xml:space="preserve"> the objective of section 225 of the </w:t>
      </w:r>
      <w:r w:rsidR="00BA569E" w:rsidRPr="00BA569E">
        <w:t>Communications Act of 1934, as amended</w:t>
      </w:r>
      <w:r w:rsidR="002C2580">
        <w:t>, requir</w:t>
      </w:r>
      <w:r w:rsidR="009424CD">
        <w:t>ing</w:t>
      </w:r>
      <w:r w:rsidR="002C2580">
        <w:t xml:space="preserve"> the availability of functionally equivalent tele</w:t>
      </w:r>
      <w:r w:rsidR="00AF7BE1">
        <w:t>phone</w:t>
      </w:r>
      <w:r w:rsidR="002C2580">
        <w:t xml:space="preserve"> access to people with hearing or speech disabilities</w:t>
      </w:r>
      <w:r w:rsidR="009424CD">
        <w:t>,</w:t>
      </w:r>
      <w:r w:rsidR="00BA569E">
        <w:t xml:space="preserve"> </w:t>
      </w:r>
      <w:r w:rsidR="009424CD">
        <w:t>is</w:t>
      </w:r>
      <w:r w:rsidR="00BA569E">
        <w:t xml:space="preserve"> </w:t>
      </w:r>
      <w:r w:rsidR="002C2580">
        <w:t>fulfilled</w:t>
      </w:r>
      <w:r w:rsidR="00BA569E" w:rsidRPr="00BA569E">
        <w:t xml:space="preserve">.   </w:t>
      </w:r>
    </w:p>
    <w:p w:rsidR="009C39EB" w:rsidRDefault="00A33FB1" w:rsidP="00D03058">
      <w:pPr>
        <w:pStyle w:val="ParaNum"/>
      </w:pPr>
      <w:r>
        <w:t xml:space="preserve">As noted above, four of five IP Relay providers have terminated their provision of service </w:t>
      </w:r>
      <w:r w:rsidR="009424CD">
        <w:t>over</w:t>
      </w:r>
      <w:r>
        <w:t xml:space="preserve"> the </w:t>
      </w:r>
      <w:r w:rsidR="009424CD">
        <w:t>p</w:t>
      </w:r>
      <w:r>
        <w:t xml:space="preserve">ast two years.  </w:t>
      </w:r>
      <w:r w:rsidR="009424CD">
        <w:t>Given th</w:t>
      </w:r>
      <w:r w:rsidR="004C5DAD">
        <w:t xml:space="preserve">is trend, </w:t>
      </w:r>
      <w:r>
        <w:t xml:space="preserve">we have no reason to doubt Sprint’s representation </w:t>
      </w:r>
      <w:r w:rsidR="004C5DAD">
        <w:t>that it, too, had been preparing to terminate its IP Relay service</w:t>
      </w:r>
      <w:r w:rsidR="00112DDC">
        <w:t xml:space="preserve"> prior to Purple’s departure</w:t>
      </w:r>
      <w:r w:rsidR="004C5DAD">
        <w:t xml:space="preserve">.  </w:t>
      </w:r>
      <w:r>
        <w:t xml:space="preserve">We also </w:t>
      </w:r>
      <w:r w:rsidR="00EA6D69">
        <w:t>a</w:t>
      </w:r>
      <w:r w:rsidR="00C95FAE">
        <w:t xml:space="preserve">cknowledge Sprint’s concerns as </w:t>
      </w:r>
      <w:r w:rsidR="005F7E68">
        <w:t xml:space="preserve">to </w:t>
      </w:r>
      <w:r w:rsidR="00EA6D69">
        <w:t xml:space="preserve">whether </w:t>
      </w:r>
      <w:r w:rsidR="009C39EB" w:rsidRPr="009C39EB">
        <w:t xml:space="preserve">the current </w:t>
      </w:r>
      <w:r w:rsidR="009C39EB">
        <w:t xml:space="preserve">IP Relay </w:t>
      </w:r>
      <w:r w:rsidR="009C39EB" w:rsidRPr="009C39EB">
        <w:t xml:space="preserve">compensation rate </w:t>
      </w:r>
      <w:r w:rsidR="00112DDC">
        <w:t xml:space="preserve">will </w:t>
      </w:r>
      <w:r w:rsidR="00F63739">
        <w:t xml:space="preserve">provide sufficient revenue for </w:t>
      </w:r>
      <w:r w:rsidR="00EA6D69">
        <w:t xml:space="preserve">it </w:t>
      </w:r>
      <w:r w:rsidR="00F63739">
        <w:t xml:space="preserve">to continue to provide </w:t>
      </w:r>
      <w:r w:rsidR="00EA6D69">
        <w:t xml:space="preserve">IP Relay </w:t>
      </w:r>
      <w:r w:rsidR="00F63739">
        <w:t>service</w:t>
      </w:r>
      <w:r w:rsidR="00C95FAE">
        <w:t xml:space="preserve">, </w:t>
      </w:r>
      <w:r w:rsidR="001A2270">
        <w:t xml:space="preserve">especially </w:t>
      </w:r>
      <w:r w:rsidR="00C95FAE">
        <w:t>given that Sprint will be the sole remaining provider and must take steps to prepare for and handle an</w:t>
      </w:r>
      <w:r w:rsidR="005763A1">
        <w:t xml:space="preserve"> </w:t>
      </w:r>
      <w:r w:rsidR="00C95FAE">
        <w:t xml:space="preserve">unknown volume of minutes </w:t>
      </w:r>
      <w:r w:rsidR="009C39EB" w:rsidRPr="009C39EB">
        <w:t>result</w:t>
      </w:r>
      <w:r w:rsidR="00C95FAE">
        <w:t xml:space="preserve">ing from </w:t>
      </w:r>
      <w:r w:rsidR="009C39EB" w:rsidRPr="009C39EB">
        <w:t>Purple’s exit</w:t>
      </w:r>
      <w:r w:rsidR="00112DDC">
        <w:t xml:space="preserve">.  In this context, we further have no reason to doubt Sprint’s assertions </w:t>
      </w:r>
      <w:r w:rsidR="009C39EB">
        <w:t xml:space="preserve">that </w:t>
      </w:r>
      <w:r w:rsidR="00112DDC">
        <w:t xml:space="preserve">without a significant mid-year rate increase, </w:t>
      </w:r>
      <w:r w:rsidR="009C39EB">
        <w:t xml:space="preserve">it </w:t>
      </w:r>
      <w:r w:rsidR="00112DDC">
        <w:t xml:space="preserve">will </w:t>
      </w:r>
      <w:r w:rsidR="009C39EB">
        <w:t>not continue to provide IP Relay service</w:t>
      </w:r>
      <w:r w:rsidR="009C39EB" w:rsidRPr="009C39EB">
        <w:t>.</w:t>
      </w:r>
      <w:r>
        <w:t xml:space="preserve"> </w:t>
      </w:r>
      <w:r w:rsidR="009C39EB">
        <w:t xml:space="preserve"> </w:t>
      </w:r>
    </w:p>
    <w:p w:rsidR="00752D87" w:rsidRDefault="005D707D" w:rsidP="00D03058">
      <w:pPr>
        <w:pStyle w:val="ParaNum"/>
      </w:pPr>
      <w:r>
        <w:t xml:space="preserve">   </w:t>
      </w:r>
      <w:r w:rsidR="00AF7BE1">
        <w:t>If permitted to occur, t</w:t>
      </w:r>
      <w:r>
        <w:t xml:space="preserve">he consequences of </w:t>
      </w:r>
      <w:r w:rsidR="0045635D">
        <w:t>Sprint</w:t>
      </w:r>
      <w:r>
        <w:t>’s</w:t>
      </w:r>
      <w:r w:rsidR="0045635D">
        <w:t xml:space="preserve"> terminat</w:t>
      </w:r>
      <w:r>
        <w:t xml:space="preserve">ion </w:t>
      </w:r>
      <w:r w:rsidR="0045635D">
        <w:t>of IP Relay service</w:t>
      </w:r>
      <w:r w:rsidR="00194A85">
        <w:t xml:space="preserve"> would be severe for </w:t>
      </w:r>
      <w:r w:rsidR="008A7481">
        <w:t>consumers who are deaf, deaf</w:t>
      </w:r>
      <w:r w:rsidR="00AF1161">
        <w:t>-</w:t>
      </w:r>
      <w:r w:rsidR="008A7481">
        <w:t>blind</w:t>
      </w:r>
      <w:r w:rsidR="00AF1161">
        <w:t>,</w:t>
      </w:r>
      <w:r w:rsidR="008A7481">
        <w:t xml:space="preserve"> hard-of-hearing</w:t>
      </w:r>
      <w:r w:rsidR="0094328A">
        <w:t>,</w:t>
      </w:r>
      <w:r w:rsidR="00EA6D69" w:rsidRPr="00EA6D69">
        <w:t xml:space="preserve"> </w:t>
      </w:r>
      <w:r w:rsidR="00EA6D69">
        <w:t>or have speech disabilities</w:t>
      </w:r>
      <w:r w:rsidR="00194A85">
        <w:t xml:space="preserve">.  </w:t>
      </w:r>
      <w:r w:rsidR="00B47852">
        <w:t>According to numerous filings by individuals and consumer groups</w:t>
      </w:r>
      <w:r w:rsidR="00194A85">
        <w:t xml:space="preserve"> following Purple’s announcement of its intent to exit the IP Relay</w:t>
      </w:r>
      <w:r w:rsidR="005653A6">
        <w:t xml:space="preserve"> market</w:t>
      </w:r>
      <w:r w:rsidR="00B47852">
        <w:t xml:space="preserve">, certain categories of consumers currently </w:t>
      </w:r>
      <w:r w:rsidR="00B47852" w:rsidRPr="00D44A8B">
        <w:t>rely upon IP Relay service</w:t>
      </w:r>
      <w:r w:rsidR="00B47852">
        <w:t xml:space="preserve"> as their </w:t>
      </w:r>
      <w:r w:rsidR="005653A6">
        <w:t xml:space="preserve">sole or </w:t>
      </w:r>
      <w:r w:rsidR="00B47852">
        <w:t>primary means of communicating by telephone,</w:t>
      </w:r>
      <w:r w:rsidR="00B47852" w:rsidRPr="00D44A8B">
        <w:rPr>
          <w:vertAlign w:val="superscript"/>
        </w:rPr>
        <w:footnoteReference w:id="25"/>
      </w:r>
      <w:r w:rsidR="00B47852">
        <w:t xml:space="preserve"> including</w:t>
      </w:r>
      <w:r w:rsidR="00B47852" w:rsidRPr="00D44A8B">
        <w:t xml:space="preserve"> </w:t>
      </w:r>
      <w:r w:rsidR="00B47852">
        <w:t>consumers who are deaf-blind</w:t>
      </w:r>
      <w:r w:rsidR="00B47852">
        <w:rPr>
          <w:rStyle w:val="FootnoteReference"/>
        </w:rPr>
        <w:footnoteReference w:id="26"/>
      </w:r>
      <w:r w:rsidR="00B47852">
        <w:t xml:space="preserve"> </w:t>
      </w:r>
      <w:r w:rsidR="0045635D">
        <w:t>or have</w:t>
      </w:r>
      <w:r w:rsidR="00B47852">
        <w:t xml:space="preserve"> speech disabilities,</w:t>
      </w:r>
      <w:r w:rsidR="00B47852">
        <w:rPr>
          <w:rStyle w:val="FootnoteReference"/>
        </w:rPr>
        <w:footnoteReference w:id="27"/>
      </w:r>
      <w:r w:rsidR="00B47852">
        <w:t xml:space="preserve"> </w:t>
      </w:r>
      <w:r w:rsidR="0045635D">
        <w:t>as well as deaf or severely hard</w:t>
      </w:r>
      <w:r w:rsidR="00661AAE">
        <w:t>-</w:t>
      </w:r>
      <w:r w:rsidR="0045635D">
        <w:t>of</w:t>
      </w:r>
      <w:r w:rsidR="00661AAE">
        <w:t>-</w:t>
      </w:r>
      <w:r w:rsidR="0045635D">
        <w:t xml:space="preserve">hearing </w:t>
      </w:r>
      <w:r w:rsidR="00B47852">
        <w:t>consumers who do not know or are not comfortable with the use of American Sign Language (ASL).</w:t>
      </w:r>
      <w:r w:rsidR="00B47852">
        <w:rPr>
          <w:rStyle w:val="FootnoteReference"/>
        </w:rPr>
        <w:footnoteReference w:id="28"/>
      </w:r>
      <w:r w:rsidR="005653A6">
        <w:t xml:space="preserve">  W</w:t>
      </w:r>
      <w:r w:rsidR="00194A85">
        <w:t xml:space="preserve">ithout IP Relay services, </w:t>
      </w:r>
      <w:r w:rsidR="005653A6">
        <w:t xml:space="preserve">these </w:t>
      </w:r>
      <w:r w:rsidR="0045635D">
        <w:t>consumers</w:t>
      </w:r>
      <w:r w:rsidR="0045635D" w:rsidRPr="0045635D">
        <w:t xml:space="preserve"> </w:t>
      </w:r>
      <w:r w:rsidR="00194A85">
        <w:t xml:space="preserve">would </w:t>
      </w:r>
      <w:r w:rsidR="0045635D" w:rsidRPr="0045635D">
        <w:t xml:space="preserve">lose access to the functional equivalent of </w:t>
      </w:r>
      <w:r w:rsidR="007612D8">
        <w:t xml:space="preserve">voice </w:t>
      </w:r>
      <w:r w:rsidR="0045635D" w:rsidRPr="0045635D">
        <w:t>telephone service</w:t>
      </w:r>
      <w:r w:rsidR="0045635D">
        <w:t xml:space="preserve">. </w:t>
      </w:r>
      <w:r w:rsidR="0045635D" w:rsidRPr="0045635D">
        <w:t xml:space="preserve"> </w:t>
      </w:r>
      <w:r w:rsidR="00B47852">
        <w:t>In the</w:t>
      </w:r>
      <w:r w:rsidR="005653A6">
        <w:t>se</w:t>
      </w:r>
      <w:r w:rsidR="00B47852">
        <w:t xml:space="preserve"> present </w:t>
      </w:r>
      <w:r w:rsidR="00194A85">
        <w:t xml:space="preserve">and unusual </w:t>
      </w:r>
      <w:r w:rsidR="00B47852">
        <w:t xml:space="preserve">circumstances, </w:t>
      </w:r>
      <w:r w:rsidR="007612D8">
        <w:t xml:space="preserve">therefore, we find that </w:t>
      </w:r>
      <w:r w:rsidR="00B47852">
        <w:t xml:space="preserve">a limited, short-term </w:t>
      </w:r>
      <w:r w:rsidR="007612D8">
        <w:t xml:space="preserve">modification </w:t>
      </w:r>
      <w:r w:rsidR="00B47852">
        <w:t xml:space="preserve">of the IP Relay </w:t>
      </w:r>
      <w:r w:rsidR="007612D8">
        <w:t>compensation</w:t>
      </w:r>
      <w:r w:rsidR="00B47852">
        <w:t xml:space="preserve"> rate </w:t>
      </w:r>
      <w:r w:rsidR="005653A6">
        <w:t xml:space="preserve">is necessary </w:t>
      </w:r>
      <w:r w:rsidR="00922F12">
        <w:t xml:space="preserve">to </w:t>
      </w:r>
      <w:r w:rsidR="005653A6">
        <w:t xml:space="preserve">achieve the overall policy of section 225 – </w:t>
      </w:r>
      <w:r w:rsidR="00AF7BE1">
        <w:t xml:space="preserve">that is, </w:t>
      </w:r>
      <w:r w:rsidR="005653A6">
        <w:t xml:space="preserve">to ensure the </w:t>
      </w:r>
      <w:r w:rsidR="007612D8">
        <w:t>continue</w:t>
      </w:r>
      <w:r w:rsidR="005653A6">
        <w:t xml:space="preserve">d availability of IP Relay </w:t>
      </w:r>
      <w:r w:rsidR="00B47852">
        <w:t xml:space="preserve">service to consumers with a legitimate need for </w:t>
      </w:r>
      <w:r w:rsidR="005653A6">
        <w:t>this form of TRS</w:t>
      </w:r>
      <w:r w:rsidR="00B47852">
        <w:t xml:space="preserve">.  </w:t>
      </w:r>
    </w:p>
    <w:p w:rsidR="00E84249" w:rsidRDefault="007C5C98" w:rsidP="00D03058">
      <w:pPr>
        <w:pStyle w:val="ParaNum"/>
      </w:pPr>
      <w:r>
        <w:t xml:space="preserve">To the extent that a waiver of the Commission’s </w:t>
      </w:r>
      <w:r w:rsidR="00CC055E">
        <w:t>requirements</w:t>
      </w:r>
      <w:r>
        <w:t xml:space="preserve"> regarding </w:t>
      </w:r>
      <w:r w:rsidR="005653A6">
        <w:t xml:space="preserve">the </w:t>
      </w:r>
      <w:r>
        <w:t>annual establishment of TRS compensation rates</w:t>
      </w:r>
      <w:r w:rsidR="00271186">
        <w:t xml:space="preserve"> and the price cap methodology for setting IP Relay rates</w:t>
      </w:r>
      <w:r>
        <w:t xml:space="preserve"> is necessary to take this action,</w:t>
      </w:r>
      <w:r>
        <w:rPr>
          <w:rStyle w:val="FootnoteReference"/>
        </w:rPr>
        <w:footnoteReference w:id="29"/>
      </w:r>
      <w:r>
        <w:t xml:space="preserve"> we note that the </w:t>
      </w:r>
      <w:r w:rsidRPr="007C5C98">
        <w:t>Commission’s rules may be waived for good cause shown.</w:t>
      </w:r>
      <w:r w:rsidRPr="007C5C98">
        <w:rPr>
          <w:vertAlign w:val="superscript"/>
        </w:rPr>
        <w:footnoteReference w:id="30"/>
      </w:r>
      <w:r w:rsidRPr="007C5C98">
        <w:t xml:space="preserve">  The Commission may exercise its discretion to waive a rule where the particular facts make strict compliance inconsistent with the public interest.</w:t>
      </w:r>
      <w:r w:rsidRPr="007C5C98">
        <w:rPr>
          <w:vertAlign w:val="superscript"/>
        </w:rPr>
        <w:footnoteReference w:id="31"/>
      </w:r>
      <w:r w:rsidRPr="007C5C98">
        <w:t xml:space="preserve">  In addition, the Commission may take into account considerations of hardship, equity, or more effective implementation of overall policy.</w:t>
      </w:r>
      <w:r w:rsidRPr="007C5C98">
        <w:rPr>
          <w:vertAlign w:val="superscript"/>
        </w:rPr>
        <w:footnoteReference w:id="32"/>
      </w:r>
      <w:r w:rsidRPr="007C5C98">
        <w:t xml:space="preserve">  Waiver of the Commission’s rules is therefore appropriate only if special circumstances warrant a deviation from the general rule and if such a deviation will serve the public interest.</w:t>
      </w:r>
      <w:r w:rsidRPr="007C5C98">
        <w:rPr>
          <w:vertAlign w:val="superscript"/>
        </w:rPr>
        <w:footnoteReference w:id="33"/>
      </w:r>
      <w:r w:rsidRPr="007C5C98">
        <w:t xml:space="preserve">  </w:t>
      </w:r>
    </w:p>
    <w:p w:rsidR="007C5C98" w:rsidRDefault="00E84249" w:rsidP="00D03058">
      <w:pPr>
        <w:pStyle w:val="ParaNum"/>
      </w:pPr>
      <w:r>
        <w:t xml:space="preserve">Applying the above standards to </w:t>
      </w:r>
      <w:r w:rsidR="007C5C98">
        <w:t>th</w:t>
      </w:r>
      <w:r>
        <w:t>is</w:t>
      </w:r>
      <w:r w:rsidR="007C5C98">
        <w:t xml:space="preserve"> unusual </w:t>
      </w:r>
      <w:r>
        <w:t>situation</w:t>
      </w:r>
      <w:r w:rsidR="007C5C98">
        <w:t xml:space="preserve">, we find that the departure of four of five IP Relay providers and the planned departure of the fifth constitutes “special circumstances” justifying </w:t>
      </w:r>
      <w:r>
        <w:t>a mid-year</w:t>
      </w:r>
      <w:r w:rsidR="00FD4EE2">
        <w:t>,</w:t>
      </w:r>
      <w:r w:rsidR="00271186">
        <w:t xml:space="preserve"> mid-cycle</w:t>
      </w:r>
      <w:r>
        <w:t xml:space="preserve"> modification of the IP Relay compensation rate.  Strict observance of the annual compensation rate process, in the current circumstances, would be inconsistent with the public interest because it would likely result in depriving eligible consumers of the functionally equivalent service mandated by section 225</w:t>
      </w:r>
      <w:r w:rsidR="00FE66F7">
        <w:t xml:space="preserve"> if Sprint were to exit the IP Relay market</w:t>
      </w:r>
      <w:r>
        <w:t xml:space="preserve">.  </w:t>
      </w:r>
      <w:r w:rsidR="005653A6">
        <w:t>Conversely</w:t>
      </w:r>
      <w:r>
        <w:t xml:space="preserve">, </w:t>
      </w:r>
      <w:r w:rsidR="005653A6">
        <w:t xml:space="preserve">we conclude that </w:t>
      </w:r>
      <w:r>
        <w:t>a mid-year</w:t>
      </w:r>
      <w:r w:rsidR="005D7335">
        <w:t>, mid-cycle</w:t>
      </w:r>
      <w:r>
        <w:t xml:space="preserve"> adjustment of the IP Relay compensation rate </w:t>
      </w:r>
      <w:r w:rsidR="005653A6">
        <w:t xml:space="preserve">is necessary to achieve the </w:t>
      </w:r>
      <w:r>
        <w:t>effective implementation of the overall policy of section 225.</w:t>
      </w:r>
      <w:r w:rsidR="00217BC9" w:rsidRPr="00217BC9">
        <w:rPr>
          <w:vertAlign w:val="superscript"/>
        </w:rPr>
        <w:footnoteReference w:id="34"/>
      </w:r>
      <w:r>
        <w:t xml:space="preserve">      </w:t>
      </w:r>
    </w:p>
    <w:p w:rsidR="00D03058" w:rsidRDefault="00E84249" w:rsidP="00D03058">
      <w:pPr>
        <w:pStyle w:val="ParaNum"/>
      </w:pPr>
      <w:r>
        <w:t>Therefore</w:t>
      </w:r>
      <w:r w:rsidR="00752D87">
        <w:t>, w</w:t>
      </w:r>
      <w:r w:rsidR="00B47852">
        <w:t xml:space="preserve">e </w:t>
      </w:r>
      <w:r>
        <w:t>adopt</w:t>
      </w:r>
      <w:r w:rsidR="00752D87">
        <w:t xml:space="preserve"> an </w:t>
      </w:r>
      <w:r w:rsidR="00340C6C">
        <w:t xml:space="preserve">interim </w:t>
      </w:r>
      <w:r w:rsidR="00B47852">
        <w:t xml:space="preserve">increase </w:t>
      </w:r>
      <w:r>
        <w:t xml:space="preserve">in </w:t>
      </w:r>
      <w:r w:rsidR="00A96880">
        <w:t xml:space="preserve">the per-minute </w:t>
      </w:r>
      <w:r>
        <w:t xml:space="preserve">IP Relay compensation </w:t>
      </w:r>
      <w:r w:rsidR="00A96880">
        <w:t xml:space="preserve">rate </w:t>
      </w:r>
      <w:r w:rsidR="00752D87">
        <w:t xml:space="preserve">to </w:t>
      </w:r>
      <w:r>
        <w:t xml:space="preserve">ensure that Sprint is </w:t>
      </w:r>
      <w:r w:rsidR="00CD3F52">
        <w:t xml:space="preserve">willing and </w:t>
      </w:r>
      <w:r>
        <w:t>able</w:t>
      </w:r>
      <w:r w:rsidR="00752D87">
        <w:t xml:space="preserve"> to </w:t>
      </w:r>
      <w:r>
        <w:t xml:space="preserve">continue providing </w:t>
      </w:r>
      <w:r w:rsidR="00752D87">
        <w:t>serv</w:t>
      </w:r>
      <w:r>
        <w:t>ic</w:t>
      </w:r>
      <w:r w:rsidR="00752D87">
        <w:t xml:space="preserve">e </w:t>
      </w:r>
      <w:r w:rsidR="00661AAE">
        <w:t>through the end of the current Fund Year</w:t>
      </w:r>
      <w:r w:rsidR="00752D87">
        <w:t>.</w:t>
      </w:r>
      <w:r w:rsidR="00A96880">
        <w:t xml:space="preserve">  We also grant Sprint’s second request </w:t>
      </w:r>
      <w:r w:rsidR="00340C6C">
        <w:t xml:space="preserve">to set a higher interim rate applicable to all monthly minutes in excess of Sprint’s current traffic levels, to </w:t>
      </w:r>
      <w:r w:rsidR="00FE66F7">
        <w:t xml:space="preserve">provide </w:t>
      </w:r>
      <w:r w:rsidR="00340C6C">
        <w:t>Sprint</w:t>
      </w:r>
      <w:r w:rsidR="00FE66F7">
        <w:t xml:space="preserve"> with sufficient </w:t>
      </w:r>
      <w:r w:rsidR="00EA6D69">
        <w:t>incentive</w:t>
      </w:r>
      <w:r w:rsidR="00FE66F7">
        <w:t xml:space="preserve"> to </w:t>
      </w:r>
      <w:r w:rsidR="00340C6C">
        <w:t>extend service to a</w:t>
      </w:r>
      <w:r w:rsidR="00AF7BE1">
        <w:t>n</w:t>
      </w:r>
      <w:r w:rsidR="00340C6C">
        <w:t xml:space="preserve"> influx of additional</w:t>
      </w:r>
      <w:r w:rsidR="00752D87">
        <w:t xml:space="preserve"> customers</w:t>
      </w:r>
      <w:r w:rsidR="00340C6C">
        <w:t xml:space="preserve"> </w:t>
      </w:r>
      <w:r w:rsidR="00EA6D69">
        <w:t xml:space="preserve">on short notice, an influx </w:t>
      </w:r>
      <w:r w:rsidR="00340C6C">
        <w:t>for which it was not prepared</w:t>
      </w:r>
      <w:r w:rsidR="00752D87">
        <w:t>.</w:t>
      </w:r>
      <w:r w:rsidR="00AF7BE1">
        <w:t xml:space="preserve">  </w:t>
      </w:r>
    </w:p>
    <w:p w:rsidR="00C1214D" w:rsidRDefault="00BB114C" w:rsidP="00752D87">
      <w:pPr>
        <w:pStyle w:val="ParaNum"/>
      </w:pPr>
      <w:r>
        <w:t xml:space="preserve">For purposes of setting an interim rate, </w:t>
      </w:r>
      <w:r w:rsidR="00471EE8">
        <w:t xml:space="preserve">the special circumstances before us will not afford us sufficient </w:t>
      </w:r>
      <w:r w:rsidR="004204FF">
        <w:t>time to</w:t>
      </w:r>
      <w:r>
        <w:t xml:space="preserve"> pinpoint the exact amount of Sprint’s current costs</w:t>
      </w:r>
      <w:r w:rsidR="00922F12">
        <w:t xml:space="preserve">, which </w:t>
      </w:r>
      <w:r w:rsidR="002134BA">
        <w:t xml:space="preserve">is partly dependent </w:t>
      </w:r>
      <w:r w:rsidR="00922F12">
        <w:t>on future events</w:t>
      </w:r>
      <w:r w:rsidR="003138C8">
        <w:t xml:space="preserve"> – </w:t>
      </w:r>
      <w:r w:rsidR="002134BA">
        <w:t>such as how many IP Relay users ultimately migrate to Sprint and the cost of enrolling and serving such users</w:t>
      </w:r>
      <w:r w:rsidR="00471EE8">
        <w:t>.</w:t>
      </w:r>
      <w:r w:rsidR="00AF7BE1">
        <w:t xml:space="preserve">  </w:t>
      </w:r>
      <w:r w:rsidR="00471EE8">
        <w:t>Moreover, t</w:t>
      </w:r>
      <w:r>
        <w:t>here</w:t>
      </w:r>
      <w:r w:rsidR="002A65B7">
        <w:t xml:space="preserve"> is no single “right answer” to determining an appropriate interim rate</w:t>
      </w:r>
      <w:r w:rsidR="00471EE8">
        <w:t>;</w:t>
      </w:r>
      <w:r w:rsidR="002A65B7">
        <w:t xml:space="preserve"> </w:t>
      </w:r>
      <w:r w:rsidR="00471EE8">
        <w:t xml:space="preserve">the </w:t>
      </w:r>
      <w:r w:rsidR="00C409C1">
        <w:t>10th</w:t>
      </w:r>
      <w:r w:rsidR="002134BA">
        <w:t xml:space="preserve"> Circuit</w:t>
      </w:r>
      <w:r w:rsidR="00331C27">
        <w:t xml:space="preserve"> has</w:t>
      </w:r>
      <w:r w:rsidR="00471EE8">
        <w:t xml:space="preserve"> explained </w:t>
      </w:r>
      <w:r w:rsidR="00331C27">
        <w:t>that</w:t>
      </w:r>
      <w:r w:rsidR="00471EE8" w:rsidRPr="00340C6C">
        <w:t xml:space="preserve"> </w:t>
      </w:r>
      <w:r w:rsidR="00AF7BE1">
        <w:t>“</w:t>
      </w:r>
      <w:r w:rsidR="00471EE8" w:rsidRPr="00340C6C">
        <w:t>agency ratemaking is far from an exact science and involves policy determinations in which the agency is</w:t>
      </w:r>
      <w:r w:rsidR="00471EE8">
        <w:t xml:space="preserve"> </w:t>
      </w:r>
      <w:r w:rsidR="00471EE8" w:rsidRPr="00340C6C">
        <w:t>acknowledged to have expertise</w:t>
      </w:r>
      <w:r w:rsidR="00471EE8">
        <w:t>.</w:t>
      </w:r>
      <w:r w:rsidR="00AF7BE1">
        <w:t>”</w:t>
      </w:r>
      <w:r w:rsidR="00471EE8">
        <w:rPr>
          <w:rStyle w:val="FootnoteReference"/>
        </w:rPr>
        <w:footnoteReference w:id="35"/>
      </w:r>
      <w:r w:rsidR="00471EE8">
        <w:t xml:space="preserve">  </w:t>
      </w:r>
      <w:r w:rsidR="00331C27">
        <w:t>I</w:t>
      </w:r>
      <w:r>
        <w:t>ndeed,</w:t>
      </w:r>
      <w:r w:rsidR="002A65B7">
        <w:t xml:space="preserve"> on a number of occasions the Commission has consciously set TRS compensation rates</w:t>
      </w:r>
      <w:r>
        <w:t xml:space="preserve"> </w:t>
      </w:r>
      <w:r w:rsidR="002A65B7">
        <w:t xml:space="preserve">in excess of cost-based </w:t>
      </w:r>
      <w:r>
        <w:t>levels</w:t>
      </w:r>
      <w:r w:rsidR="002A65B7">
        <w:t xml:space="preserve"> in order to take account of other compelling considerations.</w:t>
      </w:r>
      <w:r w:rsidR="002A65B7">
        <w:rPr>
          <w:rStyle w:val="FootnoteReference"/>
        </w:rPr>
        <w:footnoteReference w:id="36"/>
      </w:r>
      <w:r w:rsidR="002A65B7">
        <w:t xml:space="preserve">  </w:t>
      </w:r>
    </w:p>
    <w:p w:rsidR="00752D87" w:rsidRDefault="00081EE7" w:rsidP="00752D87">
      <w:pPr>
        <w:pStyle w:val="ParaNum"/>
      </w:pPr>
      <w:r>
        <w:t>Given the present exigent circumstances</w:t>
      </w:r>
      <w:r w:rsidR="00C54CE5">
        <w:t xml:space="preserve">, where Sprint </w:t>
      </w:r>
      <w:r w:rsidR="00EA6D69">
        <w:t>is likely to</w:t>
      </w:r>
      <w:r w:rsidR="00C54CE5">
        <w:t xml:space="preserve"> cease to provide IP Relay without a rate adjustment</w:t>
      </w:r>
      <w:r>
        <w:t xml:space="preserve">, we find that </w:t>
      </w:r>
      <w:r w:rsidR="00C54CE5">
        <w:t xml:space="preserve">it would be contrary to the public interest for consumers to be left without any IP Relay service, and thus find it necessary to adopt </w:t>
      </w:r>
      <w:r w:rsidR="00EA6D69">
        <w:t>this mid-year</w:t>
      </w:r>
      <w:r w:rsidR="00C54CE5">
        <w:t xml:space="preserve"> rate adjustment.  </w:t>
      </w:r>
      <w:r w:rsidR="00BB114C">
        <w:t xml:space="preserve">Sprint has </w:t>
      </w:r>
      <w:r w:rsidR="00C54CE5">
        <w:t>argued</w:t>
      </w:r>
      <w:r w:rsidR="00BB114C">
        <w:t xml:space="preserve"> that its costs of providing service under current conditions, </w:t>
      </w:r>
      <w:r w:rsidR="004204FF">
        <w:t>in which i</w:t>
      </w:r>
      <w:r w:rsidR="00BB114C">
        <w:t xml:space="preserve">t is </w:t>
      </w:r>
      <w:r w:rsidR="004204FF">
        <w:t xml:space="preserve">now </w:t>
      </w:r>
      <w:r w:rsidR="00BB114C">
        <w:t>the sole IP Relay provider accommodat</w:t>
      </w:r>
      <w:r w:rsidR="00C1214D">
        <w:t>ing</w:t>
      </w:r>
      <w:r w:rsidR="00BB114C">
        <w:t xml:space="preserve"> users</w:t>
      </w:r>
      <w:r w:rsidR="00AF7BE1">
        <w:t xml:space="preserve"> who are migrating over from </w:t>
      </w:r>
      <w:r w:rsidR="00C41B17">
        <w:t>Purple</w:t>
      </w:r>
      <w:r w:rsidR="00BB114C">
        <w:t>,</w:t>
      </w:r>
      <w:r w:rsidR="00BB114C">
        <w:rPr>
          <w:rStyle w:val="FootnoteReference"/>
        </w:rPr>
        <w:footnoteReference w:id="37"/>
      </w:r>
      <w:r w:rsidR="00BB114C">
        <w:t xml:space="preserve"> are in excess of what is recoverable under the current compensation rate.</w:t>
      </w:r>
      <w:r w:rsidR="00E23E39">
        <w:rPr>
          <w:rStyle w:val="FootnoteReference"/>
        </w:rPr>
        <w:footnoteReference w:id="38"/>
      </w:r>
      <w:r w:rsidR="00BB114C">
        <w:t xml:space="preserve">  While a more searching investigation might </w:t>
      </w:r>
      <w:r w:rsidR="00DF2CE3">
        <w:t>enable us to make a more confident determination of underlying costs, in the current exigent circumstances</w:t>
      </w:r>
      <w:r w:rsidR="00E23E39">
        <w:t>,</w:t>
      </w:r>
      <w:r w:rsidR="00DF2CE3">
        <w:t xml:space="preserve"> our primary objective must be to expeditiously reset the IP Relay compensation rate </w:t>
      </w:r>
      <w:r w:rsidR="00C1214D">
        <w:t xml:space="preserve">with confidence that it will be </w:t>
      </w:r>
      <w:r w:rsidR="00DF2CE3">
        <w:t xml:space="preserve">at a level sufficient to </w:t>
      </w:r>
      <w:r w:rsidR="00EA6D69">
        <w:t>provide</w:t>
      </w:r>
      <w:r w:rsidR="00DF2CE3">
        <w:t xml:space="preserve"> Sprint </w:t>
      </w:r>
      <w:r w:rsidR="00EA6D69">
        <w:t xml:space="preserve">with </w:t>
      </w:r>
      <w:r w:rsidR="00C41B17">
        <w:t xml:space="preserve">an adequate </w:t>
      </w:r>
      <w:r w:rsidR="00DF2CE3">
        <w:t xml:space="preserve">incentive </w:t>
      </w:r>
      <w:r w:rsidR="00C41B17">
        <w:t xml:space="preserve">for </w:t>
      </w:r>
      <w:r w:rsidR="00EA6D69">
        <w:t>it</w:t>
      </w:r>
      <w:r w:rsidR="00C41B17">
        <w:t xml:space="preserve"> </w:t>
      </w:r>
      <w:r w:rsidR="00DF2CE3">
        <w:t>to continue serving IP Relay customers for the remainder of the Fund Year.</w:t>
      </w:r>
      <w:r w:rsidR="00B71D54">
        <w:rPr>
          <w:rStyle w:val="FootnoteReference"/>
        </w:rPr>
        <w:footnoteReference w:id="39"/>
      </w:r>
      <w:r w:rsidR="00DF2CE3">
        <w:t xml:space="preserve">  </w:t>
      </w:r>
      <w:r w:rsidR="00932ED7">
        <w:t>Based on</w:t>
      </w:r>
      <w:r w:rsidR="00DF2CE3">
        <w:t xml:space="preserve"> these </w:t>
      </w:r>
      <w:r w:rsidR="00932ED7">
        <w:t>considerations</w:t>
      </w:r>
      <w:r w:rsidR="00DF2CE3">
        <w:t>, we find that it is appropriate to increase the IP Relay compensation rate to $1.37 per minute for the remainder of the 2014-15 Fund Year.</w:t>
      </w:r>
      <w:r w:rsidR="005C74E9">
        <w:rPr>
          <w:rStyle w:val="FootnoteReference"/>
        </w:rPr>
        <w:footnoteReference w:id="40"/>
      </w:r>
      <w:r w:rsidR="00DF2CE3">
        <w:t xml:space="preserve">  Because the exigent circumstances that compel us to modify the rate came into being </w:t>
      </w:r>
      <w:r w:rsidR="00F31DFC">
        <w:t>on November 15, 2014, the date that Purple terminated service, we make this $1.37 per minute rate retroactive to that date.</w:t>
      </w:r>
      <w:r w:rsidR="00C1214D">
        <w:t xml:space="preserve">  </w:t>
      </w:r>
      <w:r w:rsidR="00F31DFC">
        <w:t xml:space="preserve">In addition, to ensure that </w:t>
      </w:r>
      <w:r w:rsidR="009E07CE">
        <w:t xml:space="preserve">Sprint </w:t>
      </w:r>
      <w:r w:rsidR="00C54CE5">
        <w:t>has sufficient revenue to provide it with the incentive to ramp up its service to</w:t>
      </w:r>
      <w:r w:rsidR="009E07CE">
        <w:t xml:space="preserve"> serv</w:t>
      </w:r>
      <w:r w:rsidR="00C54CE5">
        <w:t>e</w:t>
      </w:r>
      <w:r w:rsidR="009E07CE">
        <w:t xml:space="preserve"> </w:t>
      </w:r>
      <w:r w:rsidR="004204FF">
        <w:t xml:space="preserve">an influx of </w:t>
      </w:r>
      <w:r w:rsidR="009E07CE">
        <w:t xml:space="preserve">new customers migrating from Purple, we establish a separate rate of $1.67 per minute, applicable to </w:t>
      </w:r>
      <w:r w:rsidR="00AF1E7F">
        <w:t xml:space="preserve">any monthly minutes in excess of 300,000.  </w:t>
      </w:r>
      <w:r w:rsidR="004204FF">
        <w:t xml:space="preserve">This rate, which is also effective retroactively to </w:t>
      </w:r>
      <w:r w:rsidR="004204FF" w:rsidRPr="004204FF">
        <w:t xml:space="preserve">November 15, 2014, </w:t>
      </w:r>
      <w:r w:rsidR="004204FF">
        <w:t xml:space="preserve">will remain in effect until May 15, 2015, </w:t>
      </w:r>
      <w:r w:rsidR="004204FF" w:rsidRPr="005653A6">
        <w:rPr>
          <w:i/>
        </w:rPr>
        <w:t>i.e.</w:t>
      </w:r>
      <w:r w:rsidR="004204FF">
        <w:t>, for a total</w:t>
      </w:r>
      <w:r w:rsidR="00C1214D">
        <w:t xml:space="preserve"> period</w:t>
      </w:r>
      <w:r w:rsidR="004204FF">
        <w:t xml:space="preserve"> of six months.  </w:t>
      </w:r>
      <w:r w:rsidR="00752D87">
        <w:t>Sprint estimates that it will take six</w:t>
      </w:r>
      <w:r w:rsidR="000621EC">
        <w:t xml:space="preserve"> </w:t>
      </w:r>
      <w:r w:rsidR="00752D87">
        <w:t xml:space="preserve">months for it to complete its capital investments, purchases, hiring, and training in order to meet the needs of </w:t>
      </w:r>
      <w:r w:rsidR="00A80653">
        <w:t>what may be a substantially</w:t>
      </w:r>
      <w:r w:rsidR="00752D87">
        <w:t xml:space="preserve"> larger customer base.</w:t>
      </w:r>
      <w:r w:rsidR="00752D87">
        <w:rPr>
          <w:rStyle w:val="FootnoteReference"/>
        </w:rPr>
        <w:footnoteReference w:id="41"/>
      </w:r>
      <w:r w:rsidR="00752D87">
        <w:t xml:space="preserve">  We find that a six-month period is reasonable </w:t>
      </w:r>
      <w:r w:rsidR="004204FF">
        <w:t>for this purpose</w:t>
      </w:r>
      <w:r w:rsidR="00752D87">
        <w:t xml:space="preserve">.  </w:t>
      </w:r>
    </w:p>
    <w:p w:rsidR="00C3284E" w:rsidRDefault="00AE608A" w:rsidP="00AE608A">
      <w:pPr>
        <w:pStyle w:val="ParaNum"/>
      </w:pPr>
      <w:r w:rsidRPr="00AE608A">
        <w:t xml:space="preserve">Accordingly, IT IS ORDERED that, pursuant to the authority contained in sections 1, 4(i) and (j), 5, and 225 of the Communications Act of 1934, as amended, 47 U.S.C. §§ 151, 154(i) and (j), 155, and 225, and sections 0.141, 0.361, and 1.3 of the Commission’s rules, 47 C.F.R. §§ 0.141, 0.361, 1.3, the </w:t>
      </w:r>
      <w:r>
        <w:t>Sprint Request for Expedited Mid-Cycle Rate Adjustment filed</w:t>
      </w:r>
      <w:r w:rsidRPr="00AE608A">
        <w:t xml:space="preserve"> by Sprint Corporation </w:t>
      </w:r>
      <w:r>
        <w:t>on November 17, 2014 IS GRANTED</w:t>
      </w:r>
      <w:r w:rsidR="00C3284E">
        <w:t xml:space="preserve"> to the extent specified herein; and </w:t>
      </w:r>
    </w:p>
    <w:p w:rsidR="0092149F" w:rsidRDefault="00C3284E" w:rsidP="005653A6">
      <w:pPr>
        <w:pStyle w:val="ParaNum"/>
      </w:pPr>
      <w:r w:rsidRPr="00C3284E">
        <w:t>IT IS FURTHER ORDERED that the TRS Fund administrator shall compensate eligible</w:t>
      </w:r>
      <w:r>
        <w:t xml:space="preserve"> </w:t>
      </w:r>
      <w:r w:rsidRPr="00C3284E">
        <w:t xml:space="preserve">providers of </w:t>
      </w:r>
      <w:r>
        <w:t>IP Relay service</w:t>
      </w:r>
      <w:r w:rsidRPr="00C3284E">
        <w:t xml:space="preserve">: (1) for the period from </w:t>
      </w:r>
      <w:r>
        <w:t>November 15</w:t>
      </w:r>
      <w:r w:rsidRPr="00C3284E">
        <w:t>, 2014, through</w:t>
      </w:r>
      <w:r>
        <w:t xml:space="preserve"> May 15, 2015</w:t>
      </w:r>
      <w:r w:rsidRPr="00C3284E">
        <w:t xml:space="preserve"> at the rates of $</w:t>
      </w:r>
      <w:r>
        <w:t>1.37</w:t>
      </w:r>
      <w:r w:rsidRPr="00C3284E">
        <w:t xml:space="preserve"> per completed conversation minute for a provider’s first </w:t>
      </w:r>
      <w:r>
        <w:t>3</w:t>
      </w:r>
      <w:r w:rsidRPr="00C3284E">
        <w:t>00,000</w:t>
      </w:r>
      <w:r>
        <w:t xml:space="preserve"> </w:t>
      </w:r>
      <w:r w:rsidRPr="00C3284E">
        <w:t>monthly minutes</w:t>
      </w:r>
      <w:r>
        <w:t xml:space="preserve"> and </w:t>
      </w:r>
      <w:r w:rsidRPr="00C3284E">
        <w:t xml:space="preserve"> $</w:t>
      </w:r>
      <w:r>
        <w:t>1.67</w:t>
      </w:r>
      <w:r w:rsidRPr="00C3284E">
        <w:t xml:space="preserve"> per completed conversation minute for monthly </w:t>
      </w:r>
      <w:r>
        <w:t>minutes</w:t>
      </w:r>
      <w:r w:rsidRPr="00C3284E">
        <w:t xml:space="preserve"> above </w:t>
      </w:r>
      <w:r>
        <w:t>300,000</w:t>
      </w:r>
      <w:r w:rsidRPr="00C3284E">
        <w:t xml:space="preserve">; and (2) for the period from </w:t>
      </w:r>
      <w:r w:rsidR="00CB50ED">
        <w:t>May 15</w:t>
      </w:r>
      <w:r w:rsidRPr="00C3284E">
        <w:t>, 2015, through June 30, 2015, at the rate</w:t>
      </w:r>
      <w:r w:rsidR="00CB50ED">
        <w:t xml:space="preserve"> of $1.37 </w:t>
      </w:r>
      <w:r w:rsidRPr="00C3284E">
        <w:t>per completed conversation minute</w:t>
      </w:r>
      <w:r w:rsidR="00AE608A">
        <w:t>.</w:t>
      </w:r>
    </w:p>
    <w:p w:rsidR="001E7363" w:rsidRDefault="001E7363" w:rsidP="00D03058">
      <w:pPr>
        <w:pStyle w:val="ParaNum"/>
        <w:keepNext/>
        <w:keepLines/>
        <w:widowControl/>
        <w:spacing w:after="0"/>
        <w:rPr>
          <w:szCs w:val="22"/>
        </w:rPr>
      </w:pPr>
      <w:r>
        <w:rPr>
          <w:szCs w:val="22"/>
        </w:rPr>
        <w:t xml:space="preserve">To request materials in accessible formats (such as Braille, large print, electronic files, or audio format), send an e-mail to </w:t>
      </w:r>
      <w:hyperlink r:id="rId9" w:history="1">
        <w:r>
          <w:rPr>
            <w:szCs w:val="22"/>
          </w:rPr>
          <w:t>fcc504@fcc.gov</w:t>
        </w:r>
      </w:hyperlink>
      <w:r>
        <w:rPr>
          <w:szCs w:val="22"/>
        </w:rPr>
        <w:t xml:space="preserve"> or call the Consumer and Governmental Affairs Bureau </w:t>
      </w:r>
    </w:p>
    <w:p w:rsidR="001E7363" w:rsidRDefault="001E7363" w:rsidP="00D03058">
      <w:pPr>
        <w:pStyle w:val="ParaNum"/>
        <w:keepNext/>
        <w:keepLines/>
        <w:widowControl/>
        <w:numPr>
          <w:ilvl w:val="0"/>
          <w:numId w:val="0"/>
        </w:numPr>
        <w:tabs>
          <w:tab w:val="num" w:pos="1440"/>
        </w:tabs>
        <w:spacing w:after="0"/>
        <w:rPr>
          <w:szCs w:val="22"/>
        </w:rPr>
      </w:pPr>
      <w:r>
        <w:rPr>
          <w:szCs w:val="22"/>
        </w:rPr>
        <w:t xml:space="preserve">at (202) 418-0530 (voice) or (202) 418-0432 (TTY).  This Order may be downloaded from </w:t>
      </w:r>
      <w:r w:rsidR="00445FD1" w:rsidRPr="00445FD1">
        <w:rPr>
          <w:szCs w:val="22"/>
        </w:rPr>
        <w:t>http://www.fcc.gov/encyclopedia/telecommunications-relay-services-trs</w:t>
      </w:r>
      <w:r>
        <w:rPr>
          <w:szCs w:val="22"/>
        </w:rPr>
        <w:t xml:space="preserve">.   </w:t>
      </w:r>
    </w:p>
    <w:p w:rsidR="001E7363" w:rsidRDefault="001E7363" w:rsidP="00D03058">
      <w:pPr>
        <w:pStyle w:val="ParaNum"/>
        <w:keepNext/>
        <w:keepLines/>
        <w:widowControl/>
        <w:numPr>
          <w:ilvl w:val="0"/>
          <w:numId w:val="0"/>
        </w:numPr>
        <w:tabs>
          <w:tab w:val="num" w:pos="1440"/>
        </w:tabs>
        <w:spacing w:after="0"/>
        <w:rPr>
          <w:szCs w:val="22"/>
        </w:rPr>
      </w:pPr>
    </w:p>
    <w:p w:rsidR="001E7363" w:rsidRDefault="001E7363" w:rsidP="00D03058">
      <w:pPr>
        <w:pStyle w:val="ParaNum"/>
        <w:keepNext/>
        <w:keepLines/>
        <w:widowControl/>
        <w:numPr>
          <w:ilvl w:val="0"/>
          <w:numId w:val="0"/>
        </w:numPr>
        <w:tabs>
          <w:tab w:val="num" w:pos="1440"/>
        </w:tabs>
        <w:spacing w:after="0"/>
        <w:rPr>
          <w:szCs w:val="22"/>
        </w:rPr>
      </w:pPr>
    </w:p>
    <w:p w:rsidR="001E7363" w:rsidRDefault="001E7363" w:rsidP="00D03058">
      <w:pPr>
        <w:pStyle w:val="ParaNum"/>
        <w:keepNext/>
        <w:keepLines/>
        <w:widowControl/>
        <w:numPr>
          <w:ilvl w:val="0"/>
          <w:numId w:val="0"/>
        </w:numPr>
        <w:spacing w:after="0"/>
        <w:ind w:left="3600" w:firstLine="720"/>
        <w:rPr>
          <w:szCs w:val="22"/>
        </w:rPr>
      </w:pPr>
      <w:r>
        <w:rPr>
          <w:szCs w:val="22"/>
        </w:rPr>
        <w:t>FEDERAL COMMUNICATIONS COMMISSION</w:t>
      </w:r>
    </w:p>
    <w:p w:rsidR="001E7363" w:rsidRDefault="001E7363" w:rsidP="00D03058">
      <w:pPr>
        <w:pStyle w:val="ParaNum"/>
        <w:keepNext/>
        <w:keepLines/>
        <w:widowControl/>
        <w:numPr>
          <w:ilvl w:val="0"/>
          <w:numId w:val="0"/>
        </w:numPr>
        <w:spacing w:after="0"/>
        <w:ind w:left="3600" w:firstLine="720"/>
        <w:rPr>
          <w:szCs w:val="22"/>
        </w:rPr>
      </w:pPr>
    </w:p>
    <w:p w:rsidR="001E7363" w:rsidRDefault="001E7363" w:rsidP="00D03058">
      <w:pPr>
        <w:pStyle w:val="ParaNum"/>
        <w:keepNext/>
        <w:keepLines/>
        <w:widowControl/>
        <w:numPr>
          <w:ilvl w:val="0"/>
          <w:numId w:val="0"/>
        </w:numPr>
        <w:spacing w:after="0"/>
        <w:ind w:left="3600" w:firstLine="720"/>
        <w:rPr>
          <w:szCs w:val="22"/>
        </w:rPr>
      </w:pPr>
    </w:p>
    <w:p w:rsidR="001E7363" w:rsidRDefault="001E7363" w:rsidP="00D03058">
      <w:pPr>
        <w:pStyle w:val="ParaNum"/>
        <w:keepNext/>
        <w:keepLines/>
        <w:widowControl/>
        <w:numPr>
          <w:ilvl w:val="0"/>
          <w:numId w:val="0"/>
        </w:numPr>
        <w:spacing w:after="0"/>
        <w:ind w:left="3600" w:firstLine="720"/>
        <w:rPr>
          <w:szCs w:val="22"/>
        </w:rPr>
      </w:pPr>
    </w:p>
    <w:p w:rsidR="001E7363" w:rsidRDefault="001E7363" w:rsidP="00D03058">
      <w:pPr>
        <w:pStyle w:val="ParaNum"/>
        <w:keepNext/>
        <w:keepLines/>
        <w:widowControl/>
        <w:numPr>
          <w:ilvl w:val="0"/>
          <w:numId w:val="0"/>
        </w:numPr>
        <w:spacing w:after="0"/>
        <w:ind w:left="3600" w:firstLine="720"/>
        <w:rPr>
          <w:szCs w:val="22"/>
        </w:rPr>
      </w:pPr>
    </w:p>
    <w:p w:rsidR="001E7363" w:rsidRDefault="001E7363" w:rsidP="00D03058">
      <w:pPr>
        <w:pStyle w:val="ParaNum"/>
        <w:keepNext/>
        <w:keepLines/>
        <w:widowControl/>
        <w:numPr>
          <w:ilvl w:val="0"/>
          <w:numId w:val="0"/>
        </w:numPr>
        <w:spacing w:after="0"/>
        <w:ind w:left="4320"/>
        <w:rPr>
          <w:szCs w:val="22"/>
        </w:rPr>
      </w:pPr>
      <w:r>
        <w:rPr>
          <w:szCs w:val="22"/>
        </w:rPr>
        <w:t>Kris Anne Monteith</w:t>
      </w:r>
    </w:p>
    <w:p w:rsidR="001E7363" w:rsidRDefault="001E7363" w:rsidP="00D03058">
      <w:pPr>
        <w:pStyle w:val="ParaNum"/>
        <w:keepNext/>
        <w:keepLines/>
        <w:widowControl/>
        <w:numPr>
          <w:ilvl w:val="0"/>
          <w:numId w:val="0"/>
        </w:numPr>
        <w:spacing w:after="0"/>
        <w:ind w:left="4320"/>
        <w:rPr>
          <w:szCs w:val="22"/>
        </w:rPr>
      </w:pPr>
      <w:r>
        <w:rPr>
          <w:szCs w:val="22"/>
        </w:rPr>
        <w:t>Acting Chief</w:t>
      </w:r>
    </w:p>
    <w:p w:rsidR="001E7363" w:rsidRPr="00023FED" w:rsidRDefault="001E7363" w:rsidP="00D03058">
      <w:pPr>
        <w:pStyle w:val="ParaNum"/>
        <w:keepNext/>
        <w:keepLines/>
        <w:widowControl/>
        <w:numPr>
          <w:ilvl w:val="0"/>
          <w:numId w:val="0"/>
        </w:numPr>
        <w:spacing w:after="0"/>
        <w:ind w:left="3600" w:firstLine="720"/>
      </w:pPr>
      <w:r>
        <w:rPr>
          <w:szCs w:val="22"/>
        </w:rPr>
        <w:t>Consumer and Governmental Affairs Bureau</w:t>
      </w:r>
    </w:p>
    <w:sectPr w:rsidR="001E7363" w:rsidRPr="00023FED" w:rsidSect="0055614C">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F73" w:rsidRDefault="00B11F73">
      <w:pPr>
        <w:spacing w:line="20" w:lineRule="exact"/>
      </w:pPr>
    </w:p>
  </w:endnote>
  <w:endnote w:type="continuationSeparator" w:id="0">
    <w:p w:rsidR="00B11F73" w:rsidRDefault="00B11F73">
      <w:r>
        <w:t xml:space="preserve"> </w:t>
      </w:r>
    </w:p>
  </w:endnote>
  <w:endnote w:type="continuationNotice" w:id="1">
    <w:p w:rsidR="00B11F73" w:rsidRDefault="00B11F7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altName w:val="Times New Roman"/>
    <w:charset w:val="00"/>
    <w:family w:val="roman"/>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C27" w:rsidRDefault="00331C27" w:rsidP="0055614C">
    <w:pPr>
      <w:pStyle w:val="Footer"/>
      <w:framePr w:wrap="around" w:vAnchor="text" w:hAnchor="margin" w:xAlign="center" w:y="1"/>
    </w:pPr>
    <w:r>
      <w:fldChar w:fldCharType="begin"/>
    </w:r>
    <w:r>
      <w:instrText xml:space="preserve">PAGE  </w:instrText>
    </w:r>
    <w:r>
      <w:fldChar w:fldCharType="end"/>
    </w:r>
  </w:p>
  <w:p w:rsidR="00331C27" w:rsidRDefault="00331C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C27" w:rsidRDefault="00331C27" w:rsidP="0055614C">
    <w:pPr>
      <w:pStyle w:val="Footer"/>
      <w:framePr w:wrap="around" w:vAnchor="text" w:hAnchor="margin" w:xAlign="center" w:y="1"/>
    </w:pPr>
    <w:r>
      <w:fldChar w:fldCharType="begin"/>
    </w:r>
    <w:r>
      <w:instrText xml:space="preserve">PAGE  </w:instrText>
    </w:r>
    <w:r>
      <w:fldChar w:fldCharType="separate"/>
    </w:r>
    <w:r w:rsidR="0040076D">
      <w:rPr>
        <w:noProof/>
      </w:rPr>
      <w:t>2</w:t>
    </w:r>
    <w:r>
      <w:fldChar w:fldCharType="end"/>
    </w:r>
  </w:p>
  <w:p w:rsidR="00331C27" w:rsidRDefault="00331C27">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C27" w:rsidRDefault="00331C27">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F73" w:rsidRDefault="00B11F73">
      <w:r>
        <w:separator/>
      </w:r>
    </w:p>
  </w:footnote>
  <w:footnote w:type="continuationSeparator" w:id="0">
    <w:p w:rsidR="00B11F73" w:rsidRDefault="00B11F73" w:rsidP="00C721AC">
      <w:pPr>
        <w:spacing w:before="120"/>
        <w:rPr>
          <w:sz w:val="20"/>
        </w:rPr>
      </w:pPr>
      <w:r>
        <w:rPr>
          <w:sz w:val="20"/>
        </w:rPr>
        <w:t xml:space="preserve">(Continued from previous page)  </w:t>
      </w:r>
      <w:r>
        <w:rPr>
          <w:sz w:val="20"/>
        </w:rPr>
        <w:separator/>
      </w:r>
    </w:p>
  </w:footnote>
  <w:footnote w:type="continuationNotice" w:id="1">
    <w:p w:rsidR="00B11F73" w:rsidRDefault="00B11F73" w:rsidP="00C721AC">
      <w:pPr>
        <w:jc w:val="right"/>
        <w:rPr>
          <w:sz w:val="20"/>
        </w:rPr>
      </w:pPr>
      <w:r>
        <w:rPr>
          <w:sz w:val="20"/>
        </w:rPr>
        <w:t>(continued….)</w:t>
      </w:r>
    </w:p>
  </w:footnote>
  <w:footnote w:id="2">
    <w:p w:rsidR="00331C27" w:rsidRDefault="00331C27" w:rsidP="005D707D">
      <w:pPr>
        <w:pStyle w:val="FootnoteText"/>
      </w:pPr>
      <w:r>
        <w:rPr>
          <w:rStyle w:val="FootnoteReference"/>
        </w:rPr>
        <w:footnoteRef/>
      </w:r>
      <w:r>
        <w:t xml:space="preserve"> 47 U.S.C. § 225(b)(1).  </w:t>
      </w:r>
      <w:r w:rsidRPr="00225A5B">
        <w:t xml:space="preserve">  </w:t>
      </w:r>
    </w:p>
  </w:footnote>
  <w:footnote w:id="3">
    <w:p w:rsidR="00C1214D" w:rsidRDefault="00C1214D">
      <w:pPr>
        <w:pStyle w:val="FootnoteText"/>
      </w:pPr>
      <w:r>
        <w:rPr>
          <w:rStyle w:val="FootnoteReference"/>
        </w:rPr>
        <w:footnoteRef/>
      </w:r>
      <w:r>
        <w:t xml:space="preserve"> </w:t>
      </w:r>
      <w:r w:rsidRPr="00225A5B">
        <w:rPr>
          <w:i/>
        </w:rPr>
        <w:t xml:space="preserve">See </w:t>
      </w:r>
      <w:r w:rsidRPr="00225A5B">
        <w:t>47 U.S.C. § 225(a)(3) (defining TRS)</w:t>
      </w:r>
      <w:r>
        <w:t>;</w:t>
      </w:r>
      <w:r>
        <w:rPr>
          <w:i/>
        </w:rPr>
        <w:t xml:space="preserve"> s</w:t>
      </w:r>
      <w:r w:rsidRPr="00225A5B">
        <w:rPr>
          <w:i/>
        </w:rPr>
        <w:t>ee generally</w:t>
      </w:r>
      <w:r w:rsidRPr="00225A5B">
        <w:t xml:space="preserve"> </w:t>
      </w:r>
      <w:r w:rsidRPr="00225A5B">
        <w:rPr>
          <w:i/>
        </w:rPr>
        <w:t>Telecommunications Relay Services and Speech-to-Speech Services for Individuals with Hearing and Speech Disabilities</w:t>
      </w:r>
      <w:r>
        <w:t>, CC Docket Nos.</w:t>
      </w:r>
      <w:r w:rsidRPr="00225A5B">
        <w:t xml:space="preserve"> 90-571</w:t>
      </w:r>
      <w:r>
        <w:t>,</w:t>
      </w:r>
      <w:r w:rsidRPr="00225A5B">
        <w:t xml:space="preserve"> 98-67</w:t>
      </w:r>
      <w:r>
        <w:t>,</w:t>
      </w:r>
      <w:r w:rsidRPr="00225A5B">
        <w:t xml:space="preserve"> </w:t>
      </w:r>
      <w:r w:rsidR="002E0602">
        <w:t xml:space="preserve">CG Docket No. </w:t>
      </w:r>
      <w:r w:rsidRPr="00225A5B">
        <w:t>03-123, Report and Order, Order on Reconsideration, and Further Notice of Proposed Rulemaking, 19 FCC Rcd 12475, 12479-80, ¶ 3 n.18 (2004) (</w:t>
      </w:r>
      <w:r w:rsidRPr="00225A5B">
        <w:rPr>
          <w:i/>
        </w:rPr>
        <w:t>2004 TRS Report and Order &amp; FNPRM</w:t>
      </w:r>
      <w:r w:rsidRPr="00225A5B">
        <w:t>) (discussing how TRS works)</w:t>
      </w:r>
      <w:r>
        <w:t>.</w:t>
      </w:r>
    </w:p>
  </w:footnote>
  <w:footnote w:id="4">
    <w:p w:rsidR="00331C27" w:rsidRDefault="00331C27" w:rsidP="00B551E3">
      <w:pPr>
        <w:pStyle w:val="FootnoteText"/>
      </w:pPr>
      <w:r>
        <w:rPr>
          <w:rStyle w:val="FootnoteReference"/>
        </w:rPr>
        <w:footnoteRef/>
      </w:r>
      <w:r>
        <w:t xml:space="preserve"> 47 C.F.R. § 64.601(a)(17).</w:t>
      </w:r>
    </w:p>
  </w:footnote>
  <w:footnote w:id="5">
    <w:p w:rsidR="00331C27" w:rsidRDefault="00331C27">
      <w:pPr>
        <w:pStyle w:val="FootnoteText"/>
      </w:pPr>
      <w:r>
        <w:rPr>
          <w:rStyle w:val="FootnoteReference"/>
        </w:rPr>
        <w:footnoteRef/>
      </w:r>
      <w:r>
        <w:t xml:space="preserve"> </w:t>
      </w:r>
      <w:r w:rsidRPr="00E94911">
        <w:rPr>
          <w:i/>
        </w:rPr>
        <w:t>Telecommunications Relay Services and Speech-to-Speech Services for Individuals with Hearing and Speech Disabilities</w:t>
      </w:r>
      <w:r w:rsidRPr="00E94911">
        <w:t xml:space="preserve">; </w:t>
      </w:r>
      <w:r w:rsidRPr="00E94911">
        <w:rPr>
          <w:i/>
        </w:rPr>
        <w:t>Structure and Practices of the Video Relay Service Program</w:t>
      </w:r>
      <w:r w:rsidRPr="00E94911">
        <w:t>, Order, 29 FCC Rcd 8044, 80</w:t>
      </w:r>
      <w:r>
        <w:t>48-49</w:t>
      </w:r>
      <w:r w:rsidRPr="00E94911">
        <w:t xml:space="preserve">, ¶ </w:t>
      </w:r>
      <w:r>
        <w:t>13</w:t>
      </w:r>
      <w:r w:rsidRPr="00E94911">
        <w:t xml:space="preserve"> (2014)</w:t>
      </w:r>
      <w:r>
        <w:t xml:space="preserve"> (</w:t>
      </w:r>
      <w:r w:rsidRPr="00596A1B">
        <w:rPr>
          <w:i/>
        </w:rPr>
        <w:t>2014 TRS Rate Order</w:t>
      </w:r>
      <w:r>
        <w:t>).</w:t>
      </w:r>
      <w:r w:rsidRPr="00E94911">
        <w:t xml:space="preserve"> </w:t>
      </w:r>
    </w:p>
  </w:footnote>
  <w:footnote w:id="6">
    <w:p w:rsidR="00331C27" w:rsidRDefault="00331C27">
      <w:pPr>
        <w:pStyle w:val="FootnoteText"/>
      </w:pPr>
      <w:r>
        <w:rPr>
          <w:rStyle w:val="FootnoteReference"/>
        </w:rPr>
        <w:footnoteRef/>
      </w:r>
      <w:r>
        <w:t xml:space="preserve"> Letter from John F. Cannon, Counsel to Purple Communications, Inc., to Marlene H. Dortch, Secretary, FCC, CG Docket No. 03-123 (filed Oct. 15, 2014).   </w:t>
      </w:r>
    </w:p>
  </w:footnote>
  <w:footnote w:id="7">
    <w:p w:rsidR="00331C27" w:rsidRPr="00A57380" w:rsidRDefault="00331C27" w:rsidP="001C2F7F">
      <w:pPr>
        <w:pStyle w:val="FootnoteText"/>
      </w:pPr>
      <w:r>
        <w:rPr>
          <w:rStyle w:val="FootnoteReference"/>
        </w:rPr>
        <w:footnoteRef/>
      </w:r>
      <w:r>
        <w:t xml:space="preserve"> </w:t>
      </w:r>
      <w:r w:rsidRPr="00D42668">
        <w:t>Sprint</w:t>
      </w:r>
      <w:r>
        <w:t>,</w:t>
      </w:r>
      <w:r w:rsidRPr="00D42668">
        <w:t xml:space="preserve"> Request for Expedited Mid-Cycle Rate Adjustment, CG Docket Nos. 10-51, 03-123 (filed Nov. 17, 2014) (Sprint Request).</w:t>
      </w:r>
      <w:r>
        <w:t xml:space="preserve">      </w:t>
      </w:r>
    </w:p>
  </w:footnote>
  <w:footnote w:id="8">
    <w:p w:rsidR="00331C27" w:rsidRDefault="00331C27">
      <w:pPr>
        <w:pStyle w:val="FootnoteText"/>
      </w:pPr>
      <w:r>
        <w:rPr>
          <w:rStyle w:val="FootnoteReference"/>
        </w:rPr>
        <w:footnoteRef/>
      </w:r>
      <w:r>
        <w:t xml:space="preserve"> </w:t>
      </w:r>
      <w:r w:rsidR="00A04636">
        <w:rPr>
          <w:i/>
        </w:rPr>
        <w:t>Id</w:t>
      </w:r>
      <w:r w:rsidR="00A04636">
        <w:t>.</w:t>
      </w:r>
      <w:r>
        <w:t xml:space="preserve"> at 3.</w:t>
      </w:r>
    </w:p>
  </w:footnote>
  <w:footnote w:id="9">
    <w:p w:rsidR="006F5BB8" w:rsidRDefault="006F5BB8">
      <w:pPr>
        <w:pStyle w:val="FootnoteText"/>
      </w:pPr>
      <w:r>
        <w:rPr>
          <w:rStyle w:val="FootnoteReference"/>
        </w:rPr>
        <w:footnoteRef/>
      </w:r>
      <w:r>
        <w:t xml:space="preserve"> </w:t>
      </w:r>
      <w:r w:rsidRPr="006F5BB8">
        <w:rPr>
          <w:i/>
        </w:rPr>
        <w:t>See</w:t>
      </w:r>
      <w:r w:rsidRPr="006F5BB8">
        <w:t xml:space="preserve"> </w:t>
      </w:r>
      <w:r w:rsidR="00A04636">
        <w:rPr>
          <w:i/>
        </w:rPr>
        <w:t>id</w:t>
      </w:r>
      <w:r w:rsidR="00A04636">
        <w:t>.</w:t>
      </w:r>
      <w:r w:rsidRPr="006F5BB8">
        <w:t xml:space="preserve"> at 8 n.10 (“Even before Purple announced its plans [to leave the IP Relay services market], Sprint had been contemplating its own exit from the IP Relay business because it was providing services below its costs....”); </w:t>
      </w:r>
      <w:r w:rsidRPr="006F5BB8">
        <w:rPr>
          <w:i/>
        </w:rPr>
        <w:t>see id.</w:t>
      </w:r>
      <w:r w:rsidRPr="006F5BB8">
        <w:t xml:space="preserve"> at 6 n.5.</w:t>
      </w:r>
    </w:p>
  </w:footnote>
  <w:footnote w:id="10">
    <w:p w:rsidR="00331C27" w:rsidRDefault="00331C27">
      <w:pPr>
        <w:pStyle w:val="FootnoteText"/>
      </w:pPr>
      <w:r>
        <w:rPr>
          <w:rStyle w:val="FootnoteReference"/>
        </w:rPr>
        <w:footnoteRef/>
      </w:r>
      <w:r>
        <w:t xml:space="preserve"> </w:t>
      </w:r>
      <w:r w:rsidR="00A04636">
        <w:rPr>
          <w:i/>
        </w:rPr>
        <w:t>Id</w:t>
      </w:r>
      <w:r w:rsidR="00A04636">
        <w:t>.</w:t>
      </w:r>
      <w:r>
        <w:t xml:space="preserve"> at 6 (“Purple’s departure from the IP Relay business also will require Sprint to incur certain short-term costs that it could not reasonably have anticipated [earlier.]”).</w:t>
      </w:r>
    </w:p>
  </w:footnote>
  <w:footnote w:id="11">
    <w:p w:rsidR="00331C27" w:rsidRPr="00665AD9" w:rsidRDefault="00331C27">
      <w:pPr>
        <w:pStyle w:val="FootnoteText"/>
      </w:pPr>
      <w:r>
        <w:rPr>
          <w:rStyle w:val="FootnoteReference"/>
        </w:rPr>
        <w:footnoteRef/>
      </w:r>
      <w:r>
        <w:t xml:space="preserve"> </w:t>
      </w:r>
      <w:r>
        <w:rPr>
          <w:i/>
        </w:rPr>
        <w:t xml:space="preserve">See </w:t>
      </w:r>
      <w:r w:rsidR="00A04636">
        <w:rPr>
          <w:i/>
        </w:rPr>
        <w:t>id</w:t>
      </w:r>
      <w:r w:rsidR="00A04636">
        <w:t>.</w:t>
      </w:r>
      <w:r>
        <w:t xml:space="preserve"> at 2.  Sprint states that it “is willing to maintain its IP Relay service on an interim basis at the rates proposed herein, in large part because of the public interest benefits of maintaining this critical service.” </w:t>
      </w:r>
    </w:p>
  </w:footnote>
  <w:footnote w:id="12">
    <w:p w:rsidR="00331C27" w:rsidRPr="00856353" w:rsidRDefault="00331C27">
      <w:pPr>
        <w:pStyle w:val="FootnoteText"/>
        <w:rPr>
          <w:i/>
        </w:rPr>
      </w:pPr>
      <w:r>
        <w:rPr>
          <w:rStyle w:val="FootnoteReference"/>
        </w:rPr>
        <w:footnoteRef/>
      </w:r>
      <w:r>
        <w:t xml:space="preserve"> </w:t>
      </w:r>
      <w:r w:rsidR="00A04636">
        <w:rPr>
          <w:i/>
        </w:rPr>
        <w:t>Id</w:t>
      </w:r>
      <w:r w:rsidR="00A04636">
        <w:t>.</w:t>
      </w:r>
      <w:r>
        <w:t xml:space="preserve"> at 2.  This rate would stay in effect until the Commission adopts a new IP Relay rate.  </w:t>
      </w:r>
      <w:r>
        <w:rPr>
          <w:i/>
        </w:rPr>
        <w:t>See id.</w:t>
      </w:r>
    </w:p>
  </w:footnote>
  <w:footnote w:id="13">
    <w:p w:rsidR="00331C27" w:rsidRDefault="00331C27">
      <w:pPr>
        <w:pStyle w:val="FootnoteText"/>
      </w:pPr>
      <w:r>
        <w:rPr>
          <w:rStyle w:val="FootnoteReference"/>
        </w:rPr>
        <w:footnoteRef/>
      </w:r>
      <w:r>
        <w:t xml:space="preserve"> </w:t>
      </w:r>
      <w:r w:rsidR="00A04636">
        <w:rPr>
          <w:i/>
        </w:rPr>
        <w:t>Id</w:t>
      </w:r>
      <w:r w:rsidR="00A04636">
        <w:t>.</w:t>
      </w:r>
      <w:r>
        <w:t xml:space="preserve"> at 2</w:t>
      </w:r>
      <w:r w:rsidR="00243011">
        <w:t>.</w:t>
      </w:r>
      <w:r>
        <w:t xml:space="preserve"> </w:t>
      </w:r>
    </w:p>
  </w:footnote>
  <w:footnote w:id="14">
    <w:p w:rsidR="00331C27" w:rsidRDefault="00331C27">
      <w:pPr>
        <w:pStyle w:val="FootnoteText"/>
      </w:pPr>
      <w:r>
        <w:rPr>
          <w:rStyle w:val="FootnoteReference"/>
        </w:rPr>
        <w:footnoteRef/>
      </w:r>
      <w:r>
        <w:t xml:space="preserve"> </w:t>
      </w:r>
      <w:r w:rsidR="00A04636">
        <w:rPr>
          <w:i/>
        </w:rPr>
        <w:t>Id</w:t>
      </w:r>
      <w:r w:rsidR="00A04636">
        <w:t>.</w:t>
      </w:r>
      <w:r w:rsidRPr="00303D0D">
        <w:t xml:space="preserve"> at </w:t>
      </w:r>
      <w:r>
        <w:t>3-4.</w:t>
      </w:r>
    </w:p>
  </w:footnote>
  <w:footnote w:id="15">
    <w:p w:rsidR="00331C27" w:rsidRDefault="00331C27">
      <w:pPr>
        <w:pStyle w:val="FootnoteText"/>
      </w:pPr>
      <w:r>
        <w:rPr>
          <w:rStyle w:val="FootnoteReference"/>
        </w:rPr>
        <w:footnoteRef/>
      </w:r>
      <w:r>
        <w:t xml:space="preserve"> </w:t>
      </w:r>
      <w:r w:rsidR="00A04636">
        <w:rPr>
          <w:i/>
        </w:rPr>
        <w:t>Id</w:t>
      </w:r>
      <w:r w:rsidR="00A04636">
        <w:t>.</w:t>
      </w:r>
      <w:r w:rsidRPr="00303D0D">
        <w:t xml:space="preserve"> at </w:t>
      </w:r>
      <w:r>
        <w:t>4.</w:t>
      </w:r>
    </w:p>
  </w:footnote>
  <w:footnote w:id="16">
    <w:p w:rsidR="00331C27" w:rsidRDefault="00331C27">
      <w:pPr>
        <w:pStyle w:val="FootnoteText"/>
      </w:pPr>
      <w:r>
        <w:rPr>
          <w:rStyle w:val="FootnoteReference"/>
        </w:rPr>
        <w:footnoteRef/>
      </w:r>
      <w:r>
        <w:t xml:space="preserve"> </w:t>
      </w:r>
      <w:r w:rsidR="00A04636">
        <w:rPr>
          <w:i/>
        </w:rPr>
        <w:t>Id</w:t>
      </w:r>
      <w:r w:rsidR="00A04636">
        <w:t>.</w:t>
      </w:r>
      <w:r>
        <w:t xml:space="preserve"> at 8, n.10.</w:t>
      </w:r>
    </w:p>
  </w:footnote>
  <w:footnote w:id="17">
    <w:p w:rsidR="00331C27" w:rsidRDefault="00331C27">
      <w:pPr>
        <w:pStyle w:val="FootnoteText"/>
      </w:pPr>
      <w:r>
        <w:rPr>
          <w:rStyle w:val="FootnoteReference"/>
        </w:rPr>
        <w:footnoteRef/>
      </w:r>
      <w:r>
        <w:t xml:space="preserve"> </w:t>
      </w:r>
      <w:r w:rsidR="00A04636">
        <w:rPr>
          <w:i/>
        </w:rPr>
        <w:t>Id</w:t>
      </w:r>
      <w:r w:rsidR="00A04636">
        <w:t>.</w:t>
      </w:r>
      <w:r>
        <w:t xml:space="preserve"> at 6 n.7.</w:t>
      </w:r>
    </w:p>
  </w:footnote>
  <w:footnote w:id="18">
    <w:p w:rsidR="00331C27" w:rsidRPr="002D5A8F" w:rsidRDefault="00331C27">
      <w:pPr>
        <w:pStyle w:val="FootnoteText"/>
      </w:pPr>
      <w:r>
        <w:rPr>
          <w:rStyle w:val="FootnoteReference"/>
        </w:rPr>
        <w:footnoteRef/>
      </w:r>
      <w:r>
        <w:t xml:space="preserve"> </w:t>
      </w:r>
      <w:r>
        <w:rPr>
          <w:i/>
        </w:rPr>
        <w:t xml:space="preserve">See </w:t>
      </w:r>
      <w:r w:rsidR="00A04636">
        <w:rPr>
          <w:i/>
        </w:rPr>
        <w:t>id</w:t>
      </w:r>
      <w:r w:rsidR="00A04636">
        <w:t>.</w:t>
      </w:r>
      <w:r>
        <w:t xml:space="preserve"> at 5-6.  </w:t>
      </w:r>
      <w:r w:rsidRPr="00082F7C">
        <w:rPr>
          <w:i/>
        </w:rPr>
        <w:t>See also</w:t>
      </w:r>
      <w:r>
        <w:t xml:space="preserve"> </w:t>
      </w:r>
      <w:r w:rsidR="00A04636">
        <w:rPr>
          <w:i/>
        </w:rPr>
        <w:t>id</w:t>
      </w:r>
      <w:r w:rsidR="00A04636">
        <w:t>.</w:t>
      </w:r>
      <w:r>
        <w:t xml:space="preserve"> at 7 (“Absent adequate compensation . . . , Sprint will have no option but to discontinue IP Relay service.  Sprint simply cannot be expected </w:t>
      </w:r>
      <w:r w:rsidRPr="00B3164B">
        <w:rPr>
          <w:i/>
        </w:rPr>
        <w:t>to make the investments required</w:t>
      </w:r>
      <w:r>
        <w:t xml:space="preserve"> to remain in the IP Relay business and meet the increased demand it will face without an assurance that it will receive sufficient compensation.”) (emphasis added); </w:t>
      </w:r>
      <w:r>
        <w:rPr>
          <w:i/>
        </w:rPr>
        <w:t>see id.</w:t>
      </w:r>
      <w:r>
        <w:t xml:space="preserve"> at 3 (same).</w:t>
      </w:r>
    </w:p>
  </w:footnote>
  <w:footnote w:id="19">
    <w:p w:rsidR="00331C27" w:rsidRDefault="00331C27">
      <w:pPr>
        <w:pStyle w:val="FootnoteText"/>
      </w:pPr>
      <w:r>
        <w:rPr>
          <w:rStyle w:val="FootnoteReference"/>
        </w:rPr>
        <w:footnoteRef/>
      </w:r>
      <w:r>
        <w:t xml:space="preserve"> </w:t>
      </w:r>
      <w:r w:rsidR="00572624">
        <w:rPr>
          <w:i/>
        </w:rPr>
        <w:t>Id</w:t>
      </w:r>
      <w:r w:rsidR="00572624">
        <w:t>.</w:t>
      </w:r>
      <w:r>
        <w:t xml:space="preserve"> at 6-7.</w:t>
      </w:r>
    </w:p>
  </w:footnote>
  <w:footnote w:id="20">
    <w:p w:rsidR="00331C27" w:rsidRDefault="00331C27">
      <w:pPr>
        <w:pStyle w:val="FootnoteText"/>
      </w:pPr>
      <w:r>
        <w:rPr>
          <w:rStyle w:val="FootnoteReference"/>
        </w:rPr>
        <w:footnoteRef/>
      </w:r>
      <w:r>
        <w:t xml:space="preserve"> </w:t>
      </w:r>
      <w:r w:rsidR="00572624">
        <w:rPr>
          <w:i/>
        </w:rPr>
        <w:t>Id</w:t>
      </w:r>
      <w:r w:rsidR="00572624">
        <w:t>.</w:t>
      </w:r>
      <w:r>
        <w:t xml:space="preserve"> at 5.</w:t>
      </w:r>
    </w:p>
  </w:footnote>
  <w:footnote w:id="21">
    <w:p w:rsidR="00331C27" w:rsidRDefault="00331C27">
      <w:pPr>
        <w:pStyle w:val="FootnoteText"/>
      </w:pPr>
      <w:r>
        <w:rPr>
          <w:rStyle w:val="FootnoteReference"/>
        </w:rPr>
        <w:footnoteRef/>
      </w:r>
      <w:r>
        <w:t xml:space="preserve"> </w:t>
      </w:r>
      <w:r w:rsidR="00572624">
        <w:rPr>
          <w:i/>
        </w:rPr>
        <w:t>Id</w:t>
      </w:r>
      <w:r w:rsidR="00572624">
        <w:t>.</w:t>
      </w:r>
      <w:r>
        <w:t xml:space="preserve"> at 6 (stating that all of these expenses are due to Purple’s departure).</w:t>
      </w:r>
    </w:p>
  </w:footnote>
  <w:footnote w:id="22">
    <w:p w:rsidR="00331C27" w:rsidRDefault="00331C27" w:rsidP="00F13C36">
      <w:pPr>
        <w:pStyle w:val="FootnoteText"/>
      </w:pPr>
      <w:r>
        <w:rPr>
          <w:rStyle w:val="FootnoteReference"/>
        </w:rPr>
        <w:footnoteRef/>
      </w:r>
      <w:r>
        <w:t xml:space="preserve"> </w:t>
      </w:r>
      <w:r w:rsidRPr="0045635D">
        <w:rPr>
          <w:i/>
        </w:rPr>
        <w:t>See</w:t>
      </w:r>
      <w:r>
        <w:t xml:space="preserve"> </w:t>
      </w:r>
      <w:r w:rsidRPr="00E008EB">
        <w:t xml:space="preserve">47 </w:t>
      </w:r>
      <w:r>
        <w:t>C.F.R.</w:t>
      </w:r>
      <w:r w:rsidRPr="00E008EB">
        <w:t xml:space="preserve"> § </w:t>
      </w:r>
      <w:r>
        <w:t>64.604(c)(5)(iii)(H)</w:t>
      </w:r>
      <w:r w:rsidRPr="00E008EB">
        <w:t>.</w:t>
      </w:r>
      <w:r w:rsidRPr="00F13C36">
        <w:rPr>
          <w:rFonts w:ascii="TimesNewRoman" w:hAnsi="TimesNewRoman" w:cs="TimesNewRoman"/>
        </w:rPr>
        <w:t xml:space="preserve"> </w:t>
      </w:r>
      <w:r>
        <w:rPr>
          <w:rFonts w:ascii="TimesNewRoman" w:hAnsi="TimesNewRoman" w:cs="TimesNewRoman"/>
        </w:rPr>
        <w:t xml:space="preserve"> </w:t>
      </w:r>
    </w:p>
  </w:footnote>
  <w:footnote w:id="23">
    <w:p w:rsidR="00331C27" w:rsidRDefault="00331C27">
      <w:pPr>
        <w:pStyle w:val="FootnoteText"/>
      </w:pPr>
      <w:r>
        <w:rPr>
          <w:rStyle w:val="FootnoteReference"/>
        </w:rPr>
        <w:footnoteRef/>
      </w:r>
      <w:r>
        <w:t xml:space="preserve"> </w:t>
      </w:r>
      <w:r w:rsidRPr="00C457F5">
        <w:rPr>
          <w:i/>
        </w:rPr>
        <w:t>See Telecommunications Relay Services and Speech-to-Speech Services for Individuals with Hearing and Speech Disabilities</w:t>
      </w:r>
      <w:r w:rsidRPr="00C457F5">
        <w:t>, 22 FCC Rcd 20140, 20159-60, ¶¶ 25-60 (2007) (</w:t>
      </w:r>
      <w:r w:rsidRPr="00C457F5">
        <w:rPr>
          <w:i/>
        </w:rPr>
        <w:t>2007 TRS Rate Methodology Order</w:t>
      </w:r>
      <w:r w:rsidRPr="00C457F5">
        <w:t>).</w:t>
      </w:r>
      <w:r>
        <w:t xml:space="preserve">  </w:t>
      </w:r>
      <w:r w:rsidRPr="00271186">
        <w:t xml:space="preserve">The 2014-15 Fund Year is the second year of a three-year </w:t>
      </w:r>
      <w:r>
        <w:t xml:space="preserve">price cap rate </w:t>
      </w:r>
      <w:r w:rsidRPr="00271186">
        <w:t>period</w:t>
      </w:r>
      <w:r>
        <w:t xml:space="preserve"> for IP Relay compensation</w:t>
      </w:r>
      <w:r w:rsidRPr="00271186">
        <w:t>.</w:t>
      </w:r>
      <w:r>
        <w:t xml:space="preserve">  </w:t>
      </w:r>
      <w:r w:rsidRPr="00C457F5">
        <w:rPr>
          <w:i/>
        </w:rPr>
        <w:t>2014 TRS Rate Order</w:t>
      </w:r>
      <w:r>
        <w:t>,</w:t>
      </w:r>
      <w:r w:rsidRPr="00C457F5">
        <w:t xml:space="preserve"> 29 FCC Rcd </w:t>
      </w:r>
      <w:r>
        <w:t>at</w:t>
      </w:r>
      <w:r w:rsidRPr="00C457F5">
        <w:t xml:space="preserve"> 8048, ¶ 1</w:t>
      </w:r>
      <w:r>
        <w:t>1.</w:t>
      </w:r>
    </w:p>
  </w:footnote>
  <w:footnote w:id="24">
    <w:p w:rsidR="00331C27" w:rsidRDefault="00331C27">
      <w:pPr>
        <w:pStyle w:val="FootnoteText"/>
      </w:pPr>
      <w:r>
        <w:rPr>
          <w:rStyle w:val="FootnoteReference"/>
        </w:rPr>
        <w:footnoteRef/>
      </w:r>
      <w:r>
        <w:t xml:space="preserve"> </w:t>
      </w:r>
      <w:r w:rsidRPr="0045635D">
        <w:rPr>
          <w:i/>
        </w:rPr>
        <w:t>See, e.g.</w:t>
      </w:r>
      <w:r>
        <w:t xml:space="preserve">, </w:t>
      </w:r>
      <w:r w:rsidRPr="00E008EB">
        <w:rPr>
          <w:i/>
        </w:rPr>
        <w:t>Telecommunications Relay Services and Speech-to-Speech Services for Individuals with Hearing and Speech Disabilities</w:t>
      </w:r>
      <w:r w:rsidRPr="00E008EB">
        <w:t xml:space="preserve">, </w:t>
      </w:r>
      <w:r>
        <w:t xml:space="preserve">CC Docket No. 98-67, </w:t>
      </w:r>
      <w:r w:rsidRPr="00E008EB">
        <w:t xml:space="preserve">Order, </w:t>
      </w:r>
      <w:r>
        <w:t>1</w:t>
      </w:r>
      <w:r w:rsidRPr="00E008EB">
        <w:t xml:space="preserve">9 FCC Rcd </w:t>
      </w:r>
      <w:r>
        <w:t xml:space="preserve">2993 (CGB 2004) </w:t>
      </w:r>
      <w:r w:rsidRPr="00F33B1E">
        <w:t>(</w:t>
      </w:r>
      <w:r w:rsidRPr="0045635D">
        <w:rPr>
          <w:i/>
        </w:rPr>
        <w:t>2004 Contribution Factor Adjustment Order</w:t>
      </w:r>
      <w:r w:rsidRPr="00F33B1E">
        <w:t xml:space="preserve">) </w:t>
      </w:r>
      <w:r>
        <w:t>(adjusting contribution factor to ensure that the TRS Fund has adequate funds to compensate TRS providers) (</w:t>
      </w:r>
      <w:r w:rsidRPr="00082F7C">
        <w:rPr>
          <w:i/>
        </w:rPr>
        <w:t xml:space="preserve">2004 </w:t>
      </w:r>
      <w:r>
        <w:rPr>
          <w:i/>
        </w:rPr>
        <w:t>C</w:t>
      </w:r>
      <w:r w:rsidRPr="00082F7C">
        <w:rPr>
          <w:i/>
        </w:rPr>
        <w:t xml:space="preserve">ontribution </w:t>
      </w:r>
      <w:r>
        <w:rPr>
          <w:i/>
        </w:rPr>
        <w:t>F</w:t>
      </w:r>
      <w:r w:rsidRPr="00082F7C">
        <w:rPr>
          <w:i/>
        </w:rPr>
        <w:t xml:space="preserve">actor </w:t>
      </w:r>
      <w:r>
        <w:rPr>
          <w:i/>
        </w:rPr>
        <w:t>A</w:t>
      </w:r>
      <w:r w:rsidRPr="00082F7C">
        <w:rPr>
          <w:i/>
        </w:rPr>
        <w:t xml:space="preserve">djustment </w:t>
      </w:r>
      <w:r>
        <w:rPr>
          <w:i/>
        </w:rPr>
        <w:t>O</w:t>
      </w:r>
      <w:r w:rsidRPr="00082F7C">
        <w:rPr>
          <w:i/>
        </w:rPr>
        <w:t>rder</w:t>
      </w:r>
      <w:r>
        <w:t xml:space="preserve">); </w:t>
      </w:r>
      <w:r w:rsidRPr="00F33B1E">
        <w:rPr>
          <w:i/>
        </w:rPr>
        <w:t>Telecommunications Relay Services and Speech-to-Speech Services for Individuals with Hearing and Speech Disabilities</w:t>
      </w:r>
      <w:r w:rsidRPr="00F33B1E">
        <w:t xml:space="preserve">, CC Docket No. 98-67, Order, 19 FCC Rcd </w:t>
      </w:r>
      <w:r>
        <w:t>24981</w:t>
      </w:r>
      <w:r w:rsidRPr="00F33B1E">
        <w:t xml:space="preserve"> (CGB 2004)</w:t>
      </w:r>
      <w:r w:rsidRPr="00F33B1E">
        <w:rPr>
          <w:snapToGrid w:val="0"/>
          <w:kern w:val="28"/>
          <w:sz w:val="22"/>
        </w:rPr>
        <w:t xml:space="preserve"> </w:t>
      </w:r>
      <w:r w:rsidRPr="00F33B1E">
        <w:t>(</w:t>
      </w:r>
      <w:r w:rsidRPr="00F33B1E">
        <w:rPr>
          <w:i/>
        </w:rPr>
        <w:t xml:space="preserve">2004 </w:t>
      </w:r>
      <w:r>
        <w:rPr>
          <w:i/>
        </w:rPr>
        <w:t>Compensation</w:t>
      </w:r>
      <w:r w:rsidRPr="00F33B1E">
        <w:rPr>
          <w:i/>
        </w:rPr>
        <w:t xml:space="preserve"> </w:t>
      </w:r>
      <w:r>
        <w:rPr>
          <w:i/>
        </w:rPr>
        <w:t>Rate</w:t>
      </w:r>
      <w:r w:rsidRPr="00F33B1E">
        <w:rPr>
          <w:i/>
        </w:rPr>
        <w:t xml:space="preserve"> Adjustment Order</w:t>
      </w:r>
      <w:r w:rsidRPr="00F33B1E">
        <w:t>) (</w:t>
      </w:r>
      <w:r>
        <w:t>modifying</w:t>
      </w:r>
      <w:r w:rsidRPr="00F33B1E">
        <w:t xml:space="preserve"> </w:t>
      </w:r>
      <w:r>
        <w:t>TRS compensation rates</w:t>
      </w:r>
      <w:r w:rsidRPr="00F33B1E">
        <w:t xml:space="preserve"> </w:t>
      </w:r>
      <w:r>
        <w:t>based on anticipated adjustments in the underlying cost data</w:t>
      </w:r>
      <w:r w:rsidRPr="00F33B1E">
        <w:t>)</w:t>
      </w:r>
      <w:r>
        <w:t>.</w:t>
      </w:r>
    </w:p>
  </w:footnote>
  <w:footnote w:id="25">
    <w:p w:rsidR="00331C27" w:rsidRPr="000D5BA4" w:rsidRDefault="00331C27" w:rsidP="00B47852">
      <w:pPr>
        <w:pStyle w:val="FootnoteText"/>
      </w:pPr>
      <w:r>
        <w:rPr>
          <w:rStyle w:val="FootnoteReference"/>
        </w:rPr>
        <w:footnoteRef/>
      </w:r>
      <w:r>
        <w:t xml:space="preserve"> </w:t>
      </w:r>
      <w:r w:rsidRPr="002213B3">
        <w:rPr>
          <w:i/>
        </w:rPr>
        <w:t>See</w:t>
      </w:r>
      <w:r>
        <w:rPr>
          <w:i/>
        </w:rPr>
        <w:t xml:space="preserve"> generally</w:t>
      </w:r>
      <w:r>
        <w:t xml:space="preserve"> Telecommunications for the Deaf and Hard of Hearing, Inc. (TDI) </w:t>
      </w:r>
      <w:r w:rsidRPr="00D01AEB">
        <w:rPr>
          <w:i/>
        </w:rPr>
        <w:t>Ex Parte</w:t>
      </w:r>
      <w:r>
        <w:t>, CG Docket No. 03-123, at 1</w:t>
      </w:r>
      <w:r w:rsidR="00922F12">
        <w:t xml:space="preserve"> </w:t>
      </w:r>
      <w:r w:rsidRPr="00D44A8B">
        <w:t>(filed Oct. 31, 2014)</w:t>
      </w:r>
      <w:r>
        <w:t xml:space="preserve">; Douglas G. Danforth </w:t>
      </w:r>
      <w:r>
        <w:rPr>
          <w:i/>
        </w:rPr>
        <w:t>Ex Parte</w:t>
      </w:r>
      <w:r>
        <w:t xml:space="preserve">, CG Docket No. 03-123 (filed Nov. 12, 2014); Brett Hermance </w:t>
      </w:r>
      <w:r>
        <w:rPr>
          <w:i/>
        </w:rPr>
        <w:t>Ex Parte</w:t>
      </w:r>
      <w:r>
        <w:t xml:space="preserve">, CG Docket No. 03-123 (filed Nov. 12, 2014); Sarah Kalmar </w:t>
      </w:r>
      <w:r>
        <w:rPr>
          <w:i/>
        </w:rPr>
        <w:t>Ex Parte</w:t>
      </w:r>
      <w:r>
        <w:t xml:space="preserve">, CG Docket No. 03-123 (filed Nov. 17, 2014); Michelle Wallace </w:t>
      </w:r>
      <w:r>
        <w:rPr>
          <w:i/>
        </w:rPr>
        <w:t>Ex Parte</w:t>
      </w:r>
      <w:r>
        <w:t>, CG Docket No. 03-123 (filed Nov. 17, 2014).</w:t>
      </w:r>
    </w:p>
  </w:footnote>
  <w:footnote w:id="26">
    <w:p w:rsidR="00331C27" w:rsidRPr="000D5BA4" w:rsidRDefault="00331C27" w:rsidP="00B47852">
      <w:pPr>
        <w:pStyle w:val="FootnoteText"/>
      </w:pPr>
      <w:r>
        <w:rPr>
          <w:rStyle w:val="FootnoteReference"/>
        </w:rPr>
        <w:footnoteRef/>
      </w:r>
      <w:r>
        <w:t xml:space="preserve"> </w:t>
      </w:r>
      <w:r>
        <w:rPr>
          <w:i/>
        </w:rPr>
        <w:t>See</w:t>
      </w:r>
      <w:r>
        <w:t xml:space="preserve"> Joint Statement of American Association of Deaf-Blind (AADB) and DeafBlind Citizens Action (DBCA), CG Docket Nos. 03-123</w:t>
      </w:r>
      <w:r w:rsidR="00922F12">
        <w:t>,</w:t>
      </w:r>
      <w:r>
        <w:t xml:space="preserve"> 12-38 (filed Nov. 3, 2014); National Association of the Deaf (NAD) </w:t>
      </w:r>
      <w:r w:rsidRPr="00D01AEB">
        <w:rPr>
          <w:i/>
        </w:rPr>
        <w:t>Ex Parte</w:t>
      </w:r>
      <w:r>
        <w:t xml:space="preserve">, CG Docket No. 03-123 (filed Nov. 10, 2014); Helen Keller National Center (HKNC) and AADB </w:t>
      </w:r>
      <w:r>
        <w:rPr>
          <w:i/>
        </w:rPr>
        <w:t>Ex Parte</w:t>
      </w:r>
      <w:r>
        <w:t xml:space="preserve">, CG Docket No. 03-123 (filed Nov. 13, 2014); Martha Timms </w:t>
      </w:r>
      <w:r>
        <w:rPr>
          <w:i/>
        </w:rPr>
        <w:t>Ex Parte</w:t>
      </w:r>
      <w:r>
        <w:t xml:space="preserve">, CG Docket No. 03-123 (filed Nov. 12, 2014); Judy Jonas </w:t>
      </w:r>
      <w:r>
        <w:rPr>
          <w:i/>
        </w:rPr>
        <w:t>Ex Parte</w:t>
      </w:r>
      <w:r>
        <w:t>, CG Docket No. 03-123 (filed Nov. 17, 2014).</w:t>
      </w:r>
    </w:p>
  </w:footnote>
  <w:footnote w:id="27">
    <w:p w:rsidR="00331C27" w:rsidRPr="000D5BA4" w:rsidRDefault="00331C27" w:rsidP="00B47852">
      <w:pPr>
        <w:pStyle w:val="FootnoteText"/>
      </w:pPr>
      <w:r>
        <w:rPr>
          <w:rStyle w:val="FootnoteReference"/>
        </w:rPr>
        <w:footnoteRef/>
      </w:r>
      <w:r>
        <w:t xml:space="preserve"> </w:t>
      </w:r>
      <w:r>
        <w:rPr>
          <w:i/>
        </w:rPr>
        <w:t>See</w:t>
      </w:r>
      <w:r>
        <w:t xml:space="preserve"> Christina Dombkowski </w:t>
      </w:r>
      <w:r>
        <w:rPr>
          <w:i/>
        </w:rPr>
        <w:t>Ex Parte</w:t>
      </w:r>
      <w:r>
        <w:t>, CG Docket No. 03-123 (filed Nov. 14, 2014).</w:t>
      </w:r>
    </w:p>
  </w:footnote>
  <w:footnote w:id="28">
    <w:p w:rsidR="00331C27" w:rsidRPr="003912C6" w:rsidRDefault="00331C27" w:rsidP="00B47852">
      <w:pPr>
        <w:pStyle w:val="FootnoteText"/>
      </w:pPr>
      <w:r>
        <w:rPr>
          <w:rStyle w:val="FootnoteReference"/>
        </w:rPr>
        <w:footnoteRef/>
      </w:r>
      <w:r>
        <w:t xml:space="preserve"> </w:t>
      </w:r>
      <w:r>
        <w:rPr>
          <w:i/>
        </w:rPr>
        <w:t>See</w:t>
      </w:r>
      <w:r>
        <w:t xml:space="preserve"> Alfred Bennett </w:t>
      </w:r>
      <w:r>
        <w:rPr>
          <w:i/>
        </w:rPr>
        <w:t>Ex Parte</w:t>
      </w:r>
      <w:r>
        <w:t xml:space="preserve">, CG Docket No. 03-123 (filed Nov. 12, 2014); John Garvin </w:t>
      </w:r>
      <w:r>
        <w:rPr>
          <w:i/>
        </w:rPr>
        <w:t>Ex Parte</w:t>
      </w:r>
      <w:r>
        <w:t xml:space="preserve">, CG Docket No. 03-123 (filed Nov. 12, 2014); Rebecca Brodie </w:t>
      </w:r>
      <w:r>
        <w:rPr>
          <w:i/>
        </w:rPr>
        <w:t>Ex Parte</w:t>
      </w:r>
      <w:r>
        <w:t xml:space="preserve">, CG Docket No. 03-123 (filed Nov. 13, 2014); Susan Pfeuffer </w:t>
      </w:r>
      <w:r>
        <w:rPr>
          <w:i/>
        </w:rPr>
        <w:t>Ex Parte</w:t>
      </w:r>
      <w:r>
        <w:t>, CG Docket No. 03-123 (filed Nov. 13, 2014).</w:t>
      </w:r>
    </w:p>
  </w:footnote>
  <w:footnote w:id="29">
    <w:p w:rsidR="00331C27" w:rsidRDefault="00331C27">
      <w:pPr>
        <w:pStyle w:val="FootnoteText"/>
      </w:pPr>
      <w:r>
        <w:rPr>
          <w:rStyle w:val="FootnoteReference"/>
        </w:rPr>
        <w:footnoteRef/>
      </w:r>
      <w:r>
        <w:t xml:space="preserve"> </w:t>
      </w:r>
      <w:r w:rsidRPr="005653A6">
        <w:rPr>
          <w:i/>
        </w:rPr>
        <w:t>See</w:t>
      </w:r>
      <w:r>
        <w:t xml:space="preserve"> </w:t>
      </w:r>
      <w:r w:rsidRPr="007C5C98">
        <w:rPr>
          <w:i/>
        </w:rPr>
        <w:t>2004 Contribution Factor Adjustment Order</w:t>
      </w:r>
      <w:r>
        <w:t xml:space="preserve">, 19 FCC Rcd at 2996 (finding good cause to waive the Commission’s rules “to the extent they require that the carrier contribution factor be determined on an annual basis”).  </w:t>
      </w:r>
    </w:p>
  </w:footnote>
  <w:footnote w:id="30">
    <w:p w:rsidR="00331C27" w:rsidRDefault="00331C27" w:rsidP="007C5C98">
      <w:pPr>
        <w:pStyle w:val="FootnoteText"/>
      </w:pPr>
      <w:r>
        <w:rPr>
          <w:rStyle w:val="FootnoteReference"/>
        </w:rPr>
        <w:footnoteRef/>
      </w:r>
      <w:r>
        <w:t xml:space="preserve"> 47 C.F.R. § 1.3.</w:t>
      </w:r>
    </w:p>
  </w:footnote>
  <w:footnote w:id="31">
    <w:p w:rsidR="00331C27" w:rsidRDefault="00331C27" w:rsidP="007C5C98">
      <w:pPr>
        <w:pStyle w:val="FootnoteText"/>
      </w:pPr>
      <w:r>
        <w:rPr>
          <w:rStyle w:val="FootnoteReference"/>
        </w:rPr>
        <w:footnoteRef/>
      </w:r>
      <w:r>
        <w:t xml:space="preserve"> </w:t>
      </w:r>
      <w:r>
        <w:rPr>
          <w:i/>
        </w:rPr>
        <w:t>Northeast Cellular Telephone Co. v. FCC</w:t>
      </w:r>
      <w:r>
        <w:t>, 897 F.2d 1164, 1166 (D.C. Cir. 1990) (</w:t>
      </w:r>
      <w:r>
        <w:rPr>
          <w:i/>
        </w:rPr>
        <w:t>Northeast Cellular</w:t>
      </w:r>
      <w:r>
        <w:t>).</w:t>
      </w:r>
    </w:p>
  </w:footnote>
  <w:footnote w:id="32">
    <w:p w:rsidR="00331C27" w:rsidRDefault="00331C27" w:rsidP="007C5C98">
      <w:pPr>
        <w:pStyle w:val="FootnoteText"/>
      </w:pPr>
      <w:r>
        <w:rPr>
          <w:rStyle w:val="FootnoteReference"/>
        </w:rPr>
        <w:footnoteRef/>
      </w:r>
      <w:r>
        <w:rPr>
          <w:i/>
        </w:rPr>
        <w:t xml:space="preserve"> WAIT Radio v. FCC</w:t>
      </w:r>
      <w:r>
        <w:t>,</w:t>
      </w:r>
      <w:r>
        <w:rPr>
          <w:i/>
        </w:rPr>
        <w:t xml:space="preserve"> </w:t>
      </w:r>
      <w:r>
        <w:t>418 F.2d 1153, 1159 (D.C. Cir. 1969) (</w:t>
      </w:r>
      <w:r>
        <w:rPr>
          <w:i/>
        </w:rPr>
        <w:t>WAIT Radio</w:t>
      </w:r>
      <w:r>
        <w:t xml:space="preserve">); </w:t>
      </w:r>
      <w:r>
        <w:rPr>
          <w:i/>
        </w:rPr>
        <w:t>Northeast Cellular</w:t>
      </w:r>
      <w:r>
        <w:t>,</w:t>
      </w:r>
      <w:r>
        <w:rPr>
          <w:i/>
        </w:rPr>
        <w:t xml:space="preserve"> </w:t>
      </w:r>
      <w:r>
        <w:t>897 F.2d at 1166.</w:t>
      </w:r>
    </w:p>
  </w:footnote>
  <w:footnote w:id="33">
    <w:p w:rsidR="00331C27" w:rsidRDefault="00331C27" w:rsidP="007C5C98">
      <w:pPr>
        <w:pStyle w:val="FootnoteText"/>
      </w:pPr>
      <w:r>
        <w:rPr>
          <w:rStyle w:val="FootnoteReference"/>
        </w:rPr>
        <w:footnoteRef/>
      </w:r>
      <w:r>
        <w:t xml:space="preserve"> </w:t>
      </w:r>
      <w:r>
        <w:rPr>
          <w:i/>
        </w:rPr>
        <w:t>Northeast Cellular</w:t>
      </w:r>
      <w:r>
        <w:t>, 897 F.2d at 1166.</w:t>
      </w:r>
    </w:p>
  </w:footnote>
  <w:footnote w:id="34">
    <w:p w:rsidR="00331C27" w:rsidRDefault="00331C27" w:rsidP="00217BC9">
      <w:pPr>
        <w:pStyle w:val="FootnoteText"/>
      </w:pPr>
      <w:r>
        <w:rPr>
          <w:rStyle w:val="FootnoteReference"/>
        </w:rPr>
        <w:footnoteRef/>
      </w:r>
      <w:r>
        <w:t xml:space="preserve"> In further justification of a mid-price-cap-cycle modification of the IP Relay compensation rate, </w:t>
      </w:r>
      <w:r w:rsidR="00661AAE">
        <w:t xml:space="preserve">we observe that </w:t>
      </w:r>
      <w:r w:rsidR="003138C8">
        <w:t>some of</w:t>
      </w:r>
      <w:r w:rsidR="00661AAE">
        <w:t xml:space="preserve"> </w:t>
      </w:r>
      <w:r>
        <w:t xml:space="preserve">the assumptions </w:t>
      </w:r>
      <w:r w:rsidR="00661AAE">
        <w:t>previously used in applying</w:t>
      </w:r>
      <w:r>
        <w:t xml:space="preserve"> the price cap methodology </w:t>
      </w:r>
      <w:r w:rsidR="00661AAE">
        <w:t xml:space="preserve">to determine the </w:t>
      </w:r>
      <w:r>
        <w:t xml:space="preserve">IP Relay </w:t>
      </w:r>
      <w:r w:rsidR="00661AAE">
        <w:t xml:space="preserve">rates for </w:t>
      </w:r>
      <w:r>
        <w:t>this rate cycle</w:t>
      </w:r>
      <w:r w:rsidR="003138C8">
        <w:t xml:space="preserve"> have been put into question by </w:t>
      </w:r>
      <w:r w:rsidR="006F5BB8">
        <w:t xml:space="preserve">subsequent </w:t>
      </w:r>
      <w:r w:rsidR="003138C8">
        <w:t>developments</w:t>
      </w:r>
      <w:r>
        <w:t xml:space="preserve">. </w:t>
      </w:r>
      <w:r w:rsidR="006F5BB8">
        <w:t xml:space="preserve"> </w:t>
      </w:r>
      <w:r w:rsidR="003138C8">
        <w:t>For example, e</w:t>
      </w:r>
      <w:r w:rsidR="00661AAE">
        <w:t xml:space="preserve">arlier this year, after </w:t>
      </w:r>
      <w:r>
        <w:t xml:space="preserve">three of the five providers whose costs were considered in establishing the base IP Relay rate </w:t>
      </w:r>
      <w:r w:rsidR="00661AAE">
        <w:t>ceased</w:t>
      </w:r>
      <w:r>
        <w:t xml:space="preserve"> providing the service and </w:t>
      </w:r>
      <w:r w:rsidR="00661AAE">
        <w:t xml:space="preserve">after </w:t>
      </w:r>
      <w:r>
        <w:t xml:space="preserve">especially dramatic declines in </w:t>
      </w:r>
      <w:r w:rsidRPr="00217BC9">
        <w:t xml:space="preserve">IP Relay usage, </w:t>
      </w:r>
      <w:r>
        <w:t xml:space="preserve">the Bureau found it necessary both to increase the base IP Relay rate and to eliminate the 6 percent downward adjustment factor established in the </w:t>
      </w:r>
      <w:r w:rsidRPr="0039315C">
        <w:rPr>
          <w:i/>
        </w:rPr>
        <w:t>2013 TRS Rate Order</w:t>
      </w:r>
      <w:r>
        <w:t xml:space="preserve">.  </w:t>
      </w:r>
      <w:r w:rsidRPr="00E74E5B">
        <w:rPr>
          <w:i/>
        </w:rPr>
        <w:t>2014 TRS Rate Order</w:t>
      </w:r>
      <w:r>
        <w:t xml:space="preserve">, 29 FCC Rcd at 8048-49, ¶ 13, 8051-52, ¶¶ 18-19.  The removal of yet another provider from the </w:t>
      </w:r>
      <w:r w:rsidR="00661AAE">
        <w:t xml:space="preserve">IP Relay </w:t>
      </w:r>
      <w:r>
        <w:t xml:space="preserve">cost pool, leaving only Sprint, represents </w:t>
      </w:r>
      <w:r w:rsidR="00661AAE">
        <w:t xml:space="preserve">one more </w:t>
      </w:r>
      <w:r>
        <w:t xml:space="preserve">change that has further eroded the practical value of the price cap methodology in these particular circumstances. </w:t>
      </w:r>
    </w:p>
  </w:footnote>
  <w:footnote w:id="35">
    <w:p w:rsidR="00331C27" w:rsidRDefault="00331C27" w:rsidP="00471EE8">
      <w:pPr>
        <w:pStyle w:val="FootnoteText"/>
      </w:pPr>
      <w:r>
        <w:rPr>
          <w:rStyle w:val="FootnoteReference"/>
        </w:rPr>
        <w:footnoteRef/>
      </w:r>
      <w:r>
        <w:t xml:space="preserve"> </w:t>
      </w:r>
      <w:r w:rsidRPr="00340C6C">
        <w:rPr>
          <w:i/>
          <w:iCs/>
        </w:rPr>
        <w:t xml:space="preserve">See </w:t>
      </w:r>
      <w:r w:rsidRPr="002134BA">
        <w:rPr>
          <w:i/>
        </w:rPr>
        <w:t xml:space="preserve">Sorenson </w:t>
      </w:r>
      <w:r w:rsidR="00C409C1">
        <w:rPr>
          <w:i/>
        </w:rPr>
        <w:t>Communications, Inc. v. FCC</w:t>
      </w:r>
      <w:r w:rsidRPr="00340C6C">
        <w:t xml:space="preserve">, 659 F.3d </w:t>
      </w:r>
      <w:r w:rsidR="00D777E4">
        <w:t>1035</w:t>
      </w:r>
      <w:r w:rsidR="00C41B17">
        <w:t xml:space="preserve">, </w:t>
      </w:r>
      <w:r w:rsidRPr="00340C6C">
        <w:t>1046</w:t>
      </w:r>
      <w:r w:rsidR="009E220C">
        <w:t xml:space="preserve"> (10</w:t>
      </w:r>
      <w:r w:rsidR="009E220C" w:rsidRPr="009E220C">
        <w:rPr>
          <w:vertAlign w:val="superscript"/>
        </w:rPr>
        <w:t>th</w:t>
      </w:r>
      <w:r w:rsidR="009E220C">
        <w:t xml:space="preserve"> Cir. 201</w:t>
      </w:r>
      <w:r w:rsidR="00D777E4">
        <w:t>1</w:t>
      </w:r>
      <w:r w:rsidR="009E220C">
        <w:t>)</w:t>
      </w:r>
      <w:r>
        <w:t>,</w:t>
      </w:r>
      <w:r w:rsidR="002134BA">
        <w:t xml:space="preserve"> </w:t>
      </w:r>
      <w:r w:rsidRPr="00340C6C">
        <w:rPr>
          <w:i/>
          <w:iCs/>
        </w:rPr>
        <w:t>quoting Qwest Corp. v. FCC</w:t>
      </w:r>
      <w:r w:rsidRPr="00340C6C">
        <w:t xml:space="preserve">, 258 F.3d 1191, 1206 (10th Cir. 2001) and </w:t>
      </w:r>
      <w:r w:rsidRPr="00340C6C">
        <w:rPr>
          <w:i/>
          <w:iCs/>
        </w:rPr>
        <w:t>Sw. Bell</w:t>
      </w:r>
      <w:r>
        <w:rPr>
          <w:i/>
          <w:iCs/>
        </w:rPr>
        <w:t xml:space="preserve"> </w:t>
      </w:r>
      <w:r w:rsidRPr="00340C6C">
        <w:rPr>
          <w:i/>
          <w:iCs/>
        </w:rPr>
        <w:t>Tel. Co. v. FCC</w:t>
      </w:r>
      <w:r w:rsidRPr="00340C6C">
        <w:t>, 168 F.3d 1344, 1352 (D.C. Cir. 1999)</w:t>
      </w:r>
      <w:r>
        <w:t xml:space="preserve">, and noting </w:t>
      </w:r>
      <w:r w:rsidR="006F5BB8">
        <w:t xml:space="preserve">that </w:t>
      </w:r>
      <w:r w:rsidRPr="00340C6C">
        <w:t>“the FCC is entitled to substantial deference when</w:t>
      </w:r>
      <w:r>
        <w:t xml:space="preserve"> </w:t>
      </w:r>
      <w:r w:rsidRPr="00340C6C">
        <w:t>adopting interim rates</w:t>
      </w:r>
      <w:r>
        <w:t>.</w:t>
      </w:r>
      <w:r w:rsidRPr="00340C6C">
        <w:t>”</w:t>
      </w:r>
      <w:r>
        <w:t xml:space="preserve">  </w:t>
      </w:r>
      <w:r w:rsidR="00C409C1">
        <w:t>Further, “[</w:t>
      </w:r>
      <w:r w:rsidR="00C409C1" w:rsidRPr="00C409C1">
        <w:t xml:space="preserve">t]he relevant question is whether the agency’s numbers are within a zone of reasonableness, not whether its numbers are precisely right.” </w:t>
      </w:r>
      <w:r w:rsidR="00C409C1" w:rsidRPr="003138C8">
        <w:rPr>
          <w:i/>
        </w:rPr>
        <w:t>Sorenson Communications, Inc. v. FCC</w:t>
      </w:r>
      <w:r w:rsidR="00C409C1">
        <w:t xml:space="preserve">, </w:t>
      </w:r>
      <w:r w:rsidR="00D777E4">
        <w:t>No. 13-1215,</w:t>
      </w:r>
      <w:r w:rsidR="00C409C1">
        <w:t xml:space="preserve"> D.C. Cir.</w:t>
      </w:r>
      <w:r w:rsidR="00D777E4">
        <w:t>, Sept. 2,</w:t>
      </w:r>
      <w:r w:rsidR="00C409C1">
        <w:t xml:space="preserve"> 2014,</w:t>
      </w:r>
      <w:r w:rsidR="00D777E4">
        <w:t xml:space="preserve"> at 25,</w:t>
      </w:r>
      <w:r w:rsidR="00C409C1">
        <w:t xml:space="preserve"> </w:t>
      </w:r>
      <w:r w:rsidR="00C409C1" w:rsidRPr="003138C8">
        <w:rPr>
          <w:i/>
        </w:rPr>
        <w:t>quoting</w:t>
      </w:r>
      <w:r w:rsidR="00C409C1">
        <w:t xml:space="preserve"> </w:t>
      </w:r>
      <w:r w:rsidR="00C409C1" w:rsidRPr="00C409C1">
        <w:rPr>
          <w:i/>
          <w:iCs/>
        </w:rPr>
        <w:t>WorldCom, Inc. v. FCC</w:t>
      </w:r>
      <w:r w:rsidR="00C409C1" w:rsidRPr="00C409C1">
        <w:t>, 238 F.3d 449, 462 (D.C. Cir. 2001) (quotation marks omitted).</w:t>
      </w:r>
    </w:p>
  </w:footnote>
  <w:footnote w:id="36">
    <w:p w:rsidR="00331C27" w:rsidRDefault="00331C27" w:rsidP="009E220C">
      <w:pPr>
        <w:pStyle w:val="FootnoteText"/>
      </w:pPr>
      <w:r>
        <w:rPr>
          <w:rStyle w:val="FootnoteReference"/>
        </w:rPr>
        <w:footnoteRef/>
      </w:r>
      <w:r>
        <w:t xml:space="preserve"> </w:t>
      </w:r>
      <w:r w:rsidRPr="001A2F16">
        <w:rPr>
          <w:i/>
        </w:rPr>
        <w:t>See also</w:t>
      </w:r>
      <w:r>
        <w:t xml:space="preserve"> </w:t>
      </w:r>
      <w:r w:rsidRPr="00340C6C">
        <w:rPr>
          <w:i/>
          <w:iCs/>
        </w:rPr>
        <w:t>2010 TRS Rate Order</w:t>
      </w:r>
      <w:r w:rsidRPr="00340C6C">
        <w:t xml:space="preserve">, 25 FCC Rcd at 8695, ¶ 12 (setting </w:t>
      </w:r>
      <w:r>
        <w:t xml:space="preserve">VRS </w:t>
      </w:r>
      <w:r w:rsidRPr="00340C6C">
        <w:t xml:space="preserve">rates above cost in order to spare providers from a precipitous rate drop and </w:t>
      </w:r>
      <w:r>
        <w:t>e</w:t>
      </w:r>
      <w:r w:rsidR="00E23E39">
        <w:t>n</w:t>
      </w:r>
      <w:r>
        <w:t>able</w:t>
      </w:r>
      <w:r w:rsidRPr="00340C6C">
        <w:t xml:space="preserve"> them to continue providing high quality service pending structural reform).</w:t>
      </w:r>
      <w:r w:rsidRPr="00340C6C">
        <w:rPr>
          <w:i/>
          <w:iCs/>
          <w:sz w:val="18"/>
          <w:szCs w:val="18"/>
        </w:rPr>
        <w:t xml:space="preserve"> </w:t>
      </w:r>
      <w:r w:rsidRPr="005653A6">
        <w:rPr>
          <w:i/>
        </w:rPr>
        <w:t>VRS Reform Order</w:t>
      </w:r>
      <w:r>
        <w:t>, 28 FCC Rcd at 8703-04</w:t>
      </w:r>
      <w:r w:rsidR="00B71D54">
        <w:t xml:space="preserve"> ¶¶</w:t>
      </w:r>
      <w:r>
        <w:t xml:space="preserve"> </w:t>
      </w:r>
      <w:r w:rsidR="00B71D54">
        <w:t xml:space="preserve">212-13 </w:t>
      </w:r>
      <w:r>
        <w:t>(establishing a “glide path” from existing VRS compensation rates toward cost-based levels, in order to</w:t>
      </w:r>
      <w:r w:rsidRPr="002A65B7">
        <w:t xml:space="preserve"> improve the predictability of reimbursements and assist providers in planning efficiently for </w:t>
      </w:r>
      <w:r>
        <w:t xml:space="preserve">the </w:t>
      </w:r>
      <w:r w:rsidRPr="002A65B7">
        <w:t>transition</w:t>
      </w:r>
      <w:r>
        <w:t xml:space="preserve"> to structural reforms and cost-based rates); </w:t>
      </w:r>
      <w:r w:rsidR="009E220C" w:rsidRPr="009E220C">
        <w:rPr>
          <w:i/>
          <w:iCs/>
        </w:rPr>
        <w:t>Telecommunications Relay Services and Speech-to-Speech Services for Individuals with Hearing and Speech</w:t>
      </w:r>
      <w:r w:rsidR="009E220C">
        <w:rPr>
          <w:i/>
          <w:iCs/>
        </w:rPr>
        <w:t xml:space="preserve"> </w:t>
      </w:r>
      <w:r w:rsidR="009E220C" w:rsidRPr="009E220C">
        <w:rPr>
          <w:i/>
          <w:iCs/>
        </w:rPr>
        <w:t>Disabilities, Structure and Practices of the Video Relay Service Program</w:t>
      </w:r>
      <w:r w:rsidR="009E220C" w:rsidRPr="009E220C">
        <w:rPr>
          <w:iCs/>
        </w:rPr>
        <w:t xml:space="preserve">, </w:t>
      </w:r>
      <w:r w:rsidR="009E220C" w:rsidRPr="009E220C">
        <w:t>CG Docket Nos. 03-123, 10-51, Order, 28 FCC Rcd 9219</w:t>
      </w:r>
      <w:r w:rsidR="00BC0EAE">
        <w:t xml:space="preserve">, 9222, </w:t>
      </w:r>
      <w:r w:rsidR="00BC0EAE" w:rsidRPr="00BC0EAE">
        <w:t xml:space="preserve">¶ 12 </w:t>
      </w:r>
      <w:r w:rsidR="00BC0EAE">
        <w:t xml:space="preserve"> </w:t>
      </w:r>
      <w:r w:rsidR="009E220C" w:rsidRPr="009E220C">
        <w:t xml:space="preserve"> (CGB 2013) (</w:t>
      </w:r>
      <w:r w:rsidRPr="005653A6">
        <w:rPr>
          <w:i/>
        </w:rPr>
        <w:t>2013 TRS Rate Order</w:t>
      </w:r>
      <w:r w:rsidR="00BC0EAE">
        <w:t>)</w:t>
      </w:r>
      <w:r>
        <w:t>, (noting that the IP Relay rate is higher than average provider costs and was developed in an effort to “</w:t>
      </w:r>
      <w:r w:rsidRPr="003D4594">
        <w:t>take</w:t>
      </w:r>
      <w:r>
        <w:t>[]</w:t>
      </w:r>
      <w:r w:rsidRPr="003D4594">
        <w:t xml:space="preserve"> account of cost differentials among providers, allow</w:t>
      </w:r>
      <w:r>
        <w:t>[]</w:t>
      </w:r>
      <w:r w:rsidRPr="003D4594">
        <w:t xml:space="preserve"> efficient providers to earn positive profits on a prospective basis, and give</w:t>
      </w:r>
      <w:r>
        <w:t>[]</w:t>
      </w:r>
      <w:r w:rsidRPr="003D4594">
        <w:t xml:space="preserve"> inefficient providers an incentive to reduce their costs</w:t>
      </w:r>
      <w:r>
        <w:t xml:space="preserve">”).  </w:t>
      </w:r>
    </w:p>
  </w:footnote>
  <w:footnote w:id="37">
    <w:p w:rsidR="00331C27" w:rsidRDefault="00331C27">
      <w:pPr>
        <w:pStyle w:val="FootnoteText"/>
      </w:pPr>
      <w:r>
        <w:rPr>
          <w:rStyle w:val="FootnoteReference"/>
        </w:rPr>
        <w:footnoteRef/>
      </w:r>
      <w:r>
        <w:t xml:space="preserve"> </w:t>
      </w:r>
      <w:r w:rsidR="00E23E39">
        <w:t xml:space="preserve">Such migration may be reflected in both new registrations and increased Sprint minutes.  Prior to Purple’s departure, individuals may have registered with both Purple and Sprint, but now such individuals must exclusively use Sprint’s IP Relay services.  </w:t>
      </w:r>
    </w:p>
  </w:footnote>
  <w:footnote w:id="38">
    <w:p w:rsidR="00E23E39" w:rsidRDefault="00E23E39">
      <w:pPr>
        <w:pStyle w:val="FootnoteText"/>
      </w:pPr>
      <w:r>
        <w:rPr>
          <w:rStyle w:val="FootnoteReference"/>
        </w:rPr>
        <w:footnoteRef/>
      </w:r>
      <w:r>
        <w:t xml:space="preserve"> Sprint reports that its costs will cover, among other things, the hiring and training of additional communications assistants (CAs) to handle potential increases in traffic and hiring and training additional customer service representatives to handle registration and verification of an influx of new users.  </w:t>
      </w:r>
      <w:r w:rsidRPr="005653A6">
        <w:rPr>
          <w:i/>
        </w:rPr>
        <w:t>See</w:t>
      </w:r>
      <w:r>
        <w:t xml:space="preserve"> Sprint Request at 6-7; </w:t>
      </w:r>
      <w:r w:rsidRPr="005653A6">
        <w:rPr>
          <w:i/>
        </w:rPr>
        <w:t>Sprint SOA Waiver Order</w:t>
      </w:r>
      <w:r>
        <w:t xml:space="preserve"> at ¶¶ 9-10.</w:t>
      </w:r>
    </w:p>
  </w:footnote>
  <w:footnote w:id="39">
    <w:p w:rsidR="00B71D54" w:rsidRDefault="00B71D54">
      <w:pPr>
        <w:pStyle w:val="FootnoteText"/>
      </w:pPr>
      <w:r>
        <w:rPr>
          <w:rStyle w:val="FootnoteReference"/>
        </w:rPr>
        <w:footnoteRef/>
      </w:r>
      <w:r>
        <w:t xml:space="preserve"> </w:t>
      </w:r>
      <w:r w:rsidRPr="007A03C2">
        <w:rPr>
          <w:i/>
        </w:rPr>
        <w:t>Cf</w:t>
      </w:r>
      <w:r>
        <w:t xml:space="preserve">.  </w:t>
      </w:r>
      <w:r w:rsidRPr="00B71D54">
        <w:rPr>
          <w:i/>
        </w:rPr>
        <w:t>VRS Reform Order</w:t>
      </w:r>
      <w:r w:rsidRPr="00B71D54">
        <w:t>, 28 FCC Rcd at 870</w:t>
      </w:r>
      <w:r>
        <w:t>0</w:t>
      </w:r>
      <w:r w:rsidRPr="00B71D54">
        <w:t>-0</w:t>
      </w:r>
      <w:r>
        <w:t xml:space="preserve">1, ¶¶ 204-05 (in setting rate tier boundaries for VRS compensation rates, the Commission chooses to err, if at all, in the direction that will minimize harm to the public interest). </w:t>
      </w:r>
    </w:p>
  </w:footnote>
  <w:footnote w:id="40">
    <w:p w:rsidR="005C74E9" w:rsidRDefault="005C74E9">
      <w:pPr>
        <w:pStyle w:val="FootnoteText"/>
      </w:pPr>
      <w:r>
        <w:rPr>
          <w:rStyle w:val="FootnoteReference"/>
        </w:rPr>
        <w:footnoteRef/>
      </w:r>
      <w:r>
        <w:t xml:space="preserve"> This Order addresses the compensation rate on an interim basis only for the remainder of the current Fund Year.  The compensation rate for the </w:t>
      </w:r>
      <w:r w:rsidRPr="005C74E9">
        <w:t>2015-16 Fund Year will be addressed in the Commission’s annual rate-setting process.</w:t>
      </w:r>
      <w:r>
        <w:t xml:space="preserve">  The interim rate levels set herein do not establish any presumption and do not warrant any future expectation as to the compensation rate that will be effective for the 2015-16 Fund Year. </w:t>
      </w:r>
    </w:p>
  </w:footnote>
  <w:footnote w:id="41">
    <w:p w:rsidR="00331C27" w:rsidRPr="00942D3F" w:rsidRDefault="00331C27" w:rsidP="00752D87">
      <w:pPr>
        <w:pStyle w:val="FootnoteText"/>
      </w:pPr>
      <w:r>
        <w:rPr>
          <w:rStyle w:val="FootnoteReference"/>
        </w:rPr>
        <w:footnoteRef/>
      </w:r>
      <w:r>
        <w:t xml:space="preserve"> Sprint Request at 7; </w:t>
      </w:r>
      <w:r>
        <w:rPr>
          <w:i/>
        </w:rPr>
        <w:t>see id.</w:t>
      </w:r>
      <w:r>
        <w:t xml:space="preserve"> at 2-3 (stating that, after six months, Sprint should have finished paying for the one-time costs associated with accommodating the influx of customers from Purple).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AD1" w:rsidRDefault="002C2A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C27" w:rsidRDefault="00331C27" w:rsidP="00810B6F">
    <w:pPr>
      <w:pStyle w:val="Header"/>
      <w:rPr>
        <w:b w:val="0"/>
      </w:rPr>
    </w:pPr>
    <w:r>
      <w:tab/>
      <w:t>Federal Communications Commission</w:t>
    </w:r>
    <w:r>
      <w:tab/>
    </w:r>
    <w:r w:rsidR="001A071F">
      <w:t>DA 14-1899</w:t>
    </w:r>
  </w:p>
  <w:p w:rsidR="00331C27" w:rsidRDefault="00331C27">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64FA369D" wp14:editId="6E0E0803">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331C27" w:rsidRDefault="00331C27">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C27" w:rsidRDefault="00331C27" w:rsidP="00810B6F">
    <w:pPr>
      <w:pStyle w:val="Header"/>
      <w:rPr>
        <w:b w:val="0"/>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sidR="00753B60">
      <w:rPr>
        <w:spacing w:val="-2"/>
      </w:rPr>
      <w:t>DA 14-1899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97"/>
    <w:rsid w:val="00011852"/>
    <w:rsid w:val="00023FED"/>
    <w:rsid w:val="00030B10"/>
    <w:rsid w:val="00036039"/>
    <w:rsid w:val="00037F90"/>
    <w:rsid w:val="00046404"/>
    <w:rsid w:val="00053B0F"/>
    <w:rsid w:val="000573FD"/>
    <w:rsid w:val="00057599"/>
    <w:rsid w:val="00062018"/>
    <w:rsid w:val="000621EC"/>
    <w:rsid w:val="00074B9C"/>
    <w:rsid w:val="00075CE8"/>
    <w:rsid w:val="00081EE7"/>
    <w:rsid w:val="00082F7C"/>
    <w:rsid w:val="000875BF"/>
    <w:rsid w:val="00096800"/>
    <w:rsid w:val="00096D8C"/>
    <w:rsid w:val="000B24F0"/>
    <w:rsid w:val="000C0B65"/>
    <w:rsid w:val="000D5BA4"/>
    <w:rsid w:val="000D7A95"/>
    <w:rsid w:val="000E05FE"/>
    <w:rsid w:val="000E3D42"/>
    <w:rsid w:val="000E40BB"/>
    <w:rsid w:val="000F045F"/>
    <w:rsid w:val="000F105D"/>
    <w:rsid w:val="000F554F"/>
    <w:rsid w:val="0010436B"/>
    <w:rsid w:val="001051D8"/>
    <w:rsid w:val="00105DEA"/>
    <w:rsid w:val="0010765D"/>
    <w:rsid w:val="00112DDC"/>
    <w:rsid w:val="00112E91"/>
    <w:rsid w:val="00115745"/>
    <w:rsid w:val="00122BD5"/>
    <w:rsid w:val="00124ED3"/>
    <w:rsid w:val="00125C28"/>
    <w:rsid w:val="00133F79"/>
    <w:rsid w:val="00142C41"/>
    <w:rsid w:val="001503B4"/>
    <w:rsid w:val="00152D75"/>
    <w:rsid w:val="001536E9"/>
    <w:rsid w:val="00161FA9"/>
    <w:rsid w:val="00163329"/>
    <w:rsid w:val="00186DB6"/>
    <w:rsid w:val="00194A66"/>
    <w:rsid w:val="00194A85"/>
    <w:rsid w:val="00196DB1"/>
    <w:rsid w:val="001A071F"/>
    <w:rsid w:val="001A0CDE"/>
    <w:rsid w:val="001A2270"/>
    <w:rsid w:val="001A4F83"/>
    <w:rsid w:val="001A69B2"/>
    <w:rsid w:val="001B3927"/>
    <w:rsid w:val="001C1DBE"/>
    <w:rsid w:val="001C2F7F"/>
    <w:rsid w:val="001D16D7"/>
    <w:rsid w:val="001D2BA7"/>
    <w:rsid w:val="001D618D"/>
    <w:rsid w:val="001D6BCF"/>
    <w:rsid w:val="001E01CA"/>
    <w:rsid w:val="001E36EE"/>
    <w:rsid w:val="001E5A08"/>
    <w:rsid w:val="001E7363"/>
    <w:rsid w:val="001F1476"/>
    <w:rsid w:val="001F1881"/>
    <w:rsid w:val="001F33E4"/>
    <w:rsid w:val="001F34D9"/>
    <w:rsid w:val="002055E0"/>
    <w:rsid w:val="002074BD"/>
    <w:rsid w:val="0021307B"/>
    <w:rsid w:val="002134BA"/>
    <w:rsid w:val="00217BC9"/>
    <w:rsid w:val="002213B3"/>
    <w:rsid w:val="00232F82"/>
    <w:rsid w:val="002421CC"/>
    <w:rsid w:val="00243011"/>
    <w:rsid w:val="00243C78"/>
    <w:rsid w:val="00246DFF"/>
    <w:rsid w:val="002471CC"/>
    <w:rsid w:val="00260FFC"/>
    <w:rsid w:val="002633F9"/>
    <w:rsid w:val="00266E27"/>
    <w:rsid w:val="00271186"/>
    <w:rsid w:val="002724BC"/>
    <w:rsid w:val="00275CF5"/>
    <w:rsid w:val="00275D9E"/>
    <w:rsid w:val="002771AD"/>
    <w:rsid w:val="0028084C"/>
    <w:rsid w:val="0028301F"/>
    <w:rsid w:val="00285017"/>
    <w:rsid w:val="0028636F"/>
    <w:rsid w:val="002949CD"/>
    <w:rsid w:val="00297201"/>
    <w:rsid w:val="002A2D2E"/>
    <w:rsid w:val="002A41E6"/>
    <w:rsid w:val="002A4EE9"/>
    <w:rsid w:val="002A65B7"/>
    <w:rsid w:val="002A6D98"/>
    <w:rsid w:val="002B678C"/>
    <w:rsid w:val="002C00E8"/>
    <w:rsid w:val="002C2580"/>
    <w:rsid w:val="002C2AD1"/>
    <w:rsid w:val="002D06A4"/>
    <w:rsid w:val="002D2015"/>
    <w:rsid w:val="002D2133"/>
    <w:rsid w:val="002D5A8F"/>
    <w:rsid w:val="002D7358"/>
    <w:rsid w:val="002E0602"/>
    <w:rsid w:val="002F4685"/>
    <w:rsid w:val="002F63D7"/>
    <w:rsid w:val="00303D0D"/>
    <w:rsid w:val="003049E9"/>
    <w:rsid w:val="00307673"/>
    <w:rsid w:val="003138C8"/>
    <w:rsid w:val="00317460"/>
    <w:rsid w:val="00317EE9"/>
    <w:rsid w:val="003223AD"/>
    <w:rsid w:val="0032536D"/>
    <w:rsid w:val="00331C27"/>
    <w:rsid w:val="003347E4"/>
    <w:rsid w:val="00340C6C"/>
    <w:rsid w:val="00343452"/>
    <w:rsid w:val="00343749"/>
    <w:rsid w:val="00351175"/>
    <w:rsid w:val="0035322E"/>
    <w:rsid w:val="00353685"/>
    <w:rsid w:val="00357D03"/>
    <w:rsid w:val="00361DBE"/>
    <w:rsid w:val="00362D55"/>
    <w:rsid w:val="003660ED"/>
    <w:rsid w:val="003716D9"/>
    <w:rsid w:val="003744E7"/>
    <w:rsid w:val="0037564D"/>
    <w:rsid w:val="00376D20"/>
    <w:rsid w:val="0039002F"/>
    <w:rsid w:val="003912C6"/>
    <w:rsid w:val="00396A69"/>
    <w:rsid w:val="003A62C3"/>
    <w:rsid w:val="003B0550"/>
    <w:rsid w:val="003B236F"/>
    <w:rsid w:val="003B4986"/>
    <w:rsid w:val="003B694F"/>
    <w:rsid w:val="003B6985"/>
    <w:rsid w:val="003C76EF"/>
    <w:rsid w:val="003C7955"/>
    <w:rsid w:val="003C7F82"/>
    <w:rsid w:val="003D0BE3"/>
    <w:rsid w:val="003D3E78"/>
    <w:rsid w:val="003D4594"/>
    <w:rsid w:val="003D4750"/>
    <w:rsid w:val="003D6667"/>
    <w:rsid w:val="003E2013"/>
    <w:rsid w:val="003E347A"/>
    <w:rsid w:val="003E38E6"/>
    <w:rsid w:val="003E5E05"/>
    <w:rsid w:val="003E6BB5"/>
    <w:rsid w:val="003E763D"/>
    <w:rsid w:val="003F0B84"/>
    <w:rsid w:val="003F171C"/>
    <w:rsid w:val="003F480A"/>
    <w:rsid w:val="0040076D"/>
    <w:rsid w:val="00411A16"/>
    <w:rsid w:val="00412FC5"/>
    <w:rsid w:val="004204FF"/>
    <w:rsid w:val="00420C9C"/>
    <w:rsid w:val="00422276"/>
    <w:rsid w:val="00423399"/>
    <w:rsid w:val="004242F1"/>
    <w:rsid w:val="00430F82"/>
    <w:rsid w:val="004348D8"/>
    <w:rsid w:val="00437B8F"/>
    <w:rsid w:val="00445A00"/>
    <w:rsid w:val="00445FD1"/>
    <w:rsid w:val="00451B0F"/>
    <w:rsid w:val="0045635D"/>
    <w:rsid w:val="00456B26"/>
    <w:rsid w:val="004707B0"/>
    <w:rsid w:val="00471EE8"/>
    <w:rsid w:val="00476988"/>
    <w:rsid w:val="00477561"/>
    <w:rsid w:val="0048100C"/>
    <w:rsid w:val="00482312"/>
    <w:rsid w:val="004832D2"/>
    <w:rsid w:val="0048380F"/>
    <w:rsid w:val="0048502F"/>
    <w:rsid w:val="00485E62"/>
    <w:rsid w:val="004905BE"/>
    <w:rsid w:val="004A060A"/>
    <w:rsid w:val="004A33EF"/>
    <w:rsid w:val="004B0EFB"/>
    <w:rsid w:val="004B2BA3"/>
    <w:rsid w:val="004B3940"/>
    <w:rsid w:val="004B3EAF"/>
    <w:rsid w:val="004B631B"/>
    <w:rsid w:val="004C2EE3"/>
    <w:rsid w:val="004C4922"/>
    <w:rsid w:val="004C5DAD"/>
    <w:rsid w:val="004E2705"/>
    <w:rsid w:val="004E2DE0"/>
    <w:rsid w:val="004E4A22"/>
    <w:rsid w:val="004E614E"/>
    <w:rsid w:val="004F0DDB"/>
    <w:rsid w:val="004F1D45"/>
    <w:rsid w:val="004F2585"/>
    <w:rsid w:val="004F7185"/>
    <w:rsid w:val="00500A23"/>
    <w:rsid w:val="00511968"/>
    <w:rsid w:val="00511D6B"/>
    <w:rsid w:val="00523849"/>
    <w:rsid w:val="00523C8E"/>
    <w:rsid w:val="005348C1"/>
    <w:rsid w:val="005356BF"/>
    <w:rsid w:val="00551B47"/>
    <w:rsid w:val="0055353A"/>
    <w:rsid w:val="0055614C"/>
    <w:rsid w:val="00561EA8"/>
    <w:rsid w:val="0056400D"/>
    <w:rsid w:val="005653A6"/>
    <w:rsid w:val="00572624"/>
    <w:rsid w:val="005732DD"/>
    <w:rsid w:val="005763A1"/>
    <w:rsid w:val="00580668"/>
    <w:rsid w:val="00582374"/>
    <w:rsid w:val="005826F3"/>
    <w:rsid w:val="005846FE"/>
    <w:rsid w:val="00587EF3"/>
    <w:rsid w:val="00596A1B"/>
    <w:rsid w:val="005A10D7"/>
    <w:rsid w:val="005A3A4F"/>
    <w:rsid w:val="005A728C"/>
    <w:rsid w:val="005C2146"/>
    <w:rsid w:val="005C50B9"/>
    <w:rsid w:val="005C5C78"/>
    <w:rsid w:val="005C74E9"/>
    <w:rsid w:val="005C79CD"/>
    <w:rsid w:val="005D707D"/>
    <w:rsid w:val="005D7335"/>
    <w:rsid w:val="005E14C2"/>
    <w:rsid w:val="005E1652"/>
    <w:rsid w:val="005F3D6C"/>
    <w:rsid w:val="005F7E68"/>
    <w:rsid w:val="006005D5"/>
    <w:rsid w:val="00607BA5"/>
    <w:rsid w:val="00607E76"/>
    <w:rsid w:val="0061180A"/>
    <w:rsid w:val="00623B55"/>
    <w:rsid w:val="00623D49"/>
    <w:rsid w:val="00626EB6"/>
    <w:rsid w:val="00627C63"/>
    <w:rsid w:val="006350F2"/>
    <w:rsid w:val="0063530E"/>
    <w:rsid w:val="0064292E"/>
    <w:rsid w:val="0064542C"/>
    <w:rsid w:val="00647419"/>
    <w:rsid w:val="00655D03"/>
    <w:rsid w:val="00661033"/>
    <w:rsid w:val="00661AAE"/>
    <w:rsid w:val="00665AD9"/>
    <w:rsid w:val="00683388"/>
    <w:rsid w:val="00683F84"/>
    <w:rsid w:val="00684F09"/>
    <w:rsid w:val="0069237E"/>
    <w:rsid w:val="006950D8"/>
    <w:rsid w:val="006A1C53"/>
    <w:rsid w:val="006A5429"/>
    <w:rsid w:val="006A6A81"/>
    <w:rsid w:val="006B0C25"/>
    <w:rsid w:val="006D6651"/>
    <w:rsid w:val="006D6BF5"/>
    <w:rsid w:val="006E0105"/>
    <w:rsid w:val="006E048B"/>
    <w:rsid w:val="006E4F63"/>
    <w:rsid w:val="006E5A25"/>
    <w:rsid w:val="006F5BB8"/>
    <w:rsid w:val="006F7393"/>
    <w:rsid w:val="00701084"/>
    <w:rsid w:val="0070224F"/>
    <w:rsid w:val="007115F7"/>
    <w:rsid w:val="00711ECB"/>
    <w:rsid w:val="0071362C"/>
    <w:rsid w:val="00721ACA"/>
    <w:rsid w:val="007408ED"/>
    <w:rsid w:val="0074208C"/>
    <w:rsid w:val="00752D87"/>
    <w:rsid w:val="00753B60"/>
    <w:rsid w:val="0075669F"/>
    <w:rsid w:val="00760D72"/>
    <w:rsid w:val="007612D8"/>
    <w:rsid w:val="00765A59"/>
    <w:rsid w:val="00785689"/>
    <w:rsid w:val="0079754B"/>
    <w:rsid w:val="007A03C2"/>
    <w:rsid w:val="007A1E6D"/>
    <w:rsid w:val="007B0458"/>
    <w:rsid w:val="007B0EB2"/>
    <w:rsid w:val="007B12EB"/>
    <w:rsid w:val="007B25AB"/>
    <w:rsid w:val="007C06B1"/>
    <w:rsid w:val="007C0A7A"/>
    <w:rsid w:val="007C1D40"/>
    <w:rsid w:val="007C2BA4"/>
    <w:rsid w:val="007C5C98"/>
    <w:rsid w:val="007C6D47"/>
    <w:rsid w:val="007C7C18"/>
    <w:rsid w:val="007D78A1"/>
    <w:rsid w:val="007E4258"/>
    <w:rsid w:val="007E72D7"/>
    <w:rsid w:val="007F4CC8"/>
    <w:rsid w:val="007F7A0B"/>
    <w:rsid w:val="008036C7"/>
    <w:rsid w:val="00806040"/>
    <w:rsid w:val="00810731"/>
    <w:rsid w:val="00810B6F"/>
    <w:rsid w:val="008163B8"/>
    <w:rsid w:val="00822CE0"/>
    <w:rsid w:val="00824680"/>
    <w:rsid w:val="00833802"/>
    <w:rsid w:val="00841AB1"/>
    <w:rsid w:val="0084399C"/>
    <w:rsid w:val="00847DC9"/>
    <w:rsid w:val="00855D68"/>
    <w:rsid w:val="00856353"/>
    <w:rsid w:val="00861820"/>
    <w:rsid w:val="008702AB"/>
    <w:rsid w:val="00872ADE"/>
    <w:rsid w:val="00875FFE"/>
    <w:rsid w:val="00876FEF"/>
    <w:rsid w:val="00884AE8"/>
    <w:rsid w:val="008850B5"/>
    <w:rsid w:val="00893D3D"/>
    <w:rsid w:val="00894269"/>
    <w:rsid w:val="008A02E6"/>
    <w:rsid w:val="008A6D6C"/>
    <w:rsid w:val="008A7481"/>
    <w:rsid w:val="008B0FEB"/>
    <w:rsid w:val="008B397C"/>
    <w:rsid w:val="008B57F2"/>
    <w:rsid w:val="008C2F1B"/>
    <w:rsid w:val="008C3397"/>
    <w:rsid w:val="008C68F1"/>
    <w:rsid w:val="008C6EB8"/>
    <w:rsid w:val="008D454D"/>
    <w:rsid w:val="008E1FB6"/>
    <w:rsid w:val="0090018A"/>
    <w:rsid w:val="00901284"/>
    <w:rsid w:val="00903249"/>
    <w:rsid w:val="009048D5"/>
    <w:rsid w:val="00904C3B"/>
    <w:rsid w:val="009078D4"/>
    <w:rsid w:val="0091261C"/>
    <w:rsid w:val="0092149F"/>
    <w:rsid w:val="00921803"/>
    <w:rsid w:val="0092249F"/>
    <w:rsid w:val="00922F12"/>
    <w:rsid w:val="00926503"/>
    <w:rsid w:val="00926529"/>
    <w:rsid w:val="0093010E"/>
    <w:rsid w:val="009315B9"/>
    <w:rsid w:val="00932ED7"/>
    <w:rsid w:val="00933D9A"/>
    <w:rsid w:val="00934819"/>
    <w:rsid w:val="00936273"/>
    <w:rsid w:val="00941191"/>
    <w:rsid w:val="009424CD"/>
    <w:rsid w:val="00942D3F"/>
    <w:rsid w:val="0094328A"/>
    <w:rsid w:val="0095082C"/>
    <w:rsid w:val="0095224F"/>
    <w:rsid w:val="009648B1"/>
    <w:rsid w:val="00966D8A"/>
    <w:rsid w:val="00970AE0"/>
    <w:rsid w:val="009726D8"/>
    <w:rsid w:val="00973F2F"/>
    <w:rsid w:val="0099000D"/>
    <w:rsid w:val="009954D3"/>
    <w:rsid w:val="009958E1"/>
    <w:rsid w:val="009A4725"/>
    <w:rsid w:val="009B0D3A"/>
    <w:rsid w:val="009B2EB6"/>
    <w:rsid w:val="009B6124"/>
    <w:rsid w:val="009C10DF"/>
    <w:rsid w:val="009C39EB"/>
    <w:rsid w:val="009C4CAC"/>
    <w:rsid w:val="009C6316"/>
    <w:rsid w:val="009D2541"/>
    <w:rsid w:val="009D5900"/>
    <w:rsid w:val="009D65E6"/>
    <w:rsid w:val="009E07CE"/>
    <w:rsid w:val="009E220C"/>
    <w:rsid w:val="009E2D40"/>
    <w:rsid w:val="009F1AA6"/>
    <w:rsid w:val="009F4622"/>
    <w:rsid w:val="009F76DB"/>
    <w:rsid w:val="00A04636"/>
    <w:rsid w:val="00A06077"/>
    <w:rsid w:val="00A06287"/>
    <w:rsid w:val="00A10527"/>
    <w:rsid w:val="00A171DD"/>
    <w:rsid w:val="00A273BD"/>
    <w:rsid w:val="00A27DB1"/>
    <w:rsid w:val="00A3252D"/>
    <w:rsid w:val="00A32C3B"/>
    <w:rsid w:val="00A33FB1"/>
    <w:rsid w:val="00A36565"/>
    <w:rsid w:val="00A44755"/>
    <w:rsid w:val="00A45F4F"/>
    <w:rsid w:val="00A51870"/>
    <w:rsid w:val="00A55154"/>
    <w:rsid w:val="00A57380"/>
    <w:rsid w:val="00A600A9"/>
    <w:rsid w:val="00A677E3"/>
    <w:rsid w:val="00A72BE9"/>
    <w:rsid w:val="00A80653"/>
    <w:rsid w:val="00A81BC2"/>
    <w:rsid w:val="00A81DDC"/>
    <w:rsid w:val="00A86851"/>
    <w:rsid w:val="00A93538"/>
    <w:rsid w:val="00A96880"/>
    <w:rsid w:val="00AA2578"/>
    <w:rsid w:val="00AA55B7"/>
    <w:rsid w:val="00AA5643"/>
    <w:rsid w:val="00AA5B9E"/>
    <w:rsid w:val="00AA69B3"/>
    <w:rsid w:val="00AB2407"/>
    <w:rsid w:val="00AB53DF"/>
    <w:rsid w:val="00AB7F22"/>
    <w:rsid w:val="00AC221D"/>
    <w:rsid w:val="00AD4862"/>
    <w:rsid w:val="00AE3440"/>
    <w:rsid w:val="00AE608A"/>
    <w:rsid w:val="00AF1161"/>
    <w:rsid w:val="00AF130C"/>
    <w:rsid w:val="00AF1E7F"/>
    <w:rsid w:val="00AF62D0"/>
    <w:rsid w:val="00AF7BE1"/>
    <w:rsid w:val="00B033B2"/>
    <w:rsid w:val="00B073AA"/>
    <w:rsid w:val="00B07E5C"/>
    <w:rsid w:val="00B100B3"/>
    <w:rsid w:val="00B11F73"/>
    <w:rsid w:val="00B22A3A"/>
    <w:rsid w:val="00B3009B"/>
    <w:rsid w:val="00B309D3"/>
    <w:rsid w:val="00B3164B"/>
    <w:rsid w:val="00B35AB2"/>
    <w:rsid w:val="00B4348F"/>
    <w:rsid w:val="00B43524"/>
    <w:rsid w:val="00B454EA"/>
    <w:rsid w:val="00B47852"/>
    <w:rsid w:val="00B53605"/>
    <w:rsid w:val="00B54E01"/>
    <w:rsid w:val="00B551E3"/>
    <w:rsid w:val="00B62FAF"/>
    <w:rsid w:val="00B641AD"/>
    <w:rsid w:val="00B71D54"/>
    <w:rsid w:val="00B811F7"/>
    <w:rsid w:val="00B827EB"/>
    <w:rsid w:val="00B90A5F"/>
    <w:rsid w:val="00B95C23"/>
    <w:rsid w:val="00BA2BF3"/>
    <w:rsid w:val="00BA569E"/>
    <w:rsid w:val="00BA5DC6"/>
    <w:rsid w:val="00BA6196"/>
    <w:rsid w:val="00BB114C"/>
    <w:rsid w:val="00BB33EA"/>
    <w:rsid w:val="00BB3501"/>
    <w:rsid w:val="00BB44EE"/>
    <w:rsid w:val="00BC0EAE"/>
    <w:rsid w:val="00BC5E86"/>
    <w:rsid w:val="00BC6D8C"/>
    <w:rsid w:val="00BD0070"/>
    <w:rsid w:val="00BD5937"/>
    <w:rsid w:val="00BD699E"/>
    <w:rsid w:val="00BE1E99"/>
    <w:rsid w:val="00BF3514"/>
    <w:rsid w:val="00BF3C37"/>
    <w:rsid w:val="00C1214D"/>
    <w:rsid w:val="00C1312A"/>
    <w:rsid w:val="00C15777"/>
    <w:rsid w:val="00C246DA"/>
    <w:rsid w:val="00C269F5"/>
    <w:rsid w:val="00C3284E"/>
    <w:rsid w:val="00C34006"/>
    <w:rsid w:val="00C409C1"/>
    <w:rsid w:val="00C41B17"/>
    <w:rsid w:val="00C421BD"/>
    <w:rsid w:val="00C426B1"/>
    <w:rsid w:val="00C448E7"/>
    <w:rsid w:val="00C457F5"/>
    <w:rsid w:val="00C5305C"/>
    <w:rsid w:val="00C53B80"/>
    <w:rsid w:val="00C54CE5"/>
    <w:rsid w:val="00C626ED"/>
    <w:rsid w:val="00C643E8"/>
    <w:rsid w:val="00C66160"/>
    <w:rsid w:val="00C66A46"/>
    <w:rsid w:val="00C721AC"/>
    <w:rsid w:val="00C76DD1"/>
    <w:rsid w:val="00C8069C"/>
    <w:rsid w:val="00C83F99"/>
    <w:rsid w:val="00C875C8"/>
    <w:rsid w:val="00C876BD"/>
    <w:rsid w:val="00C903F9"/>
    <w:rsid w:val="00C90D6A"/>
    <w:rsid w:val="00C940E5"/>
    <w:rsid w:val="00C95FAE"/>
    <w:rsid w:val="00C96B60"/>
    <w:rsid w:val="00C96C5E"/>
    <w:rsid w:val="00C973C7"/>
    <w:rsid w:val="00CA247E"/>
    <w:rsid w:val="00CA2F07"/>
    <w:rsid w:val="00CA6064"/>
    <w:rsid w:val="00CA6E93"/>
    <w:rsid w:val="00CB50ED"/>
    <w:rsid w:val="00CC055E"/>
    <w:rsid w:val="00CC2AAC"/>
    <w:rsid w:val="00CC324A"/>
    <w:rsid w:val="00CC72B6"/>
    <w:rsid w:val="00CD3F52"/>
    <w:rsid w:val="00CD3FB4"/>
    <w:rsid w:val="00CE21E9"/>
    <w:rsid w:val="00CE2BB1"/>
    <w:rsid w:val="00CE4B88"/>
    <w:rsid w:val="00CE69FF"/>
    <w:rsid w:val="00D01AEB"/>
    <w:rsid w:val="00D0218D"/>
    <w:rsid w:val="00D03058"/>
    <w:rsid w:val="00D035F8"/>
    <w:rsid w:val="00D05546"/>
    <w:rsid w:val="00D2185A"/>
    <w:rsid w:val="00D22510"/>
    <w:rsid w:val="00D25FB5"/>
    <w:rsid w:val="00D309A2"/>
    <w:rsid w:val="00D309D1"/>
    <w:rsid w:val="00D42668"/>
    <w:rsid w:val="00D44223"/>
    <w:rsid w:val="00D4474F"/>
    <w:rsid w:val="00D44A8B"/>
    <w:rsid w:val="00D44D88"/>
    <w:rsid w:val="00D61669"/>
    <w:rsid w:val="00D63B6C"/>
    <w:rsid w:val="00D777E4"/>
    <w:rsid w:val="00D81552"/>
    <w:rsid w:val="00D8482F"/>
    <w:rsid w:val="00D90D97"/>
    <w:rsid w:val="00D95FDB"/>
    <w:rsid w:val="00D97E0C"/>
    <w:rsid w:val="00DA2529"/>
    <w:rsid w:val="00DB130A"/>
    <w:rsid w:val="00DB2EBB"/>
    <w:rsid w:val="00DB4F4D"/>
    <w:rsid w:val="00DC0133"/>
    <w:rsid w:val="00DC10A1"/>
    <w:rsid w:val="00DC52BC"/>
    <w:rsid w:val="00DC655F"/>
    <w:rsid w:val="00DD0B59"/>
    <w:rsid w:val="00DD2922"/>
    <w:rsid w:val="00DD7EBD"/>
    <w:rsid w:val="00DE0F57"/>
    <w:rsid w:val="00DE3564"/>
    <w:rsid w:val="00DF06A1"/>
    <w:rsid w:val="00DF2CE3"/>
    <w:rsid w:val="00DF62B6"/>
    <w:rsid w:val="00E008EB"/>
    <w:rsid w:val="00E07225"/>
    <w:rsid w:val="00E14C6E"/>
    <w:rsid w:val="00E23E39"/>
    <w:rsid w:val="00E25CF1"/>
    <w:rsid w:val="00E2796B"/>
    <w:rsid w:val="00E34BD0"/>
    <w:rsid w:val="00E40A06"/>
    <w:rsid w:val="00E4302F"/>
    <w:rsid w:val="00E537E7"/>
    <w:rsid w:val="00E5409F"/>
    <w:rsid w:val="00E553AF"/>
    <w:rsid w:val="00E56088"/>
    <w:rsid w:val="00E63896"/>
    <w:rsid w:val="00E65A47"/>
    <w:rsid w:val="00E74E5B"/>
    <w:rsid w:val="00E815EA"/>
    <w:rsid w:val="00E817DD"/>
    <w:rsid w:val="00E84249"/>
    <w:rsid w:val="00E94911"/>
    <w:rsid w:val="00E955F6"/>
    <w:rsid w:val="00EA6D69"/>
    <w:rsid w:val="00EC2DE3"/>
    <w:rsid w:val="00EC4D95"/>
    <w:rsid w:val="00EC6D48"/>
    <w:rsid w:val="00ED19E7"/>
    <w:rsid w:val="00EE6488"/>
    <w:rsid w:val="00F00AC1"/>
    <w:rsid w:val="00F021FA"/>
    <w:rsid w:val="00F06E98"/>
    <w:rsid w:val="00F13C36"/>
    <w:rsid w:val="00F16810"/>
    <w:rsid w:val="00F2226C"/>
    <w:rsid w:val="00F24049"/>
    <w:rsid w:val="00F26CA2"/>
    <w:rsid w:val="00F31DFC"/>
    <w:rsid w:val="00F32F91"/>
    <w:rsid w:val="00F33B1E"/>
    <w:rsid w:val="00F3437F"/>
    <w:rsid w:val="00F352EE"/>
    <w:rsid w:val="00F43695"/>
    <w:rsid w:val="00F43AF0"/>
    <w:rsid w:val="00F44177"/>
    <w:rsid w:val="00F46887"/>
    <w:rsid w:val="00F57E9C"/>
    <w:rsid w:val="00F62300"/>
    <w:rsid w:val="00F62E97"/>
    <w:rsid w:val="00F63739"/>
    <w:rsid w:val="00F64209"/>
    <w:rsid w:val="00F6657A"/>
    <w:rsid w:val="00F66980"/>
    <w:rsid w:val="00F73457"/>
    <w:rsid w:val="00F75EBC"/>
    <w:rsid w:val="00F77222"/>
    <w:rsid w:val="00F80D66"/>
    <w:rsid w:val="00F81444"/>
    <w:rsid w:val="00F93993"/>
    <w:rsid w:val="00F93BF5"/>
    <w:rsid w:val="00FB25E6"/>
    <w:rsid w:val="00FB4E14"/>
    <w:rsid w:val="00FC124D"/>
    <w:rsid w:val="00FC339C"/>
    <w:rsid w:val="00FC6767"/>
    <w:rsid w:val="00FD01E6"/>
    <w:rsid w:val="00FD1AA1"/>
    <w:rsid w:val="00FD2E42"/>
    <w:rsid w:val="00FD4EE2"/>
    <w:rsid w:val="00FE518E"/>
    <w:rsid w:val="00FE6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3B60"/>
    <w:pPr>
      <w:widowControl w:val="0"/>
    </w:pPr>
    <w:rPr>
      <w:snapToGrid w:val="0"/>
      <w:kern w:val="28"/>
      <w:sz w:val="22"/>
    </w:rPr>
  </w:style>
  <w:style w:type="paragraph" w:styleId="Heading1">
    <w:name w:val="heading 1"/>
    <w:basedOn w:val="Normal"/>
    <w:next w:val="ParaNum"/>
    <w:qFormat/>
    <w:rsid w:val="00753B6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53B60"/>
    <w:pPr>
      <w:keepNext/>
      <w:numPr>
        <w:ilvl w:val="1"/>
        <w:numId w:val="3"/>
      </w:numPr>
      <w:spacing w:after="120"/>
      <w:outlineLvl w:val="1"/>
    </w:pPr>
    <w:rPr>
      <w:b/>
    </w:rPr>
  </w:style>
  <w:style w:type="paragraph" w:styleId="Heading3">
    <w:name w:val="heading 3"/>
    <w:basedOn w:val="Normal"/>
    <w:next w:val="ParaNum"/>
    <w:qFormat/>
    <w:rsid w:val="00753B60"/>
    <w:pPr>
      <w:keepNext/>
      <w:numPr>
        <w:ilvl w:val="2"/>
        <w:numId w:val="3"/>
      </w:numPr>
      <w:tabs>
        <w:tab w:val="left" w:pos="2160"/>
      </w:tabs>
      <w:spacing w:after="120"/>
      <w:outlineLvl w:val="2"/>
    </w:pPr>
    <w:rPr>
      <w:b/>
    </w:rPr>
  </w:style>
  <w:style w:type="paragraph" w:styleId="Heading4">
    <w:name w:val="heading 4"/>
    <w:basedOn w:val="Normal"/>
    <w:next w:val="ParaNum"/>
    <w:qFormat/>
    <w:rsid w:val="00753B60"/>
    <w:pPr>
      <w:keepNext/>
      <w:numPr>
        <w:ilvl w:val="3"/>
        <w:numId w:val="3"/>
      </w:numPr>
      <w:tabs>
        <w:tab w:val="left" w:pos="2880"/>
      </w:tabs>
      <w:spacing w:after="120"/>
      <w:outlineLvl w:val="3"/>
    </w:pPr>
    <w:rPr>
      <w:b/>
    </w:rPr>
  </w:style>
  <w:style w:type="paragraph" w:styleId="Heading5">
    <w:name w:val="heading 5"/>
    <w:basedOn w:val="Normal"/>
    <w:next w:val="ParaNum"/>
    <w:qFormat/>
    <w:rsid w:val="00753B60"/>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753B60"/>
    <w:pPr>
      <w:numPr>
        <w:ilvl w:val="5"/>
        <w:numId w:val="3"/>
      </w:numPr>
      <w:tabs>
        <w:tab w:val="left" w:pos="4320"/>
      </w:tabs>
      <w:spacing w:after="120"/>
      <w:outlineLvl w:val="5"/>
    </w:pPr>
    <w:rPr>
      <w:b/>
    </w:rPr>
  </w:style>
  <w:style w:type="paragraph" w:styleId="Heading7">
    <w:name w:val="heading 7"/>
    <w:basedOn w:val="Normal"/>
    <w:next w:val="ParaNum"/>
    <w:qFormat/>
    <w:rsid w:val="00753B6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753B60"/>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753B6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753B60"/>
    <w:pPr>
      <w:numPr>
        <w:numId w:val="2"/>
      </w:numPr>
      <w:tabs>
        <w:tab w:val="clear" w:pos="1080"/>
        <w:tab w:val="num" w:pos="1440"/>
      </w:tabs>
      <w:spacing w:after="120"/>
    </w:pPr>
  </w:style>
  <w:style w:type="paragraph" w:styleId="EndnoteText">
    <w:name w:val="endnote text"/>
    <w:basedOn w:val="Normal"/>
    <w:semiHidden/>
    <w:rsid w:val="00753B60"/>
    <w:rPr>
      <w:sz w:val="20"/>
    </w:rPr>
  </w:style>
  <w:style w:type="character" w:styleId="EndnoteReference">
    <w:name w:val="endnote reference"/>
    <w:semiHidden/>
    <w:rsid w:val="00753B60"/>
    <w:rPr>
      <w:vertAlign w:val="superscript"/>
    </w:rPr>
  </w:style>
  <w:style w:type="paragraph" w:styleId="FootnoteText">
    <w:name w:val="footnote text"/>
    <w:aliases w:val="Footnote Text Char1,Footnote Text Char Char,Footnote Text Char1 Char Char,Footnote Text Char Char1 Char Char,Footnote Text Char3 Char Char Char Char,Footnote Text Char Char Char1 Char Char Char,Footnote Text Char,Footnote Text Char1 Char,f"/>
    <w:link w:val="FootnoteTextChar2"/>
    <w:rsid w:val="00753B60"/>
    <w:pPr>
      <w:spacing w:after="120"/>
    </w:pPr>
  </w:style>
  <w:style w:type="character" w:styleId="FootnoteReference">
    <w:name w:val="footnote reference"/>
    <w:aliases w:val="Style 12,(NECG) Footnote Reference,Appel note de bas de p,Style 124,o,fr,Style 3,Style 13,FR,Style 6,Style 17,Footnote Reference/,Style 4"/>
    <w:rsid w:val="00753B60"/>
    <w:rPr>
      <w:rFonts w:ascii="Times New Roman" w:hAnsi="Times New Roman"/>
      <w:dstrike w:val="0"/>
      <w:color w:val="auto"/>
      <w:sz w:val="20"/>
      <w:vertAlign w:val="superscript"/>
    </w:rPr>
  </w:style>
  <w:style w:type="paragraph" w:styleId="TOC1">
    <w:name w:val="toc 1"/>
    <w:basedOn w:val="Normal"/>
    <w:next w:val="Normal"/>
    <w:semiHidden/>
    <w:rsid w:val="00753B6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53B60"/>
    <w:pPr>
      <w:tabs>
        <w:tab w:val="left" w:pos="720"/>
        <w:tab w:val="right" w:leader="dot" w:pos="9360"/>
      </w:tabs>
      <w:suppressAutoHyphens/>
      <w:ind w:left="720" w:right="720" w:hanging="360"/>
    </w:pPr>
    <w:rPr>
      <w:noProof/>
    </w:rPr>
  </w:style>
  <w:style w:type="paragraph" w:styleId="TOC3">
    <w:name w:val="toc 3"/>
    <w:basedOn w:val="Normal"/>
    <w:next w:val="Normal"/>
    <w:semiHidden/>
    <w:rsid w:val="00753B6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53B6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53B6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53B6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53B6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53B6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53B6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53B60"/>
    <w:pPr>
      <w:tabs>
        <w:tab w:val="right" w:pos="9360"/>
      </w:tabs>
      <w:suppressAutoHyphens/>
    </w:pPr>
  </w:style>
  <w:style w:type="character" w:customStyle="1" w:styleId="EquationCaption">
    <w:name w:val="_Equation Caption"/>
    <w:rsid w:val="00753B60"/>
  </w:style>
  <w:style w:type="paragraph" w:styleId="Header">
    <w:name w:val="header"/>
    <w:basedOn w:val="Normal"/>
    <w:autoRedefine/>
    <w:rsid w:val="00753B60"/>
    <w:pPr>
      <w:tabs>
        <w:tab w:val="center" w:pos="4680"/>
        <w:tab w:val="right" w:pos="9360"/>
      </w:tabs>
    </w:pPr>
    <w:rPr>
      <w:b/>
    </w:rPr>
  </w:style>
  <w:style w:type="paragraph" w:styleId="Footer">
    <w:name w:val="footer"/>
    <w:basedOn w:val="Normal"/>
    <w:link w:val="FooterChar"/>
    <w:rsid w:val="00753B60"/>
    <w:pPr>
      <w:tabs>
        <w:tab w:val="center" w:pos="4320"/>
        <w:tab w:val="right" w:pos="8640"/>
      </w:tabs>
    </w:pPr>
  </w:style>
  <w:style w:type="character" w:styleId="PageNumber">
    <w:name w:val="page number"/>
    <w:basedOn w:val="DefaultParagraphFont"/>
    <w:rsid w:val="00753B60"/>
  </w:style>
  <w:style w:type="paragraph" w:styleId="BlockText">
    <w:name w:val="Block Text"/>
    <w:basedOn w:val="Normal"/>
    <w:rsid w:val="00753B60"/>
    <w:pPr>
      <w:spacing w:after="240"/>
      <w:ind w:left="1440" w:right="1440"/>
    </w:pPr>
  </w:style>
  <w:style w:type="paragraph" w:customStyle="1" w:styleId="Paratitle">
    <w:name w:val="Para title"/>
    <w:basedOn w:val="Normal"/>
    <w:rsid w:val="00753B60"/>
    <w:pPr>
      <w:tabs>
        <w:tab w:val="center" w:pos="9270"/>
      </w:tabs>
      <w:spacing w:after="240"/>
    </w:pPr>
    <w:rPr>
      <w:spacing w:val="-2"/>
    </w:rPr>
  </w:style>
  <w:style w:type="paragraph" w:customStyle="1" w:styleId="Bullet">
    <w:name w:val="Bullet"/>
    <w:basedOn w:val="Normal"/>
    <w:rsid w:val="00753B60"/>
    <w:pPr>
      <w:tabs>
        <w:tab w:val="left" w:pos="2160"/>
      </w:tabs>
      <w:spacing w:after="220"/>
      <w:ind w:left="2160" w:hanging="720"/>
    </w:pPr>
  </w:style>
  <w:style w:type="paragraph" w:customStyle="1" w:styleId="TableFormat">
    <w:name w:val="TableFormat"/>
    <w:basedOn w:val="Bullet"/>
    <w:rsid w:val="00753B60"/>
    <w:pPr>
      <w:tabs>
        <w:tab w:val="clear" w:pos="2160"/>
        <w:tab w:val="left" w:pos="5040"/>
      </w:tabs>
      <w:ind w:left="5040" w:hanging="3600"/>
    </w:pPr>
  </w:style>
  <w:style w:type="paragraph" w:customStyle="1" w:styleId="TOCTitle">
    <w:name w:val="TOC Title"/>
    <w:basedOn w:val="Normal"/>
    <w:rsid w:val="00753B6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53B60"/>
    <w:pPr>
      <w:jc w:val="center"/>
    </w:pPr>
    <w:rPr>
      <w:rFonts w:ascii="Times New Roman Bold" w:hAnsi="Times New Roman Bold"/>
      <w:b/>
      <w:bCs/>
      <w:caps/>
      <w:szCs w:val="22"/>
    </w:rPr>
  </w:style>
  <w:style w:type="character" w:styleId="Hyperlink">
    <w:name w:val="Hyperlink"/>
    <w:rsid w:val="00753B60"/>
    <w:rPr>
      <w:color w:val="0000FF"/>
      <w:u w:val="single"/>
    </w:rPr>
  </w:style>
  <w:style w:type="character" w:customStyle="1" w:styleId="FootnoteTextChar2">
    <w:name w:val="Footnote Text Char2"/>
    <w:aliases w:val="Footnote Text Char1 Char1,Footnote Text Char Char Char,Footnote Text Char1 Char Char Char,Footnote Text Char Char1 Char Char Char,Footnote Text Char3 Char Char Char Char Char,Footnote Text Char Char Char1 Char Char Char Char,f Char"/>
    <w:link w:val="FootnoteText"/>
    <w:rsid w:val="00B551E3"/>
  </w:style>
  <w:style w:type="character" w:customStyle="1" w:styleId="FootnoteTextChar3Char">
    <w:name w:val="Footnote Text Char3 Char"/>
    <w:aliases w:val="Footnote Text Char2 Char1 Char,Footnote Text Char Char Char2 Char,Footnote Text Char1 Char2 Char Char1 Char,Footnote Text Char Char Char2 Char Char Char,Footnote Text Char1 Char2 Char Char1 Char Char Char"/>
    <w:locked/>
    <w:rsid w:val="00297201"/>
  </w:style>
  <w:style w:type="character" w:customStyle="1" w:styleId="ParaNumChar1">
    <w:name w:val="ParaNum Char1"/>
    <w:link w:val="ParaNum"/>
    <w:locked/>
    <w:rsid w:val="000573FD"/>
    <w:rPr>
      <w:snapToGrid w:val="0"/>
      <w:kern w:val="28"/>
      <w:sz w:val="22"/>
    </w:rPr>
  </w:style>
  <w:style w:type="character" w:styleId="CommentReference">
    <w:name w:val="annotation reference"/>
    <w:basedOn w:val="DefaultParagraphFont"/>
    <w:rsid w:val="008A02E6"/>
    <w:rPr>
      <w:sz w:val="16"/>
      <w:szCs w:val="16"/>
    </w:rPr>
  </w:style>
  <w:style w:type="paragraph" w:styleId="CommentText">
    <w:name w:val="annotation text"/>
    <w:basedOn w:val="Normal"/>
    <w:link w:val="CommentTextChar"/>
    <w:rsid w:val="008A02E6"/>
    <w:rPr>
      <w:sz w:val="20"/>
    </w:rPr>
  </w:style>
  <w:style w:type="character" w:customStyle="1" w:styleId="CommentTextChar">
    <w:name w:val="Comment Text Char"/>
    <w:basedOn w:val="DefaultParagraphFont"/>
    <w:link w:val="CommentText"/>
    <w:rsid w:val="008A02E6"/>
    <w:rPr>
      <w:snapToGrid w:val="0"/>
      <w:kern w:val="28"/>
    </w:rPr>
  </w:style>
  <w:style w:type="paragraph" w:styleId="CommentSubject">
    <w:name w:val="annotation subject"/>
    <w:basedOn w:val="CommentText"/>
    <w:next w:val="CommentText"/>
    <w:link w:val="CommentSubjectChar"/>
    <w:rsid w:val="008A02E6"/>
    <w:rPr>
      <w:b/>
      <w:bCs/>
    </w:rPr>
  </w:style>
  <w:style w:type="character" w:customStyle="1" w:styleId="CommentSubjectChar">
    <w:name w:val="Comment Subject Char"/>
    <w:basedOn w:val="CommentTextChar"/>
    <w:link w:val="CommentSubject"/>
    <w:rsid w:val="008A02E6"/>
    <w:rPr>
      <w:b/>
      <w:bCs/>
      <w:snapToGrid w:val="0"/>
      <w:kern w:val="28"/>
    </w:rPr>
  </w:style>
  <w:style w:type="paragraph" w:styleId="BalloonText">
    <w:name w:val="Balloon Text"/>
    <w:basedOn w:val="Normal"/>
    <w:link w:val="BalloonTextChar"/>
    <w:rsid w:val="008A02E6"/>
    <w:rPr>
      <w:rFonts w:ascii="Tahoma" w:hAnsi="Tahoma" w:cs="Tahoma"/>
      <w:sz w:val="16"/>
      <w:szCs w:val="16"/>
    </w:rPr>
  </w:style>
  <w:style w:type="character" w:customStyle="1" w:styleId="BalloonTextChar">
    <w:name w:val="Balloon Text Char"/>
    <w:basedOn w:val="DefaultParagraphFont"/>
    <w:link w:val="BalloonText"/>
    <w:rsid w:val="008A02E6"/>
    <w:rPr>
      <w:rFonts w:ascii="Tahoma" w:hAnsi="Tahoma" w:cs="Tahoma"/>
      <w:snapToGrid w:val="0"/>
      <w:kern w:val="28"/>
      <w:sz w:val="16"/>
      <w:szCs w:val="16"/>
    </w:rPr>
  </w:style>
  <w:style w:type="paragraph" w:styleId="Revision">
    <w:name w:val="Revision"/>
    <w:hidden/>
    <w:uiPriority w:val="99"/>
    <w:semiHidden/>
    <w:rsid w:val="008C3397"/>
    <w:rPr>
      <w:snapToGrid w:val="0"/>
      <w:kern w:val="28"/>
      <w:sz w:val="22"/>
    </w:rPr>
  </w:style>
  <w:style w:type="character" w:customStyle="1" w:styleId="FooterChar">
    <w:name w:val="Footer Char"/>
    <w:basedOn w:val="DefaultParagraphFont"/>
    <w:link w:val="Footer"/>
    <w:rsid w:val="00C876BD"/>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3B60"/>
    <w:pPr>
      <w:widowControl w:val="0"/>
    </w:pPr>
    <w:rPr>
      <w:snapToGrid w:val="0"/>
      <w:kern w:val="28"/>
      <w:sz w:val="22"/>
    </w:rPr>
  </w:style>
  <w:style w:type="paragraph" w:styleId="Heading1">
    <w:name w:val="heading 1"/>
    <w:basedOn w:val="Normal"/>
    <w:next w:val="ParaNum"/>
    <w:qFormat/>
    <w:rsid w:val="00753B6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53B60"/>
    <w:pPr>
      <w:keepNext/>
      <w:numPr>
        <w:ilvl w:val="1"/>
        <w:numId w:val="3"/>
      </w:numPr>
      <w:spacing w:after="120"/>
      <w:outlineLvl w:val="1"/>
    </w:pPr>
    <w:rPr>
      <w:b/>
    </w:rPr>
  </w:style>
  <w:style w:type="paragraph" w:styleId="Heading3">
    <w:name w:val="heading 3"/>
    <w:basedOn w:val="Normal"/>
    <w:next w:val="ParaNum"/>
    <w:qFormat/>
    <w:rsid w:val="00753B60"/>
    <w:pPr>
      <w:keepNext/>
      <w:numPr>
        <w:ilvl w:val="2"/>
        <w:numId w:val="3"/>
      </w:numPr>
      <w:tabs>
        <w:tab w:val="left" w:pos="2160"/>
      </w:tabs>
      <w:spacing w:after="120"/>
      <w:outlineLvl w:val="2"/>
    </w:pPr>
    <w:rPr>
      <w:b/>
    </w:rPr>
  </w:style>
  <w:style w:type="paragraph" w:styleId="Heading4">
    <w:name w:val="heading 4"/>
    <w:basedOn w:val="Normal"/>
    <w:next w:val="ParaNum"/>
    <w:qFormat/>
    <w:rsid w:val="00753B60"/>
    <w:pPr>
      <w:keepNext/>
      <w:numPr>
        <w:ilvl w:val="3"/>
        <w:numId w:val="3"/>
      </w:numPr>
      <w:tabs>
        <w:tab w:val="left" w:pos="2880"/>
      </w:tabs>
      <w:spacing w:after="120"/>
      <w:outlineLvl w:val="3"/>
    </w:pPr>
    <w:rPr>
      <w:b/>
    </w:rPr>
  </w:style>
  <w:style w:type="paragraph" w:styleId="Heading5">
    <w:name w:val="heading 5"/>
    <w:basedOn w:val="Normal"/>
    <w:next w:val="ParaNum"/>
    <w:qFormat/>
    <w:rsid w:val="00753B60"/>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753B60"/>
    <w:pPr>
      <w:numPr>
        <w:ilvl w:val="5"/>
        <w:numId w:val="3"/>
      </w:numPr>
      <w:tabs>
        <w:tab w:val="left" w:pos="4320"/>
      </w:tabs>
      <w:spacing w:after="120"/>
      <w:outlineLvl w:val="5"/>
    </w:pPr>
    <w:rPr>
      <w:b/>
    </w:rPr>
  </w:style>
  <w:style w:type="paragraph" w:styleId="Heading7">
    <w:name w:val="heading 7"/>
    <w:basedOn w:val="Normal"/>
    <w:next w:val="ParaNum"/>
    <w:qFormat/>
    <w:rsid w:val="00753B6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753B60"/>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753B6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753B60"/>
    <w:pPr>
      <w:numPr>
        <w:numId w:val="2"/>
      </w:numPr>
      <w:tabs>
        <w:tab w:val="clear" w:pos="1080"/>
        <w:tab w:val="num" w:pos="1440"/>
      </w:tabs>
      <w:spacing w:after="120"/>
    </w:pPr>
  </w:style>
  <w:style w:type="paragraph" w:styleId="EndnoteText">
    <w:name w:val="endnote text"/>
    <w:basedOn w:val="Normal"/>
    <w:semiHidden/>
    <w:rsid w:val="00753B60"/>
    <w:rPr>
      <w:sz w:val="20"/>
    </w:rPr>
  </w:style>
  <w:style w:type="character" w:styleId="EndnoteReference">
    <w:name w:val="endnote reference"/>
    <w:semiHidden/>
    <w:rsid w:val="00753B60"/>
    <w:rPr>
      <w:vertAlign w:val="superscript"/>
    </w:rPr>
  </w:style>
  <w:style w:type="paragraph" w:styleId="FootnoteText">
    <w:name w:val="footnote text"/>
    <w:aliases w:val="Footnote Text Char1,Footnote Text Char Char,Footnote Text Char1 Char Char,Footnote Text Char Char1 Char Char,Footnote Text Char3 Char Char Char Char,Footnote Text Char Char Char1 Char Char Char,Footnote Text Char,Footnote Text Char1 Char,f"/>
    <w:link w:val="FootnoteTextChar2"/>
    <w:rsid w:val="00753B60"/>
    <w:pPr>
      <w:spacing w:after="120"/>
    </w:pPr>
  </w:style>
  <w:style w:type="character" w:styleId="FootnoteReference">
    <w:name w:val="footnote reference"/>
    <w:aliases w:val="Style 12,(NECG) Footnote Reference,Appel note de bas de p,Style 124,o,fr,Style 3,Style 13,FR,Style 6,Style 17,Footnote Reference/,Style 4"/>
    <w:rsid w:val="00753B60"/>
    <w:rPr>
      <w:rFonts w:ascii="Times New Roman" w:hAnsi="Times New Roman"/>
      <w:dstrike w:val="0"/>
      <w:color w:val="auto"/>
      <w:sz w:val="20"/>
      <w:vertAlign w:val="superscript"/>
    </w:rPr>
  </w:style>
  <w:style w:type="paragraph" w:styleId="TOC1">
    <w:name w:val="toc 1"/>
    <w:basedOn w:val="Normal"/>
    <w:next w:val="Normal"/>
    <w:semiHidden/>
    <w:rsid w:val="00753B6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53B60"/>
    <w:pPr>
      <w:tabs>
        <w:tab w:val="left" w:pos="720"/>
        <w:tab w:val="right" w:leader="dot" w:pos="9360"/>
      </w:tabs>
      <w:suppressAutoHyphens/>
      <w:ind w:left="720" w:right="720" w:hanging="360"/>
    </w:pPr>
    <w:rPr>
      <w:noProof/>
    </w:rPr>
  </w:style>
  <w:style w:type="paragraph" w:styleId="TOC3">
    <w:name w:val="toc 3"/>
    <w:basedOn w:val="Normal"/>
    <w:next w:val="Normal"/>
    <w:semiHidden/>
    <w:rsid w:val="00753B6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53B6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53B6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53B6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53B6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53B6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53B6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53B60"/>
    <w:pPr>
      <w:tabs>
        <w:tab w:val="right" w:pos="9360"/>
      </w:tabs>
      <w:suppressAutoHyphens/>
    </w:pPr>
  </w:style>
  <w:style w:type="character" w:customStyle="1" w:styleId="EquationCaption">
    <w:name w:val="_Equation Caption"/>
    <w:rsid w:val="00753B60"/>
  </w:style>
  <w:style w:type="paragraph" w:styleId="Header">
    <w:name w:val="header"/>
    <w:basedOn w:val="Normal"/>
    <w:autoRedefine/>
    <w:rsid w:val="00753B60"/>
    <w:pPr>
      <w:tabs>
        <w:tab w:val="center" w:pos="4680"/>
        <w:tab w:val="right" w:pos="9360"/>
      </w:tabs>
    </w:pPr>
    <w:rPr>
      <w:b/>
    </w:rPr>
  </w:style>
  <w:style w:type="paragraph" w:styleId="Footer">
    <w:name w:val="footer"/>
    <w:basedOn w:val="Normal"/>
    <w:link w:val="FooterChar"/>
    <w:rsid w:val="00753B60"/>
    <w:pPr>
      <w:tabs>
        <w:tab w:val="center" w:pos="4320"/>
        <w:tab w:val="right" w:pos="8640"/>
      </w:tabs>
    </w:pPr>
  </w:style>
  <w:style w:type="character" w:styleId="PageNumber">
    <w:name w:val="page number"/>
    <w:basedOn w:val="DefaultParagraphFont"/>
    <w:rsid w:val="00753B60"/>
  </w:style>
  <w:style w:type="paragraph" w:styleId="BlockText">
    <w:name w:val="Block Text"/>
    <w:basedOn w:val="Normal"/>
    <w:rsid w:val="00753B60"/>
    <w:pPr>
      <w:spacing w:after="240"/>
      <w:ind w:left="1440" w:right="1440"/>
    </w:pPr>
  </w:style>
  <w:style w:type="paragraph" w:customStyle="1" w:styleId="Paratitle">
    <w:name w:val="Para title"/>
    <w:basedOn w:val="Normal"/>
    <w:rsid w:val="00753B60"/>
    <w:pPr>
      <w:tabs>
        <w:tab w:val="center" w:pos="9270"/>
      </w:tabs>
      <w:spacing w:after="240"/>
    </w:pPr>
    <w:rPr>
      <w:spacing w:val="-2"/>
    </w:rPr>
  </w:style>
  <w:style w:type="paragraph" w:customStyle="1" w:styleId="Bullet">
    <w:name w:val="Bullet"/>
    <w:basedOn w:val="Normal"/>
    <w:rsid w:val="00753B60"/>
    <w:pPr>
      <w:tabs>
        <w:tab w:val="left" w:pos="2160"/>
      </w:tabs>
      <w:spacing w:after="220"/>
      <w:ind w:left="2160" w:hanging="720"/>
    </w:pPr>
  </w:style>
  <w:style w:type="paragraph" w:customStyle="1" w:styleId="TableFormat">
    <w:name w:val="TableFormat"/>
    <w:basedOn w:val="Bullet"/>
    <w:rsid w:val="00753B60"/>
    <w:pPr>
      <w:tabs>
        <w:tab w:val="clear" w:pos="2160"/>
        <w:tab w:val="left" w:pos="5040"/>
      </w:tabs>
      <w:ind w:left="5040" w:hanging="3600"/>
    </w:pPr>
  </w:style>
  <w:style w:type="paragraph" w:customStyle="1" w:styleId="TOCTitle">
    <w:name w:val="TOC Title"/>
    <w:basedOn w:val="Normal"/>
    <w:rsid w:val="00753B6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53B60"/>
    <w:pPr>
      <w:jc w:val="center"/>
    </w:pPr>
    <w:rPr>
      <w:rFonts w:ascii="Times New Roman Bold" w:hAnsi="Times New Roman Bold"/>
      <w:b/>
      <w:bCs/>
      <w:caps/>
      <w:szCs w:val="22"/>
    </w:rPr>
  </w:style>
  <w:style w:type="character" w:styleId="Hyperlink">
    <w:name w:val="Hyperlink"/>
    <w:rsid w:val="00753B60"/>
    <w:rPr>
      <w:color w:val="0000FF"/>
      <w:u w:val="single"/>
    </w:rPr>
  </w:style>
  <w:style w:type="character" w:customStyle="1" w:styleId="FootnoteTextChar2">
    <w:name w:val="Footnote Text Char2"/>
    <w:aliases w:val="Footnote Text Char1 Char1,Footnote Text Char Char Char,Footnote Text Char1 Char Char Char,Footnote Text Char Char1 Char Char Char,Footnote Text Char3 Char Char Char Char Char,Footnote Text Char Char Char1 Char Char Char Char,f Char"/>
    <w:link w:val="FootnoteText"/>
    <w:rsid w:val="00B551E3"/>
  </w:style>
  <w:style w:type="character" w:customStyle="1" w:styleId="FootnoteTextChar3Char">
    <w:name w:val="Footnote Text Char3 Char"/>
    <w:aliases w:val="Footnote Text Char2 Char1 Char,Footnote Text Char Char Char2 Char,Footnote Text Char1 Char2 Char Char1 Char,Footnote Text Char Char Char2 Char Char Char,Footnote Text Char1 Char2 Char Char1 Char Char Char"/>
    <w:locked/>
    <w:rsid w:val="00297201"/>
  </w:style>
  <w:style w:type="character" w:customStyle="1" w:styleId="ParaNumChar1">
    <w:name w:val="ParaNum Char1"/>
    <w:link w:val="ParaNum"/>
    <w:locked/>
    <w:rsid w:val="000573FD"/>
    <w:rPr>
      <w:snapToGrid w:val="0"/>
      <w:kern w:val="28"/>
      <w:sz w:val="22"/>
    </w:rPr>
  </w:style>
  <w:style w:type="character" w:styleId="CommentReference">
    <w:name w:val="annotation reference"/>
    <w:basedOn w:val="DefaultParagraphFont"/>
    <w:rsid w:val="008A02E6"/>
    <w:rPr>
      <w:sz w:val="16"/>
      <w:szCs w:val="16"/>
    </w:rPr>
  </w:style>
  <w:style w:type="paragraph" w:styleId="CommentText">
    <w:name w:val="annotation text"/>
    <w:basedOn w:val="Normal"/>
    <w:link w:val="CommentTextChar"/>
    <w:rsid w:val="008A02E6"/>
    <w:rPr>
      <w:sz w:val="20"/>
    </w:rPr>
  </w:style>
  <w:style w:type="character" w:customStyle="1" w:styleId="CommentTextChar">
    <w:name w:val="Comment Text Char"/>
    <w:basedOn w:val="DefaultParagraphFont"/>
    <w:link w:val="CommentText"/>
    <w:rsid w:val="008A02E6"/>
    <w:rPr>
      <w:snapToGrid w:val="0"/>
      <w:kern w:val="28"/>
    </w:rPr>
  </w:style>
  <w:style w:type="paragraph" w:styleId="CommentSubject">
    <w:name w:val="annotation subject"/>
    <w:basedOn w:val="CommentText"/>
    <w:next w:val="CommentText"/>
    <w:link w:val="CommentSubjectChar"/>
    <w:rsid w:val="008A02E6"/>
    <w:rPr>
      <w:b/>
      <w:bCs/>
    </w:rPr>
  </w:style>
  <w:style w:type="character" w:customStyle="1" w:styleId="CommentSubjectChar">
    <w:name w:val="Comment Subject Char"/>
    <w:basedOn w:val="CommentTextChar"/>
    <w:link w:val="CommentSubject"/>
    <w:rsid w:val="008A02E6"/>
    <w:rPr>
      <w:b/>
      <w:bCs/>
      <w:snapToGrid w:val="0"/>
      <w:kern w:val="28"/>
    </w:rPr>
  </w:style>
  <w:style w:type="paragraph" w:styleId="BalloonText">
    <w:name w:val="Balloon Text"/>
    <w:basedOn w:val="Normal"/>
    <w:link w:val="BalloonTextChar"/>
    <w:rsid w:val="008A02E6"/>
    <w:rPr>
      <w:rFonts w:ascii="Tahoma" w:hAnsi="Tahoma" w:cs="Tahoma"/>
      <w:sz w:val="16"/>
      <w:szCs w:val="16"/>
    </w:rPr>
  </w:style>
  <w:style w:type="character" w:customStyle="1" w:styleId="BalloonTextChar">
    <w:name w:val="Balloon Text Char"/>
    <w:basedOn w:val="DefaultParagraphFont"/>
    <w:link w:val="BalloonText"/>
    <w:rsid w:val="008A02E6"/>
    <w:rPr>
      <w:rFonts w:ascii="Tahoma" w:hAnsi="Tahoma" w:cs="Tahoma"/>
      <w:snapToGrid w:val="0"/>
      <w:kern w:val="28"/>
      <w:sz w:val="16"/>
      <w:szCs w:val="16"/>
    </w:rPr>
  </w:style>
  <w:style w:type="paragraph" w:styleId="Revision">
    <w:name w:val="Revision"/>
    <w:hidden/>
    <w:uiPriority w:val="99"/>
    <w:semiHidden/>
    <w:rsid w:val="008C3397"/>
    <w:rPr>
      <w:snapToGrid w:val="0"/>
      <w:kern w:val="28"/>
      <w:sz w:val="22"/>
    </w:rPr>
  </w:style>
  <w:style w:type="character" w:customStyle="1" w:styleId="FooterChar">
    <w:name w:val="Footer Char"/>
    <w:basedOn w:val="DefaultParagraphFont"/>
    <w:link w:val="Footer"/>
    <w:rsid w:val="00C876BD"/>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fcc504@fcc.gov"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My%20Document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2302</Words>
  <Characters>12342</Characters>
  <Application>Microsoft Office Word</Application>
  <DocSecurity>0</DocSecurity>
  <Lines>187</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14693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2014-12-29T20:07:00Z</dcterms:created>
  <dcterms:modified xsi:type="dcterms:W3CDTF">2014-12-29T20:07:00Z</dcterms:modified>
  <cp:category> </cp:category>
  <cp:contentStatus> </cp:contentStatus>
</cp:coreProperties>
</file>