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rsidSect="00E347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bookmarkStart w:id="1" w:name="_GoBack"/>
      <w:bookmarkEnd w:id="1"/>
    </w:p>
    <w:p w:rsidR="000F69DF" w:rsidRPr="001E68FC" w:rsidRDefault="000F69DF">
      <w:pPr>
        <w:jc w:val="right"/>
        <w:rPr>
          <w:b/>
          <w:sz w:val="24"/>
        </w:rPr>
      </w:pPr>
      <w:r w:rsidRPr="001E68FC">
        <w:rPr>
          <w:b/>
          <w:sz w:val="24"/>
        </w:rPr>
        <w:lastRenderedPageBreak/>
        <w:t>DA</w:t>
      </w:r>
      <w:r w:rsidR="00AD3B80">
        <w:rPr>
          <w:b/>
          <w:sz w:val="24"/>
        </w:rPr>
        <w:t xml:space="preserve"> 14-1902</w:t>
      </w:r>
    </w:p>
    <w:p w:rsidR="000F69DF" w:rsidRPr="001E68FC" w:rsidRDefault="001777EC">
      <w:pPr>
        <w:spacing w:before="60"/>
        <w:jc w:val="right"/>
        <w:rPr>
          <w:b/>
          <w:sz w:val="24"/>
        </w:rPr>
      </w:pPr>
      <w:r>
        <w:rPr>
          <w:b/>
          <w:sz w:val="24"/>
        </w:rPr>
        <w:t>December 30</w:t>
      </w:r>
      <w:r w:rsidR="001E68FC" w:rsidRPr="001E68FC">
        <w:rPr>
          <w:b/>
          <w:sz w:val="24"/>
        </w:rPr>
        <w:t>, 2014</w:t>
      </w:r>
    </w:p>
    <w:p w:rsidR="000F69DF" w:rsidRDefault="000F69DF">
      <w:pPr>
        <w:jc w:val="right"/>
        <w:rPr>
          <w:sz w:val="24"/>
        </w:rPr>
      </w:pPr>
    </w:p>
    <w:p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r>
        <w:rPr>
          <w:b/>
          <w:caps/>
          <w:szCs w:val="22"/>
        </w:rPr>
        <w:t>PETITION</w:t>
      </w:r>
      <w:r w:rsidR="00CD76A8">
        <w:rPr>
          <w:b/>
          <w:caps/>
          <w:szCs w:val="22"/>
        </w:rPr>
        <w:t>S</w:t>
      </w:r>
      <w:r w:rsidR="007364CD">
        <w:rPr>
          <w:b/>
          <w:caps/>
          <w:szCs w:val="22"/>
        </w:rPr>
        <w:t xml:space="preserve"> For Waiver of</w:t>
      </w:r>
      <w:r>
        <w:rPr>
          <w:b/>
          <w:caps/>
          <w:szCs w:val="22"/>
        </w:rPr>
        <w:t xml:space="preserve"> THE cOMMISSION’S RULE ON OPT-OUT NOTICEs ON FAX ADVERTISEMENTS </w:t>
      </w:r>
    </w:p>
    <w:p w:rsidR="001E68FC" w:rsidRDefault="001E68FC" w:rsidP="001E68FC">
      <w:pPr>
        <w:jc w:val="center"/>
        <w:rPr>
          <w:b/>
          <w:szCs w:val="22"/>
        </w:rPr>
      </w:pP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A21224">
        <w:rPr>
          <w:szCs w:val="22"/>
        </w:rPr>
        <w:t xml:space="preserve">  January </w:t>
      </w:r>
      <w:r w:rsidR="007607E9">
        <w:rPr>
          <w:szCs w:val="22"/>
        </w:rPr>
        <w:t>13</w:t>
      </w:r>
      <w:r w:rsidR="001777EC">
        <w:rPr>
          <w:szCs w:val="22"/>
        </w:rPr>
        <w:t>, 2015</w:t>
      </w:r>
    </w:p>
    <w:p w:rsidR="000F69DF" w:rsidRDefault="001E68FC" w:rsidP="00997FAC">
      <w:pPr>
        <w:rPr>
          <w:b/>
        </w:rPr>
      </w:pPr>
      <w:r>
        <w:rPr>
          <w:b/>
        </w:rPr>
        <w:t>Reply Comment Date</w:t>
      </w:r>
      <w:r>
        <w:t xml:space="preserve">:  </w:t>
      </w:r>
      <w:r w:rsidR="007607E9">
        <w:rPr>
          <w:b/>
        </w:rPr>
        <w:t>January 20</w:t>
      </w:r>
      <w:r>
        <w:t xml:space="preserve">, </w:t>
      </w:r>
      <w:r w:rsidR="001777EC">
        <w:rPr>
          <w:b/>
        </w:rPr>
        <w:t>2015</w:t>
      </w:r>
    </w:p>
    <w:p w:rsidR="00DD44B0" w:rsidRPr="00997FAC" w:rsidRDefault="00DD44B0" w:rsidP="00997FAC">
      <w:pPr>
        <w:rPr>
          <w:b/>
        </w:rPr>
      </w:pPr>
    </w:p>
    <w:p w:rsidR="00B825BB" w:rsidRDefault="001E68FC" w:rsidP="00DD44B0">
      <w:pPr>
        <w:spacing w:before="120" w:after="240"/>
        <w:rPr>
          <w:szCs w:val="22"/>
        </w:rPr>
      </w:pPr>
      <w:r>
        <w:rPr>
          <w:sz w:val="24"/>
        </w:rPr>
        <w:tab/>
      </w:r>
      <w:r w:rsidR="00EE07EE">
        <w:rPr>
          <w:sz w:val="24"/>
        </w:rPr>
        <w:t xml:space="preserve"> </w:t>
      </w:r>
      <w:r w:rsidR="00816870">
        <w:rPr>
          <w:sz w:val="24"/>
        </w:rPr>
        <w:t>Eleven</w:t>
      </w:r>
      <w:r w:rsidR="001777EC">
        <w:rPr>
          <w:sz w:val="24"/>
        </w:rPr>
        <w:t xml:space="preserve"> </w:t>
      </w:r>
      <w:r w:rsidR="00CD76A8">
        <w:rPr>
          <w:szCs w:val="22"/>
        </w:rPr>
        <w:t xml:space="preserve">petitions have been filed seeking </w:t>
      </w:r>
      <w:r w:rsidR="00355318">
        <w:rPr>
          <w:szCs w:val="22"/>
        </w:rPr>
        <w:t>a</w:t>
      </w:r>
      <w:r w:rsidR="00B261AB">
        <w:rPr>
          <w:szCs w:val="22"/>
        </w:rPr>
        <w:t xml:space="preserve"> </w:t>
      </w:r>
      <w:r w:rsidR="00B4731C">
        <w:rPr>
          <w:szCs w:val="22"/>
        </w:rPr>
        <w:t>waiver of</w:t>
      </w:r>
      <w:r w:rsidRPr="00BC51CD">
        <w:rPr>
          <w:szCs w:val="22"/>
        </w:rPr>
        <w:t xml:space="preserve"> section 64.1200(a)(4)(iv) of the Commission’s rules, w</w:t>
      </w:r>
      <w:r w:rsidR="009D46E5">
        <w:rPr>
          <w:szCs w:val="22"/>
        </w:rPr>
        <w:t xml:space="preserve">hich requires </w:t>
      </w:r>
      <w:r w:rsidR="00BB0019">
        <w:rPr>
          <w:szCs w:val="22"/>
        </w:rPr>
        <w:t xml:space="preserve">that </w:t>
      </w:r>
      <w:r w:rsidR="00D33F24">
        <w:rPr>
          <w:szCs w:val="22"/>
        </w:rPr>
        <w:t>an</w:t>
      </w:r>
      <w:r w:rsidR="00D33F24" w:rsidRPr="00BC51CD">
        <w:rPr>
          <w:szCs w:val="22"/>
        </w:rPr>
        <w:t xml:space="preserve"> opt-out notice</w:t>
      </w:r>
      <w:r w:rsidR="00C45D0F">
        <w:rPr>
          <w:szCs w:val="22"/>
        </w:rPr>
        <w:t xml:space="preserve"> containing certain information</w:t>
      </w:r>
      <w:r w:rsidR="00B45287">
        <w:rPr>
          <w:rStyle w:val="FootnoteReference"/>
          <w:szCs w:val="22"/>
        </w:rPr>
        <w:footnoteReference w:id="1"/>
      </w:r>
      <w:r w:rsidR="00D33F24">
        <w:rPr>
          <w:szCs w:val="22"/>
        </w:rPr>
        <w:t xml:space="preserve"> </w:t>
      </w:r>
      <w:r w:rsidR="00BB0019">
        <w:rPr>
          <w:szCs w:val="22"/>
        </w:rPr>
        <w:t xml:space="preserve">be included </w:t>
      </w:r>
      <w:r w:rsidR="00D33F24">
        <w:rPr>
          <w:szCs w:val="22"/>
        </w:rPr>
        <w:t xml:space="preserve">in </w:t>
      </w:r>
      <w:r w:rsidR="009D46E5">
        <w:rPr>
          <w:szCs w:val="22"/>
        </w:rPr>
        <w:t>fax ads</w:t>
      </w:r>
      <w:r w:rsidRPr="00BC51CD">
        <w:rPr>
          <w:szCs w:val="22"/>
        </w:rPr>
        <w:t xml:space="preserve"> sent to a consumer who has provided prior express invitation or permission.</w:t>
      </w:r>
      <w:r w:rsidRPr="00BC51CD">
        <w:rPr>
          <w:rStyle w:val="FootnoteReference"/>
          <w:szCs w:val="22"/>
        </w:rPr>
        <w:footnoteReference w:id="2"/>
      </w:r>
      <w:r w:rsidRPr="00BC51CD">
        <w:rPr>
          <w:szCs w:val="22"/>
        </w:rPr>
        <w:t xml:space="preserve">  With this Public </w:t>
      </w:r>
      <w:r w:rsidR="00AC0A1F">
        <w:rPr>
          <w:szCs w:val="22"/>
        </w:rPr>
        <w:t>Notice, we seek comment on the P</w:t>
      </w:r>
      <w:r w:rsidR="00B261AB">
        <w:rPr>
          <w:szCs w:val="22"/>
        </w:rPr>
        <w:t>etition</w:t>
      </w:r>
      <w:r w:rsidR="00736654">
        <w:rPr>
          <w:szCs w:val="22"/>
        </w:rPr>
        <w:t>s</w:t>
      </w:r>
      <w:r w:rsidRPr="00BC51CD">
        <w:rPr>
          <w:szCs w:val="22"/>
        </w:rPr>
        <w:t xml:space="preserve"> </w:t>
      </w:r>
      <w:r w:rsidR="00B4731C">
        <w:rPr>
          <w:szCs w:val="22"/>
        </w:rPr>
        <w:t>as</w:t>
      </w:r>
      <w:r w:rsidR="00B825BB">
        <w:rPr>
          <w:szCs w:val="22"/>
        </w:rPr>
        <w:t xml:space="preserve"> </w:t>
      </w:r>
      <w:r w:rsidRPr="00BC51CD">
        <w:rPr>
          <w:szCs w:val="22"/>
        </w:rPr>
        <w:t xml:space="preserve">described below.  </w:t>
      </w:r>
    </w:p>
    <w:p w:rsidR="00E0730A" w:rsidRDefault="003F3F7F" w:rsidP="008E2BE7">
      <w:pPr>
        <w:spacing w:before="120" w:after="240"/>
        <w:ind w:firstLine="720"/>
        <w:rPr>
          <w:szCs w:val="22"/>
        </w:rPr>
      </w:pPr>
      <w:r>
        <w:rPr>
          <w:szCs w:val="22"/>
        </w:rPr>
        <w:lastRenderedPageBreak/>
        <w:t>Specifically</w:t>
      </w:r>
      <w:r w:rsidR="00DA3FCE">
        <w:rPr>
          <w:szCs w:val="22"/>
        </w:rPr>
        <w:t>,</w:t>
      </w:r>
      <w:r w:rsidR="00170DCF">
        <w:rPr>
          <w:szCs w:val="22"/>
        </w:rPr>
        <w:t xml:space="preserve"> </w:t>
      </w:r>
      <w:r w:rsidR="0002562F">
        <w:rPr>
          <w:szCs w:val="22"/>
        </w:rPr>
        <w:t>the P</w:t>
      </w:r>
      <w:r w:rsidR="008675B7">
        <w:rPr>
          <w:szCs w:val="22"/>
        </w:rPr>
        <w:t>etitioner</w:t>
      </w:r>
      <w:r w:rsidR="00370DD3">
        <w:rPr>
          <w:szCs w:val="22"/>
        </w:rPr>
        <w:t>s</w:t>
      </w:r>
      <w:r w:rsidR="003F0FC7">
        <w:rPr>
          <w:szCs w:val="22"/>
        </w:rPr>
        <w:t xml:space="preserve"> seek </w:t>
      </w:r>
      <w:r w:rsidR="00BB0019">
        <w:rPr>
          <w:szCs w:val="22"/>
        </w:rPr>
        <w:t xml:space="preserve">retroactive </w:t>
      </w:r>
      <w:r w:rsidR="00DA3FCE">
        <w:rPr>
          <w:szCs w:val="22"/>
        </w:rPr>
        <w:t>waiver</w:t>
      </w:r>
      <w:r w:rsidR="00BB0019">
        <w:rPr>
          <w:szCs w:val="22"/>
        </w:rPr>
        <w:t>s</w:t>
      </w:r>
      <w:r w:rsidR="00DA3FCE">
        <w:rPr>
          <w:szCs w:val="22"/>
        </w:rPr>
        <w:t xml:space="preserve"> </w:t>
      </w:r>
      <w:r w:rsidR="0001646B">
        <w:rPr>
          <w:szCs w:val="22"/>
        </w:rPr>
        <w:t xml:space="preserve">of the opt-out notice requirement </w:t>
      </w:r>
      <w:r w:rsidR="007F6B74">
        <w:rPr>
          <w:szCs w:val="22"/>
        </w:rPr>
        <w:t>for fax ad</w:t>
      </w:r>
      <w:r w:rsidR="00DA3FCE">
        <w:rPr>
          <w:szCs w:val="22"/>
        </w:rPr>
        <w:t xml:space="preserve">s </w:t>
      </w:r>
      <w:r w:rsidR="00BB0019">
        <w:rPr>
          <w:szCs w:val="22"/>
        </w:rPr>
        <w:t xml:space="preserve">they </w:t>
      </w:r>
      <w:r w:rsidR="007F6B74">
        <w:rPr>
          <w:szCs w:val="22"/>
        </w:rPr>
        <w:t>sent where prior express</w:t>
      </w:r>
      <w:r w:rsidR="0002562F">
        <w:rPr>
          <w:szCs w:val="22"/>
        </w:rPr>
        <w:t xml:space="preserve"> invitation or</w:t>
      </w:r>
      <w:r w:rsidR="007F6B74">
        <w:rPr>
          <w:szCs w:val="22"/>
        </w:rPr>
        <w:t xml:space="preserve"> permission</w:t>
      </w:r>
      <w:r w:rsidR="00DA3FCE">
        <w:rPr>
          <w:szCs w:val="22"/>
        </w:rPr>
        <w:t xml:space="preserve"> </w:t>
      </w:r>
      <w:r w:rsidR="00CC4395">
        <w:rPr>
          <w:szCs w:val="22"/>
        </w:rPr>
        <w:t xml:space="preserve">allegedly </w:t>
      </w:r>
      <w:r w:rsidR="00DA3FCE">
        <w:rPr>
          <w:szCs w:val="22"/>
        </w:rPr>
        <w:t>ha</w:t>
      </w:r>
      <w:r w:rsidR="00BB0019">
        <w:rPr>
          <w:szCs w:val="22"/>
        </w:rPr>
        <w:t>d</w:t>
      </w:r>
      <w:r w:rsidR="00DA3FCE">
        <w:rPr>
          <w:szCs w:val="22"/>
        </w:rPr>
        <w:t xml:space="preserve"> been obtained from the recipient.</w:t>
      </w:r>
      <w:r w:rsidR="00DA3FCE">
        <w:rPr>
          <w:rStyle w:val="FootnoteReference"/>
          <w:szCs w:val="22"/>
        </w:rPr>
        <w:footnoteReference w:id="3"/>
      </w:r>
      <w:r w:rsidR="00DA3FCE">
        <w:rPr>
          <w:szCs w:val="22"/>
        </w:rPr>
        <w:t xml:space="preserve"> </w:t>
      </w:r>
      <w:r w:rsidR="00F716C5">
        <w:rPr>
          <w:szCs w:val="22"/>
        </w:rPr>
        <w:t xml:space="preserve"> </w:t>
      </w:r>
      <w:r w:rsidR="003F0FC7">
        <w:rPr>
          <w:szCs w:val="22"/>
        </w:rPr>
        <w:t>The</w:t>
      </w:r>
      <w:r w:rsidR="0009564A">
        <w:rPr>
          <w:szCs w:val="22"/>
        </w:rPr>
        <w:t xml:space="preserve"> Petitioners argue that good cause exists because they are similarly situated to parties </w:t>
      </w:r>
      <w:r w:rsidR="00BB0019">
        <w:rPr>
          <w:szCs w:val="22"/>
        </w:rPr>
        <w:t xml:space="preserve">who </w:t>
      </w:r>
      <w:r w:rsidR="0009564A">
        <w:rPr>
          <w:szCs w:val="22"/>
        </w:rPr>
        <w:t>were granted retroactive waivers from this requirement by the Commission</w:t>
      </w:r>
      <w:r w:rsidR="00F551BD">
        <w:rPr>
          <w:szCs w:val="22"/>
        </w:rPr>
        <w:t xml:space="preserve"> in the </w:t>
      </w:r>
      <w:r w:rsidR="00BB0019">
        <w:rPr>
          <w:szCs w:val="22"/>
        </w:rPr>
        <w:t xml:space="preserve">recent </w:t>
      </w:r>
      <w:r w:rsidR="00BB0019" w:rsidRPr="00877275">
        <w:rPr>
          <w:i/>
          <w:szCs w:val="22"/>
        </w:rPr>
        <w:t xml:space="preserve">Anda </w:t>
      </w:r>
      <w:r w:rsidR="00F551BD" w:rsidRPr="00877275">
        <w:rPr>
          <w:i/>
          <w:szCs w:val="22"/>
        </w:rPr>
        <w:t>Order</w:t>
      </w:r>
      <w:r w:rsidR="0009564A">
        <w:rPr>
          <w:szCs w:val="22"/>
        </w:rPr>
        <w:t>.</w:t>
      </w:r>
      <w:r w:rsidR="0009564A">
        <w:rPr>
          <w:rStyle w:val="FootnoteReference"/>
          <w:szCs w:val="22"/>
        </w:rPr>
        <w:footnoteReference w:id="4"/>
      </w:r>
      <w:r w:rsidR="00490546">
        <w:rPr>
          <w:szCs w:val="22"/>
        </w:rPr>
        <w:t xml:space="preserve">  </w:t>
      </w:r>
      <w:r w:rsidR="00F551BD">
        <w:rPr>
          <w:szCs w:val="22"/>
        </w:rPr>
        <w:t xml:space="preserve">In the </w:t>
      </w:r>
      <w:r w:rsidR="00BB0019" w:rsidRPr="00877275">
        <w:rPr>
          <w:i/>
          <w:szCs w:val="22"/>
        </w:rPr>
        <w:t xml:space="preserve">Anda </w:t>
      </w:r>
      <w:r w:rsidR="00F551BD" w:rsidRPr="00877275">
        <w:rPr>
          <w:i/>
          <w:szCs w:val="22"/>
        </w:rPr>
        <w:t>Order</w:t>
      </w:r>
      <w:r w:rsidR="00F551BD" w:rsidRPr="00F551BD">
        <w:rPr>
          <w:szCs w:val="22"/>
        </w:rPr>
        <w:t>, the Commission granted retroact</w:t>
      </w:r>
      <w:r w:rsidR="00F551BD">
        <w:rPr>
          <w:szCs w:val="22"/>
        </w:rPr>
        <w:t xml:space="preserve">ive waivers </w:t>
      </w:r>
      <w:r w:rsidR="00F551BD" w:rsidRPr="00F551BD">
        <w:rPr>
          <w:szCs w:val="22"/>
        </w:rPr>
        <w:t>to several indivi</w:t>
      </w:r>
      <w:r w:rsidR="00A76D5D">
        <w:rPr>
          <w:szCs w:val="22"/>
        </w:rPr>
        <w:t xml:space="preserve">dual petitioners because of </w:t>
      </w:r>
      <w:r w:rsidR="00F551BD" w:rsidRPr="00F551BD">
        <w:rPr>
          <w:szCs w:val="22"/>
        </w:rPr>
        <w:t>uncertainty about whether the opt-out notic</w:t>
      </w:r>
      <w:r w:rsidR="00F551BD">
        <w:rPr>
          <w:szCs w:val="22"/>
        </w:rPr>
        <w:t>e applied to “solicited” faxes.</w:t>
      </w:r>
      <w:r w:rsidR="00404AC2">
        <w:rPr>
          <w:rStyle w:val="FootnoteReference"/>
          <w:szCs w:val="22"/>
        </w:rPr>
        <w:footnoteReference w:id="5"/>
      </w:r>
    </w:p>
    <w:p w:rsidR="00F716C5" w:rsidRPr="008D3C08" w:rsidRDefault="0014052B" w:rsidP="008E2BE7">
      <w:pPr>
        <w:spacing w:before="120" w:after="240"/>
        <w:ind w:firstLine="720"/>
        <w:rPr>
          <w:szCs w:val="22"/>
        </w:rPr>
      </w:pPr>
      <w:r>
        <w:rPr>
          <w:szCs w:val="22"/>
        </w:rPr>
        <w:t>The</w:t>
      </w:r>
      <w:r w:rsidR="008D3C08">
        <w:rPr>
          <w:szCs w:val="22"/>
        </w:rPr>
        <w:t xml:space="preserve"> waiver</w:t>
      </w:r>
      <w:r>
        <w:rPr>
          <w:szCs w:val="22"/>
        </w:rPr>
        <w:t xml:space="preserve">s granted in </w:t>
      </w:r>
      <w:r w:rsidR="000678E7">
        <w:rPr>
          <w:szCs w:val="22"/>
        </w:rPr>
        <w:t xml:space="preserve">the </w:t>
      </w:r>
      <w:r w:rsidR="00BB0019">
        <w:rPr>
          <w:i/>
          <w:szCs w:val="22"/>
        </w:rPr>
        <w:t xml:space="preserve">Anda </w:t>
      </w:r>
      <w:r w:rsidR="000678E7">
        <w:rPr>
          <w:i/>
          <w:szCs w:val="22"/>
        </w:rPr>
        <w:t xml:space="preserve">Order </w:t>
      </w:r>
      <w:r>
        <w:rPr>
          <w:szCs w:val="22"/>
        </w:rPr>
        <w:t>apply</w:t>
      </w:r>
      <w:r w:rsidR="008D3C08">
        <w:rPr>
          <w:szCs w:val="22"/>
        </w:rPr>
        <w:t xml:space="preserve"> only to the individual petitioners listed in th</w:t>
      </w:r>
      <w:r w:rsidR="000678E7">
        <w:rPr>
          <w:szCs w:val="22"/>
        </w:rPr>
        <w:t>at order</w:t>
      </w:r>
      <w:r w:rsidR="008D3C08">
        <w:rPr>
          <w:szCs w:val="22"/>
        </w:rPr>
        <w:t>.</w:t>
      </w:r>
      <w:r>
        <w:rPr>
          <w:rStyle w:val="FootnoteReference"/>
          <w:szCs w:val="22"/>
        </w:rPr>
        <w:footnoteReference w:id="6"/>
      </w:r>
      <w:r w:rsidR="008D3C08">
        <w:rPr>
          <w:szCs w:val="22"/>
        </w:rPr>
        <w:t xml:space="preserve">  The Commission noted, however, that other, similarly situated parties may also seek waivers.</w:t>
      </w:r>
      <w:r w:rsidR="000678E7">
        <w:rPr>
          <w:szCs w:val="22"/>
        </w:rPr>
        <w:t xml:space="preserve">  We therefore </w:t>
      </w:r>
      <w:r w:rsidR="008D3C08">
        <w:rPr>
          <w:szCs w:val="22"/>
        </w:rPr>
        <w:t>seek comment on the Petitioners</w:t>
      </w:r>
      <w:r>
        <w:rPr>
          <w:szCs w:val="22"/>
        </w:rPr>
        <w:t>’</w:t>
      </w:r>
      <w:r w:rsidR="008D3C08">
        <w:rPr>
          <w:szCs w:val="22"/>
        </w:rPr>
        <w:t xml:space="preserve"> r</w:t>
      </w:r>
      <w:r>
        <w:rPr>
          <w:szCs w:val="22"/>
        </w:rPr>
        <w:t>equest</w:t>
      </w:r>
      <w:r w:rsidR="000678E7">
        <w:rPr>
          <w:szCs w:val="22"/>
        </w:rPr>
        <w:t>s</w:t>
      </w:r>
      <w:r>
        <w:rPr>
          <w:szCs w:val="22"/>
        </w:rPr>
        <w:t xml:space="preserve"> for waiver consistent with the </w:t>
      </w:r>
      <w:r w:rsidR="008E2BE7">
        <w:rPr>
          <w:szCs w:val="22"/>
        </w:rPr>
        <w:t>guidance set forth</w:t>
      </w:r>
      <w:r>
        <w:rPr>
          <w:szCs w:val="22"/>
        </w:rPr>
        <w:t xml:space="preserve"> in the </w:t>
      </w:r>
      <w:r w:rsidR="00404AC2">
        <w:rPr>
          <w:i/>
          <w:szCs w:val="22"/>
        </w:rPr>
        <w:t xml:space="preserve">Anda </w:t>
      </w:r>
      <w:r>
        <w:rPr>
          <w:i/>
          <w:szCs w:val="22"/>
        </w:rPr>
        <w:t>Order</w:t>
      </w:r>
      <w:r>
        <w:rPr>
          <w:szCs w:val="22"/>
        </w:rPr>
        <w:t>.</w:t>
      </w:r>
      <w:r w:rsidR="008D3C08">
        <w:rPr>
          <w:szCs w:val="22"/>
        </w:rPr>
        <w:t xml:space="preserve"> </w:t>
      </w:r>
    </w:p>
    <w:p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1E68FC" w:rsidRPr="001E68FC" w:rsidRDefault="001E68FC" w:rsidP="001E68FC">
      <w:pPr>
        <w:autoSpaceDE w:val="0"/>
        <w:autoSpaceDN w:val="0"/>
        <w:adjustRightInd w:val="0"/>
        <w:ind w:firstLine="720"/>
        <w:rPr>
          <w:szCs w:val="22"/>
        </w:rPr>
      </w:pPr>
    </w:p>
    <w:p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1E68FC" w:rsidRPr="001E68FC" w:rsidRDefault="001E68FC" w:rsidP="001E68FC">
      <w:pPr>
        <w:autoSpaceDE w:val="0"/>
        <w:autoSpaceDN w:val="0"/>
        <w:adjustRightInd w:val="0"/>
        <w:rPr>
          <w:szCs w:val="22"/>
        </w:rPr>
      </w:pPr>
    </w:p>
    <w:p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1E68FC" w:rsidRPr="001E68FC" w:rsidRDefault="001E68FC" w:rsidP="001E68FC">
      <w:pPr>
        <w:autoSpaceDE w:val="0"/>
        <w:autoSpaceDN w:val="0"/>
        <w:adjustRightInd w:val="0"/>
        <w:ind w:firstLine="720"/>
        <w:rPr>
          <w:szCs w:val="22"/>
        </w:rPr>
      </w:pPr>
    </w:p>
    <w:p w:rsidR="001E68FC" w:rsidRPr="001E68FC" w:rsidRDefault="001E68FC" w:rsidP="001E68FC">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1E68FC" w:rsidRPr="001E68FC" w:rsidRDefault="001E68FC" w:rsidP="001E68FC">
      <w:pPr>
        <w:autoSpaceDE w:val="0"/>
        <w:autoSpaceDN w:val="0"/>
        <w:adjustRightInd w:val="0"/>
        <w:rPr>
          <w:szCs w:val="22"/>
        </w:rPr>
      </w:pPr>
    </w:p>
    <w:p w:rsidR="001E68FC" w:rsidRDefault="001E68FC" w:rsidP="001E68FC">
      <w:pPr>
        <w:rPr>
          <w:szCs w:val="22"/>
        </w:rPr>
      </w:pPr>
      <w:r w:rsidRPr="001E68FC">
        <w:rPr>
          <w:b/>
          <w:szCs w:val="22"/>
        </w:rPr>
        <w:t>FOR FURTHER INFORMATION CONTACT:</w:t>
      </w:r>
      <w:r w:rsidRPr="001E68FC">
        <w:rPr>
          <w:szCs w:val="22"/>
        </w:rPr>
        <w:t xml:space="preserve">  Richard D. Smith, Consumer and Governmental Affairs Bureau, Federal Communications Commission, (717) 338-2797</w:t>
      </w:r>
      <w:r w:rsidR="006D0730">
        <w:rPr>
          <w:szCs w:val="22"/>
        </w:rPr>
        <w:t>;</w:t>
      </w:r>
      <w:r w:rsidRPr="001E68FC">
        <w:rPr>
          <w:szCs w:val="22"/>
        </w:rPr>
        <w:t xml:space="preserve"> or </w:t>
      </w:r>
      <w:hyperlink r:id="rId15" w:history="1">
        <w:r w:rsidR="00E41CC7" w:rsidRPr="006C1CE3">
          <w:rPr>
            <w:rStyle w:val="Hyperlink"/>
            <w:szCs w:val="22"/>
          </w:rPr>
          <w:t>Richard.Smith@fcc.gov</w:t>
        </w:r>
      </w:hyperlink>
      <w:r w:rsidRPr="001E68FC">
        <w:rPr>
          <w:szCs w:val="22"/>
        </w:rPr>
        <w:t>.</w:t>
      </w:r>
    </w:p>
    <w:p w:rsidR="00E41CC7" w:rsidRPr="001E68FC" w:rsidRDefault="00E41CC7" w:rsidP="001E68FC">
      <w:pPr>
        <w:rPr>
          <w:szCs w:val="22"/>
        </w:rPr>
      </w:pPr>
    </w:p>
    <w:p w:rsidR="006878EA" w:rsidRPr="00801FF6" w:rsidRDefault="001E68FC" w:rsidP="00801FF6">
      <w:pPr>
        <w:jc w:val="center"/>
        <w:rPr>
          <w:b/>
          <w:sz w:val="24"/>
          <w:szCs w:val="24"/>
        </w:rPr>
      </w:pPr>
      <w:r w:rsidRPr="001E68FC">
        <w:rPr>
          <w:b/>
          <w:sz w:val="24"/>
          <w:szCs w:val="24"/>
        </w:rPr>
        <w:t>-FCC-</w:t>
      </w:r>
    </w:p>
    <w:sectPr w:rsidR="006878EA" w:rsidRPr="00801FF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85" w:rsidRDefault="00A06785">
      <w:r>
        <w:separator/>
      </w:r>
    </w:p>
  </w:endnote>
  <w:endnote w:type="continuationSeparator" w:id="0">
    <w:p w:rsidR="00A06785" w:rsidRDefault="00A0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2" w:rsidRDefault="00FC4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2" w:rsidRDefault="00FC4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Footer"/>
      <w:jc w:val="center"/>
    </w:pPr>
  </w:p>
  <w:p w:rsidR="003F485F" w:rsidRDefault="003F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85" w:rsidRDefault="00A06785">
      <w:r>
        <w:separator/>
      </w:r>
    </w:p>
  </w:footnote>
  <w:footnote w:type="continuationSeparator" w:id="0">
    <w:p w:rsidR="00A06785" w:rsidRDefault="00A06785">
      <w:r>
        <w:continuationSeparator/>
      </w:r>
    </w:p>
  </w:footnote>
  <w:footnote w:id="1">
    <w:p w:rsidR="00B45287" w:rsidRPr="007512B4" w:rsidRDefault="00B45287">
      <w:pPr>
        <w:pStyle w:val="FootnoteText"/>
        <w:rPr>
          <w:sz w:val="20"/>
        </w:rPr>
      </w:pPr>
      <w:r w:rsidRPr="007512B4">
        <w:rPr>
          <w:rStyle w:val="FootnoteReference"/>
          <w:sz w:val="20"/>
        </w:rPr>
        <w:footnoteRef/>
      </w:r>
      <w:r w:rsidRPr="007512B4">
        <w:rPr>
          <w:sz w:val="20"/>
        </w:rPr>
        <w:t xml:space="preserve"> </w:t>
      </w:r>
      <w:r w:rsidR="007512B4" w:rsidRPr="007512B4">
        <w:rPr>
          <w:sz w:val="20"/>
        </w:rPr>
        <w:t>The rule</w:t>
      </w:r>
      <w:r w:rsidR="007512B4">
        <w:rPr>
          <w:sz w:val="20"/>
        </w:rPr>
        <w:t>s specify</w:t>
      </w:r>
      <w:r w:rsidR="007512B4" w:rsidRPr="007512B4">
        <w:rPr>
          <w:sz w:val="20"/>
        </w:rPr>
        <w:t xml:space="preserve"> that the opt-out notice contained in fax ads must:  (1) be clear and conspicuous </w:t>
      </w:r>
      <w:r w:rsidR="007512B4">
        <w:rPr>
          <w:sz w:val="20"/>
        </w:rPr>
        <w:t xml:space="preserve">and </w:t>
      </w:r>
      <w:r w:rsidR="007512B4" w:rsidRPr="007512B4">
        <w:rPr>
          <w:sz w:val="20"/>
        </w:rPr>
        <w:t>on the first page of the ad; (2) state that the recipient may make a request to the sender not to send any future a</w:t>
      </w:r>
      <w:r w:rsidR="007512B4">
        <w:rPr>
          <w:sz w:val="20"/>
        </w:rPr>
        <w:t xml:space="preserve">ds and that failure to comply, </w:t>
      </w:r>
      <w:r w:rsidR="007512B4" w:rsidRPr="007512B4">
        <w:rPr>
          <w:sz w:val="20"/>
        </w:rPr>
        <w:t xml:space="preserve">within 30 days, with a request is unlawful; and, (3) contain a domestic contact telephone number and fax number for the recipient to transmit an opt-out request. </w:t>
      </w:r>
      <w:r w:rsidR="007512B4">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007512B4" w:rsidRPr="007512B4">
        <w:rPr>
          <w:sz w:val="20"/>
        </w:rPr>
        <w:t xml:space="preserve"> </w:t>
      </w:r>
      <w:r w:rsidR="007512B4" w:rsidRPr="007512B4">
        <w:rPr>
          <w:i/>
          <w:sz w:val="20"/>
        </w:rPr>
        <w:t xml:space="preserve">See </w:t>
      </w:r>
      <w:r w:rsidR="007512B4" w:rsidRPr="007512B4">
        <w:rPr>
          <w:sz w:val="20"/>
        </w:rPr>
        <w:t>47 C.F.R. § 64.1200 (a)(4)</w:t>
      </w:r>
      <w:r w:rsidR="007512B4">
        <w:rPr>
          <w:sz w:val="20"/>
        </w:rPr>
        <w:t>(iii)-</w:t>
      </w:r>
      <w:r w:rsidR="007512B4" w:rsidRPr="007512B4">
        <w:rPr>
          <w:sz w:val="20"/>
        </w:rPr>
        <w:t>(iv).</w:t>
      </w:r>
    </w:p>
  </w:footnote>
  <w:footnote w:id="2">
    <w:p w:rsidR="003F485F" w:rsidRPr="007512B4" w:rsidRDefault="003F485F" w:rsidP="001E68FC">
      <w:pPr>
        <w:rPr>
          <w:sz w:val="20"/>
        </w:rPr>
      </w:pPr>
      <w:r w:rsidRPr="007512B4">
        <w:rPr>
          <w:rStyle w:val="FootnoteReference"/>
          <w:sz w:val="20"/>
        </w:rPr>
        <w:footnoteRef/>
      </w:r>
      <w:r w:rsidRPr="007512B4">
        <w:rPr>
          <w:sz w:val="20"/>
        </w:rPr>
        <w:t xml:space="preserve"> </w:t>
      </w:r>
      <w:r w:rsidRPr="007512B4">
        <w:rPr>
          <w:i/>
          <w:sz w:val="20"/>
        </w:rPr>
        <w:t xml:space="preserve">See </w:t>
      </w:r>
      <w:r w:rsidR="00FD4966" w:rsidRPr="007512B4">
        <w:rPr>
          <w:i/>
          <w:sz w:val="20"/>
        </w:rPr>
        <w:t xml:space="preserve">Petition of </w:t>
      </w:r>
      <w:r w:rsidR="00FD4966">
        <w:rPr>
          <w:i/>
          <w:sz w:val="20"/>
        </w:rPr>
        <w:t xml:space="preserve">McKesson Corporation </w:t>
      </w:r>
      <w:r w:rsidR="00FD4966" w:rsidRPr="007512B4">
        <w:rPr>
          <w:i/>
          <w:sz w:val="20"/>
        </w:rPr>
        <w:t>for Waiver</w:t>
      </w:r>
      <w:r w:rsidR="00FD4966" w:rsidRPr="007512B4">
        <w:rPr>
          <w:sz w:val="20"/>
        </w:rPr>
        <w:t xml:space="preserve">, CG Docket Nos. 02-278, 05-338 (filed Nov. </w:t>
      </w:r>
      <w:r w:rsidR="00FD4966">
        <w:rPr>
          <w:sz w:val="20"/>
        </w:rPr>
        <w:t>25</w:t>
      </w:r>
      <w:r w:rsidR="00FD4966" w:rsidRPr="007512B4">
        <w:rPr>
          <w:sz w:val="20"/>
        </w:rPr>
        <w:t>, 2014) (</w:t>
      </w:r>
      <w:r w:rsidR="00FD4966">
        <w:rPr>
          <w:sz w:val="20"/>
        </w:rPr>
        <w:t>McKesson</w:t>
      </w:r>
      <w:r w:rsidR="00FD4966" w:rsidRPr="007512B4">
        <w:rPr>
          <w:sz w:val="20"/>
        </w:rPr>
        <w:t xml:space="preserve"> Petition);</w:t>
      </w:r>
      <w:r w:rsidR="00FD4966">
        <w:rPr>
          <w:i/>
          <w:sz w:val="20"/>
        </w:rPr>
        <w:t xml:space="preserve"> </w:t>
      </w:r>
      <w:r w:rsidRPr="007512B4">
        <w:rPr>
          <w:i/>
          <w:sz w:val="20"/>
        </w:rPr>
        <w:t>Pe</w:t>
      </w:r>
      <w:r w:rsidR="00E0730A" w:rsidRPr="007512B4">
        <w:rPr>
          <w:i/>
          <w:sz w:val="20"/>
        </w:rPr>
        <w:t xml:space="preserve">tition of </w:t>
      </w:r>
      <w:r w:rsidR="001777EC">
        <w:rPr>
          <w:i/>
          <w:sz w:val="20"/>
        </w:rPr>
        <w:t xml:space="preserve">American Association for Justice </w:t>
      </w:r>
      <w:r w:rsidR="00E0730A" w:rsidRPr="007512B4">
        <w:rPr>
          <w:i/>
          <w:sz w:val="20"/>
        </w:rPr>
        <w:t xml:space="preserve">for </w:t>
      </w:r>
      <w:r w:rsidRPr="007512B4">
        <w:rPr>
          <w:i/>
          <w:sz w:val="20"/>
        </w:rPr>
        <w:t>Waiver</w:t>
      </w:r>
      <w:r w:rsidR="001777EC">
        <w:rPr>
          <w:i/>
          <w:sz w:val="20"/>
        </w:rPr>
        <w:t xml:space="preserve"> of Section 64.1200(a)(4)(iv) of the Commission’s Rules</w:t>
      </w:r>
      <w:r w:rsidRPr="007512B4">
        <w:rPr>
          <w:sz w:val="20"/>
        </w:rPr>
        <w:t>, CG Docket Nos.</w:t>
      </w:r>
      <w:r w:rsidR="00E0730A" w:rsidRPr="007512B4">
        <w:rPr>
          <w:sz w:val="20"/>
        </w:rPr>
        <w:t xml:space="preserve"> 02-278, 05-338 (filed Nov.</w:t>
      </w:r>
      <w:r w:rsidR="00DD44B0" w:rsidRPr="007512B4">
        <w:rPr>
          <w:sz w:val="20"/>
        </w:rPr>
        <w:t xml:space="preserve"> </w:t>
      </w:r>
      <w:r w:rsidR="001777EC">
        <w:rPr>
          <w:sz w:val="20"/>
        </w:rPr>
        <w:t>28</w:t>
      </w:r>
      <w:r w:rsidRPr="007512B4">
        <w:rPr>
          <w:sz w:val="20"/>
        </w:rPr>
        <w:t>, 2014)</w:t>
      </w:r>
      <w:r w:rsidR="00EB686B" w:rsidRPr="007512B4">
        <w:rPr>
          <w:sz w:val="20"/>
        </w:rPr>
        <w:t xml:space="preserve"> (</w:t>
      </w:r>
      <w:r w:rsidR="001777EC">
        <w:rPr>
          <w:sz w:val="20"/>
        </w:rPr>
        <w:t xml:space="preserve">AAJ </w:t>
      </w:r>
      <w:r w:rsidR="00736654" w:rsidRPr="007512B4">
        <w:rPr>
          <w:sz w:val="20"/>
        </w:rPr>
        <w:t>Petition);</w:t>
      </w:r>
      <w:r w:rsidR="001777EC" w:rsidRPr="001777EC">
        <w:rPr>
          <w:i/>
          <w:sz w:val="20"/>
        </w:rPr>
        <w:t xml:space="preserve"> </w:t>
      </w:r>
      <w:r w:rsidR="001777EC" w:rsidRPr="007512B4">
        <w:rPr>
          <w:i/>
          <w:sz w:val="20"/>
        </w:rPr>
        <w:t xml:space="preserve">Petition of </w:t>
      </w:r>
      <w:r w:rsidR="001777EC">
        <w:rPr>
          <w:i/>
          <w:sz w:val="20"/>
        </w:rPr>
        <w:t xml:space="preserve"> Sunwing Airlines Inc., Vacation Express USA Corp., and Sunwing Vacations Inc. </w:t>
      </w:r>
      <w:r w:rsidR="001777EC" w:rsidRPr="007512B4">
        <w:rPr>
          <w:i/>
          <w:sz w:val="20"/>
        </w:rPr>
        <w:t xml:space="preserve">for </w:t>
      </w:r>
      <w:r w:rsidR="001777EC">
        <w:rPr>
          <w:i/>
          <w:sz w:val="20"/>
        </w:rPr>
        <w:t xml:space="preserve">Retroactive </w:t>
      </w:r>
      <w:r w:rsidR="001777EC" w:rsidRPr="007512B4">
        <w:rPr>
          <w:i/>
          <w:sz w:val="20"/>
        </w:rPr>
        <w:t>Waiver</w:t>
      </w:r>
      <w:r w:rsidR="001777EC">
        <w:rPr>
          <w:sz w:val="20"/>
        </w:rPr>
        <w:t>, CG Docket No.</w:t>
      </w:r>
      <w:r w:rsidR="001777EC" w:rsidRPr="007512B4">
        <w:rPr>
          <w:sz w:val="20"/>
        </w:rPr>
        <w:t xml:space="preserve"> 05-338 (filed Nov. </w:t>
      </w:r>
      <w:r w:rsidR="001777EC">
        <w:rPr>
          <w:sz w:val="20"/>
        </w:rPr>
        <w:t>28</w:t>
      </w:r>
      <w:r w:rsidR="001777EC" w:rsidRPr="007512B4">
        <w:rPr>
          <w:sz w:val="20"/>
        </w:rPr>
        <w:t>, 2014) (</w:t>
      </w:r>
      <w:r w:rsidR="001777EC">
        <w:rPr>
          <w:sz w:val="20"/>
        </w:rPr>
        <w:t xml:space="preserve">Sunwing </w:t>
      </w:r>
      <w:r w:rsidR="001777EC" w:rsidRPr="007512B4">
        <w:rPr>
          <w:sz w:val="20"/>
        </w:rPr>
        <w:t>Petition);</w:t>
      </w:r>
      <w:r w:rsidR="001777EC" w:rsidRPr="001777EC">
        <w:rPr>
          <w:i/>
          <w:sz w:val="20"/>
        </w:rPr>
        <w:t xml:space="preserve"> </w:t>
      </w:r>
      <w:r w:rsidR="001777EC" w:rsidRPr="007512B4">
        <w:rPr>
          <w:i/>
          <w:sz w:val="20"/>
        </w:rPr>
        <w:t xml:space="preserve">Petition of </w:t>
      </w:r>
      <w:r w:rsidR="001777EC">
        <w:rPr>
          <w:i/>
          <w:sz w:val="20"/>
        </w:rPr>
        <w:t xml:space="preserve">ZocDoc Inc. </w:t>
      </w:r>
      <w:r w:rsidR="001777EC" w:rsidRPr="007512B4">
        <w:rPr>
          <w:i/>
          <w:sz w:val="20"/>
        </w:rPr>
        <w:t>for Waiver</w:t>
      </w:r>
      <w:r w:rsidR="001777EC" w:rsidRPr="007512B4">
        <w:rPr>
          <w:sz w:val="20"/>
        </w:rPr>
        <w:t>, CG Docket Nos.</w:t>
      </w:r>
      <w:r w:rsidR="001777EC">
        <w:rPr>
          <w:sz w:val="20"/>
        </w:rPr>
        <w:t xml:space="preserve"> 02-278, 05-338 (filed Dec</w:t>
      </w:r>
      <w:r w:rsidR="001777EC" w:rsidRPr="007512B4">
        <w:rPr>
          <w:sz w:val="20"/>
        </w:rPr>
        <w:t xml:space="preserve">. </w:t>
      </w:r>
      <w:r w:rsidR="001777EC">
        <w:rPr>
          <w:sz w:val="20"/>
        </w:rPr>
        <w:t>4</w:t>
      </w:r>
      <w:r w:rsidR="001777EC" w:rsidRPr="007512B4">
        <w:rPr>
          <w:sz w:val="20"/>
        </w:rPr>
        <w:t>, 2014) (</w:t>
      </w:r>
      <w:r w:rsidR="001777EC">
        <w:rPr>
          <w:sz w:val="20"/>
        </w:rPr>
        <w:t>ZocDoc</w:t>
      </w:r>
      <w:r w:rsidR="001777EC" w:rsidRPr="007512B4">
        <w:rPr>
          <w:sz w:val="20"/>
        </w:rPr>
        <w:t xml:space="preserve"> Petition);</w:t>
      </w:r>
      <w:r w:rsidR="001777EC" w:rsidRPr="001777EC">
        <w:rPr>
          <w:i/>
          <w:sz w:val="20"/>
        </w:rPr>
        <w:t xml:space="preserve"> </w:t>
      </w:r>
      <w:r w:rsidR="001777EC" w:rsidRPr="007512B4">
        <w:rPr>
          <w:i/>
          <w:sz w:val="20"/>
        </w:rPr>
        <w:t xml:space="preserve">Petition of </w:t>
      </w:r>
      <w:r w:rsidR="001777EC">
        <w:rPr>
          <w:i/>
          <w:sz w:val="20"/>
        </w:rPr>
        <w:t xml:space="preserve">J.L. Barnes Insurance Agency, Inc. d/b/a JLBG Health </w:t>
      </w:r>
      <w:r w:rsidR="001777EC" w:rsidRPr="007512B4">
        <w:rPr>
          <w:i/>
          <w:sz w:val="20"/>
        </w:rPr>
        <w:t xml:space="preserve">for </w:t>
      </w:r>
      <w:r w:rsidR="001777EC">
        <w:rPr>
          <w:i/>
          <w:sz w:val="20"/>
        </w:rPr>
        <w:t xml:space="preserve">Retroactive </w:t>
      </w:r>
      <w:r w:rsidR="001777EC" w:rsidRPr="007512B4">
        <w:rPr>
          <w:i/>
          <w:sz w:val="20"/>
        </w:rPr>
        <w:t>Waiver</w:t>
      </w:r>
      <w:r w:rsidR="001777EC" w:rsidRPr="007512B4">
        <w:rPr>
          <w:sz w:val="20"/>
        </w:rPr>
        <w:t>, CG Docket Nos.</w:t>
      </w:r>
      <w:r w:rsidR="001777EC">
        <w:rPr>
          <w:sz w:val="20"/>
        </w:rPr>
        <w:t xml:space="preserve"> 02-278, 05-338 (filed Dec. 5</w:t>
      </w:r>
      <w:r w:rsidR="001777EC" w:rsidRPr="007512B4">
        <w:rPr>
          <w:sz w:val="20"/>
        </w:rPr>
        <w:t>, 2014) (</w:t>
      </w:r>
      <w:r w:rsidR="001777EC">
        <w:rPr>
          <w:sz w:val="20"/>
        </w:rPr>
        <w:t>JLBG</w:t>
      </w:r>
      <w:r w:rsidR="001777EC" w:rsidRPr="007512B4">
        <w:rPr>
          <w:sz w:val="20"/>
        </w:rPr>
        <w:t xml:space="preserve"> Petition);</w:t>
      </w:r>
      <w:r w:rsidR="001777EC" w:rsidRPr="001777EC">
        <w:rPr>
          <w:i/>
          <w:sz w:val="20"/>
        </w:rPr>
        <w:t xml:space="preserve"> </w:t>
      </w:r>
      <w:r w:rsidR="001777EC" w:rsidRPr="007512B4">
        <w:rPr>
          <w:i/>
          <w:sz w:val="20"/>
        </w:rPr>
        <w:t xml:space="preserve">Petition of </w:t>
      </w:r>
      <w:r w:rsidR="001777EC">
        <w:rPr>
          <w:i/>
          <w:sz w:val="20"/>
        </w:rPr>
        <w:t xml:space="preserve">St. Luke’s Center for Diagnostic Imaging, LLC </w:t>
      </w:r>
      <w:r w:rsidR="001777EC" w:rsidRPr="007512B4">
        <w:rPr>
          <w:i/>
          <w:sz w:val="20"/>
        </w:rPr>
        <w:t xml:space="preserve">for </w:t>
      </w:r>
      <w:r w:rsidR="001777EC">
        <w:rPr>
          <w:i/>
          <w:sz w:val="20"/>
        </w:rPr>
        <w:t xml:space="preserve">Retroactive </w:t>
      </w:r>
      <w:r w:rsidR="001777EC" w:rsidRPr="007512B4">
        <w:rPr>
          <w:i/>
          <w:sz w:val="20"/>
        </w:rPr>
        <w:t>Waiver</w:t>
      </w:r>
      <w:r w:rsidR="001777EC">
        <w:rPr>
          <w:sz w:val="20"/>
        </w:rPr>
        <w:t>, CG Docket No. 05-338 (filed Dec. 8</w:t>
      </w:r>
      <w:r w:rsidR="001777EC" w:rsidRPr="007512B4">
        <w:rPr>
          <w:sz w:val="20"/>
        </w:rPr>
        <w:t>, 2014) (</w:t>
      </w:r>
      <w:r w:rsidR="001777EC">
        <w:rPr>
          <w:sz w:val="20"/>
        </w:rPr>
        <w:t>St. Luke</w:t>
      </w:r>
      <w:r w:rsidR="001777EC" w:rsidRPr="007512B4">
        <w:rPr>
          <w:sz w:val="20"/>
        </w:rPr>
        <w:t xml:space="preserve"> Petition);</w:t>
      </w:r>
      <w:r w:rsidR="001777EC" w:rsidRPr="001777EC">
        <w:rPr>
          <w:i/>
          <w:sz w:val="20"/>
        </w:rPr>
        <w:t xml:space="preserve"> </w:t>
      </w:r>
      <w:r w:rsidR="001777EC" w:rsidRPr="007512B4">
        <w:rPr>
          <w:i/>
          <w:sz w:val="20"/>
        </w:rPr>
        <w:t xml:space="preserve">Petition of </w:t>
      </w:r>
      <w:r w:rsidR="001777EC">
        <w:rPr>
          <w:i/>
          <w:sz w:val="20"/>
        </w:rPr>
        <w:t xml:space="preserve"> CDI Open MRI of Missouri, LLC </w:t>
      </w:r>
      <w:r w:rsidR="001777EC" w:rsidRPr="007512B4">
        <w:rPr>
          <w:i/>
          <w:sz w:val="20"/>
        </w:rPr>
        <w:t xml:space="preserve">for </w:t>
      </w:r>
      <w:r w:rsidR="001777EC">
        <w:rPr>
          <w:i/>
          <w:sz w:val="20"/>
        </w:rPr>
        <w:t xml:space="preserve">Retroactive </w:t>
      </w:r>
      <w:r w:rsidR="001777EC" w:rsidRPr="007512B4">
        <w:rPr>
          <w:i/>
          <w:sz w:val="20"/>
        </w:rPr>
        <w:t>Waiver</w:t>
      </w:r>
      <w:r w:rsidR="001777EC">
        <w:rPr>
          <w:sz w:val="20"/>
        </w:rPr>
        <w:t>, CG Docket No. 05-338 (filed Dec. 8</w:t>
      </w:r>
      <w:r w:rsidR="001777EC" w:rsidRPr="007512B4">
        <w:rPr>
          <w:sz w:val="20"/>
        </w:rPr>
        <w:t>, 2014) (</w:t>
      </w:r>
      <w:r w:rsidR="001777EC">
        <w:rPr>
          <w:sz w:val="20"/>
        </w:rPr>
        <w:t xml:space="preserve">CDI </w:t>
      </w:r>
      <w:r w:rsidR="001777EC" w:rsidRPr="007512B4">
        <w:rPr>
          <w:sz w:val="20"/>
        </w:rPr>
        <w:t>Petition);</w:t>
      </w:r>
      <w:r w:rsidR="001777EC" w:rsidRPr="001777EC">
        <w:rPr>
          <w:i/>
          <w:sz w:val="20"/>
        </w:rPr>
        <w:t xml:space="preserve"> </w:t>
      </w:r>
      <w:r w:rsidR="001777EC" w:rsidRPr="007512B4">
        <w:rPr>
          <w:i/>
          <w:sz w:val="20"/>
        </w:rPr>
        <w:t xml:space="preserve">Petition of </w:t>
      </w:r>
      <w:r w:rsidR="001777EC">
        <w:rPr>
          <w:i/>
          <w:sz w:val="20"/>
        </w:rPr>
        <w:t xml:space="preserve"> </w:t>
      </w:r>
      <w:r w:rsidR="00FD4966">
        <w:rPr>
          <w:i/>
          <w:sz w:val="20"/>
        </w:rPr>
        <w:t>Senco Brands, Inc.</w:t>
      </w:r>
      <w:r w:rsidR="00CC4395">
        <w:rPr>
          <w:i/>
          <w:sz w:val="20"/>
        </w:rPr>
        <w:t xml:space="preserve"> </w:t>
      </w:r>
      <w:r w:rsidR="001777EC" w:rsidRPr="007512B4">
        <w:rPr>
          <w:i/>
          <w:sz w:val="20"/>
        </w:rPr>
        <w:t>for Waiver</w:t>
      </w:r>
      <w:r w:rsidR="00FD4966">
        <w:rPr>
          <w:sz w:val="20"/>
        </w:rPr>
        <w:t>, CG Docket No. 05-338 (filed Dec. 11</w:t>
      </w:r>
      <w:r w:rsidR="001777EC" w:rsidRPr="007512B4">
        <w:rPr>
          <w:sz w:val="20"/>
        </w:rPr>
        <w:t>, 2014) (</w:t>
      </w:r>
      <w:r w:rsidR="00FD4966">
        <w:rPr>
          <w:sz w:val="20"/>
        </w:rPr>
        <w:t>Senco</w:t>
      </w:r>
      <w:r w:rsidR="001777EC" w:rsidRPr="007512B4">
        <w:rPr>
          <w:sz w:val="20"/>
        </w:rPr>
        <w:t xml:space="preserve"> Petition);</w:t>
      </w:r>
      <w:r w:rsidR="00FD4966" w:rsidRPr="00FD4966">
        <w:rPr>
          <w:i/>
          <w:sz w:val="20"/>
        </w:rPr>
        <w:t xml:space="preserve"> </w:t>
      </w:r>
      <w:r w:rsidR="00FD4966" w:rsidRPr="007512B4">
        <w:rPr>
          <w:i/>
          <w:sz w:val="20"/>
        </w:rPr>
        <w:t xml:space="preserve">Petition of </w:t>
      </w:r>
      <w:r w:rsidR="00FD4966">
        <w:rPr>
          <w:i/>
          <w:sz w:val="20"/>
        </w:rPr>
        <w:t xml:space="preserve">EatStreet, Inc. </w:t>
      </w:r>
      <w:r w:rsidR="00FD4966" w:rsidRPr="007512B4">
        <w:rPr>
          <w:i/>
          <w:sz w:val="20"/>
        </w:rPr>
        <w:t>for Waiver</w:t>
      </w:r>
      <w:r w:rsidR="00FD4966">
        <w:rPr>
          <w:i/>
          <w:sz w:val="20"/>
        </w:rPr>
        <w:t xml:space="preserve"> of Section 64.1200(a)(4)(iv) of the Commission’s Rules</w:t>
      </w:r>
      <w:r w:rsidR="00FD4966" w:rsidRPr="007512B4">
        <w:rPr>
          <w:sz w:val="20"/>
        </w:rPr>
        <w:t>, CG Docket Nos.</w:t>
      </w:r>
      <w:r w:rsidR="00FD4966">
        <w:rPr>
          <w:sz w:val="20"/>
        </w:rPr>
        <w:t xml:space="preserve"> 02-278, 05-338 (filed Dec. 12</w:t>
      </w:r>
      <w:r w:rsidR="00816870">
        <w:rPr>
          <w:sz w:val="20"/>
        </w:rPr>
        <w:t>, 2014) (</w:t>
      </w:r>
      <w:r w:rsidR="00FD4966">
        <w:rPr>
          <w:sz w:val="20"/>
        </w:rPr>
        <w:t xml:space="preserve">EatStreet </w:t>
      </w:r>
      <w:r w:rsidR="00FD4966" w:rsidRPr="007512B4">
        <w:rPr>
          <w:sz w:val="20"/>
        </w:rPr>
        <w:t>Petition);</w:t>
      </w:r>
      <w:r w:rsidR="00CD29B5">
        <w:rPr>
          <w:sz w:val="20"/>
        </w:rPr>
        <w:t xml:space="preserve"> </w:t>
      </w:r>
      <w:r w:rsidR="00CD29B5">
        <w:rPr>
          <w:i/>
          <w:sz w:val="20"/>
        </w:rPr>
        <w:t>Petition of Henry Schein, Inc. for Waiver</w:t>
      </w:r>
      <w:r w:rsidR="00CD29B5">
        <w:rPr>
          <w:sz w:val="20"/>
        </w:rPr>
        <w:t>, CG Docket Nos. 02-</w:t>
      </w:r>
      <w:r w:rsidR="00CC4395">
        <w:rPr>
          <w:sz w:val="20"/>
        </w:rPr>
        <w:t>278</w:t>
      </w:r>
      <w:r w:rsidR="00CD29B5">
        <w:rPr>
          <w:sz w:val="20"/>
        </w:rPr>
        <w:t>, 05-338 (filed Dec. 17, 2014)</w:t>
      </w:r>
      <w:r w:rsidR="00662464">
        <w:rPr>
          <w:sz w:val="20"/>
        </w:rPr>
        <w:t xml:space="preserve"> (Schein Petition)</w:t>
      </w:r>
      <w:r w:rsidR="00816870">
        <w:rPr>
          <w:sz w:val="20"/>
        </w:rPr>
        <w:t xml:space="preserve">; </w:t>
      </w:r>
      <w:r w:rsidR="00816870">
        <w:rPr>
          <w:i/>
          <w:sz w:val="20"/>
        </w:rPr>
        <w:t>Petition of  Philadelphia Consolidated Holding Corp. et al. for Waiver</w:t>
      </w:r>
      <w:r w:rsidR="00816870">
        <w:rPr>
          <w:sz w:val="20"/>
        </w:rPr>
        <w:t>, CG Docket Nos. 02-278, 05-338 (filed Dec. 19, 2014) (PCH Petition);</w:t>
      </w:r>
      <w:r w:rsidR="00CD29B5">
        <w:rPr>
          <w:i/>
          <w:sz w:val="20"/>
        </w:rPr>
        <w:t xml:space="preserve"> </w:t>
      </w:r>
      <w:r w:rsidRPr="007512B4">
        <w:rPr>
          <w:sz w:val="20"/>
        </w:rPr>
        <w:t>(</w:t>
      </w:r>
      <w:r w:rsidR="00736654" w:rsidRPr="007512B4">
        <w:rPr>
          <w:sz w:val="20"/>
        </w:rPr>
        <w:t xml:space="preserve">collectively </w:t>
      </w:r>
      <w:r w:rsidRPr="007512B4">
        <w:rPr>
          <w:sz w:val="20"/>
        </w:rPr>
        <w:t>Petition</w:t>
      </w:r>
      <w:r w:rsidR="00736654" w:rsidRPr="007512B4">
        <w:rPr>
          <w:sz w:val="20"/>
        </w:rPr>
        <w:t>ers</w:t>
      </w:r>
      <w:r w:rsidR="007512B4" w:rsidRPr="007512B4">
        <w:rPr>
          <w:sz w:val="20"/>
        </w:rPr>
        <w:t>).</w:t>
      </w:r>
    </w:p>
    <w:p w:rsidR="003F485F" w:rsidRPr="007512B4" w:rsidRDefault="003F485F" w:rsidP="001E68FC">
      <w:pPr>
        <w:rPr>
          <w:sz w:val="20"/>
        </w:rPr>
      </w:pPr>
    </w:p>
  </w:footnote>
  <w:footnote w:id="3">
    <w:p w:rsidR="003F485F" w:rsidRPr="007512B4" w:rsidRDefault="003F485F">
      <w:pPr>
        <w:pStyle w:val="FootnoteText"/>
        <w:rPr>
          <w:sz w:val="20"/>
        </w:rPr>
      </w:pPr>
      <w:r w:rsidRPr="007512B4">
        <w:rPr>
          <w:rStyle w:val="FootnoteReference"/>
          <w:sz w:val="20"/>
        </w:rPr>
        <w:footnoteRef/>
      </w:r>
      <w:r w:rsidR="00370DD3" w:rsidRPr="007512B4">
        <w:rPr>
          <w:sz w:val="20"/>
        </w:rPr>
        <w:t xml:space="preserve"> </w:t>
      </w:r>
      <w:r w:rsidR="00370DD3" w:rsidRPr="007512B4">
        <w:rPr>
          <w:i/>
          <w:sz w:val="20"/>
        </w:rPr>
        <w:t>See</w:t>
      </w:r>
      <w:r w:rsidR="004F4500">
        <w:rPr>
          <w:sz w:val="20"/>
        </w:rPr>
        <w:t xml:space="preserve"> </w:t>
      </w:r>
      <w:r w:rsidR="00CD29B5">
        <w:rPr>
          <w:sz w:val="20"/>
        </w:rPr>
        <w:t xml:space="preserve">AAJ Petition at 3-4; CDI Petition at 5-8; EatStreet Petition at 4-6; </w:t>
      </w:r>
      <w:r w:rsidR="00CC4395">
        <w:rPr>
          <w:sz w:val="20"/>
        </w:rPr>
        <w:t>JLBG Petitio</w:t>
      </w:r>
      <w:r w:rsidR="00CD29B5">
        <w:rPr>
          <w:sz w:val="20"/>
        </w:rPr>
        <w:t xml:space="preserve">n at 3-4; McKesson Petition at 3-4; </w:t>
      </w:r>
      <w:r w:rsidR="009514F9">
        <w:rPr>
          <w:sz w:val="20"/>
        </w:rPr>
        <w:t xml:space="preserve">PCH Petition at 4-7; </w:t>
      </w:r>
      <w:r w:rsidR="00662464">
        <w:rPr>
          <w:sz w:val="20"/>
        </w:rPr>
        <w:t xml:space="preserve">Schein Petition at 3-5; Senco Petition at 5-7; St. Luke Petition at 5-7; </w:t>
      </w:r>
      <w:r w:rsidR="00CD29B5">
        <w:rPr>
          <w:sz w:val="20"/>
        </w:rPr>
        <w:t>Sunwing Petition at 5-6;</w:t>
      </w:r>
      <w:r w:rsidR="00662464">
        <w:rPr>
          <w:sz w:val="20"/>
        </w:rPr>
        <w:t xml:space="preserve"> ZocDoc Petition at 3-4.</w:t>
      </w:r>
    </w:p>
  </w:footnote>
  <w:footnote w:id="4">
    <w:p w:rsidR="0009564A" w:rsidRPr="007512B4" w:rsidRDefault="0009564A">
      <w:pPr>
        <w:pStyle w:val="FootnoteText"/>
        <w:rPr>
          <w:sz w:val="20"/>
        </w:rPr>
      </w:pPr>
      <w:r w:rsidRPr="007512B4">
        <w:rPr>
          <w:rStyle w:val="FootnoteReference"/>
          <w:sz w:val="20"/>
        </w:rPr>
        <w:footnoteRef/>
      </w:r>
      <w:r w:rsidRPr="007512B4">
        <w:rPr>
          <w:sz w:val="20"/>
        </w:rPr>
        <w:t xml:space="preserve"> </w:t>
      </w:r>
      <w:r w:rsidRPr="007512B4">
        <w:rPr>
          <w:i/>
          <w:sz w:val="20"/>
        </w:rPr>
        <w:t>See, e.g.</w:t>
      </w:r>
      <w:r w:rsidR="00662464">
        <w:rPr>
          <w:i/>
          <w:sz w:val="20"/>
        </w:rPr>
        <w:t>,</w:t>
      </w:r>
      <w:r w:rsidR="00CD29B5">
        <w:rPr>
          <w:i/>
          <w:sz w:val="20"/>
        </w:rPr>
        <w:t xml:space="preserve"> </w:t>
      </w:r>
      <w:r w:rsidR="00CD29B5">
        <w:rPr>
          <w:sz w:val="20"/>
        </w:rPr>
        <w:t xml:space="preserve">AAJ Petition at 3; CDI Petition at 7; EatStreet Petition at 3-4; JLBG Petition at 3; </w:t>
      </w:r>
      <w:r w:rsidR="00662464">
        <w:rPr>
          <w:sz w:val="20"/>
        </w:rPr>
        <w:t xml:space="preserve">McKesson Petition at 4; </w:t>
      </w:r>
      <w:r w:rsidR="009A7D1A">
        <w:rPr>
          <w:sz w:val="20"/>
        </w:rPr>
        <w:t xml:space="preserve">PCH Petition at 5; </w:t>
      </w:r>
      <w:r w:rsidR="00662464">
        <w:rPr>
          <w:sz w:val="20"/>
        </w:rPr>
        <w:t xml:space="preserve">Schein Petition at 3; St. Luke Petition at 7; </w:t>
      </w:r>
      <w:r w:rsidR="00CD29B5">
        <w:rPr>
          <w:sz w:val="20"/>
        </w:rPr>
        <w:t>Sunwing Petition at 5</w:t>
      </w:r>
      <w:r w:rsidR="00CC4395">
        <w:rPr>
          <w:sz w:val="20"/>
        </w:rPr>
        <w:t>;</w:t>
      </w:r>
      <w:r w:rsidR="00F551BD" w:rsidRPr="007512B4">
        <w:rPr>
          <w:sz w:val="20"/>
        </w:rPr>
        <w:t xml:space="preserve"> </w:t>
      </w:r>
      <w:r w:rsidR="00F551BD" w:rsidRPr="00EF45EA">
        <w:rPr>
          <w:i/>
          <w:sz w:val="20"/>
        </w:rPr>
        <w:t>Rules and Regulations Implementing the Telephone Consumer Protection Act of 1991; Junk Fax Prevention Act of 2005; Application for Review filed by Anda, Inc.; Petition for Declaratory Ruling, Waiver, and/or Rulemaking Regarding the Commission’s Opt-Out Requirement for Faxes Sent with the Recipient’s Prior Express Permission</w:t>
      </w:r>
      <w:r w:rsidR="00F551BD" w:rsidRPr="007512B4">
        <w:rPr>
          <w:sz w:val="20"/>
        </w:rPr>
        <w:t>, CG Docket No</w:t>
      </w:r>
      <w:r w:rsidR="00416781">
        <w:rPr>
          <w:sz w:val="20"/>
        </w:rPr>
        <w:t>s</w:t>
      </w:r>
      <w:r w:rsidR="00F551BD" w:rsidRPr="007512B4">
        <w:rPr>
          <w:sz w:val="20"/>
        </w:rPr>
        <w:t>. 02-278, 05-338, Order, FCC 14-164</w:t>
      </w:r>
      <w:r w:rsidR="00404AC2" w:rsidRPr="007512B4">
        <w:rPr>
          <w:sz w:val="20"/>
        </w:rPr>
        <w:t>,</w:t>
      </w:r>
      <w:r w:rsidR="00F551BD" w:rsidRPr="007512B4">
        <w:rPr>
          <w:sz w:val="20"/>
        </w:rPr>
        <w:t xml:space="preserve"> paras. 2</w:t>
      </w:r>
      <w:r w:rsidR="008B1B7E">
        <w:rPr>
          <w:sz w:val="20"/>
        </w:rPr>
        <w:t xml:space="preserve">2-31 (rel. </w:t>
      </w:r>
      <w:r w:rsidR="00F551BD" w:rsidRPr="007512B4">
        <w:rPr>
          <w:sz w:val="20"/>
        </w:rPr>
        <w:t>Oct. 30, 2014) (</w:t>
      </w:r>
      <w:r w:rsidR="00BB0019" w:rsidRPr="007512B4">
        <w:rPr>
          <w:i/>
          <w:sz w:val="20"/>
        </w:rPr>
        <w:t xml:space="preserve">Anda </w:t>
      </w:r>
      <w:r w:rsidR="00F551BD" w:rsidRPr="007512B4">
        <w:rPr>
          <w:i/>
          <w:sz w:val="20"/>
        </w:rPr>
        <w:t>Order</w:t>
      </w:r>
      <w:r w:rsidR="00F551BD" w:rsidRPr="007512B4">
        <w:rPr>
          <w:sz w:val="20"/>
        </w:rPr>
        <w:t>).</w:t>
      </w:r>
    </w:p>
  </w:footnote>
  <w:footnote w:id="5">
    <w:p w:rsidR="00404AC2" w:rsidRPr="00EF45EA" w:rsidRDefault="00404AC2">
      <w:pPr>
        <w:pStyle w:val="FootnoteText"/>
        <w:rPr>
          <w:sz w:val="20"/>
        </w:rPr>
      </w:pPr>
      <w:r w:rsidRPr="007512B4">
        <w:rPr>
          <w:rStyle w:val="FootnoteReference"/>
          <w:sz w:val="20"/>
        </w:rPr>
        <w:footnoteRef/>
      </w:r>
      <w:r w:rsidRPr="007512B4">
        <w:rPr>
          <w:sz w:val="20"/>
        </w:rPr>
        <w:t xml:space="preserve"> </w:t>
      </w:r>
      <w:r w:rsidR="00EF45EA">
        <w:rPr>
          <w:i/>
          <w:sz w:val="20"/>
        </w:rPr>
        <w:t>Anda Order</w:t>
      </w:r>
      <w:r w:rsidR="00EF45EA">
        <w:rPr>
          <w:sz w:val="20"/>
        </w:rPr>
        <w:t xml:space="preserve"> at paras. 2</w:t>
      </w:r>
      <w:r w:rsidR="0086125D">
        <w:rPr>
          <w:sz w:val="20"/>
        </w:rPr>
        <w:t>2</w:t>
      </w:r>
      <w:r w:rsidR="00EF45EA">
        <w:rPr>
          <w:sz w:val="20"/>
        </w:rPr>
        <w:t>-30.</w:t>
      </w:r>
    </w:p>
  </w:footnote>
  <w:footnote w:id="6">
    <w:p w:rsidR="0014052B" w:rsidRPr="007512B4" w:rsidRDefault="0014052B">
      <w:pPr>
        <w:pStyle w:val="FootnoteText"/>
        <w:rPr>
          <w:sz w:val="20"/>
        </w:rPr>
      </w:pPr>
      <w:r w:rsidRPr="007512B4">
        <w:rPr>
          <w:rStyle w:val="FootnoteReference"/>
          <w:sz w:val="20"/>
        </w:rPr>
        <w:footnoteRef/>
      </w:r>
      <w:r w:rsidRPr="007512B4">
        <w:rPr>
          <w:sz w:val="20"/>
        </w:rPr>
        <w:t xml:space="preserve"> </w:t>
      </w:r>
      <w:r w:rsidR="009828F2">
        <w:rPr>
          <w:i/>
          <w:sz w:val="20"/>
        </w:rPr>
        <w:t>Anda Order</w:t>
      </w:r>
      <w:r w:rsidR="009828F2">
        <w:rPr>
          <w:sz w:val="20"/>
        </w:rPr>
        <w:t xml:space="preserve"> at para. 22</w:t>
      </w:r>
      <w:r w:rsidRPr="007512B4">
        <w:rPr>
          <w:sz w:val="20"/>
        </w:rPr>
        <w:t>.</w:t>
      </w:r>
    </w:p>
  </w:footnote>
  <w:footnote w:id="7">
    <w:p w:rsidR="003F485F" w:rsidRPr="007512B4" w:rsidRDefault="003F485F" w:rsidP="001E68FC">
      <w:pPr>
        <w:pStyle w:val="FootnoteText"/>
        <w:rPr>
          <w:iCs/>
          <w:sz w:val="20"/>
        </w:rPr>
      </w:pPr>
      <w:r w:rsidRPr="007512B4">
        <w:rPr>
          <w:rStyle w:val="FootnoteReference"/>
          <w:sz w:val="20"/>
        </w:rPr>
        <w:footnoteRef/>
      </w:r>
      <w:r w:rsidRPr="007512B4">
        <w:rPr>
          <w:sz w:val="20"/>
        </w:rPr>
        <w:t xml:space="preserve"> 47 C.F.R. §§ 1.1200 </w:t>
      </w:r>
      <w:r w:rsidRPr="007512B4">
        <w:rPr>
          <w:i/>
          <w:iCs/>
          <w:sz w:val="20"/>
        </w:rPr>
        <w:t>et seq</w:t>
      </w:r>
      <w:r w:rsidRPr="007512B4">
        <w:rPr>
          <w:iCs/>
          <w:sz w:val="20"/>
        </w:rPr>
        <w:t>.</w:t>
      </w:r>
    </w:p>
    <w:p w:rsidR="003F485F" w:rsidRPr="007512B4" w:rsidRDefault="003F485F" w:rsidP="001E68FC">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2" w:rsidRDefault="00FC4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62" w:rsidRDefault="00FC4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3443234" wp14:editId="5A46D147">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9D76935" wp14:editId="07EBFCF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F485F" w:rsidRDefault="003F48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3550427" wp14:editId="6F8CECE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C698EF3" wp14:editId="489DC4D6">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v:textbox>
            </v:shape>
          </w:pict>
        </mc:Fallback>
      </mc:AlternateContent>
    </w:r>
  </w:p>
  <w:p w:rsidR="003F485F" w:rsidRDefault="003F485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1646B"/>
    <w:rsid w:val="0002562F"/>
    <w:rsid w:val="00030150"/>
    <w:rsid w:val="000612AD"/>
    <w:rsid w:val="000678E7"/>
    <w:rsid w:val="0009564A"/>
    <w:rsid w:val="000A6B51"/>
    <w:rsid w:val="000B553F"/>
    <w:rsid w:val="000C1109"/>
    <w:rsid w:val="000C2B80"/>
    <w:rsid w:val="000D11B7"/>
    <w:rsid w:val="000D1C50"/>
    <w:rsid w:val="000D6DC2"/>
    <w:rsid w:val="000F69DF"/>
    <w:rsid w:val="0010035E"/>
    <w:rsid w:val="00113D6D"/>
    <w:rsid w:val="0014052B"/>
    <w:rsid w:val="00146E01"/>
    <w:rsid w:val="00147379"/>
    <w:rsid w:val="00170DCF"/>
    <w:rsid w:val="001777EC"/>
    <w:rsid w:val="001919F2"/>
    <w:rsid w:val="001B21B4"/>
    <w:rsid w:val="001B4F07"/>
    <w:rsid w:val="001D2450"/>
    <w:rsid w:val="001E68FC"/>
    <w:rsid w:val="002003A4"/>
    <w:rsid w:val="0022541B"/>
    <w:rsid w:val="00257984"/>
    <w:rsid w:val="002A23B4"/>
    <w:rsid w:val="002A58ED"/>
    <w:rsid w:val="002C2706"/>
    <w:rsid w:val="002C7AF9"/>
    <w:rsid w:val="002E4455"/>
    <w:rsid w:val="003024F2"/>
    <w:rsid w:val="00313725"/>
    <w:rsid w:val="00344B57"/>
    <w:rsid w:val="00355318"/>
    <w:rsid w:val="0036187D"/>
    <w:rsid w:val="00362249"/>
    <w:rsid w:val="003676CF"/>
    <w:rsid w:val="00370DD3"/>
    <w:rsid w:val="0037104A"/>
    <w:rsid w:val="003967FF"/>
    <w:rsid w:val="00396E93"/>
    <w:rsid w:val="003C6359"/>
    <w:rsid w:val="003D49B7"/>
    <w:rsid w:val="003E33B6"/>
    <w:rsid w:val="003F0FC7"/>
    <w:rsid w:val="003F1F2A"/>
    <w:rsid w:val="003F3F7F"/>
    <w:rsid w:val="003F485F"/>
    <w:rsid w:val="00402B54"/>
    <w:rsid w:val="00404AC2"/>
    <w:rsid w:val="00412C1E"/>
    <w:rsid w:val="00416781"/>
    <w:rsid w:val="00453BEF"/>
    <w:rsid w:val="0047489A"/>
    <w:rsid w:val="00490546"/>
    <w:rsid w:val="004F4500"/>
    <w:rsid w:val="0052637A"/>
    <w:rsid w:val="00574782"/>
    <w:rsid w:val="005A066E"/>
    <w:rsid w:val="005D5554"/>
    <w:rsid w:val="00603053"/>
    <w:rsid w:val="00621993"/>
    <w:rsid w:val="006356C8"/>
    <w:rsid w:val="00635CA0"/>
    <w:rsid w:val="00661A3A"/>
    <w:rsid w:val="00662464"/>
    <w:rsid w:val="006673EC"/>
    <w:rsid w:val="006677EF"/>
    <w:rsid w:val="006823CB"/>
    <w:rsid w:val="00686ACE"/>
    <w:rsid w:val="006878EA"/>
    <w:rsid w:val="006A39DF"/>
    <w:rsid w:val="006D0730"/>
    <w:rsid w:val="00706CE9"/>
    <w:rsid w:val="007102BF"/>
    <w:rsid w:val="00712EA8"/>
    <w:rsid w:val="00722423"/>
    <w:rsid w:val="007252B4"/>
    <w:rsid w:val="00726E31"/>
    <w:rsid w:val="0073065E"/>
    <w:rsid w:val="00732B25"/>
    <w:rsid w:val="00732D4B"/>
    <w:rsid w:val="00732DCB"/>
    <w:rsid w:val="0073524A"/>
    <w:rsid w:val="007364CD"/>
    <w:rsid w:val="00736654"/>
    <w:rsid w:val="00745AE7"/>
    <w:rsid w:val="007512B4"/>
    <w:rsid w:val="00752DFE"/>
    <w:rsid w:val="00757CB0"/>
    <w:rsid w:val="007607E9"/>
    <w:rsid w:val="00770A4C"/>
    <w:rsid w:val="00783A5B"/>
    <w:rsid w:val="0079324D"/>
    <w:rsid w:val="007C4136"/>
    <w:rsid w:val="007C584A"/>
    <w:rsid w:val="007E6789"/>
    <w:rsid w:val="007F6B74"/>
    <w:rsid w:val="008004B4"/>
    <w:rsid w:val="00801FF6"/>
    <w:rsid w:val="00806515"/>
    <w:rsid w:val="008069C5"/>
    <w:rsid w:val="00816870"/>
    <w:rsid w:val="0083504F"/>
    <w:rsid w:val="0086125D"/>
    <w:rsid w:val="008664FF"/>
    <w:rsid w:val="008675B7"/>
    <w:rsid w:val="00877275"/>
    <w:rsid w:val="008A1C4C"/>
    <w:rsid w:val="008A6371"/>
    <w:rsid w:val="008B1B7E"/>
    <w:rsid w:val="008D2EA2"/>
    <w:rsid w:val="008D3C08"/>
    <w:rsid w:val="008E2BE7"/>
    <w:rsid w:val="00923ECA"/>
    <w:rsid w:val="009514F9"/>
    <w:rsid w:val="009541CA"/>
    <w:rsid w:val="00957E98"/>
    <w:rsid w:val="00976015"/>
    <w:rsid w:val="009828F2"/>
    <w:rsid w:val="0098321C"/>
    <w:rsid w:val="00997FAC"/>
    <w:rsid w:val="009A12C1"/>
    <w:rsid w:val="009A7D1A"/>
    <w:rsid w:val="009B6268"/>
    <w:rsid w:val="009C5DC2"/>
    <w:rsid w:val="009D0247"/>
    <w:rsid w:val="009D2644"/>
    <w:rsid w:val="009D46E5"/>
    <w:rsid w:val="009E10CA"/>
    <w:rsid w:val="00A06785"/>
    <w:rsid w:val="00A10E54"/>
    <w:rsid w:val="00A21224"/>
    <w:rsid w:val="00A23B89"/>
    <w:rsid w:val="00A2503C"/>
    <w:rsid w:val="00A27D3A"/>
    <w:rsid w:val="00A57079"/>
    <w:rsid w:val="00A66417"/>
    <w:rsid w:val="00A766DF"/>
    <w:rsid w:val="00A76D5D"/>
    <w:rsid w:val="00A8436D"/>
    <w:rsid w:val="00A90C1C"/>
    <w:rsid w:val="00AA2085"/>
    <w:rsid w:val="00AC0A1F"/>
    <w:rsid w:val="00AC1A23"/>
    <w:rsid w:val="00AD3B80"/>
    <w:rsid w:val="00AD561B"/>
    <w:rsid w:val="00AE3546"/>
    <w:rsid w:val="00AE64C3"/>
    <w:rsid w:val="00AE6525"/>
    <w:rsid w:val="00B1228D"/>
    <w:rsid w:val="00B166C3"/>
    <w:rsid w:val="00B25A6F"/>
    <w:rsid w:val="00B261AB"/>
    <w:rsid w:val="00B26A17"/>
    <w:rsid w:val="00B312B2"/>
    <w:rsid w:val="00B343DF"/>
    <w:rsid w:val="00B41279"/>
    <w:rsid w:val="00B45287"/>
    <w:rsid w:val="00B4731C"/>
    <w:rsid w:val="00B825BB"/>
    <w:rsid w:val="00B878D9"/>
    <w:rsid w:val="00BB0019"/>
    <w:rsid w:val="00BB6ABA"/>
    <w:rsid w:val="00BC1AE9"/>
    <w:rsid w:val="00BC46CF"/>
    <w:rsid w:val="00BC491A"/>
    <w:rsid w:val="00BC51CD"/>
    <w:rsid w:val="00BE17FF"/>
    <w:rsid w:val="00C06CA3"/>
    <w:rsid w:val="00C2369C"/>
    <w:rsid w:val="00C45D0F"/>
    <w:rsid w:val="00C67DFC"/>
    <w:rsid w:val="00C92C66"/>
    <w:rsid w:val="00C937A3"/>
    <w:rsid w:val="00CC13CC"/>
    <w:rsid w:val="00CC25D9"/>
    <w:rsid w:val="00CC4395"/>
    <w:rsid w:val="00CC5FD0"/>
    <w:rsid w:val="00CD29B5"/>
    <w:rsid w:val="00CD76A8"/>
    <w:rsid w:val="00CE4649"/>
    <w:rsid w:val="00D04267"/>
    <w:rsid w:val="00D04F67"/>
    <w:rsid w:val="00D2189E"/>
    <w:rsid w:val="00D33F24"/>
    <w:rsid w:val="00D474D2"/>
    <w:rsid w:val="00D62969"/>
    <w:rsid w:val="00D6348F"/>
    <w:rsid w:val="00DA3FCE"/>
    <w:rsid w:val="00DB28AF"/>
    <w:rsid w:val="00DD44B0"/>
    <w:rsid w:val="00E0730A"/>
    <w:rsid w:val="00E177BB"/>
    <w:rsid w:val="00E347E1"/>
    <w:rsid w:val="00E34D55"/>
    <w:rsid w:val="00E41CC7"/>
    <w:rsid w:val="00E8781B"/>
    <w:rsid w:val="00E92B7B"/>
    <w:rsid w:val="00EA2FAD"/>
    <w:rsid w:val="00EB686B"/>
    <w:rsid w:val="00EB706B"/>
    <w:rsid w:val="00ED7B1B"/>
    <w:rsid w:val="00EE07EE"/>
    <w:rsid w:val="00EF45EA"/>
    <w:rsid w:val="00F015E1"/>
    <w:rsid w:val="00F30BC0"/>
    <w:rsid w:val="00F41D5F"/>
    <w:rsid w:val="00F46528"/>
    <w:rsid w:val="00F50E6F"/>
    <w:rsid w:val="00F551BD"/>
    <w:rsid w:val="00F716C5"/>
    <w:rsid w:val="00F7186E"/>
    <w:rsid w:val="00F76B2A"/>
    <w:rsid w:val="00FA38C5"/>
    <w:rsid w:val="00FB5FDD"/>
    <w:rsid w:val="00FC02B3"/>
    <w:rsid w:val="00FC4C62"/>
    <w:rsid w:val="00FD4966"/>
    <w:rsid w:val="00FE37D9"/>
    <w:rsid w:val="00FF363A"/>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chard.Smith@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3</Pages>
  <Words>801</Words>
  <Characters>4568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5393</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2014-12-18T14:29:00Z</cp:lastPrinted>
  <dcterms:created xsi:type="dcterms:W3CDTF">2014-12-30T12:29:00Z</dcterms:created>
  <dcterms:modified xsi:type="dcterms:W3CDTF">2014-12-30T12:29:00Z</dcterms:modified>
  <cp:category> </cp:category>
  <cp:contentStatus> </cp:contentStatus>
</cp:coreProperties>
</file>