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7A0EE" w14:textId="77777777" w:rsidR="004C2EE3" w:rsidRPr="007A6FE3" w:rsidRDefault="004C2EE3">
      <w:pPr>
        <w:jc w:val="center"/>
        <w:rPr>
          <w:b/>
        </w:rPr>
      </w:pPr>
      <w:bookmarkStart w:id="0" w:name="_GoBack"/>
      <w:bookmarkEnd w:id="0"/>
      <w:r w:rsidRPr="007A6FE3">
        <w:rPr>
          <w:rFonts w:ascii="Times New Roman Bold" w:hAnsi="Times New Roman Bold"/>
          <w:b/>
          <w:kern w:val="0"/>
          <w:szCs w:val="22"/>
        </w:rPr>
        <w:t>Before</w:t>
      </w:r>
      <w:r w:rsidRPr="007A6FE3">
        <w:rPr>
          <w:b/>
        </w:rPr>
        <w:t xml:space="preserve"> the</w:t>
      </w:r>
    </w:p>
    <w:p w14:paraId="0F959C70" w14:textId="77777777" w:rsidR="00921803" w:rsidRPr="007A6FE3" w:rsidRDefault="00921803" w:rsidP="00921803">
      <w:pPr>
        <w:pStyle w:val="StyleBoldCentered"/>
      </w:pPr>
      <w:r w:rsidRPr="007A6FE3">
        <w:t>F</w:t>
      </w:r>
      <w:r w:rsidRPr="007A6FE3">
        <w:rPr>
          <w:caps w:val="0"/>
        </w:rPr>
        <w:t>ederal Communications Commission</w:t>
      </w:r>
    </w:p>
    <w:p w14:paraId="799F1D38" w14:textId="77777777" w:rsidR="004C2EE3" w:rsidRPr="007A6FE3" w:rsidRDefault="00810B6F" w:rsidP="00096D8C">
      <w:pPr>
        <w:pStyle w:val="StyleBoldCentered"/>
      </w:pPr>
      <w:r w:rsidRPr="007A6FE3">
        <w:rPr>
          <w:caps w:val="0"/>
        </w:rPr>
        <w:t>Washington, D.C. 20554</w:t>
      </w:r>
    </w:p>
    <w:p w14:paraId="6830F7CF" w14:textId="77777777" w:rsidR="004C2EE3" w:rsidRPr="007A6FE3" w:rsidRDefault="004C2EE3" w:rsidP="0070224F"/>
    <w:tbl>
      <w:tblPr>
        <w:tblW w:w="0" w:type="auto"/>
        <w:tblLayout w:type="fixed"/>
        <w:tblLook w:val="0000" w:firstRow="0" w:lastRow="0" w:firstColumn="0" w:lastColumn="0" w:noHBand="0" w:noVBand="0"/>
      </w:tblPr>
      <w:tblGrid>
        <w:gridCol w:w="4698"/>
        <w:gridCol w:w="630"/>
        <w:gridCol w:w="4248"/>
      </w:tblGrid>
      <w:tr w:rsidR="00EA5333" w:rsidRPr="007A6FE3" w14:paraId="2D5D6812" w14:textId="77777777">
        <w:tc>
          <w:tcPr>
            <w:tcW w:w="4698" w:type="dxa"/>
          </w:tcPr>
          <w:p w14:paraId="3EC216D1" w14:textId="77777777" w:rsidR="004C2EE3" w:rsidRPr="007A6FE3" w:rsidRDefault="004C2EE3">
            <w:pPr>
              <w:tabs>
                <w:tab w:val="center" w:pos="4680"/>
              </w:tabs>
              <w:suppressAutoHyphens/>
              <w:rPr>
                <w:spacing w:val="-2"/>
              </w:rPr>
            </w:pPr>
            <w:r w:rsidRPr="007A6FE3">
              <w:rPr>
                <w:spacing w:val="-2"/>
              </w:rPr>
              <w:t>In the Matter of</w:t>
            </w:r>
          </w:p>
          <w:p w14:paraId="36F22B1D" w14:textId="77777777" w:rsidR="004C2EE3" w:rsidRPr="007A6FE3" w:rsidRDefault="004C2EE3">
            <w:pPr>
              <w:tabs>
                <w:tab w:val="center" w:pos="4680"/>
              </w:tabs>
              <w:suppressAutoHyphens/>
              <w:rPr>
                <w:spacing w:val="-2"/>
              </w:rPr>
            </w:pPr>
          </w:p>
          <w:p w14:paraId="036CD38D" w14:textId="77777777" w:rsidR="00690CF6" w:rsidRPr="007A6FE3" w:rsidRDefault="00690CF6" w:rsidP="00BE6E64">
            <w:pPr>
              <w:tabs>
                <w:tab w:val="center" w:pos="4680"/>
              </w:tabs>
              <w:suppressAutoHyphens/>
              <w:rPr>
                <w:spacing w:val="-2"/>
              </w:rPr>
            </w:pPr>
            <w:r w:rsidRPr="007A6FE3">
              <w:rPr>
                <w:snapToGrid/>
                <w:kern w:val="0"/>
                <w:szCs w:val="22"/>
              </w:rPr>
              <w:t>Ensuring Customer Premises Equipment Backup Power for Continuity of Communications</w:t>
            </w:r>
          </w:p>
          <w:p w14:paraId="00FC7DCD" w14:textId="77777777" w:rsidR="00690CF6" w:rsidRPr="007A6FE3" w:rsidRDefault="00690CF6" w:rsidP="00BE6E64">
            <w:pPr>
              <w:tabs>
                <w:tab w:val="center" w:pos="4680"/>
              </w:tabs>
              <w:suppressAutoHyphens/>
              <w:rPr>
                <w:spacing w:val="-2"/>
              </w:rPr>
            </w:pPr>
          </w:p>
          <w:p w14:paraId="7172D013" w14:textId="77777777" w:rsidR="00BE6E64" w:rsidRPr="007A6FE3" w:rsidRDefault="00BE6E64" w:rsidP="00BE6E64">
            <w:pPr>
              <w:tabs>
                <w:tab w:val="center" w:pos="4680"/>
              </w:tabs>
              <w:suppressAutoHyphens/>
              <w:rPr>
                <w:spacing w:val="-2"/>
              </w:rPr>
            </w:pPr>
            <w:r w:rsidRPr="007A6FE3">
              <w:rPr>
                <w:spacing w:val="-2"/>
              </w:rPr>
              <w:t>Technology Transitions</w:t>
            </w:r>
          </w:p>
          <w:p w14:paraId="5CA5685B" w14:textId="77777777" w:rsidR="00690CF6" w:rsidRPr="007A6FE3" w:rsidRDefault="00690CF6" w:rsidP="005E477F">
            <w:pPr>
              <w:rPr>
                <w:snapToGrid/>
                <w:kern w:val="0"/>
                <w:szCs w:val="22"/>
              </w:rPr>
            </w:pPr>
          </w:p>
          <w:p w14:paraId="50A14F63" w14:textId="77777777" w:rsidR="00690CF6" w:rsidRPr="007A6FE3" w:rsidRDefault="00690CF6" w:rsidP="005E477F">
            <w:pPr>
              <w:rPr>
                <w:snapToGrid/>
                <w:kern w:val="0"/>
                <w:szCs w:val="22"/>
              </w:rPr>
            </w:pPr>
            <w:r w:rsidRPr="007A6FE3">
              <w:rPr>
                <w:snapToGrid/>
                <w:kern w:val="0"/>
                <w:szCs w:val="22"/>
              </w:rPr>
              <w:t>Policies and Rules Governing Retirement Of Copper Loops by Incumbent Local Exchange Carriers</w:t>
            </w:r>
          </w:p>
          <w:p w14:paraId="576F6B1F" w14:textId="77777777" w:rsidR="00690CF6" w:rsidRPr="007A6FE3" w:rsidRDefault="00690CF6" w:rsidP="005E477F">
            <w:pPr>
              <w:rPr>
                <w:snapToGrid/>
                <w:kern w:val="0"/>
                <w:szCs w:val="22"/>
              </w:rPr>
            </w:pPr>
          </w:p>
          <w:p w14:paraId="686D5C27" w14:textId="77777777" w:rsidR="00330B09" w:rsidRDefault="00330B09" w:rsidP="005E477F">
            <w:pPr>
              <w:rPr>
                <w:snapToGrid/>
                <w:kern w:val="0"/>
                <w:szCs w:val="22"/>
              </w:rPr>
            </w:pPr>
            <w:r w:rsidRPr="007A6FE3">
              <w:rPr>
                <w:snapToGrid/>
                <w:kern w:val="0"/>
                <w:szCs w:val="22"/>
              </w:rPr>
              <w:t>Special Access for Price Cap Local Exchange Carriers</w:t>
            </w:r>
          </w:p>
          <w:p w14:paraId="4675207B" w14:textId="77777777" w:rsidR="004F67FF" w:rsidRDefault="004F67FF" w:rsidP="005E477F">
            <w:pPr>
              <w:rPr>
                <w:snapToGrid/>
                <w:kern w:val="0"/>
                <w:szCs w:val="22"/>
              </w:rPr>
            </w:pPr>
          </w:p>
          <w:p w14:paraId="166BE022" w14:textId="77777777" w:rsidR="004F67FF" w:rsidRPr="007A6FE3" w:rsidRDefault="004F67FF" w:rsidP="005E477F">
            <w:pPr>
              <w:rPr>
                <w:snapToGrid/>
                <w:kern w:val="0"/>
                <w:szCs w:val="22"/>
              </w:rPr>
            </w:pPr>
            <w:r>
              <w:rPr>
                <w:snapToGrid/>
                <w:kern w:val="0"/>
                <w:szCs w:val="22"/>
              </w:rPr>
              <w:t>AT&amp;T Corporation Petition for Rulemaking to Reform Regulation of Incumbent Local Exchange Carrier Rates for Interstate Special Access Services</w:t>
            </w:r>
          </w:p>
          <w:p w14:paraId="43823CD6" w14:textId="77777777" w:rsidR="00330B09" w:rsidRPr="007A6FE3" w:rsidRDefault="00330B09" w:rsidP="005E477F">
            <w:pPr>
              <w:rPr>
                <w:snapToGrid/>
                <w:kern w:val="0"/>
                <w:szCs w:val="22"/>
              </w:rPr>
            </w:pPr>
          </w:p>
          <w:p w14:paraId="7664B854" w14:textId="77777777" w:rsidR="00F36C6E" w:rsidRPr="007A6FE3" w:rsidRDefault="00F36C6E" w:rsidP="001F0A2B">
            <w:pPr>
              <w:tabs>
                <w:tab w:val="center" w:pos="4680"/>
              </w:tabs>
              <w:suppressAutoHyphens/>
              <w:rPr>
                <w:spacing w:val="-2"/>
              </w:rPr>
            </w:pPr>
          </w:p>
        </w:tc>
        <w:tc>
          <w:tcPr>
            <w:tcW w:w="630" w:type="dxa"/>
          </w:tcPr>
          <w:p w14:paraId="11005F83" w14:textId="77777777" w:rsidR="004C2EE3" w:rsidRPr="007A6FE3" w:rsidRDefault="004C2EE3">
            <w:pPr>
              <w:tabs>
                <w:tab w:val="center" w:pos="4680"/>
              </w:tabs>
              <w:suppressAutoHyphens/>
              <w:rPr>
                <w:b/>
                <w:spacing w:val="-2"/>
              </w:rPr>
            </w:pPr>
            <w:r w:rsidRPr="007A6FE3">
              <w:rPr>
                <w:b/>
                <w:spacing w:val="-2"/>
              </w:rPr>
              <w:t>)</w:t>
            </w:r>
          </w:p>
          <w:p w14:paraId="565CD4C5" w14:textId="77777777" w:rsidR="004C2EE3" w:rsidRPr="007A6FE3" w:rsidRDefault="004C2EE3">
            <w:pPr>
              <w:tabs>
                <w:tab w:val="center" w:pos="4680"/>
              </w:tabs>
              <w:suppressAutoHyphens/>
              <w:rPr>
                <w:b/>
                <w:spacing w:val="-2"/>
              </w:rPr>
            </w:pPr>
            <w:r w:rsidRPr="007A6FE3">
              <w:rPr>
                <w:b/>
                <w:spacing w:val="-2"/>
              </w:rPr>
              <w:t>)</w:t>
            </w:r>
          </w:p>
          <w:p w14:paraId="425B5B8A" w14:textId="77777777" w:rsidR="004C2EE3" w:rsidRPr="007A6FE3" w:rsidRDefault="004C2EE3">
            <w:pPr>
              <w:tabs>
                <w:tab w:val="center" w:pos="4680"/>
              </w:tabs>
              <w:suppressAutoHyphens/>
              <w:rPr>
                <w:b/>
                <w:spacing w:val="-2"/>
              </w:rPr>
            </w:pPr>
            <w:r w:rsidRPr="007A6FE3">
              <w:rPr>
                <w:b/>
                <w:spacing w:val="-2"/>
              </w:rPr>
              <w:t>)</w:t>
            </w:r>
          </w:p>
          <w:p w14:paraId="45D38C08" w14:textId="77777777" w:rsidR="004C2EE3" w:rsidRPr="007A6FE3" w:rsidRDefault="004C2EE3">
            <w:pPr>
              <w:tabs>
                <w:tab w:val="center" w:pos="4680"/>
              </w:tabs>
              <w:suppressAutoHyphens/>
              <w:rPr>
                <w:b/>
                <w:spacing w:val="-2"/>
              </w:rPr>
            </w:pPr>
            <w:r w:rsidRPr="007A6FE3">
              <w:rPr>
                <w:b/>
                <w:spacing w:val="-2"/>
              </w:rPr>
              <w:t>)</w:t>
            </w:r>
          </w:p>
          <w:p w14:paraId="5FAFF302" w14:textId="77777777" w:rsidR="004C2EE3" w:rsidRPr="007A6FE3" w:rsidRDefault="004C2EE3">
            <w:pPr>
              <w:tabs>
                <w:tab w:val="center" w:pos="4680"/>
              </w:tabs>
              <w:suppressAutoHyphens/>
              <w:rPr>
                <w:b/>
                <w:spacing w:val="-2"/>
              </w:rPr>
            </w:pPr>
            <w:r w:rsidRPr="007A6FE3">
              <w:rPr>
                <w:b/>
                <w:spacing w:val="-2"/>
              </w:rPr>
              <w:t>)</w:t>
            </w:r>
          </w:p>
          <w:p w14:paraId="7C0A8756" w14:textId="77777777" w:rsidR="004C2EE3" w:rsidRPr="007A6FE3" w:rsidRDefault="004C2EE3">
            <w:pPr>
              <w:tabs>
                <w:tab w:val="center" w:pos="4680"/>
              </w:tabs>
              <w:suppressAutoHyphens/>
              <w:rPr>
                <w:b/>
                <w:spacing w:val="-2"/>
              </w:rPr>
            </w:pPr>
            <w:r w:rsidRPr="007A6FE3">
              <w:rPr>
                <w:b/>
                <w:spacing w:val="-2"/>
              </w:rPr>
              <w:t>)</w:t>
            </w:r>
          </w:p>
          <w:p w14:paraId="3AF6F8DC" w14:textId="77777777" w:rsidR="004C2EE3" w:rsidRPr="007A6FE3" w:rsidRDefault="004C2EE3">
            <w:pPr>
              <w:tabs>
                <w:tab w:val="center" w:pos="4680"/>
              </w:tabs>
              <w:suppressAutoHyphens/>
              <w:rPr>
                <w:b/>
                <w:spacing w:val="-2"/>
              </w:rPr>
            </w:pPr>
            <w:r w:rsidRPr="007A6FE3">
              <w:rPr>
                <w:b/>
                <w:spacing w:val="-2"/>
              </w:rPr>
              <w:t>)</w:t>
            </w:r>
          </w:p>
          <w:p w14:paraId="2FB5EB43" w14:textId="77777777" w:rsidR="005E477F" w:rsidRPr="007A6FE3" w:rsidRDefault="005E477F">
            <w:pPr>
              <w:tabs>
                <w:tab w:val="center" w:pos="4680"/>
              </w:tabs>
              <w:suppressAutoHyphens/>
              <w:rPr>
                <w:b/>
                <w:spacing w:val="-2"/>
              </w:rPr>
            </w:pPr>
            <w:r w:rsidRPr="007A6FE3">
              <w:rPr>
                <w:b/>
                <w:spacing w:val="-2"/>
              </w:rPr>
              <w:t>)</w:t>
            </w:r>
          </w:p>
          <w:p w14:paraId="710F2CEC" w14:textId="77777777" w:rsidR="005E477F" w:rsidRPr="007A6FE3" w:rsidRDefault="005E477F">
            <w:pPr>
              <w:tabs>
                <w:tab w:val="center" w:pos="4680"/>
              </w:tabs>
              <w:suppressAutoHyphens/>
              <w:rPr>
                <w:b/>
                <w:spacing w:val="-2"/>
              </w:rPr>
            </w:pPr>
            <w:r w:rsidRPr="007A6FE3">
              <w:rPr>
                <w:b/>
                <w:spacing w:val="-2"/>
              </w:rPr>
              <w:t>)</w:t>
            </w:r>
          </w:p>
          <w:p w14:paraId="6E3B53CA" w14:textId="77777777" w:rsidR="005E477F" w:rsidRPr="007A6FE3" w:rsidRDefault="005E477F">
            <w:pPr>
              <w:tabs>
                <w:tab w:val="center" w:pos="4680"/>
              </w:tabs>
              <w:suppressAutoHyphens/>
              <w:rPr>
                <w:b/>
                <w:spacing w:val="-2"/>
              </w:rPr>
            </w:pPr>
            <w:r w:rsidRPr="007A6FE3">
              <w:rPr>
                <w:b/>
                <w:spacing w:val="-2"/>
              </w:rPr>
              <w:t>)</w:t>
            </w:r>
          </w:p>
          <w:p w14:paraId="750A6889" w14:textId="77777777" w:rsidR="00F36C6E" w:rsidRPr="007A6FE3" w:rsidRDefault="00F36C6E">
            <w:pPr>
              <w:tabs>
                <w:tab w:val="center" w:pos="4680"/>
              </w:tabs>
              <w:suppressAutoHyphens/>
              <w:rPr>
                <w:b/>
                <w:spacing w:val="-2"/>
              </w:rPr>
            </w:pPr>
            <w:r w:rsidRPr="007A6FE3">
              <w:rPr>
                <w:b/>
                <w:spacing w:val="-2"/>
              </w:rPr>
              <w:t>)</w:t>
            </w:r>
          </w:p>
          <w:p w14:paraId="2B594F39" w14:textId="77777777" w:rsidR="00F36C6E" w:rsidRPr="007A6FE3" w:rsidRDefault="007B536F">
            <w:pPr>
              <w:tabs>
                <w:tab w:val="center" w:pos="4680"/>
              </w:tabs>
              <w:suppressAutoHyphens/>
              <w:rPr>
                <w:b/>
                <w:spacing w:val="-2"/>
              </w:rPr>
            </w:pPr>
            <w:r w:rsidRPr="007A6FE3">
              <w:rPr>
                <w:b/>
                <w:spacing w:val="-2"/>
              </w:rPr>
              <w:t>)</w:t>
            </w:r>
          </w:p>
          <w:p w14:paraId="1C411680" w14:textId="77777777" w:rsidR="004753CE" w:rsidRDefault="007B536F" w:rsidP="00A45920">
            <w:pPr>
              <w:tabs>
                <w:tab w:val="center" w:pos="4680"/>
              </w:tabs>
              <w:suppressAutoHyphens/>
              <w:rPr>
                <w:b/>
                <w:spacing w:val="-2"/>
              </w:rPr>
            </w:pPr>
            <w:r w:rsidRPr="007A6FE3">
              <w:rPr>
                <w:b/>
                <w:spacing w:val="-2"/>
              </w:rPr>
              <w:t>)</w:t>
            </w:r>
          </w:p>
          <w:p w14:paraId="0808E958" w14:textId="77777777" w:rsidR="004F67FF" w:rsidRDefault="004F67FF" w:rsidP="00A45920">
            <w:pPr>
              <w:tabs>
                <w:tab w:val="center" w:pos="4680"/>
              </w:tabs>
              <w:suppressAutoHyphens/>
              <w:rPr>
                <w:b/>
                <w:spacing w:val="-2"/>
              </w:rPr>
            </w:pPr>
            <w:r w:rsidRPr="007A6FE3">
              <w:rPr>
                <w:b/>
                <w:spacing w:val="-2"/>
              </w:rPr>
              <w:t>)</w:t>
            </w:r>
          </w:p>
          <w:p w14:paraId="58EC9B53" w14:textId="77777777" w:rsidR="004F67FF" w:rsidRDefault="004F67FF" w:rsidP="00A45920">
            <w:pPr>
              <w:tabs>
                <w:tab w:val="center" w:pos="4680"/>
              </w:tabs>
              <w:suppressAutoHyphens/>
              <w:rPr>
                <w:b/>
                <w:spacing w:val="-2"/>
              </w:rPr>
            </w:pPr>
            <w:r w:rsidRPr="007A6FE3">
              <w:rPr>
                <w:b/>
                <w:spacing w:val="-2"/>
              </w:rPr>
              <w:t>)</w:t>
            </w:r>
          </w:p>
          <w:p w14:paraId="080FAE80" w14:textId="77777777" w:rsidR="004F67FF" w:rsidRDefault="004F67FF" w:rsidP="00A45920">
            <w:pPr>
              <w:tabs>
                <w:tab w:val="center" w:pos="4680"/>
              </w:tabs>
              <w:suppressAutoHyphens/>
              <w:rPr>
                <w:b/>
                <w:spacing w:val="-2"/>
              </w:rPr>
            </w:pPr>
            <w:r w:rsidRPr="007A6FE3">
              <w:rPr>
                <w:b/>
                <w:spacing w:val="-2"/>
              </w:rPr>
              <w:t>)</w:t>
            </w:r>
          </w:p>
          <w:p w14:paraId="5CA614D4" w14:textId="77777777" w:rsidR="004F67FF" w:rsidRDefault="004F67FF" w:rsidP="00A45920">
            <w:pPr>
              <w:tabs>
                <w:tab w:val="center" w:pos="4680"/>
              </w:tabs>
              <w:suppressAutoHyphens/>
              <w:rPr>
                <w:b/>
                <w:spacing w:val="-2"/>
              </w:rPr>
            </w:pPr>
            <w:r w:rsidRPr="007A6FE3">
              <w:rPr>
                <w:b/>
                <w:spacing w:val="-2"/>
              </w:rPr>
              <w:t>)</w:t>
            </w:r>
          </w:p>
          <w:p w14:paraId="6A79E8EC" w14:textId="77777777" w:rsidR="004F67FF" w:rsidRPr="007A6FE3" w:rsidRDefault="004F67FF" w:rsidP="00A45920">
            <w:pPr>
              <w:tabs>
                <w:tab w:val="center" w:pos="4680"/>
              </w:tabs>
              <w:suppressAutoHyphens/>
              <w:rPr>
                <w:b/>
                <w:spacing w:val="-2"/>
              </w:rPr>
            </w:pPr>
            <w:r w:rsidRPr="007A6FE3">
              <w:rPr>
                <w:b/>
                <w:spacing w:val="-2"/>
              </w:rPr>
              <w:t>)</w:t>
            </w:r>
          </w:p>
          <w:p w14:paraId="61E992C1" w14:textId="77777777" w:rsidR="004753CE" w:rsidRPr="007A6FE3" w:rsidRDefault="004753CE" w:rsidP="00A45920">
            <w:pPr>
              <w:tabs>
                <w:tab w:val="center" w:pos="4680"/>
              </w:tabs>
              <w:suppressAutoHyphens/>
              <w:rPr>
                <w:spacing w:val="-2"/>
              </w:rPr>
            </w:pPr>
          </w:p>
        </w:tc>
        <w:tc>
          <w:tcPr>
            <w:tcW w:w="4248" w:type="dxa"/>
          </w:tcPr>
          <w:p w14:paraId="58AFDAF7" w14:textId="77777777" w:rsidR="004C2EE3" w:rsidRPr="007A6FE3" w:rsidRDefault="004C2EE3">
            <w:pPr>
              <w:tabs>
                <w:tab w:val="center" w:pos="4680"/>
              </w:tabs>
              <w:suppressAutoHyphens/>
              <w:rPr>
                <w:spacing w:val="-2"/>
              </w:rPr>
            </w:pPr>
          </w:p>
          <w:p w14:paraId="6D70224D" w14:textId="77777777" w:rsidR="004C2EE3" w:rsidRPr="007A6FE3" w:rsidRDefault="004C2EE3">
            <w:pPr>
              <w:pStyle w:val="TOAHeading"/>
              <w:tabs>
                <w:tab w:val="clear" w:pos="9360"/>
                <w:tab w:val="center" w:pos="4680"/>
              </w:tabs>
              <w:rPr>
                <w:spacing w:val="-2"/>
              </w:rPr>
            </w:pPr>
          </w:p>
          <w:p w14:paraId="01E0C562" w14:textId="77777777" w:rsidR="00690CF6" w:rsidRPr="007A6FE3" w:rsidRDefault="00690CF6">
            <w:pPr>
              <w:tabs>
                <w:tab w:val="center" w:pos="4680"/>
              </w:tabs>
              <w:suppressAutoHyphens/>
              <w:rPr>
                <w:spacing w:val="-2"/>
              </w:rPr>
            </w:pPr>
            <w:r w:rsidRPr="007A6FE3">
              <w:rPr>
                <w:spacing w:val="-2"/>
              </w:rPr>
              <w:t>PS Docket No. 14-174</w:t>
            </w:r>
          </w:p>
          <w:p w14:paraId="2700F92D" w14:textId="77777777" w:rsidR="00690CF6" w:rsidRPr="007A6FE3" w:rsidRDefault="00690CF6">
            <w:pPr>
              <w:tabs>
                <w:tab w:val="center" w:pos="4680"/>
              </w:tabs>
              <w:suppressAutoHyphens/>
              <w:rPr>
                <w:spacing w:val="-2"/>
              </w:rPr>
            </w:pPr>
          </w:p>
          <w:p w14:paraId="6B63EC25" w14:textId="77777777" w:rsidR="00690CF6" w:rsidRPr="007A6FE3" w:rsidRDefault="00690CF6">
            <w:pPr>
              <w:tabs>
                <w:tab w:val="center" w:pos="4680"/>
              </w:tabs>
              <w:suppressAutoHyphens/>
              <w:rPr>
                <w:spacing w:val="-2"/>
              </w:rPr>
            </w:pPr>
          </w:p>
          <w:p w14:paraId="73672C24" w14:textId="77777777" w:rsidR="004C2EE3" w:rsidRPr="007A6FE3" w:rsidRDefault="00BE6E64">
            <w:pPr>
              <w:tabs>
                <w:tab w:val="center" w:pos="4680"/>
              </w:tabs>
              <w:suppressAutoHyphens/>
              <w:rPr>
                <w:spacing w:val="-2"/>
              </w:rPr>
            </w:pPr>
            <w:r w:rsidRPr="007A6FE3">
              <w:rPr>
                <w:spacing w:val="-2"/>
              </w:rPr>
              <w:t>GN Docket No. 13-5</w:t>
            </w:r>
          </w:p>
          <w:p w14:paraId="58156613" w14:textId="77777777" w:rsidR="000D242D" w:rsidRPr="007A6FE3" w:rsidRDefault="000D242D" w:rsidP="005E477F">
            <w:pPr>
              <w:tabs>
                <w:tab w:val="center" w:pos="4680"/>
              </w:tabs>
              <w:suppressAutoHyphens/>
              <w:rPr>
                <w:snapToGrid/>
                <w:kern w:val="0"/>
                <w:szCs w:val="22"/>
              </w:rPr>
            </w:pPr>
          </w:p>
          <w:p w14:paraId="43EF3F29" w14:textId="77777777" w:rsidR="00C63F4A" w:rsidRDefault="00C63F4A" w:rsidP="005E477F">
            <w:pPr>
              <w:tabs>
                <w:tab w:val="center" w:pos="4680"/>
              </w:tabs>
              <w:suppressAutoHyphens/>
              <w:rPr>
                <w:snapToGrid/>
                <w:kern w:val="0"/>
                <w:szCs w:val="22"/>
              </w:rPr>
            </w:pPr>
          </w:p>
          <w:p w14:paraId="47F9D0A0" w14:textId="77777777" w:rsidR="00690CF6" w:rsidRPr="007A6FE3" w:rsidRDefault="00690CF6" w:rsidP="005E477F">
            <w:pPr>
              <w:tabs>
                <w:tab w:val="center" w:pos="4680"/>
              </w:tabs>
              <w:suppressAutoHyphens/>
              <w:rPr>
                <w:spacing w:val="-2"/>
              </w:rPr>
            </w:pPr>
            <w:r w:rsidRPr="007A6FE3">
              <w:rPr>
                <w:snapToGrid/>
                <w:kern w:val="0"/>
                <w:szCs w:val="22"/>
              </w:rPr>
              <w:t>RM-11358</w:t>
            </w:r>
          </w:p>
          <w:p w14:paraId="55C56F47" w14:textId="77777777" w:rsidR="00690CF6" w:rsidRPr="007A6FE3" w:rsidRDefault="00690CF6" w:rsidP="005E477F">
            <w:pPr>
              <w:tabs>
                <w:tab w:val="center" w:pos="4680"/>
              </w:tabs>
              <w:suppressAutoHyphens/>
              <w:rPr>
                <w:spacing w:val="-2"/>
              </w:rPr>
            </w:pPr>
          </w:p>
          <w:p w14:paraId="124AD8E1" w14:textId="77777777" w:rsidR="00690CF6" w:rsidRPr="007A6FE3" w:rsidRDefault="00690CF6" w:rsidP="005E477F">
            <w:pPr>
              <w:tabs>
                <w:tab w:val="center" w:pos="4680"/>
              </w:tabs>
              <w:suppressAutoHyphens/>
              <w:rPr>
                <w:spacing w:val="-2"/>
              </w:rPr>
            </w:pPr>
          </w:p>
          <w:p w14:paraId="23B9760B" w14:textId="77777777" w:rsidR="00330B09" w:rsidRDefault="00330B09" w:rsidP="005E477F">
            <w:pPr>
              <w:tabs>
                <w:tab w:val="center" w:pos="4680"/>
              </w:tabs>
              <w:suppressAutoHyphens/>
              <w:rPr>
                <w:snapToGrid/>
                <w:kern w:val="0"/>
                <w:szCs w:val="22"/>
              </w:rPr>
            </w:pPr>
            <w:r w:rsidRPr="007A6FE3">
              <w:rPr>
                <w:snapToGrid/>
                <w:kern w:val="0"/>
                <w:szCs w:val="22"/>
              </w:rPr>
              <w:t>WC Docket No. 05-25</w:t>
            </w:r>
          </w:p>
          <w:p w14:paraId="1CF25512" w14:textId="77777777" w:rsidR="004F67FF" w:rsidRDefault="004F67FF" w:rsidP="005E477F">
            <w:pPr>
              <w:tabs>
                <w:tab w:val="center" w:pos="4680"/>
              </w:tabs>
              <w:suppressAutoHyphens/>
              <w:rPr>
                <w:snapToGrid/>
                <w:kern w:val="0"/>
                <w:szCs w:val="22"/>
              </w:rPr>
            </w:pPr>
          </w:p>
          <w:p w14:paraId="17B65B8C" w14:textId="77777777" w:rsidR="004F67FF" w:rsidRPr="007A6FE3" w:rsidRDefault="004F67FF" w:rsidP="005E477F">
            <w:pPr>
              <w:tabs>
                <w:tab w:val="center" w:pos="4680"/>
              </w:tabs>
              <w:suppressAutoHyphens/>
              <w:rPr>
                <w:snapToGrid/>
                <w:kern w:val="0"/>
                <w:szCs w:val="22"/>
              </w:rPr>
            </w:pPr>
          </w:p>
          <w:p w14:paraId="49E2D2B0" w14:textId="77777777" w:rsidR="00330B09" w:rsidRPr="007A6FE3" w:rsidRDefault="00330B09" w:rsidP="005E477F">
            <w:pPr>
              <w:tabs>
                <w:tab w:val="center" w:pos="4680"/>
              </w:tabs>
              <w:suppressAutoHyphens/>
              <w:rPr>
                <w:snapToGrid/>
                <w:kern w:val="0"/>
                <w:szCs w:val="22"/>
              </w:rPr>
            </w:pPr>
            <w:r w:rsidRPr="007A6FE3">
              <w:rPr>
                <w:snapToGrid/>
                <w:kern w:val="0"/>
                <w:szCs w:val="22"/>
              </w:rPr>
              <w:t>RM-10593</w:t>
            </w:r>
          </w:p>
          <w:p w14:paraId="1DB9990F" w14:textId="77777777" w:rsidR="00330B09" w:rsidRPr="007A6FE3" w:rsidRDefault="00330B09" w:rsidP="005E477F">
            <w:pPr>
              <w:tabs>
                <w:tab w:val="center" w:pos="4680"/>
              </w:tabs>
              <w:suppressAutoHyphens/>
              <w:rPr>
                <w:snapToGrid/>
                <w:kern w:val="0"/>
                <w:szCs w:val="22"/>
              </w:rPr>
            </w:pPr>
          </w:p>
          <w:p w14:paraId="7431963C" w14:textId="77777777" w:rsidR="004753CE" w:rsidRPr="007A6FE3" w:rsidRDefault="004753CE" w:rsidP="009F1668">
            <w:pPr>
              <w:tabs>
                <w:tab w:val="center" w:pos="4680"/>
              </w:tabs>
              <w:suppressAutoHyphens/>
              <w:rPr>
                <w:spacing w:val="-2"/>
              </w:rPr>
            </w:pPr>
          </w:p>
        </w:tc>
      </w:tr>
    </w:tbl>
    <w:p w14:paraId="736E4025" w14:textId="4FE04E20" w:rsidR="00841AB1" w:rsidRPr="007A6FE3" w:rsidRDefault="00904CBC" w:rsidP="00B55656">
      <w:pPr>
        <w:pStyle w:val="StyleBoldCentered"/>
      </w:pPr>
      <w:r>
        <w:t>ORDER</w:t>
      </w:r>
    </w:p>
    <w:p w14:paraId="679FC1D3" w14:textId="77777777" w:rsidR="004C2EE3" w:rsidRPr="007A6FE3" w:rsidRDefault="004C2EE3">
      <w:pPr>
        <w:tabs>
          <w:tab w:val="left" w:pos="-720"/>
        </w:tabs>
        <w:suppressAutoHyphens/>
        <w:spacing w:line="227" w:lineRule="auto"/>
        <w:rPr>
          <w:spacing w:val="-2"/>
        </w:rPr>
      </w:pPr>
    </w:p>
    <w:p w14:paraId="7BFD1673" w14:textId="16C41A83" w:rsidR="00904CBC" w:rsidRPr="00FE2E8C" w:rsidRDefault="00904CBC" w:rsidP="00904CBC">
      <w:pPr>
        <w:widowControl/>
        <w:tabs>
          <w:tab w:val="left" w:pos="720"/>
          <w:tab w:val="left" w:pos="5760"/>
        </w:tabs>
        <w:suppressAutoHyphens/>
        <w:spacing w:line="227" w:lineRule="auto"/>
        <w:jc w:val="both"/>
        <w:rPr>
          <w:spacing w:val="-2"/>
          <w:szCs w:val="22"/>
        </w:rPr>
      </w:pPr>
      <w:r w:rsidRPr="00FE2E8C">
        <w:rPr>
          <w:b/>
          <w:spacing w:val="-2"/>
          <w:szCs w:val="22"/>
        </w:rPr>
        <w:t xml:space="preserve">Adopted:  </w:t>
      </w:r>
      <w:r w:rsidR="00A0296A">
        <w:rPr>
          <w:b/>
          <w:spacing w:val="-2"/>
          <w:szCs w:val="22"/>
        </w:rPr>
        <w:t>December 30, 2014</w:t>
      </w:r>
      <w:r w:rsidRPr="00FE2E8C">
        <w:rPr>
          <w:b/>
          <w:spacing w:val="-2"/>
          <w:szCs w:val="22"/>
        </w:rPr>
        <w:tab/>
      </w:r>
      <w:r>
        <w:rPr>
          <w:b/>
          <w:spacing w:val="-2"/>
          <w:szCs w:val="22"/>
        </w:rPr>
        <w:tab/>
      </w:r>
      <w:r w:rsidRPr="00FE2E8C">
        <w:rPr>
          <w:b/>
          <w:spacing w:val="-2"/>
          <w:szCs w:val="22"/>
        </w:rPr>
        <w:t xml:space="preserve">Released:  </w:t>
      </w:r>
      <w:r w:rsidR="00A0296A">
        <w:rPr>
          <w:b/>
          <w:spacing w:val="-2"/>
          <w:szCs w:val="22"/>
        </w:rPr>
        <w:t>December 30, 2014</w:t>
      </w:r>
    </w:p>
    <w:p w14:paraId="37534675" w14:textId="77777777" w:rsidR="00904CBC" w:rsidRDefault="00904CBC" w:rsidP="00904CBC">
      <w:pPr>
        <w:widowControl/>
        <w:rPr>
          <w:szCs w:val="22"/>
        </w:rPr>
      </w:pPr>
    </w:p>
    <w:p w14:paraId="10C2BE5D" w14:textId="51CC89B5" w:rsidR="00904CBC" w:rsidRDefault="00904CBC" w:rsidP="00904CBC">
      <w:pPr>
        <w:widowControl/>
        <w:rPr>
          <w:b/>
          <w:spacing w:val="-2"/>
          <w:szCs w:val="22"/>
        </w:rPr>
      </w:pPr>
      <w:r w:rsidRPr="00CB73CC">
        <w:rPr>
          <w:b/>
          <w:spacing w:val="-2"/>
          <w:szCs w:val="22"/>
        </w:rPr>
        <w:t>By the Chief, Wireline Competition Bureau:</w:t>
      </w:r>
    </w:p>
    <w:p w14:paraId="1A0DB0AE" w14:textId="77777777" w:rsidR="00904CBC" w:rsidRPr="00C23657" w:rsidRDefault="00904CBC" w:rsidP="00904CBC">
      <w:pPr>
        <w:widowControl/>
        <w:rPr>
          <w:b/>
          <w:spacing w:val="-2"/>
          <w:szCs w:val="22"/>
        </w:rPr>
      </w:pPr>
    </w:p>
    <w:p w14:paraId="44305241" w14:textId="0854341B" w:rsidR="002A2B7D" w:rsidRDefault="00904CBC" w:rsidP="00904CBC">
      <w:pPr>
        <w:pStyle w:val="ParaNum0"/>
      </w:pPr>
      <w:r w:rsidRPr="00094C3A">
        <w:t xml:space="preserve">In this Order, the </w:t>
      </w:r>
      <w:r>
        <w:t xml:space="preserve">Wireline </w:t>
      </w:r>
      <w:r w:rsidRPr="00094C3A">
        <w:t>Competition</w:t>
      </w:r>
      <w:r>
        <w:t xml:space="preserve"> Bureau</w:t>
      </w:r>
      <w:r w:rsidR="002A2B7D">
        <w:t xml:space="preserve"> </w:t>
      </w:r>
      <w:r>
        <w:t>grants Public Knowledge</w:t>
      </w:r>
      <w:r w:rsidR="0048745A">
        <w:t>’s request</w:t>
      </w:r>
      <w:r>
        <w:t xml:space="preserve"> for an </w:t>
      </w:r>
      <w:r w:rsidR="002A2B7D">
        <w:t>extension of time</w:t>
      </w:r>
      <w:r w:rsidR="00A86FEB">
        <w:rPr>
          <w:rStyle w:val="FootnoteReference"/>
        </w:rPr>
        <w:footnoteReference w:id="2"/>
      </w:r>
      <w:r w:rsidR="002A2B7D">
        <w:t xml:space="preserve"> </w:t>
      </w:r>
      <w:r w:rsidR="00204970">
        <w:t>for oppositions t</w:t>
      </w:r>
      <w:r>
        <w:t xml:space="preserve">o </w:t>
      </w:r>
      <w:r w:rsidR="00204970">
        <w:t>the United States Telecom Association (USTA)</w:t>
      </w:r>
      <w:r>
        <w:t xml:space="preserve"> petition for reconsideration</w:t>
      </w:r>
      <w:r w:rsidR="00A86FEB">
        <w:rPr>
          <w:rStyle w:val="FootnoteReference"/>
        </w:rPr>
        <w:footnoteReference w:id="3"/>
      </w:r>
      <w:r w:rsidR="00A86FEB">
        <w:t xml:space="preserve"> </w:t>
      </w:r>
      <w:r w:rsidR="00204970">
        <w:t>of the Commission’s</w:t>
      </w:r>
      <w:r w:rsidR="00A86FEB">
        <w:t xml:space="preserve"> Declaratory Ruling adopted on </w:t>
      </w:r>
      <w:r w:rsidR="0048745A">
        <w:t>November</w:t>
      </w:r>
      <w:r w:rsidR="00A86FEB">
        <w:t xml:space="preserve"> 21, 2014</w:t>
      </w:r>
      <w:r w:rsidR="00204970">
        <w:t>, in the above-captioned proceedings</w:t>
      </w:r>
      <w:r>
        <w:t>.</w:t>
      </w:r>
      <w:r>
        <w:rPr>
          <w:rStyle w:val="FootnoteReference"/>
          <w:szCs w:val="22"/>
        </w:rPr>
        <w:footnoteReference w:id="4"/>
      </w:r>
      <w:r w:rsidRPr="00094C3A">
        <w:t xml:space="preserve">  </w:t>
      </w:r>
      <w:r w:rsidR="00A86FEB">
        <w:t xml:space="preserve">Accordingly, as discussed below, oppositions </w:t>
      </w:r>
      <w:r w:rsidR="0048745A">
        <w:t xml:space="preserve">to the Petition </w:t>
      </w:r>
      <w:r w:rsidR="00EE623A">
        <w:t>are due on or before January 23, 2015,</w:t>
      </w:r>
      <w:r w:rsidR="00A86FEB">
        <w:t xml:space="preserve"> and replies are due on or before</w:t>
      </w:r>
      <w:r w:rsidR="00EE623A">
        <w:t xml:space="preserve"> January 30, 2015</w:t>
      </w:r>
      <w:r w:rsidR="00A86FEB">
        <w:t>.</w:t>
      </w:r>
    </w:p>
    <w:p w14:paraId="5EF78E0B" w14:textId="11E60B86" w:rsidR="0048745A" w:rsidRDefault="00204970" w:rsidP="0048745A">
      <w:pPr>
        <w:pStyle w:val="ParaNum0"/>
        <w:rPr>
          <w:szCs w:val="22"/>
        </w:rPr>
      </w:pPr>
      <w:r>
        <w:t>USTA</w:t>
      </w:r>
      <w:r w:rsidR="002A2B7D">
        <w:t xml:space="preserve"> states that it</w:t>
      </w:r>
      <w:r>
        <w:t>s Petition</w:t>
      </w:r>
      <w:r w:rsidR="002A2B7D">
        <w:t xml:space="preserve"> is filed “[p]ursuant to section 1.429 of the Commission’s rules.”</w:t>
      </w:r>
      <w:r w:rsidR="002A2B7D">
        <w:rPr>
          <w:rStyle w:val="FootnoteReference"/>
          <w:szCs w:val="22"/>
        </w:rPr>
        <w:footnoteReference w:id="5"/>
      </w:r>
      <w:r w:rsidR="002A2B7D">
        <w:t xml:space="preserve">  Under that rule, which governs petitions for reconsideration in rulemaking proceedings, o</w:t>
      </w:r>
      <w:r w:rsidR="002A2B7D" w:rsidRPr="002A2B7D">
        <w:t xml:space="preserve">ppositions </w:t>
      </w:r>
      <w:r w:rsidR="002A2B7D">
        <w:t>“</w:t>
      </w:r>
      <w:r w:rsidR="002A2B7D" w:rsidRPr="002A2B7D">
        <w:t>shall be filed within 15 days after the date o</w:t>
      </w:r>
      <w:r w:rsidR="002A2B7D">
        <w:t>f public notice of the petition’</w:t>
      </w:r>
      <w:r w:rsidR="002A2B7D" w:rsidRPr="002A2B7D">
        <w:t>s filing</w:t>
      </w:r>
      <w:r w:rsidR="002A2B7D">
        <w:t>.”</w:t>
      </w:r>
      <w:r w:rsidR="002A2B7D">
        <w:rPr>
          <w:rStyle w:val="FootnoteReference"/>
          <w:szCs w:val="22"/>
        </w:rPr>
        <w:footnoteReference w:id="6"/>
      </w:r>
      <w:r w:rsidR="002A2B7D">
        <w:t xml:space="preserve">  </w:t>
      </w:r>
      <w:r>
        <w:t>I</w:t>
      </w:r>
      <w:r w:rsidR="0048745A">
        <w:t xml:space="preserve">n contrast, </w:t>
      </w:r>
      <w:r w:rsidR="002A2B7D">
        <w:t xml:space="preserve">oppositions </w:t>
      </w:r>
      <w:r>
        <w:t xml:space="preserve">to petitions for reconsideration in non-rulemaking proceedings </w:t>
      </w:r>
      <w:r w:rsidR="002A2B7D">
        <w:t>“</w:t>
      </w:r>
      <w:r w:rsidR="002A2B7D" w:rsidRPr="002A2B7D">
        <w:t xml:space="preserve">shall be filed within </w:t>
      </w:r>
      <w:r w:rsidR="002A2B7D" w:rsidRPr="002A2B7D">
        <w:lastRenderedPageBreak/>
        <w:t>10 days after the petition is filed</w:t>
      </w:r>
      <w:r w:rsidR="002A2B7D">
        <w:t>.”</w:t>
      </w:r>
      <w:r w:rsidR="002A2B7D">
        <w:rPr>
          <w:rStyle w:val="FootnoteReference"/>
          <w:szCs w:val="22"/>
        </w:rPr>
        <w:footnoteReference w:id="7"/>
      </w:r>
      <w:r w:rsidR="002A2B7D">
        <w:t xml:space="preserve">  </w:t>
      </w:r>
      <w:r w:rsidR="0048745A">
        <w:t>Public Knowledge “</w:t>
      </w:r>
      <w:r w:rsidR="0048745A" w:rsidRPr="0048745A">
        <w:rPr>
          <w:szCs w:val="22"/>
        </w:rPr>
        <w:t>requests that the Commission clarify that it will treat the Petition filed by USTA as a Petition filed under Rule 1.429(f) and allow parties to respond 15 days after issuance of a Public Notice</w:t>
      </w:r>
      <w:r w:rsidR="0048745A">
        <w:rPr>
          <w:szCs w:val="22"/>
        </w:rPr>
        <w:t>,</w:t>
      </w:r>
      <w:r w:rsidR="0048745A" w:rsidRPr="0048745A">
        <w:rPr>
          <w:szCs w:val="22"/>
        </w:rPr>
        <w:t>”</w:t>
      </w:r>
      <w:r w:rsidR="00C137EA">
        <w:rPr>
          <w:szCs w:val="22"/>
        </w:rPr>
        <w:t xml:space="preserve"> or</w:t>
      </w:r>
      <w:r w:rsidR="0048745A" w:rsidRPr="0048745A">
        <w:rPr>
          <w:szCs w:val="22"/>
        </w:rPr>
        <w:t xml:space="preserve"> “in the alternative, [grant] an extension of time until January 23, 2015 to file responses</w:t>
      </w:r>
      <w:r w:rsidR="0048745A">
        <w:rPr>
          <w:szCs w:val="22"/>
        </w:rPr>
        <w:t>.”</w:t>
      </w:r>
      <w:r w:rsidR="0048745A">
        <w:rPr>
          <w:rStyle w:val="FootnoteReference"/>
          <w:szCs w:val="22"/>
        </w:rPr>
        <w:footnoteReference w:id="8"/>
      </w:r>
      <w:r w:rsidR="00F046CB">
        <w:rPr>
          <w:szCs w:val="22"/>
        </w:rPr>
        <w:t xml:space="preserve"> </w:t>
      </w:r>
      <w:r w:rsidR="00C807C8">
        <w:rPr>
          <w:szCs w:val="22"/>
        </w:rPr>
        <w:t xml:space="preserve"> In the latter case, Public Knowledge asserts that an extension is warranted because </w:t>
      </w:r>
      <w:r w:rsidR="00C807C8" w:rsidRPr="00C807C8">
        <w:rPr>
          <w:szCs w:val="22"/>
        </w:rPr>
        <w:t>“the 10 days permitted by Rule 1.106 overlap with two of the most popular holiday vacation weeks of the year</w:t>
      </w:r>
      <w:r w:rsidR="00C807C8">
        <w:rPr>
          <w:szCs w:val="22"/>
        </w:rPr>
        <w:t xml:space="preserve">” and </w:t>
      </w:r>
      <w:r w:rsidR="00C137EA">
        <w:rPr>
          <w:szCs w:val="22"/>
        </w:rPr>
        <w:t xml:space="preserve">because </w:t>
      </w:r>
      <w:r w:rsidR="00C807C8">
        <w:rPr>
          <w:szCs w:val="22"/>
        </w:rPr>
        <w:t xml:space="preserve">parties </w:t>
      </w:r>
      <w:r w:rsidR="00C807C8">
        <w:t>“</w:t>
      </w:r>
      <w:r w:rsidR="00C807C8" w:rsidRPr="00C807C8">
        <w:rPr>
          <w:szCs w:val="22"/>
        </w:rPr>
        <w:t>are likely to assume that they will have until 15 days following pu</w:t>
      </w:r>
      <w:r w:rsidR="00C807C8">
        <w:rPr>
          <w:szCs w:val="22"/>
        </w:rPr>
        <w:t>blic notice to file oppositions</w:t>
      </w:r>
      <w:r w:rsidR="00C807C8" w:rsidRPr="00C807C8">
        <w:rPr>
          <w:szCs w:val="22"/>
        </w:rPr>
        <w:t>”</w:t>
      </w:r>
      <w:r>
        <w:rPr>
          <w:szCs w:val="22"/>
        </w:rPr>
        <w:t xml:space="preserve"> due to USTA’s characterization of its petition.</w:t>
      </w:r>
      <w:r w:rsidR="00C137EA">
        <w:rPr>
          <w:rStyle w:val="FootnoteReference"/>
          <w:szCs w:val="22"/>
        </w:rPr>
        <w:footnoteReference w:id="9"/>
      </w:r>
      <w:r w:rsidR="00C807C8">
        <w:rPr>
          <w:szCs w:val="22"/>
        </w:rPr>
        <w:t xml:space="preserve">  </w:t>
      </w:r>
      <w:r w:rsidR="00C807C8" w:rsidRPr="00C807C8">
        <w:rPr>
          <w:szCs w:val="22"/>
        </w:rPr>
        <w:t xml:space="preserve">  </w:t>
      </w:r>
    </w:p>
    <w:p w14:paraId="035E9542" w14:textId="6C8DD977" w:rsidR="00EE623A" w:rsidRDefault="00F046CB" w:rsidP="00EE623A">
      <w:pPr>
        <w:pStyle w:val="ParaNum0"/>
      </w:pPr>
      <w:r w:rsidRPr="00204970">
        <w:rPr>
          <w:szCs w:val="22"/>
        </w:rPr>
        <w:t xml:space="preserve">We cannot </w:t>
      </w:r>
      <w:r w:rsidR="00BF046F" w:rsidRPr="00204970">
        <w:rPr>
          <w:szCs w:val="22"/>
        </w:rPr>
        <w:t>apply the deadlines of section 1.429 to</w:t>
      </w:r>
      <w:r w:rsidRPr="00204970">
        <w:rPr>
          <w:szCs w:val="22"/>
        </w:rPr>
        <w:t xml:space="preserve"> the Petition </w:t>
      </w:r>
      <w:r w:rsidR="00BF046F" w:rsidRPr="00204970">
        <w:rPr>
          <w:szCs w:val="22"/>
        </w:rPr>
        <w:t>because the decision for which it seeks reconsideration</w:t>
      </w:r>
      <w:r w:rsidR="00204970" w:rsidRPr="00204970">
        <w:rPr>
          <w:szCs w:val="22"/>
        </w:rPr>
        <w:t xml:space="preserve"> is adjudicatory in nature</w:t>
      </w:r>
      <w:r w:rsidRPr="00204970">
        <w:rPr>
          <w:szCs w:val="22"/>
        </w:rPr>
        <w:t>.</w:t>
      </w:r>
      <w:r>
        <w:rPr>
          <w:rStyle w:val="FootnoteReference"/>
          <w:szCs w:val="22"/>
        </w:rPr>
        <w:footnoteReference w:id="10"/>
      </w:r>
      <w:r w:rsidRPr="00204970">
        <w:rPr>
          <w:szCs w:val="22"/>
        </w:rPr>
        <w:t xml:space="preserve">  </w:t>
      </w:r>
      <w:r w:rsidR="00BF046F" w:rsidRPr="00204970">
        <w:rPr>
          <w:szCs w:val="22"/>
        </w:rPr>
        <w:t>Therefore, the ten-day opposition deadline</w:t>
      </w:r>
      <w:r w:rsidR="00204970" w:rsidRPr="00204970">
        <w:rPr>
          <w:szCs w:val="22"/>
        </w:rPr>
        <w:t xml:space="preserve"> of section 1.106</w:t>
      </w:r>
      <w:r w:rsidR="00BF046F" w:rsidRPr="00204970">
        <w:rPr>
          <w:szCs w:val="22"/>
        </w:rPr>
        <w:t xml:space="preserve"> </w:t>
      </w:r>
      <w:r w:rsidR="00BF046F" w:rsidRPr="00204970">
        <w:rPr>
          <w:i/>
          <w:szCs w:val="22"/>
        </w:rPr>
        <w:t>prima facie</w:t>
      </w:r>
      <w:r w:rsidR="00BF046F" w:rsidRPr="00204970">
        <w:rPr>
          <w:szCs w:val="22"/>
        </w:rPr>
        <w:t xml:space="preserve"> applies</w:t>
      </w:r>
      <w:r w:rsidR="002A6664">
        <w:rPr>
          <w:szCs w:val="22"/>
        </w:rPr>
        <w:t xml:space="preserve"> </w:t>
      </w:r>
      <w:r w:rsidR="00B34DAF">
        <w:rPr>
          <w:szCs w:val="22"/>
        </w:rPr>
        <w:t>—</w:t>
      </w:r>
      <w:r w:rsidR="002A6664">
        <w:rPr>
          <w:szCs w:val="22"/>
        </w:rPr>
        <w:t xml:space="preserve"> which, in this case, would require the filing of oppositions by January 2, 2015</w:t>
      </w:r>
      <w:r w:rsidR="00BF046F" w:rsidRPr="00204970">
        <w:rPr>
          <w:szCs w:val="22"/>
        </w:rPr>
        <w:t>.</w:t>
      </w:r>
      <w:r w:rsidR="00204970" w:rsidRPr="00204970">
        <w:rPr>
          <w:szCs w:val="22"/>
        </w:rPr>
        <w:t xml:space="preserve">  </w:t>
      </w:r>
      <w:r w:rsidR="00C807C8">
        <w:t>E</w:t>
      </w:r>
      <w:r w:rsidR="00C807C8" w:rsidRPr="00745481">
        <w:t xml:space="preserve">xtensions of time </w:t>
      </w:r>
      <w:r w:rsidR="00C807C8">
        <w:t xml:space="preserve">are </w:t>
      </w:r>
      <w:r w:rsidR="00C807C8" w:rsidRPr="00745481">
        <w:t>not routinely granted</w:t>
      </w:r>
      <w:r w:rsidR="00C807C8">
        <w:t>.</w:t>
      </w:r>
      <w:r w:rsidR="00C807C8">
        <w:rPr>
          <w:rStyle w:val="FootnoteReference"/>
          <w:szCs w:val="22"/>
        </w:rPr>
        <w:footnoteReference w:id="11"/>
      </w:r>
      <w:r w:rsidR="00C807C8">
        <w:t xml:space="preserve">  Nevertheless, w</w:t>
      </w:r>
      <w:r>
        <w:t xml:space="preserve">e </w:t>
      </w:r>
      <w:r w:rsidR="00C807C8">
        <w:t>find</w:t>
      </w:r>
      <w:r>
        <w:t xml:space="preserve"> that granting the extension </w:t>
      </w:r>
      <w:r w:rsidR="00C807C8">
        <w:t>requested by Public Knowledge</w:t>
      </w:r>
      <w:r>
        <w:t xml:space="preserve"> is warranted</w:t>
      </w:r>
      <w:r w:rsidR="00C807C8">
        <w:t xml:space="preserve"> by the unusual circumstances</w:t>
      </w:r>
      <w:r>
        <w:t xml:space="preserve"> here.  </w:t>
      </w:r>
      <w:r w:rsidR="00C27D32">
        <w:t xml:space="preserve">Due </w:t>
      </w:r>
      <w:r>
        <w:t>to USTA’s incorrect characterization of its Petition,</w:t>
      </w:r>
      <w:r w:rsidR="00C807C8">
        <w:t xml:space="preserve"> parties</w:t>
      </w:r>
      <w:r>
        <w:t xml:space="preserve"> </w:t>
      </w:r>
      <w:r w:rsidR="00C807C8" w:rsidRPr="00204970">
        <w:rPr>
          <w:szCs w:val="22"/>
        </w:rPr>
        <w:t>are likel</w:t>
      </w:r>
      <w:r w:rsidR="00756D37" w:rsidRPr="00204970">
        <w:rPr>
          <w:szCs w:val="22"/>
        </w:rPr>
        <w:t xml:space="preserve">y to be confused as to the applicable filing </w:t>
      </w:r>
      <w:r w:rsidR="00204970">
        <w:rPr>
          <w:szCs w:val="22"/>
        </w:rPr>
        <w:t>period</w:t>
      </w:r>
      <w:r w:rsidR="00C807C8" w:rsidRPr="00204970">
        <w:rPr>
          <w:szCs w:val="22"/>
        </w:rPr>
        <w:t xml:space="preserve">.  </w:t>
      </w:r>
      <w:r w:rsidR="00204970">
        <w:rPr>
          <w:szCs w:val="22"/>
        </w:rPr>
        <w:t>The</w:t>
      </w:r>
      <w:r w:rsidR="00C807C8" w:rsidRPr="00204970">
        <w:rPr>
          <w:szCs w:val="22"/>
        </w:rPr>
        <w:t xml:space="preserve"> impact of this confusion is </w:t>
      </w:r>
      <w:r w:rsidR="00204970">
        <w:rPr>
          <w:szCs w:val="22"/>
        </w:rPr>
        <w:t xml:space="preserve">compounded by </w:t>
      </w:r>
      <w:r w:rsidR="00C807C8" w:rsidRPr="00204970">
        <w:rPr>
          <w:szCs w:val="22"/>
        </w:rPr>
        <w:t>major holidays</w:t>
      </w:r>
      <w:r w:rsidR="00204970">
        <w:rPr>
          <w:szCs w:val="22"/>
        </w:rPr>
        <w:t xml:space="preserve"> falling during the response period</w:t>
      </w:r>
      <w:r w:rsidR="00C807C8" w:rsidRPr="00204970">
        <w:rPr>
          <w:szCs w:val="22"/>
        </w:rPr>
        <w:t xml:space="preserve">.  </w:t>
      </w:r>
      <w:r w:rsidR="00204970">
        <w:rPr>
          <w:szCs w:val="22"/>
        </w:rPr>
        <w:t>Moreover, due to</w:t>
      </w:r>
      <w:r w:rsidR="00204970" w:rsidRPr="00204970">
        <w:rPr>
          <w:szCs w:val="22"/>
        </w:rPr>
        <w:t xml:space="preserve"> the importance of the issues here, we wish to ensure that all interested parties have ample time to provide input.  </w:t>
      </w:r>
      <w:r w:rsidR="00542382">
        <w:rPr>
          <w:szCs w:val="22"/>
        </w:rPr>
        <w:t xml:space="preserve">Finally, </w:t>
      </w:r>
      <w:r w:rsidR="00204970">
        <w:rPr>
          <w:szCs w:val="22"/>
        </w:rPr>
        <w:t>g</w:t>
      </w:r>
      <w:r w:rsidR="00756D37" w:rsidRPr="00204970">
        <w:rPr>
          <w:szCs w:val="22"/>
        </w:rPr>
        <w:t xml:space="preserve">iven that USTA </w:t>
      </w:r>
      <w:r w:rsidR="006B602A" w:rsidRPr="00204970">
        <w:rPr>
          <w:szCs w:val="22"/>
        </w:rPr>
        <w:t>a</w:t>
      </w:r>
      <w:r w:rsidR="006B602A">
        <w:rPr>
          <w:szCs w:val="22"/>
        </w:rPr>
        <w:t>pparently</w:t>
      </w:r>
      <w:r w:rsidR="006B602A" w:rsidRPr="00204970">
        <w:rPr>
          <w:szCs w:val="22"/>
        </w:rPr>
        <w:t xml:space="preserve"> </w:t>
      </w:r>
      <w:r w:rsidR="00756D37" w:rsidRPr="00204970">
        <w:rPr>
          <w:szCs w:val="22"/>
        </w:rPr>
        <w:t>anticipates a l</w:t>
      </w:r>
      <w:r w:rsidR="00204970">
        <w:rPr>
          <w:szCs w:val="22"/>
        </w:rPr>
        <w:t xml:space="preserve">onger pleading cycle, </w:t>
      </w:r>
      <w:r w:rsidR="00542382">
        <w:rPr>
          <w:szCs w:val="22"/>
        </w:rPr>
        <w:t xml:space="preserve">we find that </w:t>
      </w:r>
      <w:r w:rsidR="00756D37" w:rsidRPr="00204970">
        <w:rPr>
          <w:szCs w:val="22"/>
        </w:rPr>
        <w:t>the</w:t>
      </w:r>
      <w:r w:rsidR="00C137EA" w:rsidRPr="00204970">
        <w:rPr>
          <w:szCs w:val="22"/>
        </w:rPr>
        <w:t xml:space="preserve"> brief delay </w:t>
      </w:r>
      <w:r w:rsidR="00756D37" w:rsidRPr="00204970">
        <w:rPr>
          <w:szCs w:val="22"/>
        </w:rPr>
        <w:t xml:space="preserve">caused by our action </w:t>
      </w:r>
      <w:r w:rsidR="00C137EA" w:rsidRPr="00204970">
        <w:rPr>
          <w:szCs w:val="22"/>
        </w:rPr>
        <w:t>will</w:t>
      </w:r>
      <w:r w:rsidR="00542382">
        <w:rPr>
          <w:szCs w:val="22"/>
        </w:rPr>
        <w:t xml:space="preserve"> not</w:t>
      </w:r>
      <w:r w:rsidR="00C137EA" w:rsidRPr="00204970">
        <w:rPr>
          <w:szCs w:val="22"/>
        </w:rPr>
        <w:t xml:space="preserve"> harm </w:t>
      </w:r>
      <w:r w:rsidR="00756D37" w:rsidRPr="00204970">
        <w:rPr>
          <w:szCs w:val="22"/>
        </w:rPr>
        <w:t>the petitioner</w:t>
      </w:r>
      <w:r w:rsidR="00204970">
        <w:rPr>
          <w:szCs w:val="22"/>
        </w:rPr>
        <w:t>, nor do we anticipate a negative impact on</w:t>
      </w:r>
      <w:r w:rsidR="00756D37" w:rsidRPr="00204970">
        <w:rPr>
          <w:szCs w:val="22"/>
        </w:rPr>
        <w:t xml:space="preserve"> </w:t>
      </w:r>
      <w:r w:rsidR="00C137EA" w:rsidRPr="00204970">
        <w:rPr>
          <w:szCs w:val="22"/>
        </w:rPr>
        <w:t xml:space="preserve">any </w:t>
      </w:r>
      <w:r w:rsidR="00756D37" w:rsidRPr="00204970">
        <w:rPr>
          <w:szCs w:val="22"/>
        </w:rPr>
        <w:t xml:space="preserve">other </w:t>
      </w:r>
      <w:r w:rsidR="00C137EA" w:rsidRPr="00204970">
        <w:rPr>
          <w:szCs w:val="22"/>
        </w:rPr>
        <w:t>interested party.</w:t>
      </w:r>
      <w:r w:rsidR="00C137EA">
        <w:rPr>
          <w:rStyle w:val="FootnoteReference"/>
          <w:szCs w:val="22"/>
        </w:rPr>
        <w:footnoteReference w:id="12"/>
      </w:r>
      <w:r w:rsidR="00C137EA" w:rsidRPr="00204970">
        <w:rPr>
          <w:szCs w:val="22"/>
        </w:rPr>
        <w:t xml:space="preserve"> </w:t>
      </w:r>
    </w:p>
    <w:p w14:paraId="7169E5FB" w14:textId="23B9EF77" w:rsidR="00904CBC" w:rsidRDefault="00904CBC" w:rsidP="00904CBC">
      <w:pPr>
        <w:pStyle w:val="ParaNum0"/>
      </w:pPr>
      <w:r>
        <w:t xml:space="preserve">We therefore </w:t>
      </w:r>
      <w:r w:rsidR="00EE623A">
        <w:t xml:space="preserve">grant the requested extension of time and permit oppositions to the Petition to be filed on or before January 23, 2015.  </w:t>
      </w:r>
      <w:r w:rsidR="00FE14E5">
        <w:t>To eliminate any risk of confusion, we further clarify that replies to any oppositions will be due on or before January 30, 2015.</w:t>
      </w:r>
      <w:r w:rsidR="00FE14E5">
        <w:rPr>
          <w:rStyle w:val="FootnoteReference"/>
        </w:rPr>
        <w:footnoteReference w:id="13"/>
      </w:r>
      <w:r w:rsidR="00FE14E5">
        <w:t xml:space="preserve">  </w:t>
      </w:r>
    </w:p>
    <w:p w14:paraId="1A206C54" w14:textId="071021AA" w:rsidR="00824FB0" w:rsidRPr="00824FB0" w:rsidRDefault="00904CBC" w:rsidP="00FE14E5">
      <w:pPr>
        <w:pStyle w:val="ParaNum0"/>
        <w:rPr>
          <w:rFonts w:eastAsia="Batang"/>
          <w:lang w:eastAsia="ja-JP"/>
        </w:rPr>
      </w:pPr>
      <w:r w:rsidRPr="00FE14E5">
        <w:rPr>
          <w:rFonts w:eastAsia="Batang"/>
          <w:lang w:eastAsia="ja-JP"/>
        </w:rPr>
        <w:t xml:space="preserve"> IT IS ORDERED that, </w:t>
      </w:r>
      <w:r>
        <w:t>pursuant to s</w:t>
      </w:r>
      <w:r w:rsidRPr="004769E4">
        <w:t>ections 4(i)</w:t>
      </w:r>
      <w:r>
        <w:t>, 4(j),</w:t>
      </w:r>
      <w:r w:rsidRPr="004769E4">
        <w:t xml:space="preserve"> </w:t>
      </w:r>
      <w:r>
        <w:t xml:space="preserve">5(c) </w:t>
      </w:r>
      <w:r w:rsidRPr="004769E4">
        <w:t>and 303(r) of the Communications Act</w:t>
      </w:r>
      <w:r>
        <w:t xml:space="preserve"> of 1934</w:t>
      </w:r>
      <w:r w:rsidRPr="004769E4">
        <w:t xml:space="preserve">, as amended, 47 U.S.C. §§ </w:t>
      </w:r>
      <w:r w:rsidRPr="005B56E3">
        <w:t>154(i), 154(j), 155(c)</w:t>
      </w:r>
      <w:r>
        <w:t xml:space="preserve"> </w:t>
      </w:r>
      <w:r w:rsidRPr="004769E4">
        <w:t xml:space="preserve">and </w:t>
      </w:r>
      <w:r w:rsidRPr="005B56E3">
        <w:t>303(r),</w:t>
      </w:r>
      <w:r w:rsidRPr="004769E4">
        <w:t xml:space="preserve"> </w:t>
      </w:r>
      <w:r>
        <w:t>and</w:t>
      </w:r>
      <w:r w:rsidRPr="00FE14E5">
        <w:rPr>
          <w:rFonts w:eastAsia="Batang"/>
          <w:lang w:eastAsia="ja-JP"/>
        </w:rPr>
        <w:t xml:space="preserve"> sections 0.91, 0.291, and 1.46 of the Commission’s rules, 47 C.F.R. §§</w:t>
      </w:r>
      <w:r w:rsidR="00FE14E5" w:rsidRPr="00FE14E5">
        <w:rPr>
          <w:rFonts w:eastAsia="Batang"/>
          <w:lang w:eastAsia="ja-JP"/>
        </w:rPr>
        <w:t xml:space="preserve"> 0.91, 0.291, 1.46, Public Knowledge’s Motion for Clarification or, In the Alternative, Extension</w:t>
      </w:r>
      <w:r w:rsidR="00FE14E5">
        <w:rPr>
          <w:rFonts w:eastAsia="Batang"/>
          <w:lang w:eastAsia="ja-JP"/>
        </w:rPr>
        <w:t xml:space="preserve"> </w:t>
      </w:r>
      <w:r w:rsidR="00FE14E5" w:rsidRPr="00FE14E5">
        <w:rPr>
          <w:rFonts w:eastAsia="Batang"/>
          <w:lang w:eastAsia="ja-JP"/>
        </w:rPr>
        <w:t xml:space="preserve">of Time IS GRANTED to the extent described herein and otherwise </w:t>
      </w:r>
      <w:r w:rsidR="00542382">
        <w:rPr>
          <w:rFonts w:eastAsia="Batang"/>
          <w:lang w:eastAsia="ja-JP"/>
        </w:rPr>
        <w:t xml:space="preserve">IS </w:t>
      </w:r>
      <w:r w:rsidR="00FE14E5" w:rsidRPr="00FE14E5">
        <w:rPr>
          <w:rFonts w:eastAsia="Batang"/>
          <w:lang w:eastAsia="ja-JP"/>
        </w:rPr>
        <w:t>DENIED</w:t>
      </w:r>
      <w:r w:rsidRPr="00FE14E5">
        <w:rPr>
          <w:rFonts w:eastAsia="Batang"/>
          <w:lang w:eastAsia="ja-JP"/>
        </w:rPr>
        <w:t>.</w:t>
      </w:r>
      <w:r w:rsidR="00824FB0" w:rsidRPr="00824FB0">
        <w:t xml:space="preserve"> </w:t>
      </w:r>
    </w:p>
    <w:p w14:paraId="06A8BCEE" w14:textId="68E89247" w:rsidR="00904CBC" w:rsidRPr="00FE14E5" w:rsidRDefault="00824FB0" w:rsidP="00FE14E5">
      <w:pPr>
        <w:pStyle w:val="ParaNum0"/>
        <w:rPr>
          <w:rFonts w:eastAsia="Batang"/>
          <w:lang w:eastAsia="ja-JP"/>
        </w:rPr>
      </w:pPr>
      <w:r w:rsidRPr="00071DEA">
        <w:t xml:space="preserve">IT IS FURTHER ORDERED that, pursuant to section 1.102(b)(1) of the Commission’s rules, 47 C.F.R. § 1.102(b)(1), this Order </w:t>
      </w:r>
      <w:r w:rsidRPr="00524EDF">
        <w:t>SHALL BE EFFECTIVE upon release</w:t>
      </w:r>
      <w:r w:rsidRPr="00071DEA">
        <w:t>.</w:t>
      </w:r>
    </w:p>
    <w:p w14:paraId="3D8A0ED2" w14:textId="2B053630" w:rsidR="00904CBC" w:rsidRDefault="00904CBC" w:rsidP="00FE14E5">
      <w:pPr>
        <w:widowControl/>
      </w:pPr>
      <w:r>
        <w:br/>
      </w:r>
    </w:p>
    <w:p w14:paraId="76E47F6B" w14:textId="77777777" w:rsidR="0027304C" w:rsidRPr="00F962E5" w:rsidRDefault="0027304C" w:rsidP="0027304C">
      <w:pPr>
        <w:autoSpaceDE w:val="0"/>
        <w:autoSpaceDN w:val="0"/>
        <w:adjustRightInd w:val="0"/>
        <w:jc w:val="right"/>
        <w:rPr>
          <w:szCs w:val="22"/>
        </w:rPr>
      </w:pPr>
      <w:r w:rsidRPr="00F962E5">
        <w:rPr>
          <w:color w:val="000000"/>
          <w:szCs w:val="22"/>
        </w:rPr>
        <w:t>FEDERAL COMMUNICATIONS COMMISSION</w:t>
      </w:r>
    </w:p>
    <w:p w14:paraId="36F92EEC" w14:textId="77777777" w:rsidR="0027304C" w:rsidRDefault="0027304C" w:rsidP="0027304C">
      <w:pPr>
        <w:autoSpaceDE w:val="0"/>
        <w:autoSpaceDN w:val="0"/>
        <w:adjustRightInd w:val="0"/>
        <w:jc w:val="right"/>
        <w:rPr>
          <w:color w:val="000000"/>
          <w:szCs w:val="22"/>
        </w:rPr>
      </w:pPr>
    </w:p>
    <w:p w14:paraId="1089E1BD" w14:textId="77777777" w:rsidR="0027304C" w:rsidRDefault="0027304C" w:rsidP="0027304C">
      <w:pPr>
        <w:autoSpaceDE w:val="0"/>
        <w:autoSpaceDN w:val="0"/>
        <w:adjustRightInd w:val="0"/>
        <w:jc w:val="right"/>
        <w:rPr>
          <w:color w:val="000000"/>
          <w:szCs w:val="22"/>
        </w:rPr>
      </w:pPr>
    </w:p>
    <w:p w14:paraId="14A5C683" w14:textId="77777777" w:rsidR="0027304C" w:rsidRPr="00F962E5" w:rsidRDefault="0027304C" w:rsidP="0027304C">
      <w:pPr>
        <w:autoSpaceDE w:val="0"/>
        <w:autoSpaceDN w:val="0"/>
        <w:adjustRightInd w:val="0"/>
        <w:jc w:val="right"/>
        <w:rPr>
          <w:color w:val="000000"/>
          <w:szCs w:val="22"/>
        </w:rPr>
      </w:pPr>
    </w:p>
    <w:p w14:paraId="36BD4191" w14:textId="77777777" w:rsidR="0027304C" w:rsidRPr="00F962E5" w:rsidRDefault="0027304C" w:rsidP="0027304C">
      <w:pPr>
        <w:tabs>
          <w:tab w:val="left" w:pos="4860"/>
        </w:tabs>
        <w:autoSpaceDE w:val="0"/>
        <w:autoSpaceDN w:val="0"/>
        <w:adjustRightInd w:val="0"/>
        <w:rPr>
          <w:color w:val="000000"/>
          <w:szCs w:val="22"/>
        </w:rPr>
      </w:pPr>
      <w:r>
        <w:rPr>
          <w:color w:val="000000"/>
          <w:szCs w:val="22"/>
        </w:rPr>
        <w:tab/>
        <w:t>Julie A. Veach</w:t>
      </w:r>
    </w:p>
    <w:p w14:paraId="15893770" w14:textId="77777777" w:rsidR="0027304C" w:rsidRPr="00F962E5" w:rsidRDefault="0027304C" w:rsidP="0027304C">
      <w:pPr>
        <w:tabs>
          <w:tab w:val="left" w:pos="4860"/>
        </w:tabs>
        <w:autoSpaceDE w:val="0"/>
        <w:autoSpaceDN w:val="0"/>
        <w:adjustRightInd w:val="0"/>
        <w:rPr>
          <w:color w:val="000000"/>
          <w:szCs w:val="22"/>
        </w:rPr>
      </w:pPr>
      <w:r>
        <w:rPr>
          <w:color w:val="000000"/>
          <w:szCs w:val="22"/>
        </w:rPr>
        <w:tab/>
      </w:r>
      <w:r w:rsidRPr="00F962E5">
        <w:rPr>
          <w:color w:val="000000"/>
          <w:szCs w:val="22"/>
        </w:rPr>
        <w:t>Chief</w:t>
      </w:r>
    </w:p>
    <w:p w14:paraId="527CC592" w14:textId="05508E5E" w:rsidR="00AB126A" w:rsidRPr="006B602A" w:rsidRDefault="0027304C" w:rsidP="006B602A">
      <w:pPr>
        <w:tabs>
          <w:tab w:val="left" w:pos="4860"/>
        </w:tabs>
        <w:autoSpaceDE w:val="0"/>
        <w:autoSpaceDN w:val="0"/>
        <w:adjustRightInd w:val="0"/>
        <w:rPr>
          <w:color w:val="000000"/>
          <w:szCs w:val="22"/>
        </w:rPr>
      </w:pPr>
      <w:r>
        <w:rPr>
          <w:color w:val="000000"/>
          <w:szCs w:val="22"/>
        </w:rPr>
        <w:tab/>
      </w:r>
      <w:r w:rsidRPr="00F962E5">
        <w:rPr>
          <w:color w:val="000000"/>
          <w:szCs w:val="22"/>
        </w:rPr>
        <w:t>Wireline Competition Bureau</w:t>
      </w:r>
    </w:p>
    <w:sectPr w:rsidR="00AB126A" w:rsidRPr="006B602A" w:rsidSect="007F3B4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C6631" w14:textId="77777777" w:rsidR="005316DF" w:rsidRDefault="005316DF">
      <w:pPr>
        <w:spacing w:line="20" w:lineRule="exact"/>
      </w:pPr>
    </w:p>
  </w:endnote>
  <w:endnote w:type="continuationSeparator" w:id="0">
    <w:p w14:paraId="1659040B" w14:textId="77777777" w:rsidR="005316DF" w:rsidRDefault="005316DF">
      <w:r>
        <w:t xml:space="preserve"> </w:t>
      </w:r>
    </w:p>
  </w:endnote>
  <w:endnote w:type="continuationNotice" w:id="1">
    <w:p w14:paraId="52FB6EC1" w14:textId="77777777" w:rsidR="005316DF" w:rsidRDefault="005316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61A8A" w14:textId="77777777" w:rsidR="002523C6" w:rsidRDefault="00252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83281"/>
      <w:docPartObj>
        <w:docPartGallery w:val="Page Numbers (Bottom of Page)"/>
        <w:docPartUnique/>
      </w:docPartObj>
    </w:sdtPr>
    <w:sdtEndPr>
      <w:rPr>
        <w:noProof/>
      </w:rPr>
    </w:sdtEndPr>
    <w:sdtContent>
      <w:p w14:paraId="06EAC4F3" w14:textId="77777777" w:rsidR="00FE1B54" w:rsidRDefault="00FE1B54" w:rsidP="003F0F7D">
        <w:pPr>
          <w:pStyle w:val="Footer"/>
          <w:jc w:val="center"/>
        </w:pPr>
        <w:r>
          <w:fldChar w:fldCharType="begin"/>
        </w:r>
        <w:r>
          <w:instrText xml:space="preserve"> PAGE   \* MERGEFORMAT </w:instrText>
        </w:r>
        <w:r>
          <w:fldChar w:fldCharType="separate"/>
        </w:r>
        <w:r w:rsidR="003E2C4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9FDC7" w14:textId="77777777" w:rsidR="002523C6" w:rsidRDefault="00252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EF846" w14:textId="77777777" w:rsidR="005316DF" w:rsidRDefault="005316DF">
      <w:r>
        <w:separator/>
      </w:r>
    </w:p>
  </w:footnote>
  <w:footnote w:type="continuationSeparator" w:id="0">
    <w:p w14:paraId="15AE7BAF" w14:textId="77777777" w:rsidR="005316DF" w:rsidRDefault="005316DF" w:rsidP="00C721AC">
      <w:pPr>
        <w:spacing w:before="120"/>
        <w:rPr>
          <w:sz w:val="20"/>
        </w:rPr>
      </w:pPr>
      <w:r>
        <w:rPr>
          <w:sz w:val="20"/>
        </w:rPr>
        <w:t xml:space="preserve">(Continued from previous page)  </w:t>
      </w:r>
      <w:r>
        <w:rPr>
          <w:sz w:val="20"/>
        </w:rPr>
        <w:separator/>
      </w:r>
    </w:p>
  </w:footnote>
  <w:footnote w:type="continuationNotice" w:id="1">
    <w:p w14:paraId="5E30CDBC" w14:textId="77777777" w:rsidR="005316DF" w:rsidRDefault="005316DF" w:rsidP="00C721AC">
      <w:pPr>
        <w:jc w:val="right"/>
        <w:rPr>
          <w:sz w:val="20"/>
        </w:rPr>
      </w:pPr>
      <w:r>
        <w:rPr>
          <w:sz w:val="20"/>
        </w:rPr>
        <w:t>(continued…)</w:t>
      </w:r>
    </w:p>
  </w:footnote>
  <w:footnote w:id="2">
    <w:p w14:paraId="6637AFE1" w14:textId="7F6D86BB" w:rsidR="00A86FEB" w:rsidRPr="00FE14E5" w:rsidRDefault="00A86FEB">
      <w:pPr>
        <w:pStyle w:val="FootnoteText"/>
      </w:pPr>
      <w:r>
        <w:rPr>
          <w:rStyle w:val="FootnoteReference"/>
        </w:rPr>
        <w:footnoteRef/>
      </w:r>
      <w:r>
        <w:t xml:space="preserve"> </w:t>
      </w:r>
      <w:r w:rsidR="00FE14E5">
        <w:rPr>
          <w:i/>
        </w:rPr>
        <w:t xml:space="preserve">See </w:t>
      </w:r>
      <w:r w:rsidR="00FE14E5" w:rsidRPr="00FE14E5">
        <w:rPr>
          <w:rFonts w:eastAsia="Batang"/>
          <w:lang w:eastAsia="ja-JP"/>
        </w:rPr>
        <w:t xml:space="preserve">Motion </w:t>
      </w:r>
      <w:r w:rsidR="00FE14E5">
        <w:rPr>
          <w:rFonts w:eastAsia="Batang"/>
          <w:lang w:eastAsia="ja-JP"/>
        </w:rPr>
        <w:t xml:space="preserve">of Public Knowledge </w:t>
      </w:r>
      <w:r w:rsidR="00FE14E5" w:rsidRPr="00FE14E5">
        <w:rPr>
          <w:rFonts w:eastAsia="Batang"/>
          <w:lang w:eastAsia="ja-JP"/>
        </w:rPr>
        <w:t>for Clarification or, In the Alternative, Extension</w:t>
      </w:r>
      <w:r w:rsidR="00FE14E5">
        <w:rPr>
          <w:rFonts w:eastAsia="Batang"/>
          <w:lang w:eastAsia="ja-JP"/>
        </w:rPr>
        <w:t xml:space="preserve"> </w:t>
      </w:r>
      <w:r w:rsidR="00FE14E5" w:rsidRPr="00FE14E5">
        <w:rPr>
          <w:rFonts w:eastAsia="Batang"/>
          <w:lang w:eastAsia="ja-JP"/>
        </w:rPr>
        <w:t>of Time</w:t>
      </w:r>
      <w:r w:rsidR="00FE14E5">
        <w:rPr>
          <w:rFonts w:eastAsia="Batang"/>
          <w:lang w:eastAsia="ja-JP"/>
        </w:rPr>
        <w:t xml:space="preserve">, </w:t>
      </w:r>
      <w:r w:rsidR="00FE14E5" w:rsidRPr="00FE14E5">
        <w:rPr>
          <w:rFonts w:eastAsia="Batang"/>
          <w:lang w:eastAsia="ja-JP"/>
        </w:rPr>
        <w:t>PS Docket No. 14-174</w:t>
      </w:r>
      <w:r w:rsidR="00FE14E5">
        <w:rPr>
          <w:rFonts w:eastAsia="Batang"/>
          <w:lang w:eastAsia="ja-JP"/>
        </w:rPr>
        <w:t xml:space="preserve"> et al. (filed</w:t>
      </w:r>
      <w:r w:rsidR="00C137EA">
        <w:rPr>
          <w:rFonts w:eastAsia="Batang"/>
          <w:lang w:eastAsia="ja-JP"/>
        </w:rPr>
        <w:t xml:space="preserve"> Dec. 26, 2014) (Public Knowledge Motion). </w:t>
      </w:r>
      <w:r w:rsidR="00FE14E5">
        <w:rPr>
          <w:rFonts w:eastAsia="Batang"/>
          <w:lang w:eastAsia="ja-JP"/>
        </w:rPr>
        <w:t xml:space="preserve"> </w:t>
      </w:r>
    </w:p>
  </w:footnote>
  <w:footnote w:id="3">
    <w:p w14:paraId="68969C71" w14:textId="4B07F2D5" w:rsidR="00A86FEB" w:rsidRPr="00C137EA" w:rsidRDefault="00A86FEB">
      <w:pPr>
        <w:pStyle w:val="FootnoteText"/>
      </w:pPr>
      <w:r>
        <w:rPr>
          <w:rStyle w:val="FootnoteReference"/>
        </w:rPr>
        <w:footnoteRef/>
      </w:r>
      <w:r>
        <w:t xml:space="preserve"> </w:t>
      </w:r>
      <w:r w:rsidR="00C137EA">
        <w:rPr>
          <w:i/>
        </w:rPr>
        <w:t>See</w:t>
      </w:r>
      <w:r w:rsidR="00C137EA">
        <w:t xml:space="preserve"> Petition for Reconsideration of the United States Telecom Association,</w:t>
      </w:r>
      <w:r w:rsidR="00C137EA" w:rsidRPr="00C137EA">
        <w:rPr>
          <w:rFonts w:eastAsia="Batang"/>
          <w:lang w:eastAsia="ja-JP"/>
        </w:rPr>
        <w:t xml:space="preserve"> </w:t>
      </w:r>
      <w:r w:rsidR="00C137EA" w:rsidRPr="00FE14E5">
        <w:rPr>
          <w:rFonts w:eastAsia="Batang"/>
          <w:lang w:eastAsia="ja-JP"/>
        </w:rPr>
        <w:t>PS Docket No. 14-174</w:t>
      </w:r>
      <w:r w:rsidR="00C137EA">
        <w:rPr>
          <w:rFonts w:eastAsia="Batang"/>
          <w:lang w:eastAsia="ja-JP"/>
        </w:rPr>
        <w:t xml:space="preserve"> et al. (filed Dec. 23, 2014), </w:t>
      </w:r>
      <w:hyperlink r:id="rId1" w:history="1">
        <w:r w:rsidR="00C137EA" w:rsidRPr="00C137EA">
          <w:rPr>
            <w:rStyle w:val="Hyperlink"/>
            <w:rFonts w:eastAsia="Batang"/>
            <w:lang w:eastAsia="ja-JP"/>
          </w:rPr>
          <w:t>http://apps.fcc.gov/ecfs/document/view?id=60001010988</w:t>
        </w:r>
      </w:hyperlink>
      <w:r w:rsidR="00C137EA" w:rsidRPr="00C137EA">
        <w:rPr>
          <w:rFonts w:eastAsia="Batang"/>
          <w:lang w:eastAsia="ja-JP"/>
        </w:rPr>
        <w:t xml:space="preserve"> </w:t>
      </w:r>
      <w:r w:rsidR="00C137EA">
        <w:rPr>
          <w:rFonts w:eastAsia="Batang"/>
          <w:lang w:eastAsia="ja-JP"/>
        </w:rPr>
        <w:t>(Petition).</w:t>
      </w:r>
    </w:p>
  </w:footnote>
  <w:footnote w:id="4">
    <w:p w14:paraId="74677011" w14:textId="4D84085A" w:rsidR="00904CBC" w:rsidRDefault="00904CBC" w:rsidP="00904CBC">
      <w:pPr>
        <w:pStyle w:val="FootnoteText"/>
      </w:pPr>
      <w:r>
        <w:rPr>
          <w:rStyle w:val="FootnoteReference"/>
        </w:rPr>
        <w:footnoteRef/>
      </w:r>
      <w:r>
        <w:t xml:space="preserve"> </w:t>
      </w:r>
      <w:r w:rsidR="00A86FEB" w:rsidRPr="00777F30">
        <w:rPr>
          <w:i/>
          <w:szCs w:val="22"/>
        </w:rPr>
        <w:t>Ensuring Customer Premises Equipment Backup Power for Continuity of Communications et al.</w:t>
      </w:r>
      <w:r w:rsidR="00A86FEB" w:rsidRPr="00777F30">
        <w:rPr>
          <w:szCs w:val="22"/>
        </w:rPr>
        <w:t>, PS Docket No. 14-174 et al., Notice of Proposed Rulemaking and Declaratory Ruling, FCC 14-185 (rel. Nov. 2</w:t>
      </w:r>
      <w:r w:rsidR="00C27D32">
        <w:rPr>
          <w:szCs w:val="22"/>
        </w:rPr>
        <w:t>5</w:t>
      </w:r>
      <w:r w:rsidR="00A86FEB" w:rsidRPr="00777F30">
        <w:rPr>
          <w:szCs w:val="22"/>
        </w:rPr>
        <w:t>, 2014)</w:t>
      </w:r>
      <w:r w:rsidR="00A86FEB">
        <w:rPr>
          <w:szCs w:val="22"/>
        </w:rPr>
        <w:t xml:space="preserve"> (</w:t>
      </w:r>
      <w:r w:rsidR="00A86FEB">
        <w:rPr>
          <w:i/>
          <w:szCs w:val="22"/>
        </w:rPr>
        <w:t>Declaratory Ruling</w:t>
      </w:r>
      <w:r w:rsidR="00A86FEB">
        <w:rPr>
          <w:szCs w:val="22"/>
        </w:rPr>
        <w:t>)</w:t>
      </w:r>
      <w:r w:rsidR="00A86FEB" w:rsidRPr="00777F30">
        <w:rPr>
          <w:i/>
          <w:szCs w:val="22"/>
        </w:rPr>
        <w:t>.</w:t>
      </w:r>
    </w:p>
  </w:footnote>
  <w:footnote w:id="5">
    <w:p w14:paraId="7A0FB25D" w14:textId="48DA5D31" w:rsidR="002A2B7D" w:rsidRPr="002A2B7D" w:rsidRDefault="002A2B7D">
      <w:pPr>
        <w:pStyle w:val="FootnoteText"/>
      </w:pPr>
      <w:r>
        <w:rPr>
          <w:rStyle w:val="FootnoteReference"/>
        </w:rPr>
        <w:footnoteRef/>
      </w:r>
      <w:r>
        <w:t xml:space="preserve"> </w:t>
      </w:r>
      <w:r w:rsidR="00C137EA">
        <w:t>Petition</w:t>
      </w:r>
      <w:r>
        <w:rPr>
          <w:i/>
        </w:rPr>
        <w:t xml:space="preserve"> </w:t>
      </w:r>
      <w:r>
        <w:t>at 1.</w:t>
      </w:r>
    </w:p>
  </w:footnote>
  <w:footnote w:id="6">
    <w:p w14:paraId="025D0323" w14:textId="15A94111" w:rsidR="002A2B7D" w:rsidRDefault="002A2B7D">
      <w:pPr>
        <w:pStyle w:val="FootnoteText"/>
      </w:pPr>
      <w:r>
        <w:rPr>
          <w:rStyle w:val="FootnoteReference"/>
        </w:rPr>
        <w:footnoteRef/>
      </w:r>
      <w:r>
        <w:t xml:space="preserve"> 47 C.F.R. § 1.429(f).</w:t>
      </w:r>
    </w:p>
  </w:footnote>
  <w:footnote w:id="7">
    <w:p w14:paraId="6AE231A9" w14:textId="633CFE57" w:rsidR="002A2B7D" w:rsidRDefault="002A2B7D">
      <w:pPr>
        <w:pStyle w:val="FootnoteText"/>
      </w:pPr>
      <w:r>
        <w:rPr>
          <w:rStyle w:val="FootnoteReference"/>
        </w:rPr>
        <w:footnoteRef/>
      </w:r>
      <w:r>
        <w:t xml:space="preserve"> 47 C.F.R. § 1.106(g).</w:t>
      </w:r>
    </w:p>
  </w:footnote>
  <w:footnote w:id="8">
    <w:p w14:paraId="72C4C4EC" w14:textId="1BCE140F" w:rsidR="0048745A" w:rsidRDefault="0048745A">
      <w:pPr>
        <w:pStyle w:val="FootnoteText"/>
      </w:pPr>
      <w:r>
        <w:rPr>
          <w:rStyle w:val="FootnoteReference"/>
        </w:rPr>
        <w:footnoteRef/>
      </w:r>
      <w:r>
        <w:t xml:space="preserve"> </w:t>
      </w:r>
      <w:r w:rsidR="00C137EA">
        <w:t>Public Knowledge Motion</w:t>
      </w:r>
      <w:r>
        <w:t xml:space="preserve"> at 1-2.</w:t>
      </w:r>
    </w:p>
  </w:footnote>
  <w:footnote w:id="9">
    <w:p w14:paraId="4EEE5CD9" w14:textId="1001DC76" w:rsidR="00C137EA" w:rsidRPr="00C137EA" w:rsidRDefault="00C137EA">
      <w:pPr>
        <w:pStyle w:val="FootnoteText"/>
      </w:pPr>
      <w:r>
        <w:rPr>
          <w:rStyle w:val="FootnoteReference"/>
        </w:rPr>
        <w:footnoteRef/>
      </w:r>
      <w:r>
        <w:t xml:space="preserve"> </w:t>
      </w:r>
      <w:r>
        <w:rPr>
          <w:i/>
        </w:rPr>
        <w:t xml:space="preserve">Id. </w:t>
      </w:r>
      <w:r>
        <w:t>at 2.</w:t>
      </w:r>
    </w:p>
  </w:footnote>
  <w:footnote w:id="10">
    <w:p w14:paraId="7497D0AD" w14:textId="27EA5916" w:rsidR="00F046CB" w:rsidRPr="0048745A" w:rsidRDefault="00F046CB" w:rsidP="00F046CB">
      <w:pPr>
        <w:pStyle w:val="FootnoteText"/>
      </w:pPr>
      <w:r>
        <w:rPr>
          <w:rStyle w:val="FootnoteReference"/>
        </w:rPr>
        <w:footnoteRef/>
      </w:r>
      <w:r>
        <w:t xml:space="preserve"> </w:t>
      </w:r>
      <w:r>
        <w:rPr>
          <w:i/>
        </w:rPr>
        <w:t xml:space="preserve">See </w:t>
      </w:r>
      <w:r>
        <w:t>47 C.F.R. § 1.2(a) (“</w:t>
      </w:r>
      <w:r w:rsidRPr="0048745A">
        <w:t>The Commission may, in accordance with section 5(d) of the Administrative Procedure Act, on motion or on its own motion issue a declaratory ruling terminating a controversy or removing uncertainty.</w:t>
      </w:r>
      <w:r>
        <w:t>”).</w:t>
      </w:r>
      <w:r w:rsidR="00BF046F">
        <w:t xml:space="preserve">  </w:t>
      </w:r>
      <w:r w:rsidR="00BF046F">
        <w:rPr>
          <w:szCs w:val="22"/>
        </w:rPr>
        <w:t xml:space="preserve">The </w:t>
      </w:r>
      <w:r w:rsidR="00BF046F" w:rsidRPr="00904CBC">
        <w:rPr>
          <w:i/>
        </w:rPr>
        <w:t>Declaratory Ruling</w:t>
      </w:r>
      <w:r w:rsidR="00BF046F">
        <w:t xml:space="preserve"> specifically states that it serves to </w:t>
      </w:r>
      <w:r w:rsidR="00BF046F" w:rsidRPr="007A6FE3">
        <w:t>“terminat</w:t>
      </w:r>
      <w:r w:rsidR="00BF046F">
        <w:t>[e]</w:t>
      </w:r>
      <w:r w:rsidR="00BF046F" w:rsidRPr="007A6FE3">
        <w:t xml:space="preserve"> a controversy or remov</w:t>
      </w:r>
      <w:r w:rsidR="00BF046F">
        <w:t>[e] uncertainty</w:t>
      </w:r>
      <w:r w:rsidR="00BF046F" w:rsidRPr="007A6FE3">
        <w:t xml:space="preserve">” </w:t>
      </w:r>
      <w:r w:rsidR="00BF046F">
        <w:t>by “</w:t>
      </w:r>
      <w:r w:rsidR="00BF046F">
        <w:rPr>
          <w:szCs w:val="22"/>
        </w:rPr>
        <w:t>clarif[ying]</w:t>
      </w:r>
      <w:r w:rsidR="00BF046F" w:rsidRPr="002A2B7D">
        <w:rPr>
          <w:szCs w:val="22"/>
        </w:rPr>
        <w:t xml:space="preserve"> that the analysis under section 214 of whether a change constitutes a discontinuance, reduction, or impairment of</w:t>
      </w:r>
      <w:r w:rsidR="00BF046F">
        <w:rPr>
          <w:szCs w:val="22"/>
        </w:rPr>
        <w:t xml:space="preserve"> service is a functional test.”  </w:t>
      </w:r>
      <w:r w:rsidR="00BF046F">
        <w:rPr>
          <w:i/>
        </w:rPr>
        <w:t xml:space="preserve">Declaratory Ruling </w:t>
      </w:r>
      <w:r w:rsidR="00BF046F">
        <w:t>at para.</w:t>
      </w:r>
      <w:r w:rsidR="00C27D32">
        <w:t xml:space="preserve"> 114 (internal quotation marks removed</w:t>
      </w:r>
      <w:r w:rsidR="00BF046F">
        <w:t>).</w:t>
      </w:r>
    </w:p>
  </w:footnote>
  <w:footnote w:id="11">
    <w:p w14:paraId="1E2EFCB2" w14:textId="77777777" w:rsidR="00C807C8" w:rsidRDefault="00C807C8" w:rsidP="00C807C8">
      <w:pPr>
        <w:pStyle w:val="FootnoteText"/>
      </w:pPr>
      <w:r>
        <w:rPr>
          <w:rStyle w:val="FootnoteReference"/>
        </w:rPr>
        <w:footnoteRef/>
      </w:r>
      <w:r>
        <w:t xml:space="preserve"> </w:t>
      </w:r>
      <w:r w:rsidRPr="00745481">
        <w:t>47 C.F.R. § 1.46.</w:t>
      </w:r>
    </w:p>
  </w:footnote>
  <w:footnote w:id="12">
    <w:p w14:paraId="52B1D0C6" w14:textId="2F247509" w:rsidR="00C137EA" w:rsidRPr="00C137EA" w:rsidRDefault="00C137EA">
      <w:pPr>
        <w:pStyle w:val="FootnoteText"/>
      </w:pPr>
      <w:r>
        <w:rPr>
          <w:rStyle w:val="FootnoteReference"/>
        </w:rPr>
        <w:footnoteRef/>
      </w:r>
      <w:r>
        <w:t xml:space="preserve"> </w:t>
      </w:r>
      <w:r w:rsidR="00542382">
        <w:rPr>
          <w:i/>
        </w:rPr>
        <w:t>See</w:t>
      </w:r>
      <w:r w:rsidR="00756D37">
        <w:rPr>
          <w:i/>
        </w:rPr>
        <w:t xml:space="preserve"> </w:t>
      </w:r>
      <w:r>
        <w:t>Public Knowledge Motion at 3</w:t>
      </w:r>
      <w:r w:rsidR="00756D37">
        <w:t xml:space="preserve"> (stating that a brief delay is unlikely to harm any </w:t>
      </w:r>
      <w:r w:rsidR="00C27D32">
        <w:t xml:space="preserve">potentially </w:t>
      </w:r>
      <w:r w:rsidR="00756D37">
        <w:t>interested party)</w:t>
      </w:r>
      <w:r>
        <w:t>.</w:t>
      </w:r>
    </w:p>
  </w:footnote>
  <w:footnote w:id="13">
    <w:p w14:paraId="60037971" w14:textId="5B18AE9F" w:rsidR="00FE14E5" w:rsidRPr="00FE14E5" w:rsidRDefault="00FE14E5">
      <w:pPr>
        <w:pStyle w:val="FootnoteText"/>
      </w:pPr>
      <w:r>
        <w:rPr>
          <w:rStyle w:val="FootnoteReference"/>
        </w:rPr>
        <w:footnoteRef/>
      </w:r>
      <w:r>
        <w:t xml:space="preserve"> </w:t>
      </w:r>
      <w:r>
        <w:rPr>
          <w:i/>
        </w:rPr>
        <w:t xml:space="preserve">See </w:t>
      </w:r>
      <w:r>
        <w:t>47 C.F.R. § 1.106(</w:t>
      </w:r>
      <w:r w:rsidR="00C27D32">
        <w:t>h</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4FDAD" w14:textId="77777777" w:rsidR="002523C6" w:rsidRDefault="00252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2F483" w14:textId="139669D3" w:rsidR="00C63F4A" w:rsidRDefault="00C63F4A" w:rsidP="00C63F4A">
    <w:pPr>
      <w:pStyle w:val="Header"/>
      <w:rPr>
        <w:b w:val="0"/>
      </w:rPr>
    </w:pPr>
    <w:r w:rsidRPr="0037198E">
      <w:rPr>
        <w:noProof/>
        <w:snapToGrid/>
      </w:rPr>
      <mc:AlternateContent>
        <mc:Choice Requires="wps">
          <w:drawing>
            <wp:anchor distT="0" distB="0" distL="114300" distR="114300" simplePos="0" relativeHeight="251661312" behindDoc="1" locked="0" layoutInCell="0" allowOverlap="1" wp14:anchorId="366D32CF" wp14:editId="43CB32C2">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27304C">
      <w:rPr>
        <w:spacing w:val="-2"/>
      </w:rPr>
      <w:t>DA 14-</w:t>
    </w:r>
    <w:r w:rsidR="00A0296A">
      <w:rPr>
        <w:spacing w:val="-2"/>
      </w:rPr>
      <w:t>1903</w:t>
    </w:r>
  </w:p>
  <w:p w14:paraId="4585E12B" w14:textId="77777777" w:rsidR="00C63F4A" w:rsidRPr="00C63F4A" w:rsidRDefault="00C63F4A" w:rsidP="00C63F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ED2ED" w14:textId="73FCDF66" w:rsidR="00C63F4A" w:rsidRDefault="00C63F4A" w:rsidP="00C63F4A">
    <w:pPr>
      <w:pStyle w:val="Header"/>
      <w:rPr>
        <w:b w:val="0"/>
      </w:rPr>
    </w:pPr>
    <w:r w:rsidRPr="0037198E">
      <w:rPr>
        <w:noProof/>
        <w:snapToGrid/>
      </w:rPr>
      <mc:AlternateContent>
        <mc:Choice Requires="wps">
          <w:drawing>
            <wp:anchor distT="0" distB="0" distL="114300" distR="114300" simplePos="0" relativeHeight="251659264" behindDoc="1" locked="0" layoutInCell="0" allowOverlap="1" wp14:anchorId="01509E8A" wp14:editId="2E1E000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0027304C">
      <w:rPr>
        <w:spacing w:val="-2"/>
      </w:rPr>
      <w:t>DA 14-</w:t>
    </w:r>
    <w:r w:rsidR="00A0296A">
      <w:rPr>
        <w:spacing w:val="-2"/>
      </w:rPr>
      <w:t>1903</w:t>
    </w:r>
  </w:p>
  <w:p w14:paraId="571F3C6C" w14:textId="77777777" w:rsidR="00C63F4A" w:rsidRDefault="00C63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00D"/>
    <w:multiLevelType w:val="hybridMultilevel"/>
    <w:tmpl w:val="CA001C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70510D"/>
    <w:multiLevelType w:val="hybridMultilevel"/>
    <w:tmpl w:val="2DF68462"/>
    <w:lvl w:ilvl="0" w:tplc="398AB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5E69B7"/>
    <w:multiLevelType w:val="hybridMultilevel"/>
    <w:tmpl w:val="C5D4D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9D0755"/>
    <w:multiLevelType w:val="hybridMultilevel"/>
    <w:tmpl w:val="FB44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472646A3"/>
    <w:multiLevelType w:val="hybridMultilevel"/>
    <w:tmpl w:val="4EB4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534415"/>
    <w:multiLevelType w:val="hybridMultilevel"/>
    <w:tmpl w:val="5D646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5">
    <w:nsid w:val="65A366DA"/>
    <w:multiLevelType w:val="hybridMultilevel"/>
    <w:tmpl w:val="F98AE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16">
    <w:nsid w:val="74180A77"/>
    <w:multiLevelType w:val="hybridMultilevel"/>
    <w:tmpl w:val="6C683086"/>
    <w:lvl w:ilvl="0" w:tplc="2F8C687A">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4"/>
  </w:num>
  <w:num w:numId="2">
    <w:abstractNumId w:val="7"/>
  </w:num>
  <w:num w:numId="3">
    <w:abstractNumId w:val="10"/>
  </w:num>
  <w:num w:numId="4">
    <w:abstractNumId w:val="1"/>
  </w:num>
  <w:num w:numId="5">
    <w:abstractNumId w:val="17"/>
  </w:num>
  <w:num w:numId="6">
    <w:abstractNumId w:val="8"/>
  </w:num>
  <w:num w:numId="7">
    <w:abstractNumId w:val="15"/>
  </w:num>
  <w:num w:numId="8">
    <w:abstractNumId w:val="3"/>
  </w:num>
  <w:num w:numId="9">
    <w:abstractNumId w:val="0"/>
  </w:num>
  <w:num w:numId="10">
    <w:abstractNumId w:val="5"/>
  </w:num>
  <w:num w:numId="11">
    <w:abstractNumId w:val="12"/>
  </w:num>
  <w:num w:numId="12">
    <w:abstractNumId w:val="9"/>
  </w:num>
  <w:num w:numId="13">
    <w:abstractNumId w:val="14"/>
    <w:lvlOverride w:ilvl="0">
      <w:startOverride w:val="1"/>
    </w:lvlOverride>
  </w:num>
  <w:num w:numId="14">
    <w:abstractNumId w:val="14"/>
  </w:num>
  <w:num w:numId="15">
    <w:abstractNumId w:val="14"/>
  </w:num>
  <w:num w:numId="16">
    <w:abstractNumId w:val="4"/>
  </w:num>
  <w:num w:numId="17">
    <w:abstractNumId w:val="13"/>
  </w:num>
  <w:num w:numId="18">
    <w:abstractNumId w:val="6"/>
  </w:num>
  <w:num w:numId="19">
    <w:abstractNumId w:val="2"/>
  </w:num>
  <w:num w:numId="20">
    <w:abstractNumId w:val="14"/>
    <w:lvlOverride w:ilvl="0">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6"/>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4D"/>
    <w:rsid w:val="00000031"/>
    <w:rsid w:val="00001761"/>
    <w:rsid w:val="000041A8"/>
    <w:rsid w:val="00004F91"/>
    <w:rsid w:val="00005A0D"/>
    <w:rsid w:val="000079B5"/>
    <w:rsid w:val="00010808"/>
    <w:rsid w:val="000112E6"/>
    <w:rsid w:val="00013458"/>
    <w:rsid w:val="00013629"/>
    <w:rsid w:val="00014CF9"/>
    <w:rsid w:val="00014F46"/>
    <w:rsid w:val="000220D8"/>
    <w:rsid w:val="0002348C"/>
    <w:rsid w:val="00025814"/>
    <w:rsid w:val="000278B6"/>
    <w:rsid w:val="0003042C"/>
    <w:rsid w:val="00030A74"/>
    <w:rsid w:val="000350B7"/>
    <w:rsid w:val="00036039"/>
    <w:rsid w:val="00037285"/>
    <w:rsid w:val="00037E8D"/>
    <w:rsid w:val="00037F90"/>
    <w:rsid w:val="0004442C"/>
    <w:rsid w:val="000476F5"/>
    <w:rsid w:val="0005014C"/>
    <w:rsid w:val="0005106C"/>
    <w:rsid w:val="00052DC6"/>
    <w:rsid w:val="00057A77"/>
    <w:rsid w:val="0006028F"/>
    <w:rsid w:val="00060615"/>
    <w:rsid w:val="00060DBD"/>
    <w:rsid w:val="0006238F"/>
    <w:rsid w:val="00062CC4"/>
    <w:rsid w:val="00064D11"/>
    <w:rsid w:val="00067C82"/>
    <w:rsid w:val="00070AA5"/>
    <w:rsid w:val="00071118"/>
    <w:rsid w:val="00071468"/>
    <w:rsid w:val="00072B2F"/>
    <w:rsid w:val="00073F1D"/>
    <w:rsid w:val="000741A0"/>
    <w:rsid w:val="000754D5"/>
    <w:rsid w:val="000757D8"/>
    <w:rsid w:val="000811A5"/>
    <w:rsid w:val="00082852"/>
    <w:rsid w:val="00083949"/>
    <w:rsid w:val="00083EE7"/>
    <w:rsid w:val="00083F9D"/>
    <w:rsid w:val="00084E94"/>
    <w:rsid w:val="000875BF"/>
    <w:rsid w:val="00087864"/>
    <w:rsid w:val="0009028E"/>
    <w:rsid w:val="00090F89"/>
    <w:rsid w:val="000911C4"/>
    <w:rsid w:val="0009162F"/>
    <w:rsid w:val="000916E5"/>
    <w:rsid w:val="00092A0F"/>
    <w:rsid w:val="00094944"/>
    <w:rsid w:val="00095210"/>
    <w:rsid w:val="00095224"/>
    <w:rsid w:val="00095CCA"/>
    <w:rsid w:val="00095E25"/>
    <w:rsid w:val="00096D8C"/>
    <w:rsid w:val="00096E62"/>
    <w:rsid w:val="000A001A"/>
    <w:rsid w:val="000A0335"/>
    <w:rsid w:val="000A25C8"/>
    <w:rsid w:val="000A4539"/>
    <w:rsid w:val="000A4EA8"/>
    <w:rsid w:val="000A538C"/>
    <w:rsid w:val="000A71EE"/>
    <w:rsid w:val="000B09FC"/>
    <w:rsid w:val="000B1C12"/>
    <w:rsid w:val="000B2326"/>
    <w:rsid w:val="000B2C1C"/>
    <w:rsid w:val="000B41D4"/>
    <w:rsid w:val="000B43B2"/>
    <w:rsid w:val="000B4B11"/>
    <w:rsid w:val="000B6221"/>
    <w:rsid w:val="000B7DE1"/>
    <w:rsid w:val="000B7DFB"/>
    <w:rsid w:val="000C01ED"/>
    <w:rsid w:val="000C0B65"/>
    <w:rsid w:val="000C278C"/>
    <w:rsid w:val="000C3BB1"/>
    <w:rsid w:val="000C5C4F"/>
    <w:rsid w:val="000C638E"/>
    <w:rsid w:val="000C7BD7"/>
    <w:rsid w:val="000D041C"/>
    <w:rsid w:val="000D242D"/>
    <w:rsid w:val="000D37D0"/>
    <w:rsid w:val="000D3806"/>
    <w:rsid w:val="000D3CE5"/>
    <w:rsid w:val="000D3E2D"/>
    <w:rsid w:val="000D5FA5"/>
    <w:rsid w:val="000D69F8"/>
    <w:rsid w:val="000D6CC9"/>
    <w:rsid w:val="000E05FE"/>
    <w:rsid w:val="000E18CA"/>
    <w:rsid w:val="000E3628"/>
    <w:rsid w:val="000E38C3"/>
    <w:rsid w:val="000E3D42"/>
    <w:rsid w:val="000E59C3"/>
    <w:rsid w:val="000E5C11"/>
    <w:rsid w:val="000E694D"/>
    <w:rsid w:val="000F051F"/>
    <w:rsid w:val="000F097A"/>
    <w:rsid w:val="000F1F53"/>
    <w:rsid w:val="000F2B2A"/>
    <w:rsid w:val="000F5F55"/>
    <w:rsid w:val="000F62D1"/>
    <w:rsid w:val="000F6490"/>
    <w:rsid w:val="000F7684"/>
    <w:rsid w:val="001007D5"/>
    <w:rsid w:val="00100CC2"/>
    <w:rsid w:val="00101FB4"/>
    <w:rsid w:val="00103499"/>
    <w:rsid w:val="00104325"/>
    <w:rsid w:val="00104CF6"/>
    <w:rsid w:val="001053ED"/>
    <w:rsid w:val="00107031"/>
    <w:rsid w:val="001072E8"/>
    <w:rsid w:val="001109DF"/>
    <w:rsid w:val="00110E04"/>
    <w:rsid w:val="00111501"/>
    <w:rsid w:val="001131EF"/>
    <w:rsid w:val="001136B5"/>
    <w:rsid w:val="001144F6"/>
    <w:rsid w:val="0011462D"/>
    <w:rsid w:val="001152C0"/>
    <w:rsid w:val="00115C3B"/>
    <w:rsid w:val="00115E75"/>
    <w:rsid w:val="00116F5F"/>
    <w:rsid w:val="001174FA"/>
    <w:rsid w:val="00117FA6"/>
    <w:rsid w:val="001204F9"/>
    <w:rsid w:val="001218B0"/>
    <w:rsid w:val="00121F27"/>
    <w:rsid w:val="001224D3"/>
    <w:rsid w:val="00122BD5"/>
    <w:rsid w:val="00124351"/>
    <w:rsid w:val="00126608"/>
    <w:rsid w:val="00126A41"/>
    <w:rsid w:val="00126C7C"/>
    <w:rsid w:val="001271E7"/>
    <w:rsid w:val="00127588"/>
    <w:rsid w:val="001305BA"/>
    <w:rsid w:val="00130B17"/>
    <w:rsid w:val="00133F79"/>
    <w:rsid w:val="00135367"/>
    <w:rsid w:val="0014000F"/>
    <w:rsid w:val="001403AC"/>
    <w:rsid w:val="00140D02"/>
    <w:rsid w:val="0014122C"/>
    <w:rsid w:val="00141DF5"/>
    <w:rsid w:val="00141F3A"/>
    <w:rsid w:val="00143876"/>
    <w:rsid w:val="00145852"/>
    <w:rsid w:val="00145CB3"/>
    <w:rsid w:val="0014756E"/>
    <w:rsid w:val="0014785F"/>
    <w:rsid w:val="00147A1D"/>
    <w:rsid w:val="00147B60"/>
    <w:rsid w:val="00151782"/>
    <w:rsid w:val="00151B04"/>
    <w:rsid w:val="00152CB4"/>
    <w:rsid w:val="00154132"/>
    <w:rsid w:val="001548A2"/>
    <w:rsid w:val="0015564F"/>
    <w:rsid w:val="001568BF"/>
    <w:rsid w:val="00160D94"/>
    <w:rsid w:val="001646EB"/>
    <w:rsid w:val="00164F0B"/>
    <w:rsid w:val="001655F8"/>
    <w:rsid w:val="00165E9F"/>
    <w:rsid w:val="00166577"/>
    <w:rsid w:val="00171502"/>
    <w:rsid w:val="00171A8B"/>
    <w:rsid w:val="001720C9"/>
    <w:rsid w:val="001739B3"/>
    <w:rsid w:val="0017478D"/>
    <w:rsid w:val="001768E4"/>
    <w:rsid w:val="00177006"/>
    <w:rsid w:val="00180A3E"/>
    <w:rsid w:val="00180C6D"/>
    <w:rsid w:val="00180E76"/>
    <w:rsid w:val="00181423"/>
    <w:rsid w:val="00182B8C"/>
    <w:rsid w:val="00183FFC"/>
    <w:rsid w:val="001860E1"/>
    <w:rsid w:val="0018680E"/>
    <w:rsid w:val="00186819"/>
    <w:rsid w:val="001869D9"/>
    <w:rsid w:val="00187764"/>
    <w:rsid w:val="00190DE2"/>
    <w:rsid w:val="0019468E"/>
    <w:rsid w:val="00194A66"/>
    <w:rsid w:val="00195565"/>
    <w:rsid w:val="001A13F8"/>
    <w:rsid w:val="001A18ED"/>
    <w:rsid w:val="001A2AAB"/>
    <w:rsid w:val="001A6021"/>
    <w:rsid w:val="001A69D2"/>
    <w:rsid w:val="001A6BDA"/>
    <w:rsid w:val="001B008A"/>
    <w:rsid w:val="001B224C"/>
    <w:rsid w:val="001B2961"/>
    <w:rsid w:val="001B3A63"/>
    <w:rsid w:val="001B4D98"/>
    <w:rsid w:val="001C1370"/>
    <w:rsid w:val="001C30D1"/>
    <w:rsid w:val="001C37E5"/>
    <w:rsid w:val="001C44EA"/>
    <w:rsid w:val="001C4516"/>
    <w:rsid w:val="001C6CE2"/>
    <w:rsid w:val="001D04F3"/>
    <w:rsid w:val="001D057A"/>
    <w:rsid w:val="001D14A2"/>
    <w:rsid w:val="001D2B95"/>
    <w:rsid w:val="001D329C"/>
    <w:rsid w:val="001D3D93"/>
    <w:rsid w:val="001D548E"/>
    <w:rsid w:val="001D56FE"/>
    <w:rsid w:val="001D696D"/>
    <w:rsid w:val="001D6BCF"/>
    <w:rsid w:val="001D72D4"/>
    <w:rsid w:val="001E01CA"/>
    <w:rsid w:val="001E0F54"/>
    <w:rsid w:val="001E1581"/>
    <w:rsid w:val="001E21B1"/>
    <w:rsid w:val="001E29AF"/>
    <w:rsid w:val="001E46B9"/>
    <w:rsid w:val="001E6C4D"/>
    <w:rsid w:val="001E7235"/>
    <w:rsid w:val="001E7516"/>
    <w:rsid w:val="001E7673"/>
    <w:rsid w:val="001F0A2B"/>
    <w:rsid w:val="001F343E"/>
    <w:rsid w:val="001F43C1"/>
    <w:rsid w:val="001F4F91"/>
    <w:rsid w:val="001F531A"/>
    <w:rsid w:val="001F57D8"/>
    <w:rsid w:val="00200263"/>
    <w:rsid w:val="002003E5"/>
    <w:rsid w:val="00201B5E"/>
    <w:rsid w:val="00203C1F"/>
    <w:rsid w:val="00204970"/>
    <w:rsid w:val="00204A67"/>
    <w:rsid w:val="0020559A"/>
    <w:rsid w:val="002063DD"/>
    <w:rsid w:val="00207014"/>
    <w:rsid w:val="00207435"/>
    <w:rsid w:val="00210223"/>
    <w:rsid w:val="00211170"/>
    <w:rsid w:val="00211BF4"/>
    <w:rsid w:val="0021285E"/>
    <w:rsid w:val="00213E8A"/>
    <w:rsid w:val="0021586C"/>
    <w:rsid w:val="00215FDC"/>
    <w:rsid w:val="002164B5"/>
    <w:rsid w:val="00217CD1"/>
    <w:rsid w:val="0022056F"/>
    <w:rsid w:val="002219F6"/>
    <w:rsid w:val="002222A0"/>
    <w:rsid w:val="0022267A"/>
    <w:rsid w:val="00223E29"/>
    <w:rsid w:val="002247AC"/>
    <w:rsid w:val="002257AF"/>
    <w:rsid w:val="00226137"/>
    <w:rsid w:val="002268FB"/>
    <w:rsid w:val="00226E63"/>
    <w:rsid w:val="00227574"/>
    <w:rsid w:val="00227A2F"/>
    <w:rsid w:val="00227E05"/>
    <w:rsid w:val="00227F28"/>
    <w:rsid w:val="00227F36"/>
    <w:rsid w:val="0023005F"/>
    <w:rsid w:val="00233B4F"/>
    <w:rsid w:val="00234F6A"/>
    <w:rsid w:val="00236187"/>
    <w:rsid w:val="00236562"/>
    <w:rsid w:val="002374CC"/>
    <w:rsid w:val="00241191"/>
    <w:rsid w:val="002427ED"/>
    <w:rsid w:val="002445BA"/>
    <w:rsid w:val="00247CD2"/>
    <w:rsid w:val="00250220"/>
    <w:rsid w:val="00251E33"/>
    <w:rsid w:val="002523C6"/>
    <w:rsid w:val="00252D92"/>
    <w:rsid w:val="00254F75"/>
    <w:rsid w:val="002563CA"/>
    <w:rsid w:val="0025694C"/>
    <w:rsid w:val="00257014"/>
    <w:rsid w:val="00257CBB"/>
    <w:rsid w:val="002606FC"/>
    <w:rsid w:val="00263E1E"/>
    <w:rsid w:val="0026452E"/>
    <w:rsid w:val="00264557"/>
    <w:rsid w:val="00265F4D"/>
    <w:rsid w:val="00266146"/>
    <w:rsid w:val="00266592"/>
    <w:rsid w:val="00266D7E"/>
    <w:rsid w:val="0026773E"/>
    <w:rsid w:val="00270532"/>
    <w:rsid w:val="00272C87"/>
    <w:rsid w:val="0027304C"/>
    <w:rsid w:val="00274D22"/>
    <w:rsid w:val="00274FEA"/>
    <w:rsid w:val="002756A0"/>
    <w:rsid w:val="00275CF5"/>
    <w:rsid w:val="0027628C"/>
    <w:rsid w:val="002768B5"/>
    <w:rsid w:val="00277058"/>
    <w:rsid w:val="0027721D"/>
    <w:rsid w:val="0027788F"/>
    <w:rsid w:val="00277B0B"/>
    <w:rsid w:val="002808D4"/>
    <w:rsid w:val="00280EA9"/>
    <w:rsid w:val="002823C0"/>
    <w:rsid w:val="00282E2A"/>
    <w:rsid w:val="0028301F"/>
    <w:rsid w:val="00285017"/>
    <w:rsid w:val="00285DA1"/>
    <w:rsid w:val="0028695E"/>
    <w:rsid w:val="0028793B"/>
    <w:rsid w:val="00290204"/>
    <w:rsid w:val="00290C7E"/>
    <w:rsid w:val="00290CB7"/>
    <w:rsid w:val="00291AA4"/>
    <w:rsid w:val="00292FED"/>
    <w:rsid w:val="00293120"/>
    <w:rsid w:val="002953F1"/>
    <w:rsid w:val="00295705"/>
    <w:rsid w:val="002A2230"/>
    <w:rsid w:val="002A2389"/>
    <w:rsid w:val="002A251A"/>
    <w:rsid w:val="002A2784"/>
    <w:rsid w:val="002A2B7D"/>
    <w:rsid w:val="002A2D2E"/>
    <w:rsid w:val="002A37EE"/>
    <w:rsid w:val="002A37F0"/>
    <w:rsid w:val="002A3EDF"/>
    <w:rsid w:val="002A416E"/>
    <w:rsid w:val="002A50F6"/>
    <w:rsid w:val="002A5996"/>
    <w:rsid w:val="002A5D22"/>
    <w:rsid w:val="002A606D"/>
    <w:rsid w:val="002A6664"/>
    <w:rsid w:val="002A6AB6"/>
    <w:rsid w:val="002A779E"/>
    <w:rsid w:val="002B2EF7"/>
    <w:rsid w:val="002B33AF"/>
    <w:rsid w:val="002B39E9"/>
    <w:rsid w:val="002B3CA9"/>
    <w:rsid w:val="002B441D"/>
    <w:rsid w:val="002B4437"/>
    <w:rsid w:val="002B7524"/>
    <w:rsid w:val="002C00E8"/>
    <w:rsid w:val="002C08E5"/>
    <w:rsid w:val="002C2152"/>
    <w:rsid w:val="002C2B26"/>
    <w:rsid w:val="002C2B5A"/>
    <w:rsid w:val="002C2E3B"/>
    <w:rsid w:val="002C3428"/>
    <w:rsid w:val="002C5BE2"/>
    <w:rsid w:val="002C71EF"/>
    <w:rsid w:val="002D2E7C"/>
    <w:rsid w:val="002D3725"/>
    <w:rsid w:val="002D3CBA"/>
    <w:rsid w:val="002D41D1"/>
    <w:rsid w:val="002D6025"/>
    <w:rsid w:val="002D67BA"/>
    <w:rsid w:val="002D68CF"/>
    <w:rsid w:val="002D6DB2"/>
    <w:rsid w:val="002E13BB"/>
    <w:rsid w:val="002E17BB"/>
    <w:rsid w:val="002E2055"/>
    <w:rsid w:val="002E517D"/>
    <w:rsid w:val="002F02F1"/>
    <w:rsid w:val="002F0C5B"/>
    <w:rsid w:val="002F0E91"/>
    <w:rsid w:val="002F139C"/>
    <w:rsid w:val="002F29BD"/>
    <w:rsid w:val="002F45D9"/>
    <w:rsid w:val="002F4994"/>
    <w:rsid w:val="002F6F5A"/>
    <w:rsid w:val="002F7418"/>
    <w:rsid w:val="00300520"/>
    <w:rsid w:val="00300637"/>
    <w:rsid w:val="0030078A"/>
    <w:rsid w:val="00302FC6"/>
    <w:rsid w:val="00303DF0"/>
    <w:rsid w:val="00304615"/>
    <w:rsid w:val="0030468F"/>
    <w:rsid w:val="00306452"/>
    <w:rsid w:val="00306676"/>
    <w:rsid w:val="00307C0A"/>
    <w:rsid w:val="003111B5"/>
    <w:rsid w:val="00312391"/>
    <w:rsid w:val="00312FEC"/>
    <w:rsid w:val="003137F7"/>
    <w:rsid w:val="00315147"/>
    <w:rsid w:val="00316F62"/>
    <w:rsid w:val="003200B7"/>
    <w:rsid w:val="0032044C"/>
    <w:rsid w:val="00321D16"/>
    <w:rsid w:val="003221AD"/>
    <w:rsid w:val="00323482"/>
    <w:rsid w:val="003235F8"/>
    <w:rsid w:val="0032548A"/>
    <w:rsid w:val="00327DFB"/>
    <w:rsid w:val="00327E33"/>
    <w:rsid w:val="00330B09"/>
    <w:rsid w:val="00331472"/>
    <w:rsid w:val="0033179C"/>
    <w:rsid w:val="003320B5"/>
    <w:rsid w:val="00334A45"/>
    <w:rsid w:val="00336163"/>
    <w:rsid w:val="00337183"/>
    <w:rsid w:val="003403A1"/>
    <w:rsid w:val="00341346"/>
    <w:rsid w:val="00342DC0"/>
    <w:rsid w:val="00342FAA"/>
    <w:rsid w:val="00343247"/>
    <w:rsid w:val="0034327B"/>
    <w:rsid w:val="0034343D"/>
    <w:rsid w:val="00343749"/>
    <w:rsid w:val="00344473"/>
    <w:rsid w:val="00344502"/>
    <w:rsid w:val="003454AF"/>
    <w:rsid w:val="00345986"/>
    <w:rsid w:val="00347C64"/>
    <w:rsid w:val="00351DCD"/>
    <w:rsid w:val="00353C01"/>
    <w:rsid w:val="00354F74"/>
    <w:rsid w:val="00355747"/>
    <w:rsid w:val="00355762"/>
    <w:rsid w:val="00361F80"/>
    <w:rsid w:val="003620B7"/>
    <w:rsid w:val="00362A9C"/>
    <w:rsid w:val="003648D3"/>
    <w:rsid w:val="003660ED"/>
    <w:rsid w:val="00370442"/>
    <w:rsid w:val="0037198E"/>
    <w:rsid w:val="00372077"/>
    <w:rsid w:val="00373D4D"/>
    <w:rsid w:val="0037552B"/>
    <w:rsid w:val="003758BC"/>
    <w:rsid w:val="00375FFD"/>
    <w:rsid w:val="003765D3"/>
    <w:rsid w:val="00376F9D"/>
    <w:rsid w:val="00377736"/>
    <w:rsid w:val="0037795B"/>
    <w:rsid w:val="00380801"/>
    <w:rsid w:val="0038375E"/>
    <w:rsid w:val="0038650C"/>
    <w:rsid w:val="003912B5"/>
    <w:rsid w:val="00391B36"/>
    <w:rsid w:val="00392B5F"/>
    <w:rsid w:val="003942A4"/>
    <w:rsid w:val="003953C4"/>
    <w:rsid w:val="00395448"/>
    <w:rsid w:val="003958CD"/>
    <w:rsid w:val="0039604E"/>
    <w:rsid w:val="00396F84"/>
    <w:rsid w:val="003A1D4A"/>
    <w:rsid w:val="003A2194"/>
    <w:rsid w:val="003A2CB8"/>
    <w:rsid w:val="003A5297"/>
    <w:rsid w:val="003A6213"/>
    <w:rsid w:val="003B0100"/>
    <w:rsid w:val="003B0550"/>
    <w:rsid w:val="003B0A66"/>
    <w:rsid w:val="003B0CB3"/>
    <w:rsid w:val="003B1171"/>
    <w:rsid w:val="003B5F9D"/>
    <w:rsid w:val="003B694F"/>
    <w:rsid w:val="003B7D45"/>
    <w:rsid w:val="003C10B7"/>
    <w:rsid w:val="003C1C12"/>
    <w:rsid w:val="003C2A4F"/>
    <w:rsid w:val="003C3805"/>
    <w:rsid w:val="003C3B26"/>
    <w:rsid w:val="003C3FDC"/>
    <w:rsid w:val="003C4591"/>
    <w:rsid w:val="003C4862"/>
    <w:rsid w:val="003C4C1C"/>
    <w:rsid w:val="003C57C5"/>
    <w:rsid w:val="003C5A82"/>
    <w:rsid w:val="003C63E5"/>
    <w:rsid w:val="003C6419"/>
    <w:rsid w:val="003C6447"/>
    <w:rsid w:val="003C648D"/>
    <w:rsid w:val="003D40FD"/>
    <w:rsid w:val="003D4100"/>
    <w:rsid w:val="003D4472"/>
    <w:rsid w:val="003D485F"/>
    <w:rsid w:val="003D59AE"/>
    <w:rsid w:val="003E0058"/>
    <w:rsid w:val="003E0B1E"/>
    <w:rsid w:val="003E2C48"/>
    <w:rsid w:val="003E3E66"/>
    <w:rsid w:val="003E4E6B"/>
    <w:rsid w:val="003E57E5"/>
    <w:rsid w:val="003E6258"/>
    <w:rsid w:val="003E655B"/>
    <w:rsid w:val="003F00DE"/>
    <w:rsid w:val="003F010E"/>
    <w:rsid w:val="003F0B54"/>
    <w:rsid w:val="003F0C6C"/>
    <w:rsid w:val="003F0F7D"/>
    <w:rsid w:val="003F11C6"/>
    <w:rsid w:val="003F171C"/>
    <w:rsid w:val="003F1E5A"/>
    <w:rsid w:val="003F27D4"/>
    <w:rsid w:val="003F2E50"/>
    <w:rsid w:val="003F37AE"/>
    <w:rsid w:val="003F4119"/>
    <w:rsid w:val="003F77D7"/>
    <w:rsid w:val="0040000E"/>
    <w:rsid w:val="004000C4"/>
    <w:rsid w:val="00400695"/>
    <w:rsid w:val="00400A4E"/>
    <w:rsid w:val="004011BC"/>
    <w:rsid w:val="00402717"/>
    <w:rsid w:val="00404FA0"/>
    <w:rsid w:val="00405181"/>
    <w:rsid w:val="004053BE"/>
    <w:rsid w:val="0040756D"/>
    <w:rsid w:val="00410AC2"/>
    <w:rsid w:val="004120A2"/>
    <w:rsid w:val="004123CD"/>
    <w:rsid w:val="00412FC5"/>
    <w:rsid w:val="00413D0E"/>
    <w:rsid w:val="004154DB"/>
    <w:rsid w:val="00416AE1"/>
    <w:rsid w:val="00422276"/>
    <w:rsid w:val="004242F1"/>
    <w:rsid w:val="00424AAE"/>
    <w:rsid w:val="00425128"/>
    <w:rsid w:val="00425D1C"/>
    <w:rsid w:val="00427D0F"/>
    <w:rsid w:val="00427E17"/>
    <w:rsid w:val="00427FAA"/>
    <w:rsid w:val="0043069E"/>
    <w:rsid w:val="00431A34"/>
    <w:rsid w:val="004330C7"/>
    <w:rsid w:val="0043381B"/>
    <w:rsid w:val="004347F0"/>
    <w:rsid w:val="00434DE8"/>
    <w:rsid w:val="00435805"/>
    <w:rsid w:val="00435B09"/>
    <w:rsid w:val="00436C14"/>
    <w:rsid w:val="004370E9"/>
    <w:rsid w:val="004373F7"/>
    <w:rsid w:val="00437895"/>
    <w:rsid w:val="00440567"/>
    <w:rsid w:val="00441CC4"/>
    <w:rsid w:val="00441F0F"/>
    <w:rsid w:val="00441FFB"/>
    <w:rsid w:val="00442CC0"/>
    <w:rsid w:val="004434F8"/>
    <w:rsid w:val="00444C5F"/>
    <w:rsid w:val="00445619"/>
    <w:rsid w:val="00445A00"/>
    <w:rsid w:val="0044637A"/>
    <w:rsid w:val="0044637E"/>
    <w:rsid w:val="004466A5"/>
    <w:rsid w:val="00447550"/>
    <w:rsid w:val="004477AF"/>
    <w:rsid w:val="00450222"/>
    <w:rsid w:val="00450502"/>
    <w:rsid w:val="00451B0F"/>
    <w:rsid w:val="004549DF"/>
    <w:rsid w:val="00455781"/>
    <w:rsid w:val="00457D8F"/>
    <w:rsid w:val="004605C0"/>
    <w:rsid w:val="00462357"/>
    <w:rsid w:val="00462725"/>
    <w:rsid w:val="00465E3E"/>
    <w:rsid w:val="00465F9A"/>
    <w:rsid w:val="00470608"/>
    <w:rsid w:val="00470C50"/>
    <w:rsid w:val="00471715"/>
    <w:rsid w:val="00473114"/>
    <w:rsid w:val="0047457E"/>
    <w:rsid w:val="004747B6"/>
    <w:rsid w:val="004748BE"/>
    <w:rsid w:val="004750A1"/>
    <w:rsid w:val="004751CC"/>
    <w:rsid w:val="004753CE"/>
    <w:rsid w:val="00477699"/>
    <w:rsid w:val="00477769"/>
    <w:rsid w:val="0047791F"/>
    <w:rsid w:val="00480F79"/>
    <w:rsid w:val="00481A1A"/>
    <w:rsid w:val="00481A22"/>
    <w:rsid w:val="004823CC"/>
    <w:rsid w:val="0048281A"/>
    <w:rsid w:val="00485747"/>
    <w:rsid w:val="004873E2"/>
    <w:rsid w:val="0048745A"/>
    <w:rsid w:val="00491452"/>
    <w:rsid w:val="00491554"/>
    <w:rsid w:val="004924F2"/>
    <w:rsid w:val="004927D9"/>
    <w:rsid w:val="0049291D"/>
    <w:rsid w:val="00496132"/>
    <w:rsid w:val="004A2A64"/>
    <w:rsid w:val="004A2C6A"/>
    <w:rsid w:val="004A32E6"/>
    <w:rsid w:val="004A4668"/>
    <w:rsid w:val="004B239E"/>
    <w:rsid w:val="004B248A"/>
    <w:rsid w:val="004B2C7B"/>
    <w:rsid w:val="004B491C"/>
    <w:rsid w:val="004B4AF8"/>
    <w:rsid w:val="004B5560"/>
    <w:rsid w:val="004B5F0A"/>
    <w:rsid w:val="004B5FC9"/>
    <w:rsid w:val="004B688F"/>
    <w:rsid w:val="004C0BD6"/>
    <w:rsid w:val="004C2EE3"/>
    <w:rsid w:val="004C55B8"/>
    <w:rsid w:val="004C7371"/>
    <w:rsid w:val="004C7599"/>
    <w:rsid w:val="004D0CEA"/>
    <w:rsid w:val="004D31F0"/>
    <w:rsid w:val="004D32B0"/>
    <w:rsid w:val="004D3686"/>
    <w:rsid w:val="004D4278"/>
    <w:rsid w:val="004D6711"/>
    <w:rsid w:val="004D694B"/>
    <w:rsid w:val="004D7A11"/>
    <w:rsid w:val="004D7FF1"/>
    <w:rsid w:val="004E0884"/>
    <w:rsid w:val="004E0ADB"/>
    <w:rsid w:val="004E1A84"/>
    <w:rsid w:val="004E1E40"/>
    <w:rsid w:val="004E317D"/>
    <w:rsid w:val="004E33A2"/>
    <w:rsid w:val="004E3468"/>
    <w:rsid w:val="004E4A22"/>
    <w:rsid w:val="004E6BBF"/>
    <w:rsid w:val="004F3F1C"/>
    <w:rsid w:val="004F48D7"/>
    <w:rsid w:val="004F4BB2"/>
    <w:rsid w:val="004F67FF"/>
    <w:rsid w:val="004F79FF"/>
    <w:rsid w:val="004F7B28"/>
    <w:rsid w:val="00500AE2"/>
    <w:rsid w:val="00500F1E"/>
    <w:rsid w:val="005016BF"/>
    <w:rsid w:val="0050274C"/>
    <w:rsid w:val="00502EB6"/>
    <w:rsid w:val="00504255"/>
    <w:rsid w:val="00506739"/>
    <w:rsid w:val="005074DD"/>
    <w:rsid w:val="00510AAF"/>
    <w:rsid w:val="00510B96"/>
    <w:rsid w:val="00510CE8"/>
    <w:rsid w:val="00511968"/>
    <w:rsid w:val="0051219F"/>
    <w:rsid w:val="0051220B"/>
    <w:rsid w:val="0051224A"/>
    <w:rsid w:val="00512EF6"/>
    <w:rsid w:val="0051312A"/>
    <w:rsid w:val="00513B61"/>
    <w:rsid w:val="005146C4"/>
    <w:rsid w:val="00514BD4"/>
    <w:rsid w:val="00515700"/>
    <w:rsid w:val="005161D6"/>
    <w:rsid w:val="00517994"/>
    <w:rsid w:val="0052088A"/>
    <w:rsid w:val="0052276A"/>
    <w:rsid w:val="00522DAD"/>
    <w:rsid w:val="005233B6"/>
    <w:rsid w:val="00525608"/>
    <w:rsid w:val="0052789E"/>
    <w:rsid w:val="00527CEA"/>
    <w:rsid w:val="00530C3C"/>
    <w:rsid w:val="005313CA"/>
    <w:rsid w:val="005316DF"/>
    <w:rsid w:val="0053266D"/>
    <w:rsid w:val="00534849"/>
    <w:rsid w:val="00535263"/>
    <w:rsid w:val="00535CEE"/>
    <w:rsid w:val="005363A8"/>
    <w:rsid w:val="005372D8"/>
    <w:rsid w:val="00540923"/>
    <w:rsid w:val="00542382"/>
    <w:rsid w:val="0054399A"/>
    <w:rsid w:val="0054412C"/>
    <w:rsid w:val="0054526A"/>
    <w:rsid w:val="005473E8"/>
    <w:rsid w:val="00555F62"/>
    <w:rsid w:val="0055614C"/>
    <w:rsid w:val="00556C29"/>
    <w:rsid w:val="00556DD5"/>
    <w:rsid w:val="00556F82"/>
    <w:rsid w:val="00557578"/>
    <w:rsid w:val="00557AC0"/>
    <w:rsid w:val="005609C8"/>
    <w:rsid w:val="00560E2A"/>
    <w:rsid w:val="00561C21"/>
    <w:rsid w:val="00562F92"/>
    <w:rsid w:val="00563448"/>
    <w:rsid w:val="005655A5"/>
    <w:rsid w:val="00566068"/>
    <w:rsid w:val="005660E6"/>
    <w:rsid w:val="005668A2"/>
    <w:rsid w:val="005676AC"/>
    <w:rsid w:val="00571233"/>
    <w:rsid w:val="00571B0A"/>
    <w:rsid w:val="005730F1"/>
    <w:rsid w:val="00573D30"/>
    <w:rsid w:val="005744AD"/>
    <w:rsid w:val="005750F1"/>
    <w:rsid w:val="0057510C"/>
    <w:rsid w:val="005758EA"/>
    <w:rsid w:val="00575CAD"/>
    <w:rsid w:val="0057774B"/>
    <w:rsid w:val="00581072"/>
    <w:rsid w:val="0058184F"/>
    <w:rsid w:val="00581A19"/>
    <w:rsid w:val="0058226E"/>
    <w:rsid w:val="00582BAC"/>
    <w:rsid w:val="00583FC2"/>
    <w:rsid w:val="00584122"/>
    <w:rsid w:val="00584E2B"/>
    <w:rsid w:val="00585420"/>
    <w:rsid w:val="0058543C"/>
    <w:rsid w:val="00585B1F"/>
    <w:rsid w:val="0058609D"/>
    <w:rsid w:val="0058797B"/>
    <w:rsid w:val="005916B4"/>
    <w:rsid w:val="00593D37"/>
    <w:rsid w:val="00593E29"/>
    <w:rsid w:val="00594B55"/>
    <w:rsid w:val="00596B0B"/>
    <w:rsid w:val="00596B55"/>
    <w:rsid w:val="00597027"/>
    <w:rsid w:val="00597B01"/>
    <w:rsid w:val="00597F89"/>
    <w:rsid w:val="005A069A"/>
    <w:rsid w:val="005A0D0A"/>
    <w:rsid w:val="005A432C"/>
    <w:rsid w:val="005A507A"/>
    <w:rsid w:val="005A6792"/>
    <w:rsid w:val="005B0181"/>
    <w:rsid w:val="005B09B6"/>
    <w:rsid w:val="005B0B53"/>
    <w:rsid w:val="005B3198"/>
    <w:rsid w:val="005B3CC5"/>
    <w:rsid w:val="005B3CF0"/>
    <w:rsid w:val="005B3F18"/>
    <w:rsid w:val="005B45EA"/>
    <w:rsid w:val="005B4A0A"/>
    <w:rsid w:val="005B4B04"/>
    <w:rsid w:val="005B6447"/>
    <w:rsid w:val="005B725C"/>
    <w:rsid w:val="005B7296"/>
    <w:rsid w:val="005B79EF"/>
    <w:rsid w:val="005B7C38"/>
    <w:rsid w:val="005C00FF"/>
    <w:rsid w:val="005C1CA8"/>
    <w:rsid w:val="005C4187"/>
    <w:rsid w:val="005D03EA"/>
    <w:rsid w:val="005D7A03"/>
    <w:rsid w:val="005D7EB0"/>
    <w:rsid w:val="005D7F88"/>
    <w:rsid w:val="005E01F6"/>
    <w:rsid w:val="005E0D78"/>
    <w:rsid w:val="005E12D3"/>
    <w:rsid w:val="005E14C2"/>
    <w:rsid w:val="005E324F"/>
    <w:rsid w:val="005E477F"/>
    <w:rsid w:val="005E4A19"/>
    <w:rsid w:val="005E61F6"/>
    <w:rsid w:val="005E6395"/>
    <w:rsid w:val="005E656E"/>
    <w:rsid w:val="005E74B4"/>
    <w:rsid w:val="005F029B"/>
    <w:rsid w:val="005F1A40"/>
    <w:rsid w:val="005F3BA0"/>
    <w:rsid w:val="005F4565"/>
    <w:rsid w:val="005F4E27"/>
    <w:rsid w:val="005F533B"/>
    <w:rsid w:val="005F5F17"/>
    <w:rsid w:val="005F67CF"/>
    <w:rsid w:val="005F6919"/>
    <w:rsid w:val="005F71E8"/>
    <w:rsid w:val="00600044"/>
    <w:rsid w:val="00601847"/>
    <w:rsid w:val="00603415"/>
    <w:rsid w:val="006048A8"/>
    <w:rsid w:val="006052B3"/>
    <w:rsid w:val="00606935"/>
    <w:rsid w:val="006069BA"/>
    <w:rsid w:val="00606F48"/>
    <w:rsid w:val="00607431"/>
    <w:rsid w:val="00607BA5"/>
    <w:rsid w:val="00607C18"/>
    <w:rsid w:val="00607E7F"/>
    <w:rsid w:val="006104EF"/>
    <w:rsid w:val="00610739"/>
    <w:rsid w:val="0061180A"/>
    <w:rsid w:val="00611AF6"/>
    <w:rsid w:val="00612C28"/>
    <w:rsid w:val="006132EE"/>
    <w:rsid w:val="006139EC"/>
    <w:rsid w:val="006144AF"/>
    <w:rsid w:val="006162E0"/>
    <w:rsid w:val="006165D5"/>
    <w:rsid w:val="0061791E"/>
    <w:rsid w:val="00620B8A"/>
    <w:rsid w:val="0062151F"/>
    <w:rsid w:val="006221FB"/>
    <w:rsid w:val="0062240E"/>
    <w:rsid w:val="006250E3"/>
    <w:rsid w:val="00626EB6"/>
    <w:rsid w:val="00630B69"/>
    <w:rsid w:val="00630DEC"/>
    <w:rsid w:val="00633FB5"/>
    <w:rsid w:val="00634AB5"/>
    <w:rsid w:val="006364D7"/>
    <w:rsid w:val="0063712D"/>
    <w:rsid w:val="006373A0"/>
    <w:rsid w:val="006375C2"/>
    <w:rsid w:val="00640252"/>
    <w:rsid w:val="006410AF"/>
    <w:rsid w:val="0064126F"/>
    <w:rsid w:val="006433DD"/>
    <w:rsid w:val="00644CB2"/>
    <w:rsid w:val="0064506B"/>
    <w:rsid w:val="00645507"/>
    <w:rsid w:val="00645957"/>
    <w:rsid w:val="00645B87"/>
    <w:rsid w:val="00645F21"/>
    <w:rsid w:val="00646342"/>
    <w:rsid w:val="00652142"/>
    <w:rsid w:val="00655987"/>
    <w:rsid w:val="00655D03"/>
    <w:rsid w:val="0065625F"/>
    <w:rsid w:val="0066142C"/>
    <w:rsid w:val="00662B78"/>
    <w:rsid w:val="00662CA0"/>
    <w:rsid w:val="00662FAB"/>
    <w:rsid w:val="00663334"/>
    <w:rsid w:val="006635E0"/>
    <w:rsid w:val="00670301"/>
    <w:rsid w:val="006704E2"/>
    <w:rsid w:val="0067072D"/>
    <w:rsid w:val="00671C0B"/>
    <w:rsid w:val="00671FD3"/>
    <w:rsid w:val="0067271E"/>
    <w:rsid w:val="006751A7"/>
    <w:rsid w:val="006751D7"/>
    <w:rsid w:val="006751E9"/>
    <w:rsid w:val="006757DA"/>
    <w:rsid w:val="00676401"/>
    <w:rsid w:val="00676AC6"/>
    <w:rsid w:val="00682F57"/>
    <w:rsid w:val="0068305D"/>
    <w:rsid w:val="00683388"/>
    <w:rsid w:val="00683702"/>
    <w:rsid w:val="00683A4F"/>
    <w:rsid w:val="00683F84"/>
    <w:rsid w:val="00684DB4"/>
    <w:rsid w:val="00685370"/>
    <w:rsid w:val="00690CF6"/>
    <w:rsid w:val="0069271B"/>
    <w:rsid w:val="00692CA9"/>
    <w:rsid w:val="00693DA9"/>
    <w:rsid w:val="006943A1"/>
    <w:rsid w:val="0069483B"/>
    <w:rsid w:val="00695850"/>
    <w:rsid w:val="006A0F52"/>
    <w:rsid w:val="006A259D"/>
    <w:rsid w:val="006A2A5D"/>
    <w:rsid w:val="006A3D4F"/>
    <w:rsid w:val="006A42B6"/>
    <w:rsid w:val="006A5C61"/>
    <w:rsid w:val="006A64EE"/>
    <w:rsid w:val="006A6A81"/>
    <w:rsid w:val="006A6CB5"/>
    <w:rsid w:val="006A6CCD"/>
    <w:rsid w:val="006B16FA"/>
    <w:rsid w:val="006B215A"/>
    <w:rsid w:val="006B419E"/>
    <w:rsid w:val="006B4804"/>
    <w:rsid w:val="006B4FDC"/>
    <w:rsid w:val="006B5C05"/>
    <w:rsid w:val="006B602A"/>
    <w:rsid w:val="006B6124"/>
    <w:rsid w:val="006C08B7"/>
    <w:rsid w:val="006C0E72"/>
    <w:rsid w:val="006C0FCD"/>
    <w:rsid w:val="006C4780"/>
    <w:rsid w:val="006C4A4B"/>
    <w:rsid w:val="006C7F9F"/>
    <w:rsid w:val="006D27CB"/>
    <w:rsid w:val="006D3000"/>
    <w:rsid w:val="006D3AE3"/>
    <w:rsid w:val="006D474A"/>
    <w:rsid w:val="006D4C0B"/>
    <w:rsid w:val="006D4F47"/>
    <w:rsid w:val="006D5909"/>
    <w:rsid w:val="006D5DD9"/>
    <w:rsid w:val="006D6182"/>
    <w:rsid w:val="006E194C"/>
    <w:rsid w:val="006E1EF7"/>
    <w:rsid w:val="006E26EF"/>
    <w:rsid w:val="006E285F"/>
    <w:rsid w:val="006E340F"/>
    <w:rsid w:val="006E49B2"/>
    <w:rsid w:val="006E73BC"/>
    <w:rsid w:val="006E7493"/>
    <w:rsid w:val="006E77E7"/>
    <w:rsid w:val="006F2DB3"/>
    <w:rsid w:val="006F3E57"/>
    <w:rsid w:val="006F51C0"/>
    <w:rsid w:val="006F5D32"/>
    <w:rsid w:val="006F7393"/>
    <w:rsid w:val="0070224F"/>
    <w:rsid w:val="0070267A"/>
    <w:rsid w:val="00705BDC"/>
    <w:rsid w:val="007106BE"/>
    <w:rsid w:val="007115F7"/>
    <w:rsid w:val="00712ECA"/>
    <w:rsid w:val="0071352C"/>
    <w:rsid w:val="00713B9D"/>
    <w:rsid w:val="00713EAB"/>
    <w:rsid w:val="00714916"/>
    <w:rsid w:val="00714D8B"/>
    <w:rsid w:val="00714F2B"/>
    <w:rsid w:val="0071640A"/>
    <w:rsid w:val="00722690"/>
    <w:rsid w:val="00722785"/>
    <w:rsid w:val="0072329C"/>
    <w:rsid w:val="0072391F"/>
    <w:rsid w:val="00723C66"/>
    <w:rsid w:val="007244BC"/>
    <w:rsid w:val="007251FF"/>
    <w:rsid w:val="00726255"/>
    <w:rsid w:val="00727F63"/>
    <w:rsid w:val="00730AC7"/>
    <w:rsid w:val="00732B1B"/>
    <w:rsid w:val="00733377"/>
    <w:rsid w:val="00734D8A"/>
    <w:rsid w:val="00736576"/>
    <w:rsid w:val="007376BF"/>
    <w:rsid w:val="00737F12"/>
    <w:rsid w:val="007410FD"/>
    <w:rsid w:val="0074586F"/>
    <w:rsid w:val="00745B4D"/>
    <w:rsid w:val="007465CA"/>
    <w:rsid w:val="00750038"/>
    <w:rsid w:val="00750431"/>
    <w:rsid w:val="0075123C"/>
    <w:rsid w:val="00751FDC"/>
    <w:rsid w:val="007521C4"/>
    <w:rsid w:val="00752DC3"/>
    <w:rsid w:val="00753F43"/>
    <w:rsid w:val="00756D37"/>
    <w:rsid w:val="0075726F"/>
    <w:rsid w:val="007606FF"/>
    <w:rsid w:val="0076128A"/>
    <w:rsid w:val="00761738"/>
    <w:rsid w:val="007625E1"/>
    <w:rsid w:val="00762711"/>
    <w:rsid w:val="0076343B"/>
    <w:rsid w:val="00763916"/>
    <w:rsid w:val="0076592F"/>
    <w:rsid w:val="00765E97"/>
    <w:rsid w:val="00766D10"/>
    <w:rsid w:val="007708AE"/>
    <w:rsid w:val="007712A8"/>
    <w:rsid w:val="00773115"/>
    <w:rsid w:val="00775168"/>
    <w:rsid w:val="0077624E"/>
    <w:rsid w:val="0077710C"/>
    <w:rsid w:val="007776C1"/>
    <w:rsid w:val="00777D1F"/>
    <w:rsid w:val="00780259"/>
    <w:rsid w:val="007831AE"/>
    <w:rsid w:val="00783696"/>
    <w:rsid w:val="007836BF"/>
    <w:rsid w:val="00783CCD"/>
    <w:rsid w:val="00783DAC"/>
    <w:rsid w:val="00783F54"/>
    <w:rsid w:val="00785689"/>
    <w:rsid w:val="007856B6"/>
    <w:rsid w:val="0078595D"/>
    <w:rsid w:val="00785E42"/>
    <w:rsid w:val="00790BEC"/>
    <w:rsid w:val="00790CBD"/>
    <w:rsid w:val="00791914"/>
    <w:rsid w:val="0079333B"/>
    <w:rsid w:val="0079754B"/>
    <w:rsid w:val="00797978"/>
    <w:rsid w:val="007A038C"/>
    <w:rsid w:val="007A1689"/>
    <w:rsid w:val="007A197E"/>
    <w:rsid w:val="007A1E43"/>
    <w:rsid w:val="007A1E6D"/>
    <w:rsid w:val="007A2E35"/>
    <w:rsid w:val="007A3E0C"/>
    <w:rsid w:val="007A41BA"/>
    <w:rsid w:val="007A46A5"/>
    <w:rsid w:val="007A5BA4"/>
    <w:rsid w:val="007A5CA9"/>
    <w:rsid w:val="007A6FE3"/>
    <w:rsid w:val="007A70A2"/>
    <w:rsid w:val="007A7779"/>
    <w:rsid w:val="007A7A87"/>
    <w:rsid w:val="007B08A8"/>
    <w:rsid w:val="007B0EB2"/>
    <w:rsid w:val="007B14FF"/>
    <w:rsid w:val="007B2F6F"/>
    <w:rsid w:val="007B4A88"/>
    <w:rsid w:val="007B4D66"/>
    <w:rsid w:val="007B536F"/>
    <w:rsid w:val="007B6C9C"/>
    <w:rsid w:val="007C03A8"/>
    <w:rsid w:val="007C0CC4"/>
    <w:rsid w:val="007C10C4"/>
    <w:rsid w:val="007C2DA5"/>
    <w:rsid w:val="007C3C40"/>
    <w:rsid w:val="007C571C"/>
    <w:rsid w:val="007D0C75"/>
    <w:rsid w:val="007D2312"/>
    <w:rsid w:val="007D2ED1"/>
    <w:rsid w:val="007D5648"/>
    <w:rsid w:val="007D6246"/>
    <w:rsid w:val="007D7A9F"/>
    <w:rsid w:val="007E0A10"/>
    <w:rsid w:val="007E0DCC"/>
    <w:rsid w:val="007E1A69"/>
    <w:rsid w:val="007E4166"/>
    <w:rsid w:val="007E425E"/>
    <w:rsid w:val="007E6B1A"/>
    <w:rsid w:val="007E7D7C"/>
    <w:rsid w:val="007F1865"/>
    <w:rsid w:val="007F1B23"/>
    <w:rsid w:val="007F3B49"/>
    <w:rsid w:val="007F5209"/>
    <w:rsid w:val="007F62D5"/>
    <w:rsid w:val="007F7382"/>
    <w:rsid w:val="007F7B94"/>
    <w:rsid w:val="00802868"/>
    <w:rsid w:val="008039D0"/>
    <w:rsid w:val="00806461"/>
    <w:rsid w:val="00806C08"/>
    <w:rsid w:val="00807083"/>
    <w:rsid w:val="008100F2"/>
    <w:rsid w:val="00810B6F"/>
    <w:rsid w:val="0081139B"/>
    <w:rsid w:val="0081307E"/>
    <w:rsid w:val="008135A3"/>
    <w:rsid w:val="008146DB"/>
    <w:rsid w:val="00814D51"/>
    <w:rsid w:val="00815F2F"/>
    <w:rsid w:val="00816C75"/>
    <w:rsid w:val="00816F3B"/>
    <w:rsid w:val="008202D5"/>
    <w:rsid w:val="00821710"/>
    <w:rsid w:val="00821C4E"/>
    <w:rsid w:val="00822202"/>
    <w:rsid w:val="00822CE0"/>
    <w:rsid w:val="008238C0"/>
    <w:rsid w:val="00824CB1"/>
    <w:rsid w:val="00824FB0"/>
    <w:rsid w:val="00824FE6"/>
    <w:rsid w:val="0082629A"/>
    <w:rsid w:val="00826FAF"/>
    <w:rsid w:val="008272AA"/>
    <w:rsid w:val="00827D73"/>
    <w:rsid w:val="0083131C"/>
    <w:rsid w:val="008316D6"/>
    <w:rsid w:val="00831A63"/>
    <w:rsid w:val="00832678"/>
    <w:rsid w:val="00832CCE"/>
    <w:rsid w:val="008336CB"/>
    <w:rsid w:val="0083467F"/>
    <w:rsid w:val="00834C32"/>
    <w:rsid w:val="00837F9A"/>
    <w:rsid w:val="00841AB1"/>
    <w:rsid w:val="00842EB1"/>
    <w:rsid w:val="00842F4D"/>
    <w:rsid w:val="00843412"/>
    <w:rsid w:val="00844168"/>
    <w:rsid w:val="008447CD"/>
    <w:rsid w:val="008450BE"/>
    <w:rsid w:val="00846D8C"/>
    <w:rsid w:val="00850788"/>
    <w:rsid w:val="0085088C"/>
    <w:rsid w:val="00851A6A"/>
    <w:rsid w:val="00852995"/>
    <w:rsid w:val="008538C3"/>
    <w:rsid w:val="008541C5"/>
    <w:rsid w:val="00854663"/>
    <w:rsid w:val="008553FF"/>
    <w:rsid w:val="008558B3"/>
    <w:rsid w:val="008558CC"/>
    <w:rsid w:val="008571C9"/>
    <w:rsid w:val="00857B46"/>
    <w:rsid w:val="00857D41"/>
    <w:rsid w:val="00857D75"/>
    <w:rsid w:val="008602E1"/>
    <w:rsid w:val="008614E0"/>
    <w:rsid w:val="0086156A"/>
    <w:rsid w:val="00861BAF"/>
    <w:rsid w:val="00862C30"/>
    <w:rsid w:val="008637B5"/>
    <w:rsid w:val="008652CC"/>
    <w:rsid w:val="0086689B"/>
    <w:rsid w:val="00870C31"/>
    <w:rsid w:val="00871114"/>
    <w:rsid w:val="0087223B"/>
    <w:rsid w:val="00873788"/>
    <w:rsid w:val="00874397"/>
    <w:rsid w:val="00874DBF"/>
    <w:rsid w:val="00874EAB"/>
    <w:rsid w:val="00875807"/>
    <w:rsid w:val="0087600F"/>
    <w:rsid w:val="00881100"/>
    <w:rsid w:val="00882F8E"/>
    <w:rsid w:val="00885EBF"/>
    <w:rsid w:val="00891034"/>
    <w:rsid w:val="00891300"/>
    <w:rsid w:val="008929A9"/>
    <w:rsid w:val="00893160"/>
    <w:rsid w:val="00894A16"/>
    <w:rsid w:val="0089508B"/>
    <w:rsid w:val="008956BC"/>
    <w:rsid w:val="008966D4"/>
    <w:rsid w:val="00896C17"/>
    <w:rsid w:val="00897B13"/>
    <w:rsid w:val="00897BCB"/>
    <w:rsid w:val="00897DE6"/>
    <w:rsid w:val="008A1870"/>
    <w:rsid w:val="008A191D"/>
    <w:rsid w:val="008A2012"/>
    <w:rsid w:val="008A2C9A"/>
    <w:rsid w:val="008A38E8"/>
    <w:rsid w:val="008A3C7C"/>
    <w:rsid w:val="008A4B88"/>
    <w:rsid w:val="008A694F"/>
    <w:rsid w:val="008A7338"/>
    <w:rsid w:val="008A7604"/>
    <w:rsid w:val="008A77F7"/>
    <w:rsid w:val="008A7D5A"/>
    <w:rsid w:val="008B05B6"/>
    <w:rsid w:val="008B2400"/>
    <w:rsid w:val="008B3505"/>
    <w:rsid w:val="008B52DE"/>
    <w:rsid w:val="008B6701"/>
    <w:rsid w:val="008B7080"/>
    <w:rsid w:val="008C1E4B"/>
    <w:rsid w:val="008C43A1"/>
    <w:rsid w:val="008C5552"/>
    <w:rsid w:val="008C56BE"/>
    <w:rsid w:val="008C5A08"/>
    <w:rsid w:val="008C6200"/>
    <w:rsid w:val="008C62BF"/>
    <w:rsid w:val="008C685B"/>
    <w:rsid w:val="008C68F1"/>
    <w:rsid w:val="008D1236"/>
    <w:rsid w:val="008D2E1E"/>
    <w:rsid w:val="008D38D0"/>
    <w:rsid w:val="008D4FC3"/>
    <w:rsid w:val="008D6374"/>
    <w:rsid w:val="008E03D0"/>
    <w:rsid w:val="008E098C"/>
    <w:rsid w:val="008E1253"/>
    <w:rsid w:val="008E2626"/>
    <w:rsid w:val="008E2B58"/>
    <w:rsid w:val="008E445A"/>
    <w:rsid w:val="008E6091"/>
    <w:rsid w:val="008E6138"/>
    <w:rsid w:val="008E61EF"/>
    <w:rsid w:val="008E6479"/>
    <w:rsid w:val="008E6959"/>
    <w:rsid w:val="008F1DEF"/>
    <w:rsid w:val="008F291C"/>
    <w:rsid w:val="008F3538"/>
    <w:rsid w:val="008F5698"/>
    <w:rsid w:val="008F57D8"/>
    <w:rsid w:val="008F6A68"/>
    <w:rsid w:val="008F6C86"/>
    <w:rsid w:val="00901645"/>
    <w:rsid w:val="009029B1"/>
    <w:rsid w:val="00902DB3"/>
    <w:rsid w:val="00902DC2"/>
    <w:rsid w:val="00903031"/>
    <w:rsid w:val="0090342A"/>
    <w:rsid w:val="00904CBC"/>
    <w:rsid w:val="0090552A"/>
    <w:rsid w:val="0090648C"/>
    <w:rsid w:val="00906641"/>
    <w:rsid w:val="00906E78"/>
    <w:rsid w:val="009115A3"/>
    <w:rsid w:val="009127D8"/>
    <w:rsid w:val="00912A4E"/>
    <w:rsid w:val="00916A22"/>
    <w:rsid w:val="009170C8"/>
    <w:rsid w:val="00917998"/>
    <w:rsid w:val="0092139E"/>
    <w:rsid w:val="00921803"/>
    <w:rsid w:val="00923F1F"/>
    <w:rsid w:val="00923F68"/>
    <w:rsid w:val="00924CE1"/>
    <w:rsid w:val="00925EB6"/>
    <w:rsid w:val="00926503"/>
    <w:rsid w:val="009275D0"/>
    <w:rsid w:val="00927C56"/>
    <w:rsid w:val="00927D0B"/>
    <w:rsid w:val="0093154F"/>
    <w:rsid w:val="009326BA"/>
    <w:rsid w:val="00932B1F"/>
    <w:rsid w:val="00932C43"/>
    <w:rsid w:val="00935403"/>
    <w:rsid w:val="00940016"/>
    <w:rsid w:val="00941FD7"/>
    <w:rsid w:val="00943E83"/>
    <w:rsid w:val="0094674E"/>
    <w:rsid w:val="009467E8"/>
    <w:rsid w:val="009523CD"/>
    <w:rsid w:val="00952A1B"/>
    <w:rsid w:val="00953398"/>
    <w:rsid w:val="00953EEA"/>
    <w:rsid w:val="0095497A"/>
    <w:rsid w:val="0095637F"/>
    <w:rsid w:val="0096056B"/>
    <w:rsid w:val="00961539"/>
    <w:rsid w:val="009638E3"/>
    <w:rsid w:val="00964503"/>
    <w:rsid w:val="00965919"/>
    <w:rsid w:val="009673FB"/>
    <w:rsid w:val="00970880"/>
    <w:rsid w:val="0097103B"/>
    <w:rsid w:val="00971154"/>
    <w:rsid w:val="00971A15"/>
    <w:rsid w:val="009726D8"/>
    <w:rsid w:val="00974DA1"/>
    <w:rsid w:val="00974DAC"/>
    <w:rsid w:val="00975C75"/>
    <w:rsid w:val="00977BEC"/>
    <w:rsid w:val="00980E66"/>
    <w:rsid w:val="00981CA1"/>
    <w:rsid w:val="00982943"/>
    <w:rsid w:val="009851EB"/>
    <w:rsid w:val="009910AB"/>
    <w:rsid w:val="00992041"/>
    <w:rsid w:val="00992A3B"/>
    <w:rsid w:val="00994EB4"/>
    <w:rsid w:val="00996D69"/>
    <w:rsid w:val="00996E3E"/>
    <w:rsid w:val="009A086C"/>
    <w:rsid w:val="009A0F3D"/>
    <w:rsid w:val="009A1AA3"/>
    <w:rsid w:val="009A28BC"/>
    <w:rsid w:val="009A4090"/>
    <w:rsid w:val="009A41EF"/>
    <w:rsid w:val="009A4F34"/>
    <w:rsid w:val="009A51CC"/>
    <w:rsid w:val="009A590E"/>
    <w:rsid w:val="009A5EB5"/>
    <w:rsid w:val="009A6183"/>
    <w:rsid w:val="009A7127"/>
    <w:rsid w:val="009B0982"/>
    <w:rsid w:val="009B1C7F"/>
    <w:rsid w:val="009B3B4F"/>
    <w:rsid w:val="009B4D38"/>
    <w:rsid w:val="009B56D4"/>
    <w:rsid w:val="009B790F"/>
    <w:rsid w:val="009C1198"/>
    <w:rsid w:val="009C2CEC"/>
    <w:rsid w:val="009C3D24"/>
    <w:rsid w:val="009C644B"/>
    <w:rsid w:val="009D0364"/>
    <w:rsid w:val="009D05CD"/>
    <w:rsid w:val="009D07C3"/>
    <w:rsid w:val="009D1697"/>
    <w:rsid w:val="009D267B"/>
    <w:rsid w:val="009D2844"/>
    <w:rsid w:val="009D44D9"/>
    <w:rsid w:val="009D671C"/>
    <w:rsid w:val="009D69FF"/>
    <w:rsid w:val="009D6ABF"/>
    <w:rsid w:val="009E03FC"/>
    <w:rsid w:val="009E0766"/>
    <w:rsid w:val="009E07F4"/>
    <w:rsid w:val="009E1841"/>
    <w:rsid w:val="009E3A49"/>
    <w:rsid w:val="009E3EED"/>
    <w:rsid w:val="009E59DF"/>
    <w:rsid w:val="009F020A"/>
    <w:rsid w:val="009F1668"/>
    <w:rsid w:val="009F25AE"/>
    <w:rsid w:val="009F366F"/>
    <w:rsid w:val="009F68DC"/>
    <w:rsid w:val="009F76DB"/>
    <w:rsid w:val="009F77C0"/>
    <w:rsid w:val="00A00529"/>
    <w:rsid w:val="00A00D4C"/>
    <w:rsid w:val="00A0296A"/>
    <w:rsid w:val="00A02AA4"/>
    <w:rsid w:val="00A02DB9"/>
    <w:rsid w:val="00A05268"/>
    <w:rsid w:val="00A06BB2"/>
    <w:rsid w:val="00A07ADD"/>
    <w:rsid w:val="00A122B3"/>
    <w:rsid w:val="00A12A60"/>
    <w:rsid w:val="00A13782"/>
    <w:rsid w:val="00A13E1A"/>
    <w:rsid w:val="00A15B34"/>
    <w:rsid w:val="00A15CD4"/>
    <w:rsid w:val="00A16814"/>
    <w:rsid w:val="00A16ECA"/>
    <w:rsid w:val="00A2098F"/>
    <w:rsid w:val="00A20ECF"/>
    <w:rsid w:val="00A2229F"/>
    <w:rsid w:val="00A237EC"/>
    <w:rsid w:val="00A24AA9"/>
    <w:rsid w:val="00A26575"/>
    <w:rsid w:val="00A268A3"/>
    <w:rsid w:val="00A26D61"/>
    <w:rsid w:val="00A26D81"/>
    <w:rsid w:val="00A276FC"/>
    <w:rsid w:val="00A276FD"/>
    <w:rsid w:val="00A27BD3"/>
    <w:rsid w:val="00A27E39"/>
    <w:rsid w:val="00A30A6E"/>
    <w:rsid w:val="00A30AB4"/>
    <w:rsid w:val="00A3272F"/>
    <w:rsid w:val="00A32C3B"/>
    <w:rsid w:val="00A32C66"/>
    <w:rsid w:val="00A32D23"/>
    <w:rsid w:val="00A338AF"/>
    <w:rsid w:val="00A3395A"/>
    <w:rsid w:val="00A351F1"/>
    <w:rsid w:val="00A357B6"/>
    <w:rsid w:val="00A35FF0"/>
    <w:rsid w:val="00A363F5"/>
    <w:rsid w:val="00A37B26"/>
    <w:rsid w:val="00A37E9D"/>
    <w:rsid w:val="00A40262"/>
    <w:rsid w:val="00A43E1E"/>
    <w:rsid w:val="00A45920"/>
    <w:rsid w:val="00A45F4F"/>
    <w:rsid w:val="00A47995"/>
    <w:rsid w:val="00A50700"/>
    <w:rsid w:val="00A519B8"/>
    <w:rsid w:val="00A52184"/>
    <w:rsid w:val="00A53A16"/>
    <w:rsid w:val="00A55966"/>
    <w:rsid w:val="00A56440"/>
    <w:rsid w:val="00A567A8"/>
    <w:rsid w:val="00A568B0"/>
    <w:rsid w:val="00A57088"/>
    <w:rsid w:val="00A600A9"/>
    <w:rsid w:val="00A60905"/>
    <w:rsid w:val="00A61B5B"/>
    <w:rsid w:val="00A622A6"/>
    <w:rsid w:val="00A627E3"/>
    <w:rsid w:val="00A6354D"/>
    <w:rsid w:val="00A64F7B"/>
    <w:rsid w:val="00A66BD5"/>
    <w:rsid w:val="00A6732D"/>
    <w:rsid w:val="00A67483"/>
    <w:rsid w:val="00A67545"/>
    <w:rsid w:val="00A7088F"/>
    <w:rsid w:val="00A774E1"/>
    <w:rsid w:val="00A7756F"/>
    <w:rsid w:val="00A815BD"/>
    <w:rsid w:val="00A84AB1"/>
    <w:rsid w:val="00A84B0D"/>
    <w:rsid w:val="00A85E54"/>
    <w:rsid w:val="00A86FEB"/>
    <w:rsid w:val="00A9086E"/>
    <w:rsid w:val="00A90A93"/>
    <w:rsid w:val="00A92266"/>
    <w:rsid w:val="00A926F6"/>
    <w:rsid w:val="00A92CE8"/>
    <w:rsid w:val="00A93838"/>
    <w:rsid w:val="00A949D8"/>
    <w:rsid w:val="00A9558D"/>
    <w:rsid w:val="00A96F80"/>
    <w:rsid w:val="00A97E14"/>
    <w:rsid w:val="00A97F18"/>
    <w:rsid w:val="00AA1E08"/>
    <w:rsid w:val="00AA2E2D"/>
    <w:rsid w:val="00AA354D"/>
    <w:rsid w:val="00AA55B7"/>
    <w:rsid w:val="00AA5B9E"/>
    <w:rsid w:val="00AA637F"/>
    <w:rsid w:val="00AA70FB"/>
    <w:rsid w:val="00AA721B"/>
    <w:rsid w:val="00AA787A"/>
    <w:rsid w:val="00AB072E"/>
    <w:rsid w:val="00AB126A"/>
    <w:rsid w:val="00AB1CC1"/>
    <w:rsid w:val="00AB2407"/>
    <w:rsid w:val="00AB3237"/>
    <w:rsid w:val="00AB33B7"/>
    <w:rsid w:val="00AB4D73"/>
    <w:rsid w:val="00AB53DF"/>
    <w:rsid w:val="00AB6517"/>
    <w:rsid w:val="00AB6963"/>
    <w:rsid w:val="00AB7420"/>
    <w:rsid w:val="00AB7CC1"/>
    <w:rsid w:val="00AC01B2"/>
    <w:rsid w:val="00AC072A"/>
    <w:rsid w:val="00AC1930"/>
    <w:rsid w:val="00AC2131"/>
    <w:rsid w:val="00AC2733"/>
    <w:rsid w:val="00AC2F17"/>
    <w:rsid w:val="00AC3A5E"/>
    <w:rsid w:val="00AC440F"/>
    <w:rsid w:val="00AC4B16"/>
    <w:rsid w:val="00AC5E58"/>
    <w:rsid w:val="00AC6904"/>
    <w:rsid w:val="00AC7769"/>
    <w:rsid w:val="00AD27E3"/>
    <w:rsid w:val="00AD2FBD"/>
    <w:rsid w:val="00AD46B7"/>
    <w:rsid w:val="00AD4E08"/>
    <w:rsid w:val="00AD72AE"/>
    <w:rsid w:val="00AD7672"/>
    <w:rsid w:val="00AD7E49"/>
    <w:rsid w:val="00AD7EDE"/>
    <w:rsid w:val="00AE0CC0"/>
    <w:rsid w:val="00AE3280"/>
    <w:rsid w:val="00AE4C9E"/>
    <w:rsid w:val="00AE5171"/>
    <w:rsid w:val="00AE52AE"/>
    <w:rsid w:val="00AE73CB"/>
    <w:rsid w:val="00AE7688"/>
    <w:rsid w:val="00AF0809"/>
    <w:rsid w:val="00AF1BCD"/>
    <w:rsid w:val="00AF1C3D"/>
    <w:rsid w:val="00AF1FA7"/>
    <w:rsid w:val="00AF38B2"/>
    <w:rsid w:val="00AF3DF8"/>
    <w:rsid w:val="00AF41C2"/>
    <w:rsid w:val="00AF527C"/>
    <w:rsid w:val="00AF5AC4"/>
    <w:rsid w:val="00AF7430"/>
    <w:rsid w:val="00AF79B5"/>
    <w:rsid w:val="00B001BF"/>
    <w:rsid w:val="00B052B5"/>
    <w:rsid w:val="00B05DBF"/>
    <w:rsid w:val="00B07B94"/>
    <w:rsid w:val="00B07E5C"/>
    <w:rsid w:val="00B1038D"/>
    <w:rsid w:val="00B11CEA"/>
    <w:rsid w:val="00B12261"/>
    <w:rsid w:val="00B127E5"/>
    <w:rsid w:val="00B144FC"/>
    <w:rsid w:val="00B17ABC"/>
    <w:rsid w:val="00B20384"/>
    <w:rsid w:val="00B20F3B"/>
    <w:rsid w:val="00B220E3"/>
    <w:rsid w:val="00B222D1"/>
    <w:rsid w:val="00B23E52"/>
    <w:rsid w:val="00B244ED"/>
    <w:rsid w:val="00B24EE3"/>
    <w:rsid w:val="00B26849"/>
    <w:rsid w:val="00B300DD"/>
    <w:rsid w:val="00B310C1"/>
    <w:rsid w:val="00B32E8B"/>
    <w:rsid w:val="00B33BF0"/>
    <w:rsid w:val="00B33DB6"/>
    <w:rsid w:val="00B3480C"/>
    <w:rsid w:val="00B34DAF"/>
    <w:rsid w:val="00B35A5F"/>
    <w:rsid w:val="00B36FB4"/>
    <w:rsid w:val="00B37253"/>
    <w:rsid w:val="00B42551"/>
    <w:rsid w:val="00B428E0"/>
    <w:rsid w:val="00B43E9F"/>
    <w:rsid w:val="00B43F72"/>
    <w:rsid w:val="00B44630"/>
    <w:rsid w:val="00B4612A"/>
    <w:rsid w:val="00B46FEE"/>
    <w:rsid w:val="00B50CAF"/>
    <w:rsid w:val="00B51105"/>
    <w:rsid w:val="00B51B6D"/>
    <w:rsid w:val="00B51D44"/>
    <w:rsid w:val="00B529E2"/>
    <w:rsid w:val="00B52F96"/>
    <w:rsid w:val="00B53AC2"/>
    <w:rsid w:val="00B54A31"/>
    <w:rsid w:val="00B54BA3"/>
    <w:rsid w:val="00B54BD1"/>
    <w:rsid w:val="00B55656"/>
    <w:rsid w:val="00B6173E"/>
    <w:rsid w:val="00B6184F"/>
    <w:rsid w:val="00B63419"/>
    <w:rsid w:val="00B63A63"/>
    <w:rsid w:val="00B6429F"/>
    <w:rsid w:val="00B65B1A"/>
    <w:rsid w:val="00B67D06"/>
    <w:rsid w:val="00B707E4"/>
    <w:rsid w:val="00B70C9A"/>
    <w:rsid w:val="00B71117"/>
    <w:rsid w:val="00B711EA"/>
    <w:rsid w:val="00B72434"/>
    <w:rsid w:val="00B7372E"/>
    <w:rsid w:val="00B74163"/>
    <w:rsid w:val="00B75477"/>
    <w:rsid w:val="00B757D2"/>
    <w:rsid w:val="00B76FDA"/>
    <w:rsid w:val="00B80A0D"/>
    <w:rsid w:val="00B811F7"/>
    <w:rsid w:val="00B81425"/>
    <w:rsid w:val="00B8191C"/>
    <w:rsid w:val="00B81C7E"/>
    <w:rsid w:val="00B81DB5"/>
    <w:rsid w:val="00B81FD1"/>
    <w:rsid w:val="00B86561"/>
    <w:rsid w:val="00B901EC"/>
    <w:rsid w:val="00B90AAB"/>
    <w:rsid w:val="00B90EFE"/>
    <w:rsid w:val="00B925AB"/>
    <w:rsid w:val="00B95E0C"/>
    <w:rsid w:val="00B96E1D"/>
    <w:rsid w:val="00BA00D9"/>
    <w:rsid w:val="00BA0F8F"/>
    <w:rsid w:val="00BA16BB"/>
    <w:rsid w:val="00BA1B13"/>
    <w:rsid w:val="00BA233D"/>
    <w:rsid w:val="00BA2783"/>
    <w:rsid w:val="00BA3C9C"/>
    <w:rsid w:val="00BA3D03"/>
    <w:rsid w:val="00BA4AA0"/>
    <w:rsid w:val="00BA5DC6"/>
    <w:rsid w:val="00BA6196"/>
    <w:rsid w:val="00BA6317"/>
    <w:rsid w:val="00BA634C"/>
    <w:rsid w:val="00BA6C7B"/>
    <w:rsid w:val="00BA70C9"/>
    <w:rsid w:val="00BB1914"/>
    <w:rsid w:val="00BB25F8"/>
    <w:rsid w:val="00BB2EB3"/>
    <w:rsid w:val="00BB40E1"/>
    <w:rsid w:val="00BB55C1"/>
    <w:rsid w:val="00BB658A"/>
    <w:rsid w:val="00BC0E3C"/>
    <w:rsid w:val="00BC0E94"/>
    <w:rsid w:val="00BC130A"/>
    <w:rsid w:val="00BC3340"/>
    <w:rsid w:val="00BC3828"/>
    <w:rsid w:val="00BC39C6"/>
    <w:rsid w:val="00BC41ED"/>
    <w:rsid w:val="00BC56DD"/>
    <w:rsid w:val="00BC5BC0"/>
    <w:rsid w:val="00BC625C"/>
    <w:rsid w:val="00BC63C4"/>
    <w:rsid w:val="00BC647D"/>
    <w:rsid w:val="00BC6D8C"/>
    <w:rsid w:val="00BC776A"/>
    <w:rsid w:val="00BC7A7A"/>
    <w:rsid w:val="00BC7CED"/>
    <w:rsid w:val="00BD085E"/>
    <w:rsid w:val="00BD16D2"/>
    <w:rsid w:val="00BD1880"/>
    <w:rsid w:val="00BD2E17"/>
    <w:rsid w:val="00BD3D16"/>
    <w:rsid w:val="00BD5756"/>
    <w:rsid w:val="00BD7D96"/>
    <w:rsid w:val="00BD7E7D"/>
    <w:rsid w:val="00BE1BED"/>
    <w:rsid w:val="00BE2F6C"/>
    <w:rsid w:val="00BE3293"/>
    <w:rsid w:val="00BE64E4"/>
    <w:rsid w:val="00BE65A7"/>
    <w:rsid w:val="00BE6B79"/>
    <w:rsid w:val="00BE6E64"/>
    <w:rsid w:val="00BE77E2"/>
    <w:rsid w:val="00BE7C8D"/>
    <w:rsid w:val="00BE7E9D"/>
    <w:rsid w:val="00BF0216"/>
    <w:rsid w:val="00BF046F"/>
    <w:rsid w:val="00BF1194"/>
    <w:rsid w:val="00BF19DE"/>
    <w:rsid w:val="00BF56C0"/>
    <w:rsid w:val="00BF7526"/>
    <w:rsid w:val="00C0043B"/>
    <w:rsid w:val="00C00522"/>
    <w:rsid w:val="00C013E9"/>
    <w:rsid w:val="00C018AC"/>
    <w:rsid w:val="00C02764"/>
    <w:rsid w:val="00C02862"/>
    <w:rsid w:val="00C041D4"/>
    <w:rsid w:val="00C05B5D"/>
    <w:rsid w:val="00C05CC4"/>
    <w:rsid w:val="00C076F4"/>
    <w:rsid w:val="00C07C7D"/>
    <w:rsid w:val="00C10F7C"/>
    <w:rsid w:val="00C117EE"/>
    <w:rsid w:val="00C137EA"/>
    <w:rsid w:val="00C13FC6"/>
    <w:rsid w:val="00C1719C"/>
    <w:rsid w:val="00C1744C"/>
    <w:rsid w:val="00C17926"/>
    <w:rsid w:val="00C201BB"/>
    <w:rsid w:val="00C2048F"/>
    <w:rsid w:val="00C20667"/>
    <w:rsid w:val="00C219A0"/>
    <w:rsid w:val="00C219FA"/>
    <w:rsid w:val="00C21F10"/>
    <w:rsid w:val="00C22885"/>
    <w:rsid w:val="00C23CBB"/>
    <w:rsid w:val="00C241D7"/>
    <w:rsid w:val="00C2490A"/>
    <w:rsid w:val="00C25D83"/>
    <w:rsid w:val="00C27020"/>
    <w:rsid w:val="00C27D32"/>
    <w:rsid w:val="00C3247E"/>
    <w:rsid w:val="00C33A83"/>
    <w:rsid w:val="00C34006"/>
    <w:rsid w:val="00C368AE"/>
    <w:rsid w:val="00C3799E"/>
    <w:rsid w:val="00C426B1"/>
    <w:rsid w:val="00C428B7"/>
    <w:rsid w:val="00C42B39"/>
    <w:rsid w:val="00C42C5A"/>
    <w:rsid w:val="00C46AE1"/>
    <w:rsid w:val="00C50A0C"/>
    <w:rsid w:val="00C50B06"/>
    <w:rsid w:val="00C50B1F"/>
    <w:rsid w:val="00C50BB4"/>
    <w:rsid w:val="00C51D1F"/>
    <w:rsid w:val="00C54ACF"/>
    <w:rsid w:val="00C55496"/>
    <w:rsid w:val="00C56A92"/>
    <w:rsid w:val="00C56DFA"/>
    <w:rsid w:val="00C60EF2"/>
    <w:rsid w:val="00C62BE2"/>
    <w:rsid w:val="00C63F4A"/>
    <w:rsid w:val="00C64ACD"/>
    <w:rsid w:val="00C650C7"/>
    <w:rsid w:val="00C66160"/>
    <w:rsid w:val="00C66DE1"/>
    <w:rsid w:val="00C66F33"/>
    <w:rsid w:val="00C70206"/>
    <w:rsid w:val="00C7115C"/>
    <w:rsid w:val="00C72188"/>
    <w:rsid w:val="00C721AC"/>
    <w:rsid w:val="00C74870"/>
    <w:rsid w:val="00C74F74"/>
    <w:rsid w:val="00C7550F"/>
    <w:rsid w:val="00C75BC3"/>
    <w:rsid w:val="00C77C88"/>
    <w:rsid w:val="00C807C8"/>
    <w:rsid w:val="00C808C8"/>
    <w:rsid w:val="00C823C1"/>
    <w:rsid w:val="00C82B36"/>
    <w:rsid w:val="00C8318F"/>
    <w:rsid w:val="00C832A5"/>
    <w:rsid w:val="00C83BD2"/>
    <w:rsid w:val="00C842BA"/>
    <w:rsid w:val="00C84A70"/>
    <w:rsid w:val="00C853FB"/>
    <w:rsid w:val="00C86AFD"/>
    <w:rsid w:val="00C90789"/>
    <w:rsid w:val="00C90D6A"/>
    <w:rsid w:val="00C910B2"/>
    <w:rsid w:val="00C910F4"/>
    <w:rsid w:val="00C91D0A"/>
    <w:rsid w:val="00C9292F"/>
    <w:rsid w:val="00C9413D"/>
    <w:rsid w:val="00C946BA"/>
    <w:rsid w:val="00C9486E"/>
    <w:rsid w:val="00C96D64"/>
    <w:rsid w:val="00CA0183"/>
    <w:rsid w:val="00CA0807"/>
    <w:rsid w:val="00CA0CDC"/>
    <w:rsid w:val="00CA247E"/>
    <w:rsid w:val="00CA26A1"/>
    <w:rsid w:val="00CA294F"/>
    <w:rsid w:val="00CA4891"/>
    <w:rsid w:val="00CA4973"/>
    <w:rsid w:val="00CA5260"/>
    <w:rsid w:val="00CA5454"/>
    <w:rsid w:val="00CA5A32"/>
    <w:rsid w:val="00CA5E37"/>
    <w:rsid w:val="00CA5F7C"/>
    <w:rsid w:val="00CB03F7"/>
    <w:rsid w:val="00CB07CA"/>
    <w:rsid w:val="00CB0823"/>
    <w:rsid w:val="00CB31A2"/>
    <w:rsid w:val="00CB39E6"/>
    <w:rsid w:val="00CB3ED4"/>
    <w:rsid w:val="00CB3F43"/>
    <w:rsid w:val="00CB4103"/>
    <w:rsid w:val="00CB4564"/>
    <w:rsid w:val="00CB53A7"/>
    <w:rsid w:val="00CC0DDB"/>
    <w:rsid w:val="00CC2953"/>
    <w:rsid w:val="00CC2BEA"/>
    <w:rsid w:val="00CC4A8F"/>
    <w:rsid w:val="00CC72B6"/>
    <w:rsid w:val="00CD15FE"/>
    <w:rsid w:val="00CD1653"/>
    <w:rsid w:val="00CD2E2D"/>
    <w:rsid w:val="00CD3196"/>
    <w:rsid w:val="00CD56F1"/>
    <w:rsid w:val="00CD5DE9"/>
    <w:rsid w:val="00CD69EF"/>
    <w:rsid w:val="00CE0027"/>
    <w:rsid w:val="00CE1054"/>
    <w:rsid w:val="00CE411C"/>
    <w:rsid w:val="00CE4D2B"/>
    <w:rsid w:val="00CE4DFC"/>
    <w:rsid w:val="00CE5100"/>
    <w:rsid w:val="00CE52B0"/>
    <w:rsid w:val="00CF0BC9"/>
    <w:rsid w:val="00CF0E25"/>
    <w:rsid w:val="00CF2069"/>
    <w:rsid w:val="00CF2471"/>
    <w:rsid w:val="00CF3417"/>
    <w:rsid w:val="00CF3556"/>
    <w:rsid w:val="00CF4104"/>
    <w:rsid w:val="00CF643F"/>
    <w:rsid w:val="00CF743D"/>
    <w:rsid w:val="00D00584"/>
    <w:rsid w:val="00D00753"/>
    <w:rsid w:val="00D00784"/>
    <w:rsid w:val="00D00B81"/>
    <w:rsid w:val="00D013B1"/>
    <w:rsid w:val="00D01448"/>
    <w:rsid w:val="00D014BD"/>
    <w:rsid w:val="00D01525"/>
    <w:rsid w:val="00D0218D"/>
    <w:rsid w:val="00D031F2"/>
    <w:rsid w:val="00D03C98"/>
    <w:rsid w:val="00D0469A"/>
    <w:rsid w:val="00D064D1"/>
    <w:rsid w:val="00D0719D"/>
    <w:rsid w:val="00D107DD"/>
    <w:rsid w:val="00D10E44"/>
    <w:rsid w:val="00D10FBC"/>
    <w:rsid w:val="00D11187"/>
    <w:rsid w:val="00D11DC6"/>
    <w:rsid w:val="00D1207E"/>
    <w:rsid w:val="00D1550D"/>
    <w:rsid w:val="00D15861"/>
    <w:rsid w:val="00D165BE"/>
    <w:rsid w:val="00D16900"/>
    <w:rsid w:val="00D16C92"/>
    <w:rsid w:val="00D16EAB"/>
    <w:rsid w:val="00D16EE4"/>
    <w:rsid w:val="00D226DE"/>
    <w:rsid w:val="00D2362B"/>
    <w:rsid w:val="00D23F5F"/>
    <w:rsid w:val="00D24F40"/>
    <w:rsid w:val="00D25FB5"/>
    <w:rsid w:val="00D30F7A"/>
    <w:rsid w:val="00D31936"/>
    <w:rsid w:val="00D319A0"/>
    <w:rsid w:val="00D324DE"/>
    <w:rsid w:val="00D32548"/>
    <w:rsid w:val="00D3435E"/>
    <w:rsid w:val="00D3473E"/>
    <w:rsid w:val="00D427BD"/>
    <w:rsid w:val="00D43BFB"/>
    <w:rsid w:val="00D44223"/>
    <w:rsid w:val="00D45AC6"/>
    <w:rsid w:val="00D45B0B"/>
    <w:rsid w:val="00D45DDC"/>
    <w:rsid w:val="00D476AD"/>
    <w:rsid w:val="00D5017C"/>
    <w:rsid w:val="00D51EB2"/>
    <w:rsid w:val="00D52045"/>
    <w:rsid w:val="00D53434"/>
    <w:rsid w:val="00D53D60"/>
    <w:rsid w:val="00D549D4"/>
    <w:rsid w:val="00D54BDE"/>
    <w:rsid w:val="00D56989"/>
    <w:rsid w:val="00D56B5F"/>
    <w:rsid w:val="00D57DE2"/>
    <w:rsid w:val="00D6076C"/>
    <w:rsid w:val="00D63606"/>
    <w:rsid w:val="00D6701D"/>
    <w:rsid w:val="00D70C94"/>
    <w:rsid w:val="00D72521"/>
    <w:rsid w:val="00D7299E"/>
    <w:rsid w:val="00D736F5"/>
    <w:rsid w:val="00D738DC"/>
    <w:rsid w:val="00D758E6"/>
    <w:rsid w:val="00D80C9F"/>
    <w:rsid w:val="00D80D70"/>
    <w:rsid w:val="00D81F55"/>
    <w:rsid w:val="00D82019"/>
    <w:rsid w:val="00D8305C"/>
    <w:rsid w:val="00D8306F"/>
    <w:rsid w:val="00D83D87"/>
    <w:rsid w:val="00D87A21"/>
    <w:rsid w:val="00D90A35"/>
    <w:rsid w:val="00D93293"/>
    <w:rsid w:val="00D9336B"/>
    <w:rsid w:val="00D97E6D"/>
    <w:rsid w:val="00DA13E2"/>
    <w:rsid w:val="00DA2529"/>
    <w:rsid w:val="00DA290D"/>
    <w:rsid w:val="00DA7018"/>
    <w:rsid w:val="00DA754D"/>
    <w:rsid w:val="00DB130A"/>
    <w:rsid w:val="00DB174C"/>
    <w:rsid w:val="00DB1ED4"/>
    <w:rsid w:val="00DB2DC5"/>
    <w:rsid w:val="00DB2EBB"/>
    <w:rsid w:val="00DB45C2"/>
    <w:rsid w:val="00DB52F2"/>
    <w:rsid w:val="00DC0628"/>
    <w:rsid w:val="00DC10A1"/>
    <w:rsid w:val="00DC2CF6"/>
    <w:rsid w:val="00DC4E7A"/>
    <w:rsid w:val="00DC51D9"/>
    <w:rsid w:val="00DC655F"/>
    <w:rsid w:val="00DC672A"/>
    <w:rsid w:val="00DD0B59"/>
    <w:rsid w:val="00DD0EFA"/>
    <w:rsid w:val="00DD1012"/>
    <w:rsid w:val="00DD2009"/>
    <w:rsid w:val="00DD2E46"/>
    <w:rsid w:val="00DD44EC"/>
    <w:rsid w:val="00DD46B5"/>
    <w:rsid w:val="00DD6613"/>
    <w:rsid w:val="00DD6ADB"/>
    <w:rsid w:val="00DD711E"/>
    <w:rsid w:val="00DD7EBD"/>
    <w:rsid w:val="00DE02BF"/>
    <w:rsid w:val="00DE0797"/>
    <w:rsid w:val="00DE0F9D"/>
    <w:rsid w:val="00DE251B"/>
    <w:rsid w:val="00DE280E"/>
    <w:rsid w:val="00DE3782"/>
    <w:rsid w:val="00DE6845"/>
    <w:rsid w:val="00DE7125"/>
    <w:rsid w:val="00DF2A64"/>
    <w:rsid w:val="00DF332E"/>
    <w:rsid w:val="00DF43E2"/>
    <w:rsid w:val="00DF54F5"/>
    <w:rsid w:val="00DF5ED1"/>
    <w:rsid w:val="00DF62B6"/>
    <w:rsid w:val="00DF676B"/>
    <w:rsid w:val="00DF6C1E"/>
    <w:rsid w:val="00DF7AAE"/>
    <w:rsid w:val="00E002AB"/>
    <w:rsid w:val="00E01464"/>
    <w:rsid w:val="00E025AD"/>
    <w:rsid w:val="00E02677"/>
    <w:rsid w:val="00E03096"/>
    <w:rsid w:val="00E051EE"/>
    <w:rsid w:val="00E05FC3"/>
    <w:rsid w:val="00E07225"/>
    <w:rsid w:val="00E0770E"/>
    <w:rsid w:val="00E07C9B"/>
    <w:rsid w:val="00E10208"/>
    <w:rsid w:val="00E10368"/>
    <w:rsid w:val="00E10B75"/>
    <w:rsid w:val="00E11CB8"/>
    <w:rsid w:val="00E11F6D"/>
    <w:rsid w:val="00E12107"/>
    <w:rsid w:val="00E12C22"/>
    <w:rsid w:val="00E144A7"/>
    <w:rsid w:val="00E1483E"/>
    <w:rsid w:val="00E151F2"/>
    <w:rsid w:val="00E16F8D"/>
    <w:rsid w:val="00E20BDB"/>
    <w:rsid w:val="00E20C64"/>
    <w:rsid w:val="00E21045"/>
    <w:rsid w:val="00E2191D"/>
    <w:rsid w:val="00E22D82"/>
    <w:rsid w:val="00E23858"/>
    <w:rsid w:val="00E23DB9"/>
    <w:rsid w:val="00E251DD"/>
    <w:rsid w:val="00E264C6"/>
    <w:rsid w:val="00E303C5"/>
    <w:rsid w:val="00E30E82"/>
    <w:rsid w:val="00E33DD1"/>
    <w:rsid w:val="00E345D1"/>
    <w:rsid w:val="00E34EED"/>
    <w:rsid w:val="00E37ACF"/>
    <w:rsid w:val="00E40CE9"/>
    <w:rsid w:val="00E418D4"/>
    <w:rsid w:val="00E4278A"/>
    <w:rsid w:val="00E4369A"/>
    <w:rsid w:val="00E46771"/>
    <w:rsid w:val="00E4709B"/>
    <w:rsid w:val="00E47FC6"/>
    <w:rsid w:val="00E52111"/>
    <w:rsid w:val="00E539B9"/>
    <w:rsid w:val="00E5409F"/>
    <w:rsid w:val="00E54102"/>
    <w:rsid w:val="00E553D9"/>
    <w:rsid w:val="00E55B88"/>
    <w:rsid w:val="00E57998"/>
    <w:rsid w:val="00E60504"/>
    <w:rsid w:val="00E6237A"/>
    <w:rsid w:val="00E635FC"/>
    <w:rsid w:val="00E645A8"/>
    <w:rsid w:val="00E6467D"/>
    <w:rsid w:val="00E707DD"/>
    <w:rsid w:val="00E70E82"/>
    <w:rsid w:val="00E713B6"/>
    <w:rsid w:val="00E71C39"/>
    <w:rsid w:val="00E7241E"/>
    <w:rsid w:val="00E725D8"/>
    <w:rsid w:val="00E72704"/>
    <w:rsid w:val="00E733DF"/>
    <w:rsid w:val="00E74AD6"/>
    <w:rsid w:val="00E74CA4"/>
    <w:rsid w:val="00E7598D"/>
    <w:rsid w:val="00E76F60"/>
    <w:rsid w:val="00E77F08"/>
    <w:rsid w:val="00E81E44"/>
    <w:rsid w:val="00E8225A"/>
    <w:rsid w:val="00E83D45"/>
    <w:rsid w:val="00E83F50"/>
    <w:rsid w:val="00E8420A"/>
    <w:rsid w:val="00E844E2"/>
    <w:rsid w:val="00E85627"/>
    <w:rsid w:val="00E859C7"/>
    <w:rsid w:val="00E86853"/>
    <w:rsid w:val="00E87005"/>
    <w:rsid w:val="00E87342"/>
    <w:rsid w:val="00E87F0C"/>
    <w:rsid w:val="00E9077F"/>
    <w:rsid w:val="00E90C3B"/>
    <w:rsid w:val="00E90EAE"/>
    <w:rsid w:val="00E90FD9"/>
    <w:rsid w:val="00E93F87"/>
    <w:rsid w:val="00E95DCC"/>
    <w:rsid w:val="00E979F6"/>
    <w:rsid w:val="00E97C15"/>
    <w:rsid w:val="00EA25A7"/>
    <w:rsid w:val="00EA276B"/>
    <w:rsid w:val="00EA39EF"/>
    <w:rsid w:val="00EA487D"/>
    <w:rsid w:val="00EA4DC7"/>
    <w:rsid w:val="00EA5333"/>
    <w:rsid w:val="00EA553A"/>
    <w:rsid w:val="00EA5F8B"/>
    <w:rsid w:val="00EA6E65"/>
    <w:rsid w:val="00EA737B"/>
    <w:rsid w:val="00EB08FE"/>
    <w:rsid w:val="00EB0CE0"/>
    <w:rsid w:val="00EB199A"/>
    <w:rsid w:val="00EB34C8"/>
    <w:rsid w:val="00EB5E5B"/>
    <w:rsid w:val="00EB634A"/>
    <w:rsid w:val="00EB7720"/>
    <w:rsid w:val="00EB772A"/>
    <w:rsid w:val="00EB7B9B"/>
    <w:rsid w:val="00EC3D43"/>
    <w:rsid w:val="00EC4BE8"/>
    <w:rsid w:val="00EC5008"/>
    <w:rsid w:val="00EC5B4D"/>
    <w:rsid w:val="00ED20EC"/>
    <w:rsid w:val="00ED2343"/>
    <w:rsid w:val="00ED3D32"/>
    <w:rsid w:val="00ED5781"/>
    <w:rsid w:val="00ED79BC"/>
    <w:rsid w:val="00EE1B63"/>
    <w:rsid w:val="00EE2A74"/>
    <w:rsid w:val="00EE3BBF"/>
    <w:rsid w:val="00EE4823"/>
    <w:rsid w:val="00EE6061"/>
    <w:rsid w:val="00EE623A"/>
    <w:rsid w:val="00EE6488"/>
    <w:rsid w:val="00EE659A"/>
    <w:rsid w:val="00EF368E"/>
    <w:rsid w:val="00EF4839"/>
    <w:rsid w:val="00EF5733"/>
    <w:rsid w:val="00EF7410"/>
    <w:rsid w:val="00F010F6"/>
    <w:rsid w:val="00F021FA"/>
    <w:rsid w:val="00F046CB"/>
    <w:rsid w:val="00F04E5D"/>
    <w:rsid w:val="00F0521F"/>
    <w:rsid w:val="00F0608F"/>
    <w:rsid w:val="00F06531"/>
    <w:rsid w:val="00F06FEB"/>
    <w:rsid w:val="00F075A7"/>
    <w:rsid w:val="00F07EED"/>
    <w:rsid w:val="00F10F0F"/>
    <w:rsid w:val="00F12539"/>
    <w:rsid w:val="00F142EE"/>
    <w:rsid w:val="00F147AB"/>
    <w:rsid w:val="00F14B41"/>
    <w:rsid w:val="00F1662D"/>
    <w:rsid w:val="00F20387"/>
    <w:rsid w:val="00F20544"/>
    <w:rsid w:val="00F20DDB"/>
    <w:rsid w:val="00F21CE9"/>
    <w:rsid w:val="00F22806"/>
    <w:rsid w:val="00F22F4E"/>
    <w:rsid w:val="00F23211"/>
    <w:rsid w:val="00F25D34"/>
    <w:rsid w:val="00F26DBC"/>
    <w:rsid w:val="00F3070A"/>
    <w:rsid w:val="00F3147C"/>
    <w:rsid w:val="00F315E4"/>
    <w:rsid w:val="00F31D77"/>
    <w:rsid w:val="00F328CA"/>
    <w:rsid w:val="00F334A1"/>
    <w:rsid w:val="00F3387D"/>
    <w:rsid w:val="00F35081"/>
    <w:rsid w:val="00F35743"/>
    <w:rsid w:val="00F36C6E"/>
    <w:rsid w:val="00F37164"/>
    <w:rsid w:val="00F410C7"/>
    <w:rsid w:val="00F430FC"/>
    <w:rsid w:val="00F433AB"/>
    <w:rsid w:val="00F4480B"/>
    <w:rsid w:val="00F44DC9"/>
    <w:rsid w:val="00F45378"/>
    <w:rsid w:val="00F457CB"/>
    <w:rsid w:val="00F457FC"/>
    <w:rsid w:val="00F460AA"/>
    <w:rsid w:val="00F47420"/>
    <w:rsid w:val="00F478CA"/>
    <w:rsid w:val="00F50126"/>
    <w:rsid w:val="00F51006"/>
    <w:rsid w:val="00F526EA"/>
    <w:rsid w:val="00F532FA"/>
    <w:rsid w:val="00F54BD7"/>
    <w:rsid w:val="00F56065"/>
    <w:rsid w:val="00F56147"/>
    <w:rsid w:val="00F56C14"/>
    <w:rsid w:val="00F56C6B"/>
    <w:rsid w:val="00F57D97"/>
    <w:rsid w:val="00F61CB5"/>
    <w:rsid w:val="00F6276F"/>
    <w:rsid w:val="00F62E97"/>
    <w:rsid w:val="00F63804"/>
    <w:rsid w:val="00F63C2F"/>
    <w:rsid w:val="00F64209"/>
    <w:rsid w:val="00F718EB"/>
    <w:rsid w:val="00F71C3E"/>
    <w:rsid w:val="00F72CAC"/>
    <w:rsid w:val="00F73A7C"/>
    <w:rsid w:val="00F73BDD"/>
    <w:rsid w:val="00F73FCB"/>
    <w:rsid w:val="00F74084"/>
    <w:rsid w:val="00F75990"/>
    <w:rsid w:val="00F76EBE"/>
    <w:rsid w:val="00F77429"/>
    <w:rsid w:val="00F804AC"/>
    <w:rsid w:val="00F810B0"/>
    <w:rsid w:val="00F812DC"/>
    <w:rsid w:val="00F81BAE"/>
    <w:rsid w:val="00F81C48"/>
    <w:rsid w:val="00F82EAF"/>
    <w:rsid w:val="00F832D1"/>
    <w:rsid w:val="00F84B79"/>
    <w:rsid w:val="00F8720E"/>
    <w:rsid w:val="00F90464"/>
    <w:rsid w:val="00F922CE"/>
    <w:rsid w:val="00F92550"/>
    <w:rsid w:val="00F932E0"/>
    <w:rsid w:val="00F93BF5"/>
    <w:rsid w:val="00F94043"/>
    <w:rsid w:val="00F94791"/>
    <w:rsid w:val="00F94AC3"/>
    <w:rsid w:val="00F956EA"/>
    <w:rsid w:val="00F96A06"/>
    <w:rsid w:val="00FA1B03"/>
    <w:rsid w:val="00FA35BC"/>
    <w:rsid w:val="00FA5F55"/>
    <w:rsid w:val="00FB246C"/>
    <w:rsid w:val="00FB27CE"/>
    <w:rsid w:val="00FB46E9"/>
    <w:rsid w:val="00FC01D1"/>
    <w:rsid w:val="00FC1422"/>
    <w:rsid w:val="00FC202C"/>
    <w:rsid w:val="00FC36CC"/>
    <w:rsid w:val="00FC37C0"/>
    <w:rsid w:val="00FC392F"/>
    <w:rsid w:val="00FC3D36"/>
    <w:rsid w:val="00FC48A1"/>
    <w:rsid w:val="00FC4F1B"/>
    <w:rsid w:val="00FC5071"/>
    <w:rsid w:val="00FC6589"/>
    <w:rsid w:val="00FC7F4D"/>
    <w:rsid w:val="00FD1C83"/>
    <w:rsid w:val="00FD3668"/>
    <w:rsid w:val="00FD36E6"/>
    <w:rsid w:val="00FD44CC"/>
    <w:rsid w:val="00FD4B6E"/>
    <w:rsid w:val="00FD54AC"/>
    <w:rsid w:val="00FD620A"/>
    <w:rsid w:val="00FD6AF1"/>
    <w:rsid w:val="00FD6DB7"/>
    <w:rsid w:val="00FD784C"/>
    <w:rsid w:val="00FE0554"/>
    <w:rsid w:val="00FE0E75"/>
    <w:rsid w:val="00FE12AB"/>
    <w:rsid w:val="00FE14E5"/>
    <w:rsid w:val="00FE1B54"/>
    <w:rsid w:val="00FE2018"/>
    <w:rsid w:val="00FE2507"/>
    <w:rsid w:val="00FE28CB"/>
    <w:rsid w:val="00FE36C6"/>
    <w:rsid w:val="00FE46C0"/>
    <w:rsid w:val="00FE56B4"/>
    <w:rsid w:val="00FE7BA4"/>
    <w:rsid w:val="00FF0988"/>
    <w:rsid w:val="00FF1828"/>
    <w:rsid w:val="00FF19B6"/>
    <w:rsid w:val="00FF4B54"/>
    <w:rsid w:val="00FF5669"/>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FCB"/>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0"/>
    <w:qFormat/>
    <w:rsid w:val="00F73FC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F73FCB"/>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0"/>
    <w:qFormat/>
    <w:rsid w:val="00F73FCB"/>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0"/>
    <w:qFormat/>
    <w:rsid w:val="00F73FCB"/>
    <w:pPr>
      <w:keepNext/>
      <w:numPr>
        <w:ilvl w:val="3"/>
        <w:numId w:val="2"/>
      </w:numPr>
      <w:tabs>
        <w:tab w:val="left" w:pos="2880"/>
      </w:tabs>
      <w:spacing w:after="120"/>
      <w:outlineLvl w:val="3"/>
    </w:pPr>
    <w:rPr>
      <w:b/>
    </w:rPr>
  </w:style>
  <w:style w:type="paragraph" w:styleId="Heading5">
    <w:name w:val="heading 5"/>
    <w:basedOn w:val="Normal"/>
    <w:next w:val="ParaNum0"/>
    <w:qFormat/>
    <w:rsid w:val="00F73FCB"/>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F73FCB"/>
    <w:pPr>
      <w:numPr>
        <w:ilvl w:val="5"/>
        <w:numId w:val="2"/>
      </w:numPr>
      <w:tabs>
        <w:tab w:val="left" w:pos="4320"/>
      </w:tabs>
      <w:spacing w:after="120"/>
      <w:outlineLvl w:val="5"/>
    </w:pPr>
    <w:rPr>
      <w:b/>
    </w:rPr>
  </w:style>
  <w:style w:type="paragraph" w:styleId="Heading7">
    <w:name w:val="heading 7"/>
    <w:basedOn w:val="Normal"/>
    <w:next w:val="ParaNum0"/>
    <w:qFormat/>
    <w:rsid w:val="00F73FCB"/>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F73FCB"/>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F73FC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73F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3FCB"/>
  </w:style>
  <w:style w:type="paragraph" w:customStyle="1" w:styleId="ParaNum0">
    <w:name w:val="ParaNum"/>
    <w:basedOn w:val="Normal"/>
    <w:link w:val="ParaNumChar"/>
    <w:rsid w:val="00F73FCB"/>
    <w:pPr>
      <w:numPr>
        <w:numId w:val="1"/>
      </w:numPr>
      <w:tabs>
        <w:tab w:val="clear" w:pos="1080"/>
        <w:tab w:val="num" w:pos="1440"/>
      </w:tabs>
      <w:spacing w:after="120"/>
    </w:pPr>
  </w:style>
  <w:style w:type="paragraph" w:styleId="EndnoteText">
    <w:name w:val="endnote text"/>
    <w:basedOn w:val="Normal"/>
    <w:semiHidden/>
    <w:rsid w:val="00F73FCB"/>
    <w:rPr>
      <w:sz w:val="20"/>
    </w:rPr>
  </w:style>
  <w:style w:type="character" w:styleId="EndnoteReference">
    <w:name w:val="endnote reference"/>
    <w:semiHidden/>
    <w:rsid w:val="00F73FCB"/>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F73FCB"/>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F73FCB"/>
    <w:rPr>
      <w:rFonts w:ascii="Times New Roman" w:hAnsi="Times New Roman"/>
      <w:dstrike w:val="0"/>
      <w:color w:val="auto"/>
      <w:sz w:val="20"/>
      <w:vertAlign w:val="superscript"/>
    </w:rPr>
  </w:style>
  <w:style w:type="paragraph" w:styleId="TOC1">
    <w:name w:val="toc 1"/>
    <w:basedOn w:val="Normal"/>
    <w:next w:val="Normal"/>
    <w:rsid w:val="00F73FCB"/>
    <w:pPr>
      <w:tabs>
        <w:tab w:val="left" w:pos="360"/>
        <w:tab w:val="right" w:leader="dot" w:pos="9360"/>
      </w:tabs>
      <w:suppressAutoHyphens/>
      <w:ind w:left="360" w:right="720" w:hanging="360"/>
    </w:pPr>
    <w:rPr>
      <w:caps/>
      <w:noProof/>
    </w:rPr>
  </w:style>
  <w:style w:type="paragraph" w:styleId="TOC2">
    <w:name w:val="toc 2"/>
    <w:basedOn w:val="Normal"/>
    <w:next w:val="Normal"/>
    <w:rsid w:val="00F73FCB"/>
    <w:pPr>
      <w:tabs>
        <w:tab w:val="left" w:pos="720"/>
        <w:tab w:val="right" w:leader="dot" w:pos="9360"/>
      </w:tabs>
      <w:suppressAutoHyphens/>
      <w:ind w:left="720" w:right="720" w:hanging="360"/>
    </w:pPr>
    <w:rPr>
      <w:noProof/>
    </w:rPr>
  </w:style>
  <w:style w:type="paragraph" w:styleId="TOC3">
    <w:name w:val="toc 3"/>
    <w:basedOn w:val="Normal"/>
    <w:next w:val="Normal"/>
    <w:rsid w:val="00F73FC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73FC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73FC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73FC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73FC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73FC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73FC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73FCB"/>
    <w:pPr>
      <w:tabs>
        <w:tab w:val="right" w:pos="9360"/>
      </w:tabs>
      <w:suppressAutoHyphens/>
    </w:pPr>
  </w:style>
  <w:style w:type="character" w:customStyle="1" w:styleId="EquationCaption">
    <w:name w:val="_Equation Caption"/>
    <w:rsid w:val="00F73FCB"/>
  </w:style>
  <w:style w:type="paragraph" w:styleId="Header">
    <w:name w:val="header"/>
    <w:basedOn w:val="Normal"/>
    <w:link w:val="HeaderChar"/>
    <w:autoRedefine/>
    <w:rsid w:val="00F73FCB"/>
    <w:pPr>
      <w:tabs>
        <w:tab w:val="center" w:pos="4680"/>
        <w:tab w:val="right" w:pos="9360"/>
      </w:tabs>
    </w:pPr>
    <w:rPr>
      <w:b/>
    </w:rPr>
  </w:style>
  <w:style w:type="paragraph" w:styleId="Footer">
    <w:name w:val="footer"/>
    <w:basedOn w:val="Normal"/>
    <w:link w:val="FooterChar"/>
    <w:rsid w:val="00F73FCB"/>
    <w:pPr>
      <w:tabs>
        <w:tab w:val="center" w:pos="4320"/>
        <w:tab w:val="right" w:pos="8640"/>
      </w:tabs>
    </w:pPr>
  </w:style>
  <w:style w:type="character" w:styleId="PageNumber">
    <w:name w:val="page number"/>
    <w:basedOn w:val="DefaultParagraphFont"/>
    <w:rsid w:val="00F73FCB"/>
  </w:style>
  <w:style w:type="paragraph" w:styleId="BlockText">
    <w:name w:val="Block Text"/>
    <w:basedOn w:val="Normal"/>
    <w:rsid w:val="00F73FCB"/>
    <w:pPr>
      <w:spacing w:after="240"/>
      <w:ind w:left="1440" w:right="1440"/>
    </w:pPr>
  </w:style>
  <w:style w:type="paragraph" w:customStyle="1" w:styleId="Paratitle">
    <w:name w:val="Para title"/>
    <w:basedOn w:val="Normal"/>
    <w:rsid w:val="00F73FCB"/>
    <w:pPr>
      <w:tabs>
        <w:tab w:val="center" w:pos="9270"/>
      </w:tabs>
      <w:spacing w:after="240"/>
    </w:pPr>
    <w:rPr>
      <w:spacing w:val="-2"/>
    </w:rPr>
  </w:style>
  <w:style w:type="paragraph" w:customStyle="1" w:styleId="Bullet">
    <w:name w:val="Bullet"/>
    <w:basedOn w:val="Normal"/>
    <w:rsid w:val="00F73FCB"/>
    <w:pPr>
      <w:tabs>
        <w:tab w:val="left" w:pos="2160"/>
      </w:tabs>
      <w:spacing w:after="220"/>
      <w:ind w:left="2160" w:hanging="720"/>
    </w:pPr>
  </w:style>
  <w:style w:type="paragraph" w:customStyle="1" w:styleId="TableFormat">
    <w:name w:val="TableFormat"/>
    <w:basedOn w:val="Bullet"/>
    <w:rsid w:val="00F73FCB"/>
    <w:pPr>
      <w:tabs>
        <w:tab w:val="clear" w:pos="2160"/>
        <w:tab w:val="left" w:pos="5040"/>
      </w:tabs>
      <w:ind w:left="5040" w:hanging="3600"/>
    </w:pPr>
  </w:style>
  <w:style w:type="paragraph" w:customStyle="1" w:styleId="TOCTitle">
    <w:name w:val="TOC Title"/>
    <w:basedOn w:val="Normal"/>
    <w:rsid w:val="00F73FC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73FCB"/>
    <w:pPr>
      <w:jc w:val="center"/>
    </w:pPr>
    <w:rPr>
      <w:rFonts w:ascii="Times New Roman Bold" w:hAnsi="Times New Roman Bold"/>
      <w:b/>
      <w:bCs/>
      <w:caps/>
      <w:szCs w:val="22"/>
    </w:rPr>
  </w:style>
  <w:style w:type="character" w:styleId="Hyperlink">
    <w:name w:val="Hyperlink"/>
    <w:rsid w:val="00F73FCB"/>
    <w:rPr>
      <w:color w:val="0000FF"/>
      <w:u w:val="single"/>
    </w:rPr>
  </w:style>
  <w:style w:type="paragraph" w:styleId="ListParagraph">
    <w:name w:val="List Paragraph"/>
    <w:basedOn w:val="Normal"/>
    <w:uiPriority w:val="34"/>
    <w:qFormat/>
    <w:rsid w:val="00FC7F4D"/>
    <w:pPr>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FC7F4D"/>
  </w:style>
  <w:style w:type="paragraph" w:customStyle="1" w:styleId="Paranum">
    <w:name w:val="Paranum"/>
    <w:basedOn w:val="Normal"/>
    <w:rsid w:val="00BE6E64"/>
    <w:pPr>
      <w:numPr>
        <w:numId w:val="3"/>
      </w:numPr>
      <w:spacing w:after="220"/>
      <w:jc w:val="both"/>
    </w:pPr>
    <w:rPr>
      <w:snapToGrid/>
      <w:kern w:val="0"/>
    </w:rPr>
  </w:style>
  <w:style w:type="character" w:customStyle="1" w:styleId="HeaderChar">
    <w:name w:val="Header Char"/>
    <w:basedOn w:val="DefaultParagraphFont"/>
    <w:link w:val="Header"/>
    <w:rsid w:val="0057774B"/>
    <w:rPr>
      <w:b/>
      <w:snapToGrid w:val="0"/>
      <w:kern w:val="28"/>
      <w:sz w:val="22"/>
    </w:rPr>
  </w:style>
  <w:style w:type="paragraph" w:styleId="NormalWeb">
    <w:name w:val="Normal (Web)"/>
    <w:basedOn w:val="Normal"/>
    <w:uiPriority w:val="99"/>
    <w:unhideWhenUsed/>
    <w:rsid w:val="007A5CA9"/>
    <w:rPr>
      <w:snapToGrid/>
      <w:kern w:val="0"/>
      <w:sz w:val="24"/>
      <w:szCs w:val="24"/>
    </w:rPr>
  </w:style>
  <w:style w:type="character" w:customStyle="1" w:styleId="searchterm">
    <w:name w:val="searchterm"/>
    <w:basedOn w:val="DefaultParagraphFont"/>
    <w:rsid w:val="007A5CA9"/>
  </w:style>
  <w:style w:type="character" w:styleId="Emphasis">
    <w:name w:val="Emphasis"/>
    <w:basedOn w:val="DefaultParagraphFont"/>
    <w:uiPriority w:val="20"/>
    <w:qFormat/>
    <w:rsid w:val="007A5CA9"/>
    <w:rPr>
      <w:i/>
      <w:iCs/>
    </w:rPr>
  </w:style>
  <w:style w:type="character" w:styleId="CommentReference">
    <w:name w:val="annotation reference"/>
    <w:basedOn w:val="DefaultParagraphFont"/>
    <w:unhideWhenUsed/>
    <w:rsid w:val="007A5CA9"/>
    <w:rPr>
      <w:sz w:val="16"/>
      <w:szCs w:val="16"/>
    </w:rPr>
  </w:style>
  <w:style w:type="paragraph" w:styleId="CommentText">
    <w:name w:val="annotation text"/>
    <w:basedOn w:val="Normal"/>
    <w:link w:val="CommentTextChar"/>
    <w:unhideWhenUsed/>
    <w:rsid w:val="007A5CA9"/>
    <w:pPr>
      <w:spacing w:after="200"/>
    </w:pPr>
    <w:rPr>
      <w:rFonts w:ascii="Calibri" w:eastAsia="Calibri" w:hAnsi="Calibri"/>
      <w:snapToGrid/>
      <w:kern w:val="0"/>
      <w:sz w:val="20"/>
    </w:rPr>
  </w:style>
  <w:style w:type="character" w:customStyle="1" w:styleId="CommentTextChar">
    <w:name w:val="Comment Text Char"/>
    <w:basedOn w:val="DefaultParagraphFont"/>
    <w:link w:val="CommentText"/>
    <w:rsid w:val="007A5CA9"/>
    <w:rPr>
      <w:rFonts w:ascii="Calibri" w:eastAsia="Calibri" w:hAnsi="Calibri"/>
    </w:rPr>
  </w:style>
  <w:style w:type="paragraph" w:styleId="BalloonText">
    <w:name w:val="Balloon Text"/>
    <w:basedOn w:val="Normal"/>
    <w:link w:val="BalloonTextChar"/>
    <w:rsid w:val="007A5CA9"/>
    <w:rPr>
      <w:rFonts w:ascii="Tahoma" w:hAnsi="Tahoma" w:cs="Tahoma"/>
      <w:sz w:val="16"/>
      <w:szCs w:val="16"/>
    </w:rPr>
  </w:style>
  <w:style w:type="character" w:customStyle="1" w:styleId="BalloonTextChar">
    <w:name w:val="Balloon Text Char"/>
    <w:basedOn w:val="DefaultParagraphFont"/>
    <w:link w:val="BalloonText"/>
    <w:rsid w:val="007A5CA9"/>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5655A5"/>
    <w:rPr>
      <w:b/>
      <w:snapToGrid w:val="0"/>
      <w:kern w:val="28"/>
      <w:sz w:val="22"/>
    </w:rPr>
  </w:style>
  <w:style w:type="character" w:customStyle="1" w:styleId="cosearchterm">
    <w:name w:val="co_searchterm"/>
    <w:basedOn w:val="DefaultParagraphFont"/>
    <w:rsid w:val="001D548E"/>
  </w:style>
  <w:style w:type="character" w:customStyle="1" w:styleId="documentbody">
    <w:name w:val="documentbody"/>
    <w:basedOn w:val="DefaultParagraphFont"/>
    <w:rsid w:val="001D548E"/>
  </w:style>
  <w:style w:type="paragraph" w:styleId="CommentSubject">
    <w:name w:val="annotation subject"/>
    <w:basedOn w:val="CommentText"/>
    <w:next w:val="CommentText"/>
    <w:link w:val="CommentSubjectChar"/>
    <w:rsid w:val="00A926F6"/>
    <w:pPr>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926F6"/>
    <w:rPr>
      <w:rFonts w:ascii="Calibri" w:eastAsia="Calibri" w:hAnsi="Calibri"/>
      <w:b/>
      <w:bCs/>
      <w:snapToGrid w:val="0"/>
      <w:kern w:val="28"/>
    </w:rPr>
  </w:style>
  <w:style w:type="character" w:customStyle="1" w:styleId="ParaNumChar">
    <w:name w:val="ParaNum Char"/>
    <w:link w:val="ParaNum0"/>
    <w:locked/>
    <w:rsid w:val="00274D22"/>
    <w:rPr>
      <w:snapToGrid w:val="0"/>
      <w:kern w:val="28"/>
      <w:sz w:val="22"/>
    </w:rPr>
  </w:style>
  <w:style w:type="character" w:customStyle="1" w:styleId="FootnoteTextChar1">
    <w:name w:val="Footnote Text Char1"/>
    <w:aliases w:val="ALTS FOOTNOTE Char Char,fn Char Char,Footnote Text Char2 Char Char,fn Char2,fn Char1 Char1,f Char1"/>
    <w:semiHidden/>
    <w:locked/>
    <w:rsid w:val="00BC130A"/>
    <w:rPr>
      <w:rFonts w:eastAsia="MS Mincho"/>
      <w:lang w:val="en-US" w:eastAsia="en-US" w:bidi="ar-SA"/>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1D72D4"/>
  </w:style>
  <w:style w:type="character" w:customStyle="1" w:styleId="BalloonTextChar1">
    <w:name w:val="Balloon Text Char1"/>
    <w:basedOn w:val="DefaultParagraphFont"/>
    <w:rsid w:val="001D72D4"/>
    <w:rPr>
      <w:rFonts w:ascii="Tahoma" w:hAnsi="Tahoma" w:cs="Tahoma"/>
      <w:snapToGrid w:val="0"/>
      <w:kern w:val="28"/>
      <w:sz w:val="16"/>
      <w:szCs w:val="16"/>
    </w:rPr>
  </w:style>
  <w:style w:type="character" w:customStyle="1" w:styleId="ParaNumChar4">
    <w:name w:val="ParaNum Char4"/>
    <w:basedOn w:val="DefaultParagraphFont"/>
    <w:rsid w:val="001D72D4"/>
    <w:rPr>
      <w:snapToGrid w:val="0"/>
      <w:kern w:val="28"/>
      <w:sz w:val="22"/>
    </w:rPr>
  </w:style>
  <w:style w:type="character" w:customStyle="1" w:styleId="highlight">
    <w:name w:val="highlight"/>
    <w:basedOn w:val="DefaultParagraphFont"/>
    <w:rsid w:val="00343247"/>
  </w:style>
  <w:style w:type="paragraph" w:customStyle="1" w:styleId="Default">
    <w:name w:val="Default"/>
    <w:rsid w:val="00354F74"/>
    <w:pPr>
      <w:autoSpaceDE w:val="0"/>
      <w:autoSpaceDN w:val="0"/>
      <w:adjustRightInd w:val="0"/>
    </w:pPr>
    <w:rPr>
      <w:color w:val="000000"/>
      <w:sz w:val="24"/>
      <w:szCs w:val="24"/>
    </w:rPr>
  </w:style>
  <w:style w:type="character" w:styleId="FollowedHyperlink">
    <w:name w:val="FollowedHyperlink"/>
    <w:basedOn w:val="DefaultParagraphFont"/>
    <w:rsid w:val="00B23E52"/>
    <w:rPr>
      <w:color w:val="800080" w:themeColor="followedHyperlink"/>
      <w:u w:val="single"/>
    </w:rPr>
  </w:style>
  <w:style w:type="paragraph" w:styleId="BodyText">
    <w:name w:val="Body Text"/>
    <w:basedOn w:val="Normal"/>
    <w:link w:val="BodyTextChar"/>
    <w:rsid w:val="00445619"/>
    <w:rPr>
      <w:kern w:val="0"/>
      <w:sz w:val="24"/>
      <w:szCs w:val="24"/>
    </w:rPr>
  </w:style>
  <w:style w:type="character" w:customStyle="1" w:styleId="BodyTextChar">
    <w:name w:val="Body Text Char"/>
    <w:basedOn w:val="DefaultParagraphFont"/>
    <w:link w:val="BodyText"/>
    <w:rsid w:val="00445619"/>
    <w:rPr>
      <w:snapToGrid w:val="0"/>
      <w:sz w:val="24"/>
      <w:szCs w:val="24"/>
    </w:rPr>
  </w:style>
  <w:style w:type="character" w:customStyle="1" w:styleId="BalloonTextChar2">
    <w:name w:val="Balloon Text Char2"/>
    <w:basedOn w:val="DefaultParagraphFont"/>
    <w:rsid w:val="005B7296"/>
    <w:rPr>
      <w:rFonts w:ascii="Tahoma" w:hAnsi="Tahoma" w:cs="Tahoma"/>
      <w:snapToGrid w:val="0"/>
      <w:kern w:val="28"/>
      <w:sz w:val="16"/>
      <w:szCs w:val="16"/>
    </w:rPr>
  </w:style>
  <w:style w:type="character" w:customStyle="1" w:styleId="ptext-">
    <w:name w:val="ptext-"/>
    <w:basedOn w:val="DefaultParagraphFont"/>
    <w:rsid w:val="0067072D"/>
  </w:style>
  <w:style w:type="paragraph" w:styleId="Revision">
    <w:name w:val="Revision"/>
    <w:hidden/>
    <w:uiPriority w:val="99"/>
    <w:semiHidden/>
    <w:rsid w:val="000220D8"/>
    <w:rPr>
      <w:snapToGrid w:val="0"/>
      <w:kern w:val="28"/>
      <w:sz w:val="22"/>
    </w:rPr>
  </w:style>
  <w:style w:type="character" w:customStyle="1" w:styleId="FooterChar">
    <w:name w:val="Footer Char"/>
    <w:basedOn w:val="DefaultParagraphFont"/>
    <w:link w:val="Footer"/>
    <w:rsid w:val="00117FA6"/>
    <w:rPr>
      <w:snapToGrid w:val="0"/>
      <w:kern w:val="28"/>
      <w:sz w:val="22"/>
    </w:rPr>
  </w:style>
  <w:style w:type="character" w:customStyle="1" w:styleId="ParaNumCharChar1">
    <w:name w:val="ParaNum Char Char1"/>
    <w:rsid w:val="00904CB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FCB"/>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0"/>
    <w:qFormat/>
    <w:rsid w:val="00F73FC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F73FCB"/>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0"/>
    <w:qFormat/>
    <w:rsid w:val="00F73FCB"/>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0"/>
    <w:qFormat/>
    <w:rsid w:val="00F73FCB"/>
    <w:pPr>
      <w:keepNext/>
      <w:numPr>
        <w:ilvl w:val="3"/>
        <w:numId w:val="2"/>
      </w:numPr>
      <w:tabs>
        <w:tab w:val="left" w:pos="2880"/>
      </w:tabs>
      <w:spacing w:after="120"/>
      <w:outlineLvl w:val="3"/>
    </w:pPr>
    <w:rPr>
      <w:b/>
    </w:rPr>
  </w:style>
  <w:style w:type="paragraph" w:styleId="Heading5">
    <w:name w:val="heading 5"/>
    <w:basedOn w:val="Normal"/>
    <w:next w:val="ParaNum0"/>
    <w:qFormat/>
    <w:rsid w:val="00F73FCB"/>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F73FCB"/>
    <w:pPr>
      <w:numPr>
        <w:ilvl w:val="5"/>
        <w:numId w:val="2"/>
      </w:numPr>
      <w:tabs>
        <w:tab w:val="left" w:pos="4320"/>
      </w:tabs>
      <w:spacing w:after="120"/>
      <w:outlineLvl w:val="5"/>
    </w:pPr>
    <w:rPr>
      <w:b/>
    </w:rPr>
  </w:style>
  <w:style w:type="paragraph" w:styleId="Heading7">
    <w:name w:val="heading 7"/>
    <w:basedOn w:val="Normal"/>
    <w:next w:val="ParaNum0"/>
    <w:qFormat/>
    <w:rsid w:val="00F73FCB"/>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F73FCB"/>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F73FC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73F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3FCB"/>
  </w:style>
  <w:style w:type="paragraph" w:customStyle="1" w:styleId="ParaNum0">
    <w:name w:val="ParaNum"/>
    <w:basedOn w:val="Normal"/>
    <w:link w:val="ParaNumChar"/>
    <w:rsid w:val="00F73FCB"/>
    <w:pPr>
      <w:numPr>
        <w:numId w:val="1"/>
      </w:numPr>
      <w:tabs>
        <w:tab w:val="clear" w:pos="1080"/>
        <w:tab w:val="num" w:pos="1440"/>
      </w:tabs>
      <w:spacing w:after="120"/>
    </w:pPr>
  </w:style>
  <w:style w:type="paragraph" w:styleId="EndnoteText">
    <w:name w:val="endnote text"/>
    <w:basedOn w:val="Normal"/>
    <w:semiHidden/>
    <w:rsid w:val="00F73FCB"/>
    <w:rPr>
      <w:sz w:val="20"/>
    </w:rPr>
  </w:style>
  <w:style w:type="character" w:styleId="EndnoteReference">
    <w:name w:val="endnote reference"/>
    <w:semiHidden/>
    <w:rsid w:val="00F73FCB"/>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F73FCB"/>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F73FCB"/>
    <w:rPr>
      <w:rFonts w:ascii="Times New Roman" w:hAnsi="Times New Roman"/>
      <w:dstrike w:val="0"/>
      <w:color w:val="auto"/>
      <w:sz w:val="20"/>
      <w:vertAlign w:val="superscript"/>
    </w:rPr>
  </w:style>
  <w:style w:type="paragraph" w:styleId="TOC1">
    <w:name w:val="toc 1"/>
    <w:basedOn w:val="Normal"/>
    <w:next w:val="Normal"/>
    <w:rsid w:val="00F73FCB"/>
    <w:pPr>
      <w:tabs>
        <w:tab w:val="left" w:pos="360"/>
        <w:tab w:val="right" w:leader="dot" w:pos="9360"/>
      </w:tabs>
      <w:suppressAutoHyphens/>
      <w:ind w:left="360" w:right="720" w:hanging="360"/>
    </w:pPr>
    <w:rPr>
      <w:caps/>
      <w:noProof/>
    </w:rPr>
  </w:style>
  <w:style w:type="paragraph" w:styleId="TOC2">
    <w:name w:val="toc 2"/>
    <w:basedOn w:val="Normal"/>
    <w:next w:val="Normal"/>
    <w:rsid w:val="00F73FCB"/>
    <w:pPr>
      <w:tabs>
        <w:tab w:val="left" w:pos="720"/>
        <w:tab w:val="right" w:leader="dot" w:pos="9360"/>
      </w:tabs>
      <w:suppressAutoHyphens/>
      <w:ind w:left="720" w:right="720" w:hanging="360"/>
    </w:pPr>
    <w:rPr>
      <w:noProof/>
    </w:rPr>
  </w:style>
  <w:style w:type="paragraph" w:styleId="TOC3">
    <w:name w:val="toc 3"/>
    <w:basedOn w:val="Normal"/>
    <w:next w:val="Normal"/>
    <w:rsid w:val="00F73FC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73FC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73FC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73FC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73FC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73FC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73FC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73FCB"/>
    <w:pPr>
      <w:tabs>
        <w:tab w:val="right" w:pos="9360"/>
      </w:tabs>
      <w:suppressAutoHyphens/>
    </w:pPr>
  </w:style>
  <w:style w:type="character" w:customStyle="1" w:styleId="EquationCaption">
    <w:name w:val="_Equation Caption"/>
    <w:rsid w:val="00F73FCB"/>
  </w:style>
  <w:style w:type="paragraph" w:styleId="Header">
    <w:name w:val="header"/>
    <w:basedOn w:val="Normal"/>
    <w:link w:val="HeaderChar"/>
    <w:autoRedefine/>
    <w:rsid w:val="00F73FCB"/>
    <w:pPr>
      <w:tabs>
        <w:tab w:val="center" w:pos="4680"/>
        <w:tab w:val="right" w:pos="9360"/>
      </w:tabs>
    </w:pPr>
    <w:rPr>
      <w:b/>
    </w:rPr>
  </w:style>
  <w:style w:type="paragraph" w:styleId="Footer">
    <w:name w:val="footer"/>
    <w:basedOn w:val="Normal"/>
    <w:link w:val="FooterChar"/>
    <w:rsid w:val="00F73FCB"/>
    <w:pPr>
      <w:tabs>
        <w:tab w:val="center" w:pos="4320"/>
        <w:tab w:val="right" w:pos="8640"/>
      </w:tabs>
    </w:pPr>
  </w:style>
  <w:style w:type="character" w:styleId="PageNumber">
    <w:name w:val="page number"/>
    <w:basedOn w:val="DefaultParagraphFont"/>
    <w:rsid w:val="00F73FCB"/>
  </w:style>
  <w:style w:type="paragraph" w:styleId="BlockText">
    <w:name w:val="Block Text"/>
    <w:basedOn w:val="Normal"/>
    <w:rsid w:val="00F73FCB"/>
    <w:pPr>
      <w:spacing w:after="240"/>
      <w:ind w:left="1440" w:right="1440"/>
    </w:pPr>
  </w:style>
  <w:style w:type="paragraph" w:customStyle="1" w:styleId="Paratitle">
    <w:name w:val="Para title"/>
    <w:basedOn w:val="Normal"/>
    <w:rsid w:val="00F73FCB"/>
    <w:pPr>
      <w:tabs>
        <w:tab w:val="center" w:pos="9270"/>
      </w:tabs>
      <w:spacing w:after="240"/>
    </w:pPr>
    <w:rPr>
      <w:spacing w:val="-2"/>
    </w:rPr>
  </w:style>
  <w:style w:type="paragraph" w:customStyle="1" w:styleId="Bullet">
    <w:name w:val="Bullet"/>
    <w:basedOn w:val="Normal"/>
    <w:rsid w:val="00F73FCB"/>
    <w:pPr>
      <w:tabs>
        <w:tab w:val="left" w:pos="2160"/>
      </w:tabs>
      <w:spacing w:after="220"/>
      <w:ind w:left="2160" w:hanging="720"/>
    </w:pPr>
  </w:style>
  <w:style w:type="paragraph" w:customStyle="1" w:styleId="TableFormat">
    <w:name w:val="TableFormat"/>
    <w:basedOn w:val="Bullet"/>
    <w:rsid w:val="00F73FCB"/>
    <w:pPr>
      <w:tabs>
        <w:tab w:val="clear" w:pos="2160"/>
        <w:tab w:val="left" w:pos="5040"/>
      </w:tabs>
      <w:ind w:left="5040" w:hanging="3600"/>
    </w:pPr>
  </w:style>
  <w:style w:type="paragraph" w:customStyle="1" w:styleId="TOCTitle">
    <w:name w:val="TOC Title"/>
    <w:basedOn w:val="Normal"/>
    <w:rsid w:val="00F73FC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73FCB"/>
    <w:pPr>
      <w:jc w:val="center"/>
    </w:pPr>
    <w:rPr>
      <w:rFonts w:ascii="Times New Roman Bold" w:hAnsi="Times New Roman Bold"/>
      <w:b/>
      <w:bCs/>
      <w:caps/>
      <w:szCs w:val="22"/>
    </w:rPr>
  </w:style>
  <w:style w:type="character" w:styleId="Hyperlink">
    <w:name w:val="Hyperlink"/>
    <w:rsid w:val="00F73FCB"/>
    <w:rPr>
      <w:color w:val="0000FF"/>
      <w:u w:val="single"/>
    </w:rPr>
  </w:style>
  <w:style w:type="paragraph" w:styleId="ListParagraph">
    <w:name w:val="List Paragraph"/>
    <w:basedOn w:val="Normal"/>
    <w:uiPriority w:val="34"/>
    <w:qFormat/>
    <w:rsid w:val="00FC7F4D"/>
    <w:pPr>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FC7F4D"/>
  </w:style>
  <w:style w:type="paragraph" w:customStyle="1" w:styleId="Paranum">
    <w:name w:val="Paranum"/>
    <w:basedOn w:val="Normal"/>
    <w:rsid w:val="00BE6E64"/>
    <w:pPr>
      <w:numPr>
        <w:numId w:val="3"/>
      </w:numPr>
      <w:spacing w:after="220"/>
      <w:jc w:val="both"/>
    </w:pPr>
    <w:rPr>
      <w:snapToGrid/>
      <w:kern w:val="0"/>
    </w:rPr>
  </w:style>
  <w:style w:type="character" w:customStyle="1" w:styleId="HeaderChar">
    <w:name w:val="Header Char"/>
    <w:basedOn w:val="DefaultParagraphFont"/>
    <w:link w:val="Header"/>
    <w:rsid w:val="0057774B"/>
    <w:rPr>
      <w:b/>
      <w:snapToGrid w:val="0"/>
      <w:kern w:val="28"/>
      <w:sz w:val="22"/>
    </w:rPr>
  </w:style>
  <w:style w:type="paragraph" w:styleId="NormalWeb">
    <w:name w:val="Normal (Web)"/>
    <w:basedOn w:val="Normal"/>
    <w:uiPriority w:val="99"/>
    <w:unhideWhenUsed/>
    <w:rsid w:val="007A5CA9"/>
    <w:rPr>
      <w:snapToGrid/>
      <w:kern w:val="0"/>
      <w:sz w:val="24"/>
      <w:szCs w:val="24"/>
    </w:rPr>
  </w:style>
  <w:style w:type="character" w:customStyle="1" w:styleId="searchterm">
    <w:name w:val="searchterm"/>
    <w:basedOn w:val="DefaultParagraphFont"/>
    <w:rsid w:val="007A5CA9"/>
  </w:style>
  <w:style w:type="character" w:styleId="Emphasis">
    <w:name w:val="Emphasis"/>
    <w:basedOn w:val="DefaultParagraphFont"/>
    <w:uiPriority w:val="20"/>
    <w:qFormat/>
    <w:rsid w:val="007A5CA9"/>
    <w:rPr>
      <w:i/>
      <w:iCs/>
    </w:rPr>
  </w:style>
  <w:style w:type="character" w:styleId="CommentReference">
    <w:name w:val="annotation reference"/>
    <w:basedOn w:val="DefaultParagraphFont"/>
    <w:unhideWhenUsed/>
    <w:rsid w:val="007A5CA9"/>
    <w:rPr>
      <w:sz w:val="16"/>
      <w:szCs w:val="16"/>
    </w:rPr>
  </w:style>
  <w:style w:type="paragraph" w:styleId="CommentText">
    <w:name w:val="annotation text"/>
    <w:basedOn w:val="Normal"/>
    <w:link w:val="CommentTextChar"/>
    <w:unhideWhenUsed/>
    <w:rsid w:val="007A5CA9"/>
    <w:pPr>
      <w:spacing w:after="200"/>
    </w:pPr>
    <w:rPr>
      <w:rFonts w:ascii="Calibri" w:eastAsia="Calibri" w:hAnsi="Calibri"/>
      <w:snapToGrid/>
      <w:kern w:val="0"/>
      <w:sz w:val="20"/>
    </w:rPr>
  </w:style>
  <w:style w:type="character" w:customStyle="1" w:styleId="CommentTextChar">
    <w:name w:val="Comment Text Char"/>
    <w:basedOn w:val="DefaultParagraphFont"/>
    <w:link w:val="CommentText"/>
    <w:rsid w:val="007A5CA9"/>
    <w:rPr>
      <w:rFonts w:ascii="Calibri" w:eastAsia="Calibri" w:hAnsi="Calibri"/>
    </w:rPr>
  </w:style>
  <w:style w:type="paragraph" w:styleId="BalloonText">
    <w:name w:val="Balloon Text"/>
    <w:basedOn w:val="Normal"/>
    <w:link w:val="BalloonTextChar"/>
    <w:rsid w:val="007A5CA9"/>
    <w:rPr>
      <w:rFonts w:ascii="Tahoma" w:hAnsi="Tahoma" w:cs="Tahoma"/>
      <w:sz w:val="16"/>
      <w:szCs w:val="16"/>
    </w:rPr>
  </w:style>
  <w:style w:type="character" w:customStyle="1" w:styleId="BalloonTextChar">
    <w:name w:val="Balloon Text Char"/>
    <w:basedOn w:val="DefaultParagraphFont"/>
    <w:link w:val="BalloonText"/>
    <w:rsid w:val="007A5CA9"/>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5655A5"/>
    <w:rPr>
      <w:b/>
      <w:snapToGrid w:val="0"/>
      <w:kern w:val="28"/>
      <w:sz w:val="22"/>
    </w:rPr>
  </w:style>
  <w:style w:type="character" w:customStyle="1" w:styleId="cosearchterm">
    <w:name w:val="co_searchterm"/>
    <w:basedOn w:val="DefaultParagraphFont"/>
    <w:rsid w:val="001D548E"/>
  </w:style>
  <w:style w:type="character" w:customStyle="1" w:styleId="documentbody">
    <w:name w:val="documentbody"/>
    <w:basedOn w:val="DefaultParagraphFont"/>
    <w:rsid w:val="001D548E"/>
  </w:style>
  <w:style w:type="paragraph" w:styleId="CommentSubject">
    <w:name w:val="annotation subject"/>
    <w:basedOn w:val="CommentText"/>
    <w:next w:val="CommentText"/>
    <w:link w:val="CommentSubjectChar"/>
    <w:rsid w:val="00A926F6"/>
    <w:pPr>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926F6"/>
    <w:rPr>
      <w:rFonts w:ascii="Calibri" w:eastAsia="Calibri" w:hAnsi="Calibri"/>
      <w:b/>
      <w:bCs/>
      <w:snapToGrid w:val="0"/>
      <w:kern w:val="28"/>
    </w:rPr>
  </w:style>
  <w:style w:type="character" w:customStyle="1" w:styleId="ParaNumChar">
    <w:name w:val="ParaNum Char"/>
    <w:link w:val="ParaNum0"/>
    <w:locked/>
    <w:rsid w:val="00274D22"/>
    <w:rPr>
      <w:snapToGrid w:val="0"/>
      <w:kern w:val="28"/>
      <w:sz w:val="22"/>
    </w:rPr>
  </w:style>
  <w:style w:type="character" w:customStyle="1" w:styleId="FootnoteTextChar1">
    <w:name w:val="Footnote Text Char1"/>
    <w:aliases w:val="ALTS FOOTNOTE Char Char,fn Char Char,Footnote Text Char2 Char Char,fn Char2,fn Char1 Char1,f Char1"/>
    <w:semiHidden/>
    <w:locked/>
    <w:rsid w:val="00BC130A"/>
    <w:rPr>
      <w:rFonts w:eastAsia="MS Mincho"/>
      <w:lang w:val="en-US" w:eastAsia="en-US" w:bidi="ar-SA"/>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1D72D4"/>
  </w:style>
  <w:style w:type="character" w:customStyle="1" w:styleId="BalloonTextChar1">
    <w:name w:val="Balloon Text Char1"/>
    <w:basedOn w:val="DefaultParagraphFont"/>
    <w:rsid w:val="001D72D4"/>
    <w:rPr>
      <w:rFonts w:ascii="Tahoma" w:hAnsi="Tahoma" w:cs="Tahoma"/>
      <w:snapToGrid w:val="0"/>
      <w:kern w:val="28"/>
      <w:sz w:val="16"/>
      <w:szCs w:val="16"/>
    </w:rPr>
  </w:style>
  <w:style w:type="character" w:customStyle="1" w:styleId="ParaNumChar4">
    <w:name w:val="ParaNum Char4"/>
    <w:basedOn w:val="DefaultParagraphFont"/>
    <w:rsid w:val="001D72D4"/>
    <w:rPr>
      <w:snapToGrid w:val="0"/>
      <w:kern w:val="28"/>
      <w:sz w:val="22"/>
    </w:rPr>
  </w:style>
  <w:style w:type="character" w:customStyle="1" w:styleId="highlight">
    <w:name w:val="highlight"/>
    <w:basedOn w:val="DefaultParagraphFont"/>
    <w:rsid w:val="00343247"/>
  </w:style>
  <w:style w:type="paragraph" w:customStyle="1" w:styleId="Default">
    <w:name w:val="Default"/>
    <w:rsid w:val="00354F74"/>
    <w:pPr>
      <w:autoSpaceDE w:val="0"/>
      <w:autoSpaceDN w:val="0"/>
      <w:adjustRightInd w:val="0"/>
    </w:pPr>
    <w:rPr>
      <w:color w:val="000000"/>
      <w:sz w:val="24"/>
      <w:szCs w:val="24"/>
    </w:rPr>
  </w:style>
  <w:style w:type="character" w:styleId="FollowedHyperlink">
    <w:name w:val="FollowedHyperlink"/>
    <w:basedOn w:val="DefaultParagraphFont"/>
    <w:rsid w:val="00B23E52"/>
    <w:rPr>
      <w:color w:val="800080" w:themeColor="followedHyperlink"/>
      <w:u w:val="single"/>
    </w:rPr>
  </w:style>
  <w:style w:type="paragraph" w:styleId="BodyText">
    <w:name w:val="Body Text"/>
    <w:basedOn w:val="Normal"/>
    <w:link w:val="BodyTextChar"/>
    <w:rsid w:val="00445619"/>
    <w:rPr>
      <w:kern w:val="0"/>
      <w:sz w:val="24"/>
      <w:szCs w:val="24"/>
    </w:rPr>
  </w:style>
  <w:style w:type="character" w:customStyle="1" w:styleId="BodyTextChar">
    <w:name w:val="Body Text Char"/>
    <w:basedOn w:val="DefaultParagraphFont"/>
    <w:link w:val="BodyText"/>
    <w:rsid w:val="00445619"/>
    <w:rPr>
      <w:snapToGrid w:val="0"/>
      <w:sz w:val="24"/>
      <w:szCs w:val="24"/>
    </w:rPr>
  </w:style>
  <w:style w:type="character" w:customStyle="1" w:styleId="BalloonTextChar2">
    <w:name w:val="Balloon Text Char2"/>
    <w:basedOn w:val="DefaultParagraphFont"/>
    <w:rsid w:val="005B7296"/>
    <w:rPr>
      <w:rFonts w:ascii="Tahoma" w:hAnsi="Tahoma" w:cs="Tahoma"/>
      <w:snapToGrid w:val="0"/>
      <w:kern w:val="28"/>
      <w:sz w:val="16"/>
      <w:szCs w:val="16"/>
    </w:rPr>
  </w:style>
  <w:style w:type="character" w:customStyle="1" w:styleId="ptext-">
    <w:name w:val="ptext-"/>
    <w:basedOn w:val="DefaultParagraphFont"/>
    <w:rsid w:val="0067072D"/>
  </w:style>
  <w:style w:type="paragraph" w:styleId="Revision">
    <w:name w:val="Revision"/>
    <w:hidden/>
    <w:uiPriority w:val="99"/>
    <w:semiHidden/>
    <w:rsid w:val="000220D8"/>
    <w:rPr>
      <w:snapToGrid w:val="0"/>
      <w:kern w:val="28"/>
      <w:sz w:val="22"/>
    </w:rPr>
  </w:style>
  <w:style w:type="character" w:customStyle="1" w:styleId="FooterChar">
    <w:name w:val="Footer Char"/>
    <w:basedOn w:val="DefaultParagraphFont"/>
    <w:link w:val="Footer"/>
    <w:rsid w:val="00117FA6"/>
    <w:rPr>
      <w:snapToGrid w:val="0"/>
      <w:kern w:val="28"/>
      <w:sz w:val="22"/>
    </w:rPr>
  </w:style>
  <w:style w:type="character" w:customStyle="1" w:styleId="ParaNumCharChar1">
    <w:name w:val="ParaNum Char Char1"/>
    <w:rsid w:val="00904CB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589">
      <w:bodyDiv w:val="1"/>
      <w:marLeft w:val="0"/>
      <w:marRight w:val="0"/>
      <w:marTop w:val="0"/>
      <w:marBottom w:val="0"/>
      <w:divBdr>
        <w:top w:val="none" w:sz="0" w:space="0" w:color="auto"/>
        <w:left w:val="none" w:sz="0" w:space="0" w:color="auto"/>
        <w:bottom w:val="none" w:sz="0" w:space="0" w:color="auto"/>
        <w:right w:val="none" w:sz="0" w:space="0" w:color="auto"/>
      </w:divBdr>
      <w:divsChild>
        <w:div w:id="294991582">
          <w:marLeft w:val="0"/>
          <w:marRight w:val="0"/>
          <w:marTop w:val="0"/>
          <w:marBottom w:val="0"/>
          <w:divBdr>
            <w:top w:val="none" w:sz="0" w:space="0" w:color="auto"/>
            <w:left w:val="none" w:sz="0" w:space="0" w:color="auto"/>
            <w:bottom w:val="none" w:sz="0" w:space="0" w:color="auto"/>
            <w:right w:val="none" w:sz="0" w:space="0" w:color="auto"/>
          </w:divBdr>
        </w:div>
        <w:div w:id="1898779366">
          <w:marLeft w:val="0"/>
          <w:marRight w:val="0"/>
          <w:marTop w:val="0"/>
          <w:marBottom w:val="0"/>
          <w:divBdr>
            <w:top w:val="none" w:sz="0" w:space="0" w:color="auto"/>
            <w:left w:val="none" w:sz="0" w:space="0" w:color="auto"/>
            <w:bottom w:val="none" w:sz="0" w:space="0" w:color="auto"/>
            <w:right w:val="none" w:sz="0" w:space="0" w:color="auto"/>
          </w:divBdr>
        </w:div>
      </w:divsChild>
    </w:div>
    <w:div w:id="119997744">
      <w:bodyDiv w:val="1"/>
      <w:marLeft w:val="0"/>
      <w:marRight w:val="0"/>
      <w:marTop w:val="0"/>
      <w:marBottom w:val="0"/>
      <w:divBdr>
        <w:top w:val="none" w:sz="0" w:space="0" w:color="auto"/>
        <w:left w:val="none" w:sz="0" w:space="0" w:color="auto"/>
        <w:bottom w:val="none" w:sz="0" w:space="0" w:color="auto"/>
        <w:right w:val="none" w:sz="0" w:space="0" w:color="auto"/>
      </w:divBdr>
    </w:div>
    <w:div w:id="311103381">
      <w:bodyDiv w:val="1"/>
      <w:marLeft w:val="0"/>
      <w:marRight w:val="0"/>
      <w:marTop w:val="0"/>
      <w:marBottom w:val="0"/>
      <w:divBdr>
        <w:top w:val="none" w:sz="0" w:space="0" w:color="auto"/>
        <w:left w:val="none" w:sz="0" w:space="0" w:color="auto"/>
        <w:bottom w:val="none" w:sz="0" w:space="0" w:color="auto"/>
        <w:right w:val="none" w:sz="0" w:space="0" w:color="auto"/>
      </w:divBdr>
    </w:div>
    <w:div w:id="389234942">
      <w:bodyDiv w:val="1"/>
      <w:marLeft w:val="0"/>
      <w:marRight w:val="0"/>
      <w:marTop w:val="0"/>
      <w:marBottom w:val="0"/>
      <w:divBdr>
        <w:top w:val="none" w:sz="0" w:space="0" w:color="auto"/>
        <w:left w:val="none" w:sz="0" w:space="0" w:color="auto"/>
        <w:bottom w:val="none" w:sz="0" w:space="0" w:color="auto"/>
        <w:right w:val="none" w:sz="0" w:space="0" w:color="auto"/>
      </w:divBdr>
    </w:div>
    <w:div w:id="613907012">
      <w:bodyDiv w:val="1"/>
      <w:marLeft w:val="0"/>
      <w:marRight w:val="0"/>
      <w:marTop w:val="0"/>
      <w:marBottom w:val="0"/>
      <w:divBdr>
        <w:top w:val="none" w:sz="0" w:space="0" w:color="auto"/>
        <w:left w:val="none" w:sz="0" w:space="0" w:color="auto"/>
        <w:bottom w:val="none" w:sz="0" w:space="0" w:color="auto"/>
        <w:right w:val="none" w:sz="0" w:space="0" w:color="auto"/>
      </w:divBdr>
    </w:div>
    <w:div w:id="768743788">
      <w:bodyDiv w:val="1"/>
      <w:marLeft w:val="0"/>
      <w:marRight w:val="0"/>
      <w:marTop w:val="0"/>
      <w:marBottom w:val="0"/>
      <w:divBdr>
        <w:top w:val="none" w:sz="0" w:space="0" w:color="auto"/>
        <w:left w:val="none" w:sz="0" w:space="0" w:color="auto"/>
        <w:bottom w:val="none" w:sz="0" w:space="0" w:color="auto"/>
        <w:right w:val="none" w:sz="0" w:space="0" w:color="auto"/>
      </w:divBdr>
    </w:div>
    <w:div w:id="774985056">
      <w:bodyDiv w:val="1"/>
      <w:marLeft w:val="0"/>
      <w:marRight w:val="0"/>
      <w:marTop w:val="0"/>
      <w:marBottom w:val="0"/>
      <w:divBdr>
        <w:top w:val="none" w:sz="0" w:space="0" w:color="auto"/>
        <w:left w:val="none" w:sz="0" w:space="0" w:color="auto"/>
        <w:bottom w:val="none" w:sz="0" w:space="0" w:color="auto"/>
        <w:right w:val="none" w:sz="0" w:space="0" w:color="auto"/>
      </w:divBdr>
    </w:div>
    <w:div w:id="847064942">
      <w:bodyDiv w:val="1"/>
      <w:marLeft w:val="0"/>
      <w:marRight w:val="0"/>
      <w:marTop w:val="0"/>
      <w:marBottom w:val="0"/>
      <w:divBdr>
        <w:top w:val="none" w:sz="0" w:space="0" w:color="auto"/>
        <w:left w:val="none" w:sz="0" w:space="0" w:color="auto"/>
        <w:bottom w:val="none" w:sz="0" w:space="0" w:color="auto"/>
        <w:right w:val="none" w:sz="0" w:space="0" w:color="auto"/>
      </w:divBdr>
    </w:div>
    <w:div w:id="856963362">
      <w:bodyDiv w:val="1"/>
      <w:marLeft w:val="0"/>
      <w:marRight w:val="0"/>
      <w:marTop w:val="0"/>
      <w:marBottom w:val="0"/>
      <w:divBdr>
        <w:top w:val="none" w:sz="0" w:space="0" w:color="auto"/>
        <w:left w:val="none" w:sz="0" w:space="0" w:color="auto"/>
        <w:bottom w:val="none" w:sz="0" w:space="0" w:color="auto"/>
        <w:right w:val="none" w:sz="0" w:space="0" w:color="auto"/>
      </w:divBdr>
      <w:divsChild>
        <w:div w:id="4986220">
          <w:marLeft w:val="0"/>
          <w:marRight w:val="0"/>
          <w:marTop w:val="0"/>
          <w:marBottom w:val="0"/>
          <w:divBdr>
            <w:top w:val="none" w:sz="0" w:space="0" w:color="auto"/>
            <w:left w:val="none" w:sz="0" w:space="0" w:color="auto"/>
            <w:bottom w:val="none" w:sz="0" w:space="0" w:color="auto"/>
            <w:right w:val="none" w:sz="0" w:space="0" w:color="auto"/>
          </w:divBdr>
        </w:div>
        <w:div w:id="1397433291">
          <w:marLeft w:val="0"/>
          <w:marRight w:val="0"/>
          <w:marTop w:val="0"/>
          <w:marBottom w:val="0"/>
          <w:divBdr>
            <w:top w:val="none" w:sz="0" w:space="0" w:color="auto"/>
            <w:left w:val="none" w:sz="0" w:space="0" w:color="auto"/>
            <w:bottom w:val="none" w:sz="0" w:space="0" w:color="auto"/>
            <w:right w:val="none" w:sz="0" w:space="0" w:color="auto"/>
          </w:divBdr>
        </w:div>
        <w:div w:id="1512648859">
          <w:marLeft w:val="0"/>
          <w:marRight w:val="0"/>
          <w:marTop w:val="0"/>
          <w:marBottom w:val="0"/>
          <w:divBdr>
            <w:top w:val="none" w:sz="0" w:space="0" w:color="auto"/>
            <w:left w:val="none" w:sz="0" w:space="0" w:color="auto"/>
            <w:bottom w:val="none" w:sz="0" w:space="0" w:color="auto"/>
            <w:right w:val="none" w:sz="0" w:space="0" w:color="auto"/>
          </w:divBdr>
        </w:div>
      </w:divsChild>
    </w:div>
    <w:div w:id="978729484">
      <w:bodyDiv w:val="1"/>
      <w:marLeft w:val="0"/>
      <w:marRight w:val="0"/>
      <w:marTop w:val="0"/>
      <w:marBottom w:val="0"/>
      <w:divBdr>
        <w:top w:val="none" w:sz="0" w:space="0" w:color="auto"/>
        <w:left w:val="none" w:sz="0" w:space="0" w:color="auto"/>
        <w:bottom w:val="none" w:sz="0" w:space="0" w:color="auto"/>
        <w:right w:val="none" w:sz="0" w:space="0" w:color="auto"/>
      </w:divBdr>
    </w:div>
    <w:div w:id="1000429593">
      <w:bodyDiv w:val="1"/>
      <w:marLeft w:val="0"/>
      <w:marRight w:val="0"/>
      <w:marTop w:val="0"/>
      <w:marBottom w:val="0"/>
      <w:divBdr>
        <w:top w:val="none" w:sz="0" w:space="0" w:color="auto"/>
        <w:left w:val="none" w:sz="0" w:space="0" w:color="auto"/>
        <w:bottom w:val="none" w:sz="0" w:space="0" w:color="auto"/>
        <w:right w:val="none" w:sz="0" w:space="0" w:color="auto"/>
      </w:divBdr>
    </w:div>
    <w:div w:id="1038698569">
      <w:bodyDiv w:val="1"/>
      <w:marLeft w:val="0"/>
      <w:marRight w:val="0"/>
      <w:marTop w:val="0"/>
      <w:marBottom w:val="0"/>
      <w:divBdr>
        <w:top w:val="none" w:sz="0" w:space="0" w:color="auto"/>
        <w:left w:val="none" w:sz="0" w:space="0" w:color="auto"/>
        <w:bottom w:val="none" w:sz="0" w:space="0" w:color="auto"/>
        <w:right w:val="none" w:sz="0" w:space="0" w:color="auto"/>
      </w:divBdr>
    </w:div>
    <w:div w:id="1056052918">
      <w:bodyDiv w:val="1"/>
      <w:marLeft w:val="0"/>
      <w:marRight w:val="0"/>
      <w:marTop w:val="0"/>
      <w:marBottom w:val="0"/>
      <w:divBdr>
        <w:top w:val="none" w:sz="0" w:space="0" w:color="auto"/>
        <w:left w:val="none" w:sz="0" w:space="0" w:color="auto"/>
        <w:bottom w:val="none" w:sz="0" w:space="0" w:color="auto"/>
        <w:right w:val="none" w:sz="0" w:space="0" w:color="auto"/>
      </w:divBdr>
    </w:div>
    <w:div w:id="1061516088">
      <w:bodyDiv w:val="1"/>
      <w:marLeft w:val="0"/>
      <w:marRight w:val="0"/>
      <w:marTop w:val="0"/>
      <w:marBottom w:val="0"/>
      <w:divBdr>
        <w:top w:val="none" w:sz="0" w:space="0" w:color="auto"/>
        <w:left w:val="none" w:sz="0" w:space="0" w:color="auto"/>
        <w:bottom w:val="none" w:sz="0" w:space="0" w:color="auto"/>
        <w:right w:val="none" w:sz="0" w:space="0" w:color="auto"/>
      </w:divBdr>
      <w:divsChild>
        <w:div w:id="57290039">
          <w:marLeft w:val="0"/>
          <w:marRight w:val="0"/>
          <w:marTop w:val="0"/>
          <w:marBottom w:val="0"/>
          <w:divBdr>
            <w:top w:val="none" w:sz="0" w:space="0" w:color="auto"/>
            <w:left w:val="none" w:sz="0" w:space="0" w:color="auto"/>
            <w:bottom w:val="none" w:sz="0" w:space="0" w:color="auto"/>
            <w:right w:val="none" w:sz="0" w:space="0" w:color="auto"/>
          </w:divBdr>
        </w:div>
        <w:div w:id="79378683">
          <w:marLeft w:val="0"/>
          <w:marRight w:val="0"/>
          <w:marTop w:val="0"/>
          <w:marBottom w:val="0"/>
          <w:divBdr>
            <w:top w:val="none" w:sz="0" w:space="0" w:color="auto"/>
            <w:left w:val="none" w:sz="0" w:space="0" w:color="auto"/>
            <w:bottom w:val="none" w:sz="0" w:space="0" w:color="auto"/>
            <w:right w:val="none" w:sz="0" w:space="0" w:color="auto"/>
          </w:divBdr>
        </w:div>
        <w:div w:id="1718163985">
          <w:marLeft w:val="0"/>
          <w:marRight w:val="0"/>
          <w:marTop w:val="0"/>
          <w:marBottom w:val="0"/>
          <w:divBdr>
            <w:top w:val="none" w:sz="0" w:space="0" w:color="auto"/>
            <w:left w:val="none" w:sz="0" w:space="0" w:color="auto"/>
            <w:bottom w:val="none" w:sz="0" w:space="0" w:color="auto"/>
            <w:right w:val="none" w:sz="0" w:space="0" w:color="auto"/>
          </w:divBdr>
        </w:div>
      </w:divsChild>
    </w:div>
    <w:div w:id="1130127123">
      <w:bodyDiv w:val="1"/>
      <w:marLeft w:val="0"/>
      <w:marRight w:val="0"/>
      <w:marTop w:val="0"/>
      <w:marBottom w:val="0"/>
      <w:divBdr>
        <w:top w:val="none" w:sz="0" w:space="0" w:color="auto"/>
        <w:left w:val="none" w:sz="0" w:space="0" w:color="auto"/>
        <w:bottom w:val="none" w:sz="0" w:space="0" w:color="auto"/>
        <w:right w:val="none" w:sz="0" w:space="0" w:color="auto"/>
      </w:divBdr>
    </w:div>
    <w:div w:id="1141465379">
      <w:bodyDiv w:val="1"/>
      <w:marLeft w:val="0"/>
      <w:marRight w:val="0"/>
      <w:marTop w:val="0"/>
      <w:marBottom w:val="0"/>
      <w:divBdr>
        <w:top w:val="none" w:sz="0" w:space="0" w:color="auto"/>
        <w:left w:val="none" w:sz="0" w:space="0" w:color="auto"/>
        <w:bottom w:val="none" w:sz="0" w:space="0" w:color="auto"/>
        <w:right w:val="none" w:sz="0" w:space="0" w:color="auto"/>
      </w:divBdr>
    </w:div>
    <w:div w:id="1181893432">
      <w:bodyDiv w:val="1"/>
      <w:marLeft w:val="0"/>
      <w:marRight w:val="0"/>
      <w:marTop w:val="0"/>
      <w:marBottom w:val="0"/>
      <w:divBdr>
        <w:top w:val="none" w:sz="0" w:space="0" w:color="auto"/>
        <w:left w:val="none" w:sz="0" w:space="0" w:color="auto"/>
        <w:bottom w:val="none" w:sz="0" w:space="0" w:color="auto"/>
        <w:right w:val="none" w:sz="0" w:space="0" w:color="auto"/>
      </w:divBdr>
    </w:div>
    <w:div w:id="1349910864">
      <w:bodyDiv w:val="1"/>
      <w:marLeft w:val="0"/>
      <w:marRight w:val="0"/>
      <w:marTop w:val="0"/>
      <w:marBottom w:val="0"/>
      <w:divBdr>
        <w:top w:val="none" w:sz="0" w:space="0" w:color="auto"/>
        <w:left w:val="none" w:sz="0" w:space="0" w:color="auto"/>
        <w:bottom w:val="none" w:sz="0" w:space="0" w:color="auto"/>
        <w:right w:val="none" w:sz="0" w:space="0" w:color="auto"/>
      </w:divBdr>
    </w:div>
    <w:div w:id="1520117817">
      <w:bodyDiv w:val="1"/>
      <w:marLeft w:val="0"/>
      <w:marRight w:val="0"/>
      <w:marTop w:val="0"/>
      <w:marBottom w:val="0"/>
      <w:divBdr>
        <w:top w:val="none" w:sz="0" w:space="0" w:color="auto"/>
        <w:left w:val="none" w:sz="0" w:space="0" w:color="auto"/>
        <w:bottom w:val="none" w:sz="0" w:space="0" w:color="auto"/>
        <w:right w:val="none" w:sz="0" w:space="0" w:color="auto"/>
      </w:divBdr>
    </w:div>
    <w:div w:id="1694724665">
      <w:bodyDiv w:val="1"/>
      <w:marLeft w:val="0"/>
      <w:marRight w:val="0"/>
      <w:marTop w:val="0"/>
      <w:marBottom w:val="0"/>
      <w:divBdr>
        <w:top w:val="none" w:sz="0" w:space="0" w:color="auto"/>
        <w:left w:val="none" w:sz="0" w:space="0" w:color="auto"/>
        <w:bottom w:val="none" w:sz="0" w:space="0" w:color="auto"/>
        <w:right w:val="none" w:sz="0" w:space="0" w:color="auto"/>
      </w:divBdr>
    </w:div>
    <w:div w:id="1787311494">
      <w:bodyDiv w:val="1"/>
      <w:marLeft w:val="0"/>
      <w:marRight w:val="0"/>
      <w:marTop w:val="0"/>
      <w:marBottom w:val="0"/>
      <w:divBdr>
        <w:top w:val="none" w:sz="0" w:space="0" w:color="auto"/>
        <w:left w:val="none" w:sz="0" w:space="0" w:color="auto"/>
        <w:bottom w:val="none" w:sz="0" w:space="0" w:color="auto"/>
        <w:right w:val="none" w:sz="0" w:space="0" w:color="auto"/>
      </w:divBdr>
    </w:div>
    <w:div w:id="1844971100">
      <w:bodyDiv w:val="1"/>
      <w:marLeft w:val="0"/>
      <w:marRight w:val="0"/>
      <w:marTop w:val="0"/>
      <w:marBottom w:val="0"/>
      <w:divBdr>
        <w:top w:val="none" w:sz="0" w:space="0" w:color="auto"/>
        <w:left w:val="none" w:sz="0" w:space="0" w:color="auto"/>
        <w:bottom w:val="none" w:sz="0" w:space="0" w:color="auto"/>
        <w:right w:val="none" w:sz="0" w:space="0" w:color="auto"/>
      </w:divBdr>
    </w:div>
    <w:div w:id="1867985495">
      <w:bodyDiv w:val="1"/>
      <w:marLeft w:val="0"/>
      <w:marRight w:val="0"/>
      <w:marTop w:val="0"/>
      <w:marBottom w:val="0"/>
      <w:divBdr>
        <w:top w:val="none" w:sz="0" w:space="0" w:color="auto"/>
        <w:left w:val="none" w:sz="0" w:space="0" w:color="auto"/>
        <w:bottom w:val="none" w:sz="0" w:space="0" w:color="auto"/>
        <w:right w:val="none" w:sz="0" w:space="0" w:color="auto"/>
      </w:divBdr>
    </w:div>
    <w:div w:id="1905723425">
      <w:bodyDiv w:val="1"/>
      <w:marLeft w:val="0"/>
      <w:marRight w:val="0"/>
      <w:marTop w:val="0"/>
      <w:marBottom w:val="0"/>
      <w:divBdr>
        <w:top w:val="none" w:sz="0" w:space="0" w:color="auto"/>
        <w:left w:val="none" w:sz="0" w:space="0" w:color="auto"/>
        <w:bottom w:val="none" w:sz="0" w:space="0" w:color="auto"/>
        <w:right w:val="none" w:sz="0" w:space="0" w:color="auto"/>
      </w:divBdr>
    </w:div>
    <w:div w:id="2066442694">
      <w:bodyDiv w:val="1"/>
      <w:marLeft w:val="0"/>
      <w:marRight w:val="0"/>
      <w:marTop w:val="0"/>
      <w:marBottom w:val="0"/>
      <w:divBdr>
        <w:top w:val="none" w:sz="0" w:space="0" w:color="auto"/>
        <w:left w:val="none" w:sz="0" w:space="0" w:color="auto"/>
        <w:bottom w:val="none" w:sz="0" w:space="0" w:color="auto"/>
        <w:right w:val="none" w:sz="0" w:space="0" w:color="auto"/>
      </w:divBdr>
    </w:div>
    <w:div w:id="21095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document/view?id=600010109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676</Words>
  <Characters>3590</Characters>
  <Application>Microsoft Office Word</Application>
  <DocSecurity>0</DocSecurity>
  <Lines>112</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4251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2014-12-30T19:07:00Z</dcterms:created>
  <dcterms:modified xsi:type="dcterms:W3CDTF">2014-12-30T19:07:00Z</dcterms:modified>
  <cp:category> </cp:category>
  <cp:contentStatus> </cp:contentStatus>
</cp:coreProperties>
</file>