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99" w:rsidRPr="00A24966" w:rsidRDefault="00187199">
      <w:pPr>
        <w:jc w:val="center"/>
        <w:rPr>
          <w:b/>
          <w:sz w:val="24"/>
          <w:szCs w:val="24"/>
        </w:rPr>
      </w:pPr>
      <w:bookmarkStart w:id="0" w:name="_GoBack"/>
      <w:bookmarkEnd w:id="0"/>
      <w:r w:rsidRPr="00A24966">
        <w:rPr>
          <w:b/>
          <w:sz w:val="24"/>
          <w:szCs w:val="24"/>
        </w:rPr>
        <w:t>Before the</w:t>
      </w:r>
    </w:p>
    <w:p w:rsidR="00187199" w:rsidRPr="00A24966" w:rsidRDefault="00187199">
      <w:pPr>
        <w:jc w:val="center"/>
        <w:rPr>
          <w:b/>
          <w:sz w:val="24"/>
          <w:szCs w:val="24"/>
        </w:rPr>
      </w:pPr>
      <w:r w:rsidRPr="00A24966">
        <w:rPr>
          <w:b/>
          <w:sz w:val="24"/>
          <w:szCs w:val="24"/>
        </w:rPr>
        <w:t>Federal Communications Commission</w:t>
      </w:r>
    </w:p>
    <w:p w:rsidR="00187199" w:rsidRPr="00A24966" w:rsidRDefault="00187199">
      <w:pPr>
        <w:jc w:val="center"/>
        <w:rPr>
          <w:b/>
          <w:sz w:val="24"/>
          <w:szCs w:val="24"/>
        </w:rPr>
      </w:pPr>
      <w:r w:rsidRPr="00A24966">
        <w:rPr>
          <w:b/>
          <w:sz w:val="24"/>
          <w:szCs w:val="24"/>
        </w:rPr>
        <w:t>Washington, D.C. 20554</w:t>
      </w:r>
    </w:p>
    <w:p w:rsidR="00187199" w:rsidRPr="00A24966" w:rsidRDefault="00187199">
      <w:pPr>
        <w:rPr>
          <w:sz w:val="24"/>
          <w:szCs w:val="24"/>
        </w:rPr>
      </w:pPr>
    </w:p>
    <w:p w:rsidR="00A24966" w:rsidRPr="00A24966" w:rsidRDefault="00A24966">
      <w:pPr>
        <w:rPr>
          <w:sz w:val="24"/>
          <w:szCs w:val="24"/>
        </w:rPr>
      </w:pPr>
    </w:p>
    <w:tbl>
      <w:tblPr>
        <w:tblW w:w="0" w:type="auto"/>
        <w:tblLayout w:type="fixed"/>
        <w:tblLook w:val="0000" w:firstRow="0" w:lastRow="0" w:firstColumn="0" w:lastColumn="0" w:noHBand="0" w:noVBand="0"/>
      </w:tblPr>
      <w:tblGrid>
        <w:gridCol w:w="4698"/>
        <w:gridCol w:w="630"/>
        <w:gridCol w:w="4248"/>
      </w:tblGrid>
      <w:tr w:rsidR="00187199" w:rsidRPr="00A24966">
        <w:tc>
          <w:tcPr>
            <w:tcW w:w="4698" w:type="dxa"/>
          </w:tcPr>
          <w:p w:rsidR="00187199" w:rsidRPr="00A24966" w:rsidRDefault="00187199">
            <w:pPr>
              <w:tabs>
                <w:tab w:val="center" w:pos="4680"/>
              </w:tabs>
              <w:suppressAutoHyphens/>
              <w:rPr>
                <w:spacing w:val="-2"/>
                <w:sz w:val="24"/>
                <w:szCs w:val="24"/>
              </w:rPr>
            </w:pPr>
          </w:p>
          <w:p w:rsidR="00187199" w:rsidRPr="00A24966" w:rsidRDefault="00187199">
            <w:pPr>
              <w:tabs>
                <w:tab w:val="center" w:pos="4680"/>
              </w:tabs>
              <w:suppressAutoHyphens/>
              <w:rPr>
                <w:spacing w:val="-2"/>
                <w:sz w:val="24"/>
                <w:szCs w:val="24"/>
              </w:rPr>
            </w:pPr>
            <w:r w:rsidRPr="00A24966">
              <w:rPr>
                <w:spacing w:val="-2"/>
                <w:sz w:val="24"/>
                <w:szCs w:val="24"/>
              </w:rPr>
              <w:t>In the Matter of</w:t>
            </w:r>
          </w:p>
          <w:p w:rsidR="00187199" w:rsidRPr="00A24966" w:rsidRDefault="00187199">
            <w:pPr>
              <w:tabs>
                <w:tab w:val="center" w:pos="4680"/>
              </w:tabs>
              <w:suppressAutoHyphens/>
              <w:rPr>
                <w:spacing w:val="-2"/>
                <w:sz w:val="24"/>
                <w:szCs w:val="24"/>
              </w:rPr>
            </w:pPr>
          </w:p>
          <w:p w:rsidR="00187199" w:rsidRPr="00A24966" w:rsidRDefault="000C476D">
            <w:pPr>
              <w:tabs>
                <w:tab w:val="center" w:pos="4680"/>
              </w:tabs>
              <w:rPr>
                <w:sz w:val="24"/>
                <w:szCs w:val="24"/>
              </w:rPr>
            </w:pPr>
            <w:r>
              <w:rPr>
                <w:sz w:val="24"/>
                <w:szCs w:val="24"/>
              </w:rPr>
              <w:t>Fourth Annual Report to Congress on Status of Competition in the Satellite Services Industry</w:t>
            </w:r>
            <w:r w:rsidR="00187199" w:rsidRPr="00A24966">
              <w:rPr>
                <w:sz w:val="24"/>
                <w:szCs w:val="24"/>
              </w:rPr>
              <w:t xml:space="preserve"> </w:t>
            </w:r>
            <w:r w:rsidR="00187199" w:rsidRPr="00A24966">
              <w:rPr>
                <w:spacing w:val="-2"/>
                <w:sz w:val="24"/>
                <w:szCs w:val="24"/>
              </w:rPr>
              <w:tab/>
              <w:t>)</w:t>
            </w:r>
            <w:r w:rsidR="00187199" w:rsidRPr="00A24966">
              <w:rPr>
                <w:spacing w:val="-2"/>
                <w:sz w:val="24"/>
                <w:szCs w:val="24"/>
              </w:rPr>
              <w:tab/>
            </w:r>
            <w:r w:rsidR="00187199" w:rsidRPr="00A24966">
              <w:rPr>
                <w:sz w:val="24"/>
                <w:szCs w:val="24"/>
              </w:rPr>
              <w:t xml:space="preserve">IB Docket No. 12-267 </w:t>
            </w:r>
          </w:p>
          <w:p w:rsidR="00187199" w:rsidRPr="00A24966" w:rsidRDefault="00187199">
            <w:pPr>
              <w:tabs>
                <w:tab w:val="center" w:pos="4680"/>
              </w:tabs>
              <w:suppressAutoHyphens/>
              <w:rPr>
                <w:spacing w:val="-2"/>
                <w:sz w:val="24"/>
                <w:szCs w:val="24"/>
              </w:rPr>
            </w:pPr>
          </w:p>
        </w:tc>
        <w:tc>
          <w:tcPr>
            <w:tcW w:w="630" w:type="dxa"/>
          </w:tcPr>
          <w:p w:rsidR="00187199" w:rsidRPr="00A24966" w:rsidRDefault="00187199">
            <w:pPr>
              <w:tabs>
                <w:tab w:val="center" w:pos="4680"/>
              </w:tabs>
              <w:suppressAutoHyphens/>
              <w:rPr>
                <w:b/>
                <w:spacing w:val="-2"/>
                <w:sz w:val="24"/>
                <w:szCs w:val="24"/>
              </w:rPr>
            </w:pPr>
            <w:r w:rsidRPr="00A24966">
              <w:rPr>
                <w:b/>
                <w:spacing w:val="-2"/>
                <w:sz w:val="24"/>
                <w:szCs w:val="24"/>
              </w:rPr>
              <w:t>)</w:t>
            </w:r>
          </w:p>
          <w:p w:rsidR="00187199" w:rsidRPr="00A24966" w:rsidRDefault="00187199">
            <w:pPr>
              <w:tabs>
                <w:tab w:val="center" w:pos="4680"/>
              </w:tabs>
              <w:suppressAutoHyphens/>
              <w:rPr>
                <w:b/>
                <w:spacing w:val="-2"/>
                <w:sz w:val="24"/>
                <w:szCs w:val="24"/>
              </w:rPr>
            </w:pPr>
            <w:r w:rsidRPr="00A24966">
              <w:rPr>
                <w:b/>
                <w:spacing w:val="-2"/>
                <w:sz w:val="24"/>
                <w:szCs w:val="24"/>
              </w:rPr>
              <w:t>)</w:t>
            </w:r>
          </w:p>
          <w:p w:rsidR="00187199" w:rsidRPr="00A24966" w:rsidRDefault="00187199">
            <w:pPr>
              <w:tabs>
                <w:tab w:val="center" w:pos="4680"/>
              </w:tabs>
              <w:suppressAutoHyphens/>
              <w:rPr>
                <w:b/>
                <w:spacing w:val="-2"/>
                <w:sz w:val="24"/>
                <w:szCs w:val="24"/>
              </w:rPr>
            </w:pPr>
            <w:r w:rsidRPr="00A24966">
              <w:rPr>
                <w:b/>
                <w:spacing w:val="-2"/>
                <w:sz w:val="24"/>
                <w:szCs w:val="24"/>
              </w:rPr>
              <w:t>)</w:t>
            </w:r>
          </w:p>
          <w:p w:rsidR="00607A12" w:rsidRPr="00A24966" w:rsidRDefault="00607A12">
            <w:pPr>
              <w:tabs>
                <w:tab w:val="center" w:pos="4680"/>
              </w:tabs>
              <w:suppressAutoHyphens/>
              <w:rPr>
                <w:b/>
                <w:spacing w:val="-2"/>
                <w:sz w:val="24"/>
                <w:szCs w:val="24"/>
              </w:rPr>
            </w:pPr>
            <w:r w:rsidRPr="00A24966">
              <w:rPr>
                <w:b/>
                <w:spacing w:val="-2"/>
                <w:sz w:val="24"/>
                <w:szCs w:val="24"/>
              </w:rPr>
              <w:t>)</w:t>
            </w:r>
          </w:p>
          <w:p w:rsidR="00187199" w:rsidRDefault="00187199">
            <w:pPr>
              <w:tabs>
                <w:tab w:val="center" w:pos="4680"/>
              </w:tabs>
              <w:suppressAutoHyphens/>
              <w:rPr>
                <w:b/>
                <w:spacing w:val="-2"/>
                <w:sz w:val="24"/>
                <w:szCs w:val="24"/>
              </w:rPr>
            </w:pPr>
            <w:r w:rsidRPr="00A24966">
              <w:rPr>
                <w:b/>
                <w:spacing w:val="-2"/>
                <w:sz w:val="24"/>
                <w:szCs w:val="24"/>
              </w:rPr>
              <w:t>)</w:t>
            </w:r>
          </w:p>
          <w:p w:rsidR="00A24966" w:rsidRPr="00A24966" w:rsidRDefault="00A24966">
            <w:pPr>
              <w:tabs>
                <w:tab w:val="center" w:pos="4680"/>
              </w:tabs>
              <w:suppressAutoHyphens/>
              <w:rPr>
                <w:b/>
                <w:spacing w:val="-2"/>
                <w:sz w:val="24"/>
                <w:szCs w:val="24"/>
              </w:rPr>
            </w:pPr>
            <w:r>
              <w:rPr>
                <w:b/>
                <w:spacing w:val="-2"/>
                <w:sz w:val="24"/>
                <w:szCs w:val="24"/>
              </w:rPr>
              <w:t>)</w:t>
            </w:r>
          </w:p>
        </w:tc>
        <w:tc>
          <w:tcPr>
            <w:tcW w:w="4248" w:type="dxa"/>
          </w:tcPr>
          <w:p w:rsidR="00187199" w:rsidRPr="00A24966" w:rsidRDefault="00187199">
            <w:pPr>
              <w:tabs>
                <w:tab w:val="center" w:pos="4680"/>
              </w:tabs>
              <w:suppressAutoHyphens/>
              <w:rPr>
                <w:spacing w:val="-2"/>
                <w:sz w:val="24"/>
                <w:szCs w:val="24"/>
              </w:rPr>
            </w:pPr>
          </w:p>
          <w:p w:rsidR="00187199" w:rsidRPr="00A24966" w:rsidRDefault="00187199">
            <w:pPr>
              <w:pStyle w:val="TOAHeading"/>
              <w:tabs>
                <w:tab w:val="clear" w:pos="9360"/>
                <w:tab w:val="center" w:pos="4680"/>
              </w:tabs>
              <w:rPr>
                <w:spacing w:val="-2"/>
                <w:sz w:val="24"/>
                <w:szCs w:val="24"/>
              </w:rPr>
            </w:pPr>
          </w:p>
          <w:p w:rsidR="002C24EF" w:rsidRDefault="002C24EF" w:rsidP="000C476D">
            <w:pPr>
              <w:tabs>
                <w:tab w:val="center" w:pos="4680"/>
              </w:tabs>
              <w:suppressAutoHyphens/>
              <w:rPr>
                <w:spacing w:val="-2"/>
                <w:sz w:val="24"/>
                <w:szCs w:val="24"/>
              </w:rPr>
            </w:pPr>
          </w:p>
          <w:p w:rsidR="00187199" w:rsidRPr="00A24966" w:rsidRDefault="00187199" w:rsidP="000C476D">
            <w:pPr>
              <w:tabs>
                <w:tab w:val="center" w:pos="4680"/>
              </w:tabs>
              <w:suppressAutoHyphens/>
              <w:rPr>
                <w:spacing w:val="-2"/>
                <w:sz w:val="24"/>
                <w:szCs w:val="24"/>
              </w:rPr>
            </w:pPr>
            <w:r w:rsidRPr="00A24966">
              <w:rPr>
                <w:spacing w:val="-2"/>
                <w:sz w:val="24"/>
                <w:szCs w:val="24"/>
              </w:rPr>
              <w:t>IB Docket No. 1</w:t>
            </w:r>
            <w:r w:rsidR="000C476D">
              <w:rPr>
                <w:spacing w:val="-2"/>
                <w:sz w:val="24"/>
                <w:szCs w:val="24"/>
              </w:rPr>
              <w:t>4</w:t>
            </w:r>
            <w:r w:rsidRPr="00A24966">
              <w:rPr>
                <w:spacing w:val="-2"/>
                <w:sz w:val="24"/>
                <w:szCs w:val="24"/>
              </w:rPr>
              <w:t>-2</w:t>
            </w:r>
            <w:r w:rsidR="000C476D">
              <w:rPr>
                <w:spacing w:val="-2"/>
                <w:sz w:val="24"/>
                <w:szCs w:val="24"/>
              </w:rPr>
              <w:t>29</w:t>
            </w:r>
          </w:p>
        </w:tc>
      </w:tr>
    </w:tbl>
    <w:p w:rsidR="00187199" w:rsidRPr="00A24966" w:rsidRDefault="00187199">
      <w:pPr>
        <w:tabs>
          <w:tab w:val="center" w:pos="4680"/>
        </w:tabs>
        <w:suppressAutoHyphens/>
        <w:rPr>
          <w:b/>
          <w:spacing w:val="-2"/>
          <w:sz w:val="24"/>
          <w:szCs w:val="24"/>
        </w:rPr>
      </w:pPr>
      <w:r w:rsidRPr="00A24966">
        <w:rPr>
          <w:b/>
          <w:spacing w:val="-2"/>
          <w:sz w:val="24"/>
          <w:szCs w:val="24"/>
        </w:rPr>
        <w:tab/>
        <w:t xml:space="preserve">   </w:t>
      </w:r>
    </w:p>
    <w:p w:rsidR="00187199" w:rsidRPr="00A24966" w:rsidRDefault="00187199">
      <w:pPr>
        <w:pStyle w:val="StyleBoldCentered"/>
        <w:rPr>
          <w:rFonts w:ascii="Times New Roman" w:hAnsi="Times New Roman"/>
          <w:sz w:val="24"/>
          <w:szCs w:val="24"/>
        </w:rPr>
      </w:pPr>
      <w:r w:rsidRPr="00A24966">
        <w:rPr>
          <w:rFonts w:ascii="Times New Roman" w:hAnsi="Times New Roman"/>
          <w:sz w:val="24"/>
          <w:szCs w:val="24"/>
        </w:rPr>
        <w:t>order</w:t>
      </w:r>
    </w:p>
    <w:p w:rsidR="00187199" w:rsidRPr="00A24966" w:rsidRDefault="00187199">
      <w:pPr>
        <w:pStyle w:val="StyleBoldCentered"/>
        <w:rPr>
          <w:rFonts w:ascii="Times New Roman" w:hAnsi="Times New Roman"/>
          <w:sz w:val="24"/>
          <w:szCs w:val="24"/>
        </w:rPr>
      </w:pPr>
    </w:p>
    <w:p w:rsidR="00B25921" w:rsidRPr="00A24966" w:rsidRDefault="00B25921" w:rsidP="004B7B32">
      <w:pPr>
        <w:tabs>
          <w:tab w:val="left" w:pos="720"/>
          <w:tab w:val="left" w:pos="5760"/>
        </w:tabs>
        <w:suppressAutoHyphens/>
        <w:spacing w:line="227" w:lineRule="auto"/>
        <w:rPr>
          <w:b/>
          <w:spacing w:val="-2"/>
          <w:sz w:val="24"/>
          <w:szCs w:val="24"/>
        </w:rPr>
      </w:pPr>
    </w:p>
    <w:p w:rsidR="00B25921" w:rsidRPr="00A24966" w:rsidRDefault="00B25921" w:rsidP="004B7B32">
      <w:pPr>
        <w:tabs>
          <w:tab w:val="left" w:pos="720"/>
          <w:tab w:val="left" w:pos="5760"/>
        </w:tabs>
        <w:suppressAutoHyphens/>
        <w:spacing w:line="227" w:lineRule="auto"/>
        <w:rPr>
          <w:b/>
          <w:spacing w:val="-2"/>
          <w:sz w:val="24"/>
          <w:szCs w:val="24"/>
        </w:rPr>
      </w:pPr>
    </w:p>
    <w:p w:rsidR="00187199" w:rsidRPr="00A24966" w:rsidRDefault="00187199" w:rsidP="004B7B32">
      <w:pPr>
        <w:tabs>
          <w:tab w:val="left" w:pos="720"/>
          <w:tab w:val="left" w:pos="5760"/>
        </w:tabs>
        <w:suppressAutoHyphens/>
        <w:spacing w:line="227" w:lineRule="auto"/>
        <w:rPr>
          <w:b/>
          <w:spacing w:val="-2"/>
          <w:sz w:val="24"/>
          <w:szCs w:val="24"/>
        </w:rPr>
      </w:pPr>
      <w:r w:rsidRPr="00A24966">
        <w:rPr>
          <w:b/>
          <w:spacing w:val="-2"/>
          <w:sz w:val="24"/>
          <w:szCs w:val="24"/>
        </w:rPr>
        <w:t xml:space="preserve">Adopted:  </w:t>
      </w:r>
      <w:r w:rsidR="00837849">
        <w:rPr>
          <w:b/>
          <w:spacing w:val="-2"/>
          <w:sz w:val="24"/>
          <w:szCs w:val="24"/>
        </w:rPr>
        <w:t>December 30, 2014</w:t>
      </w:r>
      <w:r w:rsidR="000C476D">
        <w:rPr>
          <w:b/>
          <w:spacing w:val="-2"/>
          <w:sz w:val="24"/>
          <w:szCs w:val="24"/>
        </w:rPr>
        <w:tab/>
      </w:r>
      <w:r w:rsidRPr="00A24966">
        <w:rPr>
          <w:b/>
          <w:spacing w:val="-2"/>
          <w:sz w:val="24"/>
          <w:szCs w:val="24"/>
        </w:rPr>
        <w:t xml:space="preserve">Released:  </w:t>
      </w:r>
      <w:r w:rsidR="00837849">
        <w:rPr>
          <w:b/>
          <w:spacing w:val="-2"/>
          <w:sz w:val="24"/>
          <w:szCs w:val="24"/>
        </w:rPr>
        <w:t>December 30, 2014</w:t>
      </w:r>
    </w:p>
    <w:p w:rsidR="004B7B32" w:rsidRPr="00A24966" w:rsidRDefault="004B7B32" w:rsidP="004B7B32">
      <w:pPr>
        <w:tabs>
          <w:tab w:val="left" w:pos="720"/>
          <w:tab w:val="left" w:pos="5760"/>
        </w:tabs>
        <w:suppressAutoHyphens/>
        <w:spacing w:line="227" w:lineRule="auto"/>
        <w:rPr>
          <w:sz w:val="24"/>
          <w:szCs w:val="24"/>
        </w:rPr>
      </w:pPr>
    </w:p>
    <w:p w:rsidR="00187199" w:rsidRPr="00A24966" w:rsidRDefault="00187199">
      <w:pPr>
        <w:autoSpaceDE w:val="0"/>
        <w:autoSpaceDN w:val="0"/>
        <w:adjustRightInd w:val="0"/>
        <w:jc w:val="both"/>
        <w:rPr>
          <w:color w:val="000000"/>
          <w:sz w:val="24"/>
          <w:szCs w:val="24"/>
        </w:rPr>
      </w:pPr>
      <w:r w:rsidRPr="00A24966">
        <w:rPr>
          <w:b/>
          <w:color w:val="000000"/>
          <w:sz w:val="24"/>
          <w:szCs w:val="24"/>
        </w:rPr>
        <w:t>Extended Comment Filing Deadline:</w:t>
      </w:r>
      <w:r w:rsidRPr="00A24966">
        <w:rPr>
          <w:color w:val="000000"/>
          <w:sz w:val="24"/>
          <w:szCs w:val="24"/>
        </w:rPr>
        <w:t xml:space="preserve">  </w:t>
      </w:r>
      <w:r w:rsidR="000C476D">
        <w:rPr>
          <w:color w:val="000000"/>
          <w:sz w:val="24"/>
          <w:szCs w:val="24"/>
        </w:rPr>
        <w:t>February 6</w:t>
      </w:r>
      <w:r w:rsidRPr="00A24966">
        <w:rPr>
          <w:color w:val="000000"/>
          <w:sz w:val="24"/>
          <w:szCs w:val="24"/>
        </w:rPr>
        <w:t xml:space="preserve">, </w:t>
      </w:r>
      <w:r w:rsidR="00607A12" w:rsidRPr="00A24966">
        <w:rPr>
          <w:color w:val="000000"/>
          <w:sz w:val="24"/>
          <w:szCs w:val="24"/>
        </w:rPr>
        <w:t>2015</w:t>
      </w:r>
    </w:p>
    <w:p w:rsidR="00187199" w:rsidRPr="00A24966" w:rsidRDefault="00187199">
      <w:pPr>
        <w:autoSpaceDE w:val="0"/>
        <w:autoSpaceDN w:val="0"/>
        <w:adjustRightInd w:val="0"/>
        <w:jc w:val="both"/>
        <w:rPr>
          <w:color w:val="000000"/>
          <w:sz w:val="24"/>
          <w:szCs w:val="24"/>
        </w:rPr>
      </w:pPr>
      <w:r w:rsidRPr="00A24966">
        <w:rPr>
          <w:b/>
          <w:color w:val="000000"/>
          <w:sz w:val="24"/>
          <w:szCs w:val="24"/>
        </w:rPr>
        <w:t>Extended Reply Comment Filing Deadline:</w:t>
      </w:r>
      <w:r w:rsidRPr="00A24966">
        <w:rPr>
          <w:color w:val="000000"/>
          <w:sz w:val="24"/>
          <w:szCs w:val="24"/>
        </w:rPr>
        <w:t xml:space="preserve">  </w:t>
      </w:r>
      <w:r w:rsidR="000C476D">
        <w:rPr>
          <w:color w:val="000000"/>
          <w:sz w:val="24"/>
          <w:szCs w:val="24"/>
        </w:rPr>
        <w:t>February 23</w:t>
      </w:r>
      <w:r w:rsidRPr="00A24966">
        <w:rPr>
          <w:color w:val="000000"/>
          <w:sz w:val="24"/>
          <w:szCs w:val="24"/>
        </w:rPr>
        <w:t>, 201</w:t>
      </w:r>
      <w:r w:rsidR="00607A12" w:rsidRPr="00A24966">
        <w:rPr>
          <w:color w:val="000000"/>
          <w:sz w:val="24"/>
          <w:szCs w:val="24"/>
        </w:rPr>
        <w:t>5</w:t>
      </w:r>
    </w:p>
    <w:p w:rsidR="00187199" w:rsidRPr="00A24966" w:rsidRDefault="00187199">
      <w:pPr>
        <w:autoSpaceDE w:val="0"/>
        <w:autoSpaceDN w:val="0"/>
        <w:adjustRightInd w:val="0"/>
        <w:jc w:val="both"/>
        <w:rPr>
          <w:color w:val="000000"/>
          <w:sz w:val="24"/>
          <w:szCs w:val="24"/>
        </w:rPr>
      </w:pPr>
    </w:p>
    <w:p w:rsidR="00187199" w:rsidRPr="00A24966" w:rsidRDefault="00187199">
      <w:pPr>
        <w:autoSpaceDE w:val="0"/>
        <w:autoSpaceDN w:val="0"/>
        <w:adjustRightInd w:val="0"/>
        <w:jc w:val="both"/>
        <w:rPr>
          <w:color w:val="000000"/>
          <w:sz w:val="24"/>
          <w:szCs w:val="24"/>
        </w:rPr>
      </w:pPr>
      <w:r w:rsidRPr="00A24966">
        <w:rPr>
          <w:color w:val="000000"/>
          <w:sz w:val="24"/>
          <w:szCs w:val="24"/>
        </w:rPr>
        <w:t xml:space="preserve">By the Chief, International Bureau: </w:t>
      </w:r>
    </w:p>
    <w:p w:rsidR="00187199" w:rsidRPr="00A24966" w:rsidRDefault="00187199">
      <w:pPr>
        <w:autoSpaceDE w:val="0"/>
        <w:autoSpaceDN w:val="0"/>
        <w:adjustRightInd w:val="0"/>
        <w:rPr>
          <w:color w:val="000000"/>
          <w:sz w:val="24"/>
          <w:szCs w:val="24"/>
        </w:rPr>
      </w:pPr>
    </w:p>
    <w:p w:rsidR="00187199" w:rsidRPr="00837849" w:rsidRDefault="00187199">
      <w:pPr>
        <w:pStyle w:val="ParaNum"/>
        <w:numPr>
          <w:ilvl w:val="0"/>
          <w:numId w:val="5"/>
        </w:numPr>
        <w:tabs>
          <w:tab w:val="clear" w:pos="1080"/>
          <w:tab w:val="num" w:pos="1440"/>
        </w:tabs>
        <w:spacing w:after="120"/>
        <w:jc w:val="left"/>
        <w:rPr>
          <w:color w:val="000000"/>
          <w:sz w:val="24"/>
          <w:szCs w:val="24"/>
        </w:rPr>
      </w:pPr>
      <w:r w:rsidRPr="00837849">
        <w:rPr>
          <w:sz w:val="24"/>
          <w:szCs w:val="24"/>
        </w:rPr>
        <w:t xml:space="preserve">On </w:t>
      </w:r>
      <w:r w:rsidR="000C476D" w:rsidRPr="00837849">
        <w:rPr>
          <w:sz w:val="24"/>
          <w:szCs w:val="24"/>
        </w:rPr>
        <w:t>November 25</w:t>
      </w:r>
      <w:r w:rsidRPr="00837849">
        <w:rPr>
          <w:sz w:val="24"/>
          <w:szCs w:val="24"/>
        </w:rPr>
        <w:t>, 201</w:t>
      </w:r>
      <w:r w:rsidR="004B7B32" w:rsidRPr="00837849">
        <w:rPr>
          <w:sz w:val="24"/>
          <w:szCs w:val="24"/>
        </w:rPr>
        <w:t>4</w:t>
      </w:r>
      <w:r w:rsidRPr="00837849">
        <w:rPr>
          <w:sz w:val="24"/>
          <w:szCs w:val="24"/>
        </w:rPr>
        <w:t xml:space="preserve">, the Commission released a </w:t>
      </w:r>
      <w:r w:rsidR="000C476D" w:rsidRPr="00837849">
        <w:rPr>
          <w:sz w:val="24"/>
          <w:szCs w:val="24"/>
        </w:rPr>
        <w:t>Public Notice</w:t>
      </w:r>
      <w:r w:rsidRPr="00837849">
        <w:rPr>
          <w:sz w:val="24"/>
          <w:szCs w:val="24"/>
        </w:rPr>
        <w:t xml:space="preserve"> in which it</w:t>
      </w:r>
      <w:r w:rsidR="000C476D" w:rsidRPr="00837849">
        <w:rPr>
          <w:sz w:val="24"/>
          <w:szCs w:val="24"/>
        </w:rPr>
        <w:t xml:space="preserve"> </w:t>
      </w:r>
      <w:r w:rsidR="00F72958" w:rsidRPr="00837849">
        <w:rPr>
          <w:sz w:val="24"/>
          <w:szCs w:val="24"/>
        </w:rPr>
        <w:t>invited interested parties to submit</w:t>
      </w:r>
      <w:r w:rsidR="000C476D" w:rsidRPr="00837849">
        <w:rPr>
          <w:sz w:val="24"/>
          <w:szCs w:val="24"/>
        </w:rPr>
        <w:t xml:space="preserve"> </w:t>
      </w:r>
      <w:r w:rsidR="00F72958" w:rsidRPr="00837849">
        <w:rPr>
          <w:sz w:val="24"/>
          <w:szCs w:val="24"/>
        </w:rPr>
        <w:t>comments into the record for the Fourth Satellite Competition Report, which will analyze the 2011 through 2013 calendar years</w:t>
      </w:r>
      <w:r w:rsidRPr="00837849">
        <w:rPr>
          <w:sz w:val="24"/>
          <w:szCs w:val="24"/>
        </w:rPr>
        <w:t>.</w:t>
      </w:r>
      <w:r w:rsidRPr="00837849">
        <w:rPr>
          <w:rStyle w:val="FootnoteReference"/>
          <w:sz w:val="24"/>
          <w:szCs w:val="24"/>
        </w:rPr>
        <w:footnoteReference w:id="2"/>
      </w:r>
      <w:r w:rsidRPr="00837849">
        <w:rPr>
          <w:sz w:val="24"/>
          <w:szCs w:val="24"/>
        </w:rPr>
        <w:t xml:space="preserve">  </w:t>
      </w:r>
      <w:r w:rsidR="000C476D" w:rsidRPr="00837849">
        <w:rPr>
          <w:sz w:val="24"/>
          <w:szCs w:val="24"/>
        </w:rPr>
        <w:t>The Public Notice</w:t>
      </w:r>
      <w:r w:rsidR="0095575F" w:rsidRPr="00837849">
        <w:rPr>
          <w:sz w:val="24"/>
          <w:szCs w:val="24"/>
        </w:rPr>
        <w:t xml:space="preserve"> specified a deadline of </w:t>
      </w:r>
      <w:r w:rsidR="000C476D" w:rsidRPr="00837849">
        <w:rPr>
          <w:sz w:val="24"/>
          <w:szCs w:val="24"/>
        </w:rPr>
        <w:t>January 7</w:t>
      </w:r>
      <w:r w:rsidR="0095575F" w:rsidRPr="00837849">
        <w:rPr>
          <w:sz w:val="24"/>
          <w:szCs w:val="24"/>
        </w:rPr>
        <w:t>, 201</w:t>
      </w:r>
      <w:r w:rsidR="000C476D" w:rsidRPr="00837849">
        <w:rPr>
          <w:sz w:val="24"/>
          <w:szCs w:val="24"/>
        </w:rPr>
        <w:t>5</w:t>
      </w:r>
      <w:r w:rsidR="0095575F" w:rsidRPr="00837849">
        <w:rPr>
          <w:sz w:val="24"/>
          <w:szCs w:val="24"/>
        </w:rPr>
        <w:t xml:space="preserve"> for filing comments and a January </w:t>
      </w:r>
      <w:r w:rsidR="000C476D" w:rsidRPr="00837849">
        <w:rPr>
          <w:sz w:val="24"/>
          <w:szCs w:val="24"/>
        </w:rPr>
        <w:t>22</w:t>
      </w:r>
      <w:r w:rsidR="0095575F" w:rsidRPr="00837849">
        <w:rPr>
          <w:sz w:val="24"/>
          <w:szCs w:val="24"/>
        </w:rPr>
        <w:t>, 2015 deadline for filing reply comments</w:t>
      </w:r>
      <w:r w:rsidRPr="00837849">
        <w:rPr>
          <w:sz w:val="24"/>
          <w:szCs w:val="24"/>
        </w:rPr>
        <w:t>.</w:t>
      </w:r>
      <w:r w:rsidRPr="00837849">
        <w:rPr>
          <w:rStyle w:val="FootnoteReference"/>
          <w:sz w:val="24"/>
          <w:szCs w:val="24"/>
        </w:rPr>
        <w:footnoteReference w:id="3"/>
      </w:r>
      <w:r w:rsidRPr="00837849">
        <w:rPr>
          <w:sz w:val="24"/>
          <w:szCs w:val="24"/>
          <w:vertAlign w:val="superscript"/>
        </w:rPr>
        <w:t xml:space="preserve"> </w:t>
      </w:r>
      <w:r w:rsidRPr="00837849">
        <w:rPr>
          <w:sz w:val="24"/>
          <w:szCs w:val="24"/>
        </w:rPr>
        <w:t xml:space="preserve"> </w:t>
      </w:r>
      <w:r w:rsidR="003B35CE" w:rsidRPr="00837849">
        <w:rPr>
          <w:sz w:val="24"/>
          <w:szCs w:val="24"/>
        </w:rPr>
        <w:t xml:space="preserve"> </w:t>
      </w:r>
      <w:r w:rsidR="00327B3F" w:rsidRPr="00837849">
        <w:rPr>
          <w:sz w:val="24"/>
          <w:szCs w:val="24"/>
        </w:rPr>
        <w:t xml:space="preserve">By this Order, we extend these filing deadlines until </w:t>
      </w:r>
      <w:r w:rsidR="000C476D" w:rsidRPr="00837849">
        <w:rPr>
          <w:sz w:val="24"/>
          <w:szCs w:val="24"/>
        </w:rPr>
        <w:t>February 6</w:t>
      </w:r>
      <w:r w:rsidR="00327B3F" w:rsidRPr="00837849">
        <w:rPr>
          <w:sz w:val="24"/>
          <w:szCs w:val="24"/>
        </w:rPr>
        <w:t xml:space="preserve"> and </w:t>
      </w:r>
      <w:r w:rsidR="000C476D" w:rsidRPr="00837849">
        <w:rPr>
          <w:sz w:val="24"/>
          <w:szCs w:val="24"/>
        </w:rPr>
        <w:t>February 23</w:t>
      </w:r>
      <w:r w:rsidR="00327B3F" w:rsidRPr="00837849">
        <w:rPr>
          <w:sz w:val="24"/>
          <w:szCs w:val="24"/>
        </w:rPr>
        <w:t>, 2015.</w:t>
      </w:r>
    </w:p>
    <w:p w:rsidR="00187199" w:rsidRPr="00837849" w:rsidRDefault="00327B3F" w:rsidP="00A24966">
      <w:pPr>
        <w:pStyle w:val="ParaNum"/>
        <w:numPr>
          <w:ilvl w:val="0"/>
          <w:numId w:val="5"/>
        </w:numPr>
        <w:tabs>
          <w:tab w:val="clear" w:pos="1080"/>
          <w:tab w:val="num" w:pos="1440"/>
        </w:tabs>
        <w:spacing w:after="120"/>
        <w:jc w:val="left"/>
        <w:rPr>
          <w:color w:val="000000"/>
          <w:sz w:val="24"/>
          <w:szCs w:val="24"/>
        </w:rPr>
      </w:pPr>
      <w:r w:rsidRPr="00837849">
        <w:rPr>
          <w:color w:val="000000"/>
          <w:sz w:val="24"/>
          <w:szCs w:val="24"/>
        </w:rPr>
        <w:t>This extension comports with the request of t</w:t>
      </w:r>
      <w:r w:rsidR="00607A12" w:rsidRPr="00837849">
        <w:rPr>
          <w:color w:val="000000"/>
          <w:sz w:val="24"/>
          <w:szCs w:val="24"/>
        </w:rPr>
        <w:t>he Satellite Industry Association (SIA)</w:t>
      </w:r>
      <w:r w:rsidR="00D2684A" w:rsidRPr="00837849">
        <w:rPr>
          <w:color w:val="000000"/>
          <w:sz w:val="24"/>
          <w:szCs w:val="24"/>
        </w:rPr>
        <w:t xml:space="preserve"> </w:t>
      </w:r>
      <w:r w:rsidRPr="00837849">
        <w:rPr>
          <w:color w:val="000000"/>
          <w:sz w:val="24"/>
          <w:szCs w:val="24"/>
        </w:rPr>
        <w:t xml:space="preserve">to </w:t>
      </w:r>
      <w:r w:rsidR="00490044" w:rsidRPr="00837849">
        <w:rPr>
          <w:color w:val="000000"/>
          <w:sz w:val="24"/>
          <w:szCs w:val="24"/>
        </w:rPr>
        <w:t xml:space="preserve">postpone </w:t>
      </w:r>
      <w:r w:rsidR="00187199" w:rsidRPr="00837849">
        <w:rPr>
          <w:color w:val="000000"/>
          <w:sz w:val="24"/>
          <w:szCs w:val="24"/>
        </w:rPr>
        <w:t xml:space="preserve">the comment </w:t>
      </w:r>
      <w:r w:rsidR="00490044" w:rsidRPr="00837849">
        <w:rPr>
          <w:color w:val="000000"/>
          <w:sz w:val="24"/>
          <w:szCs w:val="24"/>
        </w:rPr>
        <w:t xml:space="preserve">and reply </w:t>
      </w:r>
      <w:r w:rsidR="00187199" w:rsidRPr="00837849">
        <w:rPr>
          <w:color w:val="000000"/>
          <w:sz w:val="24"/>
          <w:szCs w:val="24"/>
        </w:rPr>
        <w:t>deadline</w:t>
      </w:r>
      <w:r w:rsidR="00490044" w:rsidRPr="00837849">
        <w:rPr>
          <w:color w:val="000000"/>
          <w:sz w:val="24"/>
          <w:szCs w:val="24"/>
        </w:rPr>
        <w:t>s</w:t>
      </w:r>
      <w:r w:rsidR="00187199" w:rsidRPr="00837849">
        <w:rPr>
          <w:color w:val="000000"/>
          <w:sz w:val="24"/>
          <w:szCs w:val="24"/>
        </w:rPr>
        <w:t xml:space="preserve"> by </w:t>
      </w:r>
      <w:r w:rsidR="000C476D" w:rsidRPr="00837849">
        <w:rPr>
          <w:color w:val="000000"/>
          <w:sz w:val="24"/>
          <w:szCs w:val="24"/>
        </w:rPr>
        <w:t>30</w:t>
      </w:r>
      <w:r w:rsidR="00607A12" w:rsidRPr="00837849">
        <w:rPr>
          <w:color w:val="000000"/>
          <w:sz w:val="24"/>
          <w:szCs w:val="24"/>
        </w:rPr>
        <w:t xml:space="preserve"> days</w:t>
      </w:r>
      <w:r w:rsidR="00187199" w:rsidRPr="00837849">
        <w:rPr>
          <w:color w:val="000000"/>
          <w:sz w:val="24"/>
          <w:szCs w:val="24"/>
        </w:rPr>
        <w:t>.</w:t>
      </w:r>
      <w:r w:rsidR="00187199" w:rsidRPr="00837849">
        <w:rPr>
          <w:rStyle w:val="FootnoteReference"/>
          <w:sz w:val="24"/>
          <w:szCs w:val="24"/>
        </w:rPr>
        <w:footnoteReference w:id="4"/>
      </w:r>
      <w:r w:rsidR="00187199" w:rsidRPr="00837849">
        <w:rPr>
          <w:color w:val="000000"/>
          <w:sz w:val="24"/>
          <w:szCs w:val="24"/>
        </w:rPr>
        <w:t xml:space="preserve">  </w:t>
      </w:r>
      <w:r w:rsidR="00607A12" w:rsidRPr="00837849">
        <w:rPr>
          <w:color w:val="000000"/>
          <w:sz w:val="24"/>
          <w:szCs w:val="24"/>
        </w:rPr>
        <w:t xml:space="preserve">SIA </w:t>
      </w:r>
      <w:r w:rsidR="0043193C" w:rsidRPr="00837849">
        <w:rPr>
          <w:color w:val="000000"/>
          <w:sz w:val="24"/>
          <w:szCs w:val="24"/>
        </w:rPr>
        <w:t xml:space="preserve">maintains additional time </w:t>
      </w:r>
      <w:r w:rsidR="004571C0" w:rsidRPr="00837849">
        <w:rPr>
          <w:color w:val="000000"/>
          <w:sz w:val="24"/>
          <w:szCs w:val="24"/>
        </w:rPr>
        <w:t xml:space="preserve">is needed </w:t>
      </w:r>
      <w:r w:rsidR="00187199" w:rsidRPr="00837849">
        <w:rPr>
          <w:color w:val="000000"/>
          <w:sz w:val="24"/>
          <w:szCs w:val="24"/>
        </w:rPr>
        <w:t xml:space="preserve">to </w:t>
      </w:r>
      <w:r w:rsidR="0043193C" w:rsidRPr="00837849">
        <w:rPr>
          <w:color w:val="000000"/>
          <w:sz w:val="24"/>
          <w:szCs w:val="24"/>
        </w:rPr>
        <w:t>respond</w:t>
      </w:r>
      <w:r w:rsidR="000C476D" w:rsidRPr="00837849">
        <w:rPr>
          <w:color w:val="000000"/>
          <w:sz w:val="24"/>
          <w:szCs w:val="24"/>
        </w:rPr>
        <w:t xml:space="preserve"> </w:t>
      </w:r>
      <w:r w:rsidR="00F72958" w:rsidRPr="00837849">
        <w:rPr>
          <w:color w:val="000000"/>
          <w:sz w:val="24"/>
          <w:szCs w:val="24"/>
        </w:rPr>
        <w:t>because</w:t>
      </w:r>
      <w:r w:rsidR="000C476D" w:rsidRPr="00837849">
        <w:rPr>
          <w:color w:val="000000"/>
          <w:sz w:val="24"/>
          <w:szCs w:val="24"/>
        </w:rPr>
        <w:t xml:space="preserve"> SIA and its member companies are currently working on several pending proceedings of significant concern to the satellite industry, which have </w:t>
      </w:r>
      <w:r w:rsidR="00051DF8" w:rsidRPr="00837849">
        <w:rPr>
          <w:color w:val="000000"/>
          <w:sz w:val="24"/>
          <w:szCs w:val="24"/>
        </w:rPr>
        <w:t xml:space="preserve">pleading cycles </w:t>
      </w:r>
      <w:r w:rsidR="000C476D" w:rsidRPr="00837849">
        <w:rPr>
          <w:color w:val="000000"/>
          <w:sz w:val="24"/>
          <w:szCs w:val="24"/>
        </w:rPr>
        <w:t>t</w:t>
      </w:r>
      <w:r w:rsidR="00051DF8" w:rsidRPr="00837849">
        <w:rPr>
          <w:color w:val="000000"/>
          <w:sz w:val="24"/>
          <w:szCs w:val="24"/>
        </w:rPr>
        <w:t>hat</w:t>
      </w:r>
      <w:r w:rsidR="000C476D" w:rsidRPr="00837849">
        <w:rPr>
          <w:color w:val="000000"/>
          <w:sz w:val="24"/>
          <w:szCs w:val="24"/>
        </w:rPr>
        <w:t xml:space="preserve"> </w:t>
      </w:r>
      <w:r w:rsidR="00051DF8" w:rsidRPr="00837849">
        <w:rPr>
          <w:color w:val="000000"/>
          <w:sz w:val="24"/>
          <w:szCs w:val="24"/>
        </w:rPr>
        <w:t xml:space="preserve">overlap the </w:t>
      </w:r>
      <w:r w:rsidR="00FE635B" w:rsidRPr="00837849">
        <w:rPr>
          <w:color w:val="000000"/>
          <w:sz w:val="24"/>
          <w:szCs w:val="24"/>
        </w:rPr>
        <w:t>comment schedule</w:t>
      </w:r>
      <w:r w:rsidR="00051DF8" w:rsidRPr="00837849">
        <w:rPr>
          <w:color w:val="000000"/>
          <w:sz w:val="24"/>
          <w:szCs w:val="24"/>
        </w:rPr>
        <w:t xml:space="preserve"> </w:t>
      </w:r>
      <w:r w:rsidR="000C476D" w:rsidRPr="00837849">
        <w:rPr>
          <w:color w:val="000000"/>
          <w:sz w:val="24"/>
          <w:szCs w:val="24"/>
        </w:rPr>
        <w:t>established by the Public Notice</w:t>
      </w:r>
      <w:r w:rsidR="00187199" w:rsidRPr="00837849">
        <w:rPr>
          <w:color w:val="000000"/>
          <w:sz w:val="24"/>
          <w:szCs w:val="24"/>
        </w:rPr>
        <w:t>.</w:t>
      </w:r>
      <w:r w:rsidR="00187199" w:rsidRPr="00837849">
        <w:rPr>
          <w:rStyle w:val="FootnoteReference"/>
          <w:sz w:val="24"/>
          <w:szCs w:val="24"/>
        </w:rPr>
        <w:footnoteReference w:id="5"/>
      </w:r>
      <w:r w:rsidR="00187199" w:rsidRPr="00837849">
        <w:rPr>
          <w:color w:val="000000"/>
          <w:sz w:val="24"/>
          <w:szCs w:val="24"/>
        </w:rPr>
        <w:t xml:space="preserve">  </w:t>
      </w:r>
      <w:r w:rsidR="000C476D" w:rsidRPr="00837849">
        <w:rPr>
          <w:color w:val="000000"/>
          <w:sz w:val="24"/>
          <w:szCs w:val="24"/>
        </w:rPr>
        <w:t>According to SIA, this overlap makes it difficult for SIA members to devote the necessary time to prepare responsive comments to the Public Notice under the existing comment schedule.</w:t>
      </w:r>
      <w:r w:rsidR="000C476D" w:rsidRPr="00837849">
        <w:rPr>
          <w:rStyle w:val="FootnoteReference"/>
          <w:color w:val="000000"/>
          <w:sz w:val="24"/>
          <w:szCs w:val="24"/>
        </w:rPr>
        <w:footnoteReference w:id="6"/>
      </w:r>
      <w:r w:rsidR="000C476D" w:rsidRPr="00837849">
        <w:rPr>
          <w:color w:val="000000"/>
          <w:sz w:val="24"/>
          <w:szCs w:val="24"/>
        </w:rPr>
        <w:t xml:space="preserve">  </w:t>
      </w:r>
      <w:r w:rsidR="00607A12" w:rsidRPr="00837849">
        <w:rPr>
          <w:color w:val="000000"/>
          <w:sz w:val="24"/>
          <w:szCs w:val="24"/>
        </w:rPr>
        <w:t xml:space="preserve">SIA </w:t>
      </w:r>
      <w:r w:rsidR="0043193C" w:rsidRPr="00837849">
        <w:rPr>
          <w:color w:val="000000"/>
          <w:sz w:val="24"/>
          <w:szCs w:val="24"/>
        </w:rPr>
        <w:t>also asserts</w:t>
      </w:r>
      <w:r w:rsidR="006204FC" w:rsidRPr="00837849">
        <w:rPr>
          <w:color w:val="000000"/>
          <w:sz w:val="24"/>
          <w:szCs w:val="24"/>
        </w:rPr>
        <w:t xml:space="preserve"> </w:t>
      </w:r>
      <w:r w:rsidR="00187199" w:rsidRPr="00837849">
        <w:rPr>
          <w:color w:val="000000"/>
          <w:sz w:val="24"/>
          <w:szCs w:val="24"/>
        </w:rPr>
        <w:t xml:space="preserve">that </w:t>
      </w:r>
      <w:r w:rsidR="00607A12" w:rsidRPr="00837849">
        <w:rPr>
          <w:color w:val="000000"/>
          <w:sz w:val="24"/>
          <w:szCs w:val="24"/>
        </w:rPr>
        <w:t>many</w:t>
      </w:r>
      <w:r w:rsidR="00A24966" w:rsidRPr="00837849">
        <w:rPr>
          <w:color w:val="000000"/>
          <w:sz w:val="24"/>
          <w:szCs w:val="24"/>
        </w:rPr>
        <w:t xml:space="preserve"> satellite industry experts </w:t>
      </w:r>
      <w:r w:rsidR="000C476D" w:rsidRPr="00837849">
        <w:rPr>
          <w:color w:val="000000"/>
          <w:sz w:val="24"/>
          <w:szCs w:val="24"/>
        </w:rPr>
        <w:t>will be</w:t>
      </w:r>
      <w:r w:rsidR="00A24966" w:rsidRPr="00837849">
        <w:rPr>
          <w:color w:val="000000"/>
          <w:sz w:val="24"/>
          <w:szCs w:val="24"/>
        </w:rPr>
        <w:t xml:space="preserve"> </w:t>
      </w:r>
      <w:r w:rsidR="00607A12" w:rsidRPr="00837849">
        <w:rPr>
          <w:color w:val="000000"/>
          <w:sz w:val="24"/>
          <w:szCs w:val="24"/>
        </w:rPr>
        <w:t xml:space="preserve">unavailable </w:t>
      </w:r>
      <w:r w:rsidR="00BC4586" w:rsidRPr="00837849">
        <w:rPr>
          <w:color w:val="000000"/>
          <w:sz w:val="24"/>
          <w:szCs w:val="24"/>
        </w:rPr>
        <w:t>for consultation</w:t>
      </w:r>
      <w:r w:rsidR="00F72958" w:rsidRPr="00837849">
        <w:rPr>
          <w:color w:val="000000"/>
          <w:sz w:val="24"/>
          <w:szCs w:val="24"/>
        </w:rPr>
        <w:t xml:space="preserve"> due to holiday vacation </w:t>
      </w:r>
      <w:r w:rsidR="00F72958" w:rsidRPr="00837849">
        <w:rPr>
          <w:color w:val="000000"/>
          <w:sz w:val="24"/>
          <w:szCs w:val="24"/>
        </w:rPr>
        <w:lastRenderedPageBreak/>
        <w:t>schedules at the end of the year</w:t>
      </w:r>
      <w:r w:rsidR="00187199" w:rsidRPr="00837849">
        <w:rPr>
          <w:color w:val="000000"/>
          <w:sz w:val="24"/>
          <w:szCs w:val="24"/>
        </w:rPr>
        <w:t>.</w:t>
      </w:r>
      <w:r w:rsidR="00187199" w:rsidRPr="00837849">
        <w:rPr>
          <w:rStyle w:val="FootnoteReference"/>
          <w:sz w:val="24"/>
          <w:szCs w:val="24"/>
        </w:rPr>
        <w:footnoteReference w:id="7"/>
      </w:r>
      <w:r w:rsidR="00A24966" w:rsidRPr="00837849">
        <w:rPr>
          <w:color w:val="000000"/>
          <w:sz w:val="24"/>
          <w:szCs w:val="24"/>
        </w:rPr>
        <w:t xml:space="preserve">  No party has opposed the proposed extension of time. </w:t>
      </w:r>
      <w:r w:rsidR="003B35CE" w:rsidRPr="00837849">
        <w:rPr>
          <w:color w:val="000000"/>
          <w:sz w:val="24"/>
          <w:szCs w:val="24"/>
        </w:rPr>
        <w:t xml:space="preserve"> Although the Commission does not routinely grant extensions of time,</w:t>
      </w:r>
      <w:r w:rsidR="003B35CE" w:rsidRPr="00837849">
        <w:rPr>
          <w:rStyle w:val="FootnoteReference"/>
          <w:sz w:val="24"/>
          <w:szCs w:val="24"/>
        </w:rPr>
        <w:footnoteReference w:id="8"/>
      </w:r>
      <w:r w:rsidR="003B35CE" w:rsidRPr="00837849">
        <w:rPr>
          <w:color w:val="000000"/>
          <w:sz w:val="24"/>
          <w:szCs w:val="24"/>
        </w:rPr>
        <w:t xml:space="preserve"> w</w:t>
      </w:r>
      <w:r w:rsidR="00187199" w:rsidRPr="00837849">
        <w:rPr>
          <w:color w:val="000000"/>
          <w:sz w:val="24"/>
          <w:szCs w:val="24"/>
        </w:rPr>
        <w:t xml:space="preserve">e </w:t>
      </w:r>
      <w:r w:rsidR="00E00BC8" w:rsidRPr="00837849">
        <w:rPr>
          <w:color w:val="000000"/>
          <w:sz w:val="24"/>
          <w:szCs w:val="24"/>
        </w:rPr>
        <w:t>agree</w:t>
      </w:r>
      <w:r w:rsidR="00187199" w:rsidRPr="00837849">
        <w:rPr>
          <w:color w:val="000000"/>
          <w:sz w:val="24"/>
          <w:szCs w:val="24"/>
        </w:rPr>
        <w:t xml:space="preserve"> that </w:t>
      </w:r>
      <w:r w:rsidR="00F72958" w:rsidRPr="00837849">
        <w:rPr>
          <w:color w:val="000000"/>
          <w:sz w:val="24"/>
          <w:szCs w:val="24"/>
        </w:rPr>
        <w:t>30</w:t>
      </w:r>
      <w:r w:rsidR="00D40488" w:rsidRPr="00837849">
        <w:rPr>
          <w:color w:val="000000"/>
          <w:sz w:val="24"/>
          <w:szCs w:val="24"/>
        </w:rPr>
        <w:t>-</w:t>
      </w:r>
      <w:r w:rsidR="00607A12" w:rsidRPr="00837849">
        <w:rPr>
          <w:color w:val="000000"/>
          <w:sz w:val="24"/>
          <w:szCs w:val="24"/>
        </w:rPr>
        <w:t>day</w:t>
      </w:r>
      <w:r w:rsidR="00187199" w:rsidRPr="00837849">
        <w:rPr>
          <w:color w:val="000000"/>
          <w:sz w:val="24"/>
          <w:szCs w:val="24"/>
        </w:rPr>
        <w:t xml:space="preserve"> extension</w:t>
      </w:r>
      <w:r w:rsidR="00D40488" w:rsidRPr="00837849">
        <w:rPr>
          <w:color w:val="000000"/>
          <w:sz w:val="24"/>
          <w:szCs w:val="24"/>
        </w:rPr>
        <w:t>s</w:t>
      </w:r>
      <w:r w:rsidR="00187199" w:rsidRPr="00837849">
        <w:rPr>
          <w:color w:val="000000"/>
          <w:sz w:val="24"/>
          <w:szCs w:val="24"/>
        </w:rPr>
        <w:t xml:space="preserve"> of time for filing comments </w:t>
      </w:r>
      <w:r w:rsidR="00D40488" w:rsidRPr="00837849">
        <w:rPr>
          <w:color w:val="000000"/>
          <w:sz w:val="24"/>
          <w:szCs w:val="24"/>
        </w:rPr>
        <w:t xml:space="preserve">and reply comments </w:t>
      </w:r>
      <w:r w:rsidR="00B13056" w:rsidRPr="00837849">
        <w:rPr>
          <w:color w:val="000000"/>
          <w:sz w:val="24"/>
          <w:szCs w:val="24"/>
        </w:rPr>
        <w:t>are</w:t>
      </w:r>
      <w:r w:rsidR="00187199" w:rsidRPr="00837849">
        <w:rPr>
          <w:color w:val="000000"/>
          <w:sz w:val="24"/>
          <w:szCs w:val="24"/>
        </w:rPr>
        <w:t xml:space="preserve"> warranted</w:t>
      </w:r>
      <w:r w:rsidR="003B35CE" w:rsidRPr="00837849">
        <w:rPr>
          <w:color w:val="000000"/>
          <w:sz w:val="24"/>
          <w:szCs w:val="24"/>
        </w:rPr>
        <w:t xml:space="preserve"> in this instance</w:t>
      </w:r>
      <w:r w:rsidR="00B13056" w:rsidRPr="00837849">
        <w:rPr>
          <w:color w:val="000000"/>
          <w:sz w:val="24"/>
          <w:szCs w:val="24"/>
        </w:rPr>
        <w:t xml:space="preserve"> for the reasons stated by SIA</w:t>
      </w:r>
      <w:r w:rsidR="00187199" w:rsidRPr="00837849">
        <w:rPr>
          <w:color w:val="000000"/>
          <w:sz w:val="24"/>
          <w:szCs w:val="24"/>
        </w:rPr>
        <w:t>.</w:t>
      </w:r>
    </w:p>
    <w:p w:rsidR="00187199" w:rsidRPr="00837849" w:rsidRDefault="00187199" w:rsidP="00A2660D">
      <w:pPr>
        <w:pStyle w:val="ParaNum"/>
        <w:numPr>
          <w:ilvl w:val="0"/>
          <w:numId w:val="5"/>
        </w:numPr>
        <w:tabs>
          <w:tab w:val="clear" w:pos="1080"/>
          <w:tab w:val="num" w:pos="1440"/>
        </w:tabs>
        <w:spacing w:after="120"/>
        <w:jc w:val="left"/>
        <w:rPr>
          <w:color w:val="000000"/>
          <w:sz w:val="24"/>
          <w:szCs w:val="24"/>
        </w:rPr>
      </w:pPr>
      <w:r w:rsidRPr="00837849">
        <w:rPr>
          <w:color w:val="000000"/>
          <w:sz w:val="24"/>
          <w:szCs w:val="24"/>
        </w:rPr>
        <w:t xml:space="preserve">Accordingly, IT IS ORDERED, pursuant to Section 4(i) of the Communications Act of 1934, as amended, </w:t>
      </w:r>
      <w:r w:rsidRPr="00837849">
        <w:rPr>
          <w:sz w:val="24"/>
          <w:szCs w:val="24"/>
        </w:rPr>
        <w:t>47 U.S.C. § 154(i), and Sections 0.51, 0.261</w:t>
      </w:r>
      <w:r w:rsidR="003B35CE" w:rsidRPr="00837849">
        <w:rPr>
          <w:sz w:val="24"/>
          <w:szCs w:val="24"/>
        </w:rPr>
        <w:t>, and 1.46 of the Commission's r</w:t>
      </w:r>
      <w:r w:rsidRPr="00837849">
        <w:rPr>
          <w:sz w:val="24"/>
          <w:szCs w:val="24"/>
        </w:rPr>
        <w:t>ules, 47 C.F.R. §§ 0.51, 0.261, and 1.46,</w:t>
      </w:r>
      <w:r w:rsidR="00F86621" w:rsidRPr="00837849">
        <w:rPr>
          <w:sz w:val="24"/>
          <w:szCs w:val="24"/>
        </w:rPr>
        <w:t xml:space="preserve"> that</w:t>
      </w:r>
      <w:r w:rsidRPr="00837849">
        <w:rPr>
          <w:color w:val="000000"/>
          <w:sz w:val="24"/>
          <w:szCs w:val="24"/>
        </w:rPr>
        <w:t xml:space="preserve"> the</w:t>
      </w:r>
      <w:r w:rsidR="00F86621" w:rsidRPr="00837849">
        <w:rPr>
          <w:color w:val="000000"/>
          <w:sz w:val="24"/>
          <w:szCs w:val="24"/>
        </w:rPr>
        <w:t xml:space="preserve"> Satellite Industry Association’s</w:t>
      </w:r>
      <w:r w:rsidRPr="00837849">
        <w:rPr>
          <w:color w:val="000000"/>
          <w:sz w:val="24"/>
          <w:szCs w:val="24"/>
        </w:rPr>
        <w:t xml:space="preserve"> </w:t>
      </w:r>
      <w:r w:rsidR="00F86621" w:rsidRPr="00837849">
        <w:rPr>
          <w:color w:val="000000"/>
          <w:sz w:val="24"/>
          <w:szCs w:val="24"/>
        </w:rPr>
        <w:t xml:space="preserve">motion </w:t>
      </w:r>
      <w:r w:rsidRPr="00837849">
        <w:rPr>
          <w:color w:val="000000"/>
          <w:sz w:val="24"/>
          <w:szCs w:val="24"/>
        </w:rPr>
        <w:t xml:space="preserve">for </w:t>
      </w:r>
      <w:r w:rsidR="00F86621" w:rsidRPr="00837849">
        <w:rPr>
          <w:color w:val="000000"/>
          <w:sz w:val="24"/>
          <w:szCs w:val="24"/>
        </w:rPr>
        <w:t>e</w:t>
      </w:r>
      <w:r w:rsidRPr="00837849">
        <w:rPr>
          <w:color w:val="000000"/>
          <w:sz w:val="24"/>
          <w:szCs w:val="24"/>
        </w:rPr>
        <w:t xml:space="preserve">xtension of </w:t>
      </w:r>
      <w:r w:rsidR="00F86621" w:rsidRPr="00837849">
        <w:rPr>
          <w:color w:val="000000"/>
          <w:sz w:val="24"/>
          <w:szCs w:val="24"/>
        </w:rPr>
        <w:t>t</w:t>
      </w:r>
      <w:r w:rsidRPr="00837849">
        <w:rPr>
          <w:color w:val="000000"/>
          <w:sz w:val="24"/>
          <w:szCs w:val="24"/>
        </w:rPr>
        <w:t>ime IS GRANTED</w:t>
      </w:r>
      <w:r w:rsidR="00AC2A16" w:rsidRPr="00837849">
        <w:rPr>
          <w:color w:val="000000"/>
          <w:sz w:val="24"/>
          <w:szCs w:val="24"/>
        </w:rPr>
        <w:t xml:space="preserve"> and</w:t>
      </w:r>
      <w:r w:rsidRPr="00837849">
        <w:rPr>
          <w:color w:val="000000"/>
          <w:sz w:val="24"/>
          <w:szCs w:val="24"/>
        </w:rPr>
        <w:t xml:space="preserve"> </w:t>
      </w:r>
      <w:r w:rsidR="00F86621" w:rsidRPr="00837849">
        <w:rPr>
          <w:color w:val="000000"/>
          <w:sz w:val="24"/>
          <w:szCs w:val="24"/>
        </w:rPr>
        <w:t xml:space="preserve">that </w:t>
      </w:r>
      <w:r w:rsidRPr="00837849">
        <w:rPr>
          <w:color w:val="000000"/>
          <w:sz w:val="24"/>
          <w:szCs w:val="24"/>
        </w:rPr>
        <w:t xml:space="preserve">the </w:t>
      </w:r>
      <w:r w:rsidR="00F86621" w:rsidRPr="00837849">
        <w:rPr>
          <w:color w:val="000000"/>
          <w:sz w:val="24"/>
          <w:szCs w:val="24"/>
        </w:rPr>
        <w:t>time for</w:t>
      </w:r>
      <w:r w:rsidRPr="00837849">
        <w:rPr>
          <w:color w:val="000000"/>
          <w:sz w:val="24"/>
          <w:szCs w:val="24"/>
        </w:rPr>
        <w:t xml:space="preserve"> fil</w:t>
      </w:r>
      <w:r w:rsidR="00F86621" w:rsidRPr="00837849">
        <w:rPr>
          <w:color w:val="000000"/>
          <w:sz w:val="24"/>
          <w:szCs w:val="24"/>
        </w:rPr>
        <w:t>ing</w:t>
      </w:r>
      <w:r w:rsidRPr="00837849">
        <w:rPr>
          <w:color w:val="000000"/>
          <w:sz w:val="24"/>
          <w:szCs w:val="24"/>
        </w:rPr>
        <w:t xml:space="preserve"> comments in this proceeding is extended to </w:t>
      </w:r>
      <w:r w:rsidR="00F72958" w:rsidRPr="00837849">
        <w:rPr>
          <w:color w:val="000000"/>
          <w:sz w:val="24"/>
          <w:szCs w:val="24"/>
        </w:rPr>
        <w:t>February 6</w:t>
      </w:r>
      <w:r w:rsidRPr="00837849">
        <w:rPr>
          <w:color w:val="000000"/>
          <w:sz w:val="24"/>
          <w:szCs w:val="24"/>
        </w:rPr>
        <w:t>, 201</w:t>
      </w:r>
      <w:r w:rsidR="009A1866" w:rsidRPr="00837849">
        <w:rPr>
          <w:color w:val="000000"/>
          <w:sz w:val="24"/>
          <w:szCs w:val="24"/>
        </w:rPr>
        <w:t>5</w:t>
      </w:r>
      <w:r w:rsidR="00AC2A16" w:rsidRPr="00837849">
        <w:rPr>
          <w:color w:val="000000"/>
          <w:sz w:val="24"/>
          <w:szCs w:val="24"/>
        </w:rPr>
        <w:t xml:space="preserve"> and </w:t>
      </w:r>
      <w:r w:rsidR="00F86621" w:rsidRPr="00837849">
        <w:rPr>
          <w:color w:val="000000"/>
          <w:sz w:val="24"/>
          <w:szCs w:val="24"/>
        </w:rPr>
        <w:t xml:space="preserve">the time for filing reply comments is extended to </w:t>
      </w:r>
      <w:r w:rsidR="00F72958" w:rsidRPr="00837849">
        <w:rPr>
          <w:color w:val="000000"/>
          <w:sz w:val="24"/>
          <w:szCs w:val="24"/>
        </w:rPr>
        <w:t>February 23</w:t>
      </w:r>
      <w:r w:rsidR="00F86621" w:rsidRPr="00837849">
        <w:rPr>
          <w:color w:val="000000"/>
          <w:sz w:val="24"/>
          <w:szCs w:val="24"/>
        </w:rPr>
        <w:t>, 2015</w:t>
      </w:r>
      <w:r w:rsidRPr="00837849">
        <w:rPr>
          <w:color w:val="000000"/>
          <w:sz w:val="24"/>
          <w:szCs w:val="24"/>
        </w:rPr>
        <w:t xml:space="preserve">. </w:t>
      </w:r>
    </w:p>
    <w:p w:rsidR="00187199" w:rsidRPr="00837849" w:rsidRDefault="00187199">
      <w:pPr>
        <w:rPr>
          <w:sz w:val="24"/>
          <w:szCs w:val="24"/>
        </w:rPr>
      </w:pPr>
    </w:p>
    <w:p w:rsidR="00187199" w:rsidRPr="00837849" w:rsidRDefault="00187199">
      <w:pPr>
        <w:ind w:left="3600" w:firstLine="720"/>
        <w:rPr>
          <w:sz w:val="24"/>
          <w:szCs w:val="24"/>
        </w:rPr>
      </w:pPr>
      <w:r w:rsidRPr="00837849">
        <w:rPr>
          <w:sz w:val="24"/>
          <w:szCs w:val="24"/>
        </w:rPr>
        <w:t>FEDERAL COMMUNICATIONS COMMISSION</w:t>
      </w:r>
    </w:p>
    <w:p w:rsidR="00187199" w:rsidRPr="00837849" w:rsidRDefault="00187199">
      <w:pPr>
        <w:rPr>
          <w:sz w:val="24"/>
          <w:szCs w:val="24"/>
        </w:rPr>
      </w:pPr>
    </w:p>
    <w:p w:rsidR="00187199" w:rsidRPr="00837849" w:rsidRDefault="00187199">
      <w:pPr>
        <w:rPr>
          <w:sz w:val="24"/>
          <w:szCs w:val="24"/>
        </w:rPr>
      </w:pPr>
    </w:p>
    <w:p w:rsidR="00187199" w:rsidRPr="00837849" w:rsidRDefault="00187199">
      <w:pPr>
        <w:rPr>
          <w:sz w:val="24"/>
          <w:szCs w:val="24"/>
        </w:rPr>
      </w:pPr>
    </w:p>
    <w:p w:rsidR="00187199" w:rsidRPr="00837849" w:rsidRDefault="00187199">
      <w:pPr>
        <w:rPr>
          <w:sz w:val="24"/>
          <w:szCs w:val="24"/>
        </w:rPr>
      </w:pPr>
    </w:p>
    <w:p w:rsidR="00187199" w:rsidRPr="00837849" w:rsidRDefault="00187199">
      <w:pPr>
        <w:ind w:left="3600" w:firstLine="720"/>
        <w:rPr>
          <w:sz w:val="24"/>
          <w:szCs w:val="24"/>
        </w:rPr>
      </w:pPr>
      <w:r w:rsidRPr="00837849">
        <w:rPr>
          <w:sz w:val="24"/>
          <w:szCs w:val="24"/>
        </w:rPr>
        <w:t>Mindel De La Torre</w:t>
      </w:r>
    </w:p>
    <w:p w:rsidR="00187199" w:rsidRPr="00837849" w:rsidRDefault="00187199">
      <w:pPr>
        <w:ind w:left="3600" w:firstLine="720"/>
        <w:rPr>
          <w:sz w:val="24"/>
          <w:szCs w:val="24"/>
        </w:rPr>
      </w:pPr>
      <w:r w:rsidRPr="00837849">
        <w:rPr>
          <w:sz w:val="24"/>
          <w:szCs w:val="24"/>
        </w:rPr>
        <w:t>Chief</w:t>
      </w:r>
    </w:p>
    <w:p w:rsidR="00187199" w:rsidRPr="00837849" w:rsidRDefault="00187199">
      <w:pPr>
        <w:ind w:left="3600" w:firstLine="720"/>
        <w:rPr>
          <w:sz w:val="24"/>
          <w:szCs w:val="24"/>
        </w:rPr>
      </w:pPr>
      <w:r w:rsidRPr="00837849">
        <w:rPr>
          <w:sz w:val="24"/>
          <w:szCs w:val="24"/>
        </w:rPr>
        <w:t>International Bureau</w:t>
      </w:r>
    </w:p>
    <w:p w:rsidR="00187199" w:rsidRPr="00837849" w:rsidRDefault="00187199">
      <w:pPr>
        <w:autoSpaceDE w:val="0"/>
        <w:autoSpaceDN w:val="0"/>
        <w:adjustRightInd w:val="0"/>
        <w:rPr>
          <w:color w:val="000000"/>
          <w:sz w:val="24"/>
          <w:szCs w:val="24"/>
        </w:rPr>
      </w:pPr>
    </w:p>
    <w:sectPr w:rsidR="00187199" w:rsidRPr="008378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A0" w:rsidRDefault="00632CA0">
      <w:r>
        <w:separator/>
      </w:r>
    </w:p>
  </w:endnote>
  <w:endnote w:type="continuationSeparator" w:id="0">
    <w:p w:rsidR="00632CA0" w:rsidRDefault="0063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06" w:rsidRDefault="00336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32" w:rsidRDefault="004B7B32">
    <w:pPr>
      <w:pStyle w:val="Footer"/>
      <w:jc w:val="center"/>
    </w:pPr>
    <w:r>
      <w:rPr>
        <w:rStyle w:val="PageNumber"/>
      </w:rPr>
      <w:fldChar w:fldCharType="begin"/>
    </w:r>
    <w:r>
      <w:rPr>
        <w:rStyle w:val="PageNumber"/>
      </w:rPr>
      <w:instrText xml:space="preserve"> PAGE </w:instrText>
    </w:r>
    <w:r>
      <w:rPr>
        <w:rStyle w:val="PageNumber"/>
      </w:rPr>
      <w:fldChar w:fldCharType="separate"/>
    </w:r>
    <w:r w:rsidR="009629C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06" w:rsidRDefault="00336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A0" w:rsidRDefault="00632CA0">
      <w:pPr>
        <w:rPr>
          <w:sz w:val="20"/>
        </w:rPr>
      </w:pPr>
      <w:r>
        <w:rPr>
          <w:sz w:val="20"/>
        </w:rPr>
        <w:separator/>
      </w:r>
    </w:p>
  </w:footnote>
  <w:footnote w:type="continuationSeparator" w:id="0">
    <w:p w:rsidR="00632CA0" w:rsidRDefault="00632CA0">
      <w:pPr>
        <w:rPr>
          <w:sz w:val="20"/>
        </w:rPr>
      </w:pPr>
      <w:r>
        <w:rPr>
          <w:sz w:val="20"/>
        </w:rPr>
        <w:separator/>
      </w:r>
    </w:p>
    <w:p w:rsidR="00632CA0" w:rsidRDefault="00632CA0">
      <w:pPr>
        <w:rPr>
          <w:sz w:val="20"/>
        </w:rPr>
      </w:pPr>
      <w:r>
        <w:rPr>
          <w:sz w:val="20"/>
        </w:rPr>
        <w:t>(...continued from previous page)</w:t>
      </w:r>
    </w:p>
  </w:footnote>
  <w:footnote w:type="continuationNotice" w:id="1">
    <w:p w:rsidR="00632CA0" w:rsidRDefault="00632CA0">
      <w:pPr>
        <w:jc w:val="right"/>
        <w:rPr>
          <w:sz w:val="20"/>
        </w:rPr>
      </w:pPr>
      <w:r>
        <w:rPr>
          <w:sz w:val="20"/>
        </w:rPr>
        <w:t>(continued....)</w:t>
      </w:r>
    </w:p>
  </w:footnote>
  <w:footnote w:id="2">
    <w:p w:rsidR="004B7B32" w:rsidRDefault="004B7B32">
      <w:pPr>
        <w:pStyle w:val="FootnoteText"/>
      </w:pPr>
      <w:r>
        <w:rPr>
          <w:rStyle w:val="FootnoteReference"/>
        </w:rPr>
        <w:footnoteRef/>
      </w:r>
      <w:r>
        <w:t xml:space="preserve"> </w:t>
      </w:r>
      <w:r w:rsidR="000C476D">
        <w:rPr>
          <w:i/>
        </w:rPr>
        <w:t>Fourth Annual Report to Congress on Status of Competition in the Satellite Service Industry</w:t>
      </w:r>
      <w:r>
        <w:t>, IB Docket No. 1</w:t>
      </w:r>
      <w:r w:rsidR="000C476D">
        <w:t>4</w:t>
      </w:r>
      <w:r>
        <w:t>-2</w:t>
      </w:r>
      <w:r w:rsidR="000C476D">
        <w:t>29</w:t>
      </w:r>
      <w:r>
        <w:t xml:space="preserve">, </w:t>
      </w:r>
      <w:r w:rsidR="000C476D">
        <w:t>Public Notice</w:t>
      </w:r>
      <w:r>
        <w:t xml:space="preserve">, </w:t>
      </w:r>
      <w:r w:rsidR="000C476D">
        <w:t>DA 14-1707</w:t>
      </w:r>
      <w:r w:rsidR="00A24966">
        <w:t xml:space="preserve"> (</w:t>
      </w:r>
      <w:r w:rsidR="000C476D">
        <w:t xml:space="preserve">Nov. 25, </w:t>
      </w:r>
      <w:r w:rsidR="00A24966">
        <w:t>2014)</w:t>
      </w:r>
      <w:r w:rsidR="000C476D">
        <w:t xml:space="preserve"> (Public Notice)</w:t>
      </w:r>
      <w:r>
        <w:t>.</w:t>
      </w:r>
    </w:p>
  </w:footnote>
  <w:footnote w:id="3">
    <w:p w:rsidR="004B7B32" w:rsidRDefault="004B7B32">
      <w:pPr>
        <w:pStyle w:val="FootnoteText"/>
      </w:pPr>
      <w:r>
        <w:rPr>
          <w:rStyle w:val="FootnoteReference"/>
        </w:rPr>
        <w:footnoteRef/>
      </w:r>
      <w:r>
        <w:t xml:space="preserve"> </w:t>
      </w:r>
      <w:r w:rsidR="00A61F8E" w:rsidRPr="00A61F8E">
        <w:rPr>
          <w:i/>
        </w:rPr>
        <w:t>Id.</w:t>
      </w:r>
    </w:p>
  </w:footnote>
  <w:footnote w:id="4">
    <w:p w:rsidR="004B7B32" w:rsidRDefault="004B7B32">
      <w:pPr>
        <w:pStyle w:val="FootnoteText"/>
      </w:pPr>
      <w:r>
        <w:rPr>
          <w:rStyle w:val="FootnoteReference"/>
        </w:rPr>
        <w:footnoteRef/>
      </w:r>
      <w:r>
        <w:t xml:space="preserve"> </w:t>
      </w:r>
      <w:r w:rsidR="00490044">
        <w:t xml:space="preserve">Motion </w:t>
      </w:r>
      <w:r>
        <w:t xml:space="preserve">for </w:t>
      </w:r>
      <w:r w:rsidR="000C476D">
        <w:t>30</w:t>
      </w:r>
      <w:r w:rsidR="00490044">
        <w:t xml:space="preserve">-Day </w:t>
      </w:r>
      <w:r>
        <w:t>Extension of</w:t>
      </w:r>
      <w:r w:rsidR="00490044">
        <w:t xml:space="preserve"> </w:t>
      </w:r>
      <w:r w:rsidR="000C476D">
        <w:t>Comment Dates</w:t>
      </w:r>
      <w:r>
        <w:t xml:space="preserve">, filed </w:t>
      </w:r>
      <w:r w:rsidR="00490044">
        <w:t xml:space="preserve">in </w:t>
      </w:r>
      <w:r w:rsidR="00490044" w:rsidRPr="00490044">
        <w:t>IB Docket No.1</w:t>
      </w:r>
      <w:r w:rsidR="000C476D">
        <w:t>4</w:t>
      </w:r>
      <w:r w:rsidR="00490044" w:rsidRPr="00490044">
        <w:t>-2</w:t>
      </w:r>
      <w:r w:rsidR="000C476D">
        <w:t>29</w:t>
      </w:r>
      <w:r w:rsidR="00490044">
        <w:t xml:space="preserve"> on </w:t>
      </w:r>
      <w:r w:rsidR="000C476D">
        <w:t>December 19</w:t>
      </w:r>
      <w:r>
        <w:t xml:space="preserve">, 2014.  </w:t>
      </w:r>
    </w:p>
  </w:footnote>
  <w:footnote w:id="5">
    <w:p w:rsidR="004B7B32" w:rsidRDefault="004B7B32">
      <w:pPr>
        <w:pStyle w:val="FootnoteText"/>
      </w:pPr>
      <w:r>
        <w:rPr>
          <w:rStyle w:val="FootnoteReference"/>
        </w:rPr>
        <w:footnoteRef/>
      </w:r>
      <w:r>
        <w:t xml:space="preserve"> </w:t>
      </w:r>
      <w:r>
        <w:rPr>
          <w:i/>
        </w:rPr>
        <w:t>Id</w:t>
      </w:r>
      <w:r>
        <w:t>.</w:t>
      </w:r>
      <w:r w:rsidR="000C476D">
        <w:t xml:space="preserve"> at 1-2 (citing reform of the Part 25 regulatory framework, use of spectrum bands above 24 GHz, and development of Commission positions for the 2015 World Radio Conference)</w:t>
      </w:r>
      <w:r w:rsidR="007F1DD1">
        <w:t>.</w:t>
      </w:r>
    </w:p>
  </w:footnote>
  <w:footnote w:id="6">
    <w:p w:rsidR="000C476D" w:rsidRDefault="000C476D">
      <w:pPr>
        <w:pStyle w:val="FootnoteText"/>
      </w:pPr>
      <w:r>
        <w:rPr>
          <w:rStyle w:val="FootnoteReference"/>
        </w:rPr>
        <w:footnoteRef/>
      </w:r>
      <w:r>
        <w:t xml:space="preserve"> </w:t>
      </w:r>
      <w:r w:rsidRPr="000C476D">
        <w:rPr>
          <w:i/>
        </w:rPr>
        <w:t>Id.</w:t>
      </w:r>
      <w:r>
        <w:t xml:space="preserve"> at 2.</w:t>
      </w:r>
    </w:p>
  </w:footnote>
  <w:footnote w:id="7">
    <w:p w:rsidR="004B7B32" w:rsidRDefault="004B7B32">
      <w:pPr>
        <w:pStyle w:val="FootnoteText"/>
      </w:pPr>
      <w:r>
        <w:rPr>
          <w:rStyle w:val="FootnoteReference"/>
        </w:rPr>
        <w:footnoteRef/>
      </w:r>
      <w:r>
        <w:t xml:space="preserve"> </w:t>
      </w:r>
      <w:r>
        <w:rPr>
          <w:i/>
        </w:rPr>
        <w:t>Id</w:t>
      </w:r>
      <w:r>
        <w:t>.</w:t>
      </w:r>
    </w:p>
  </w:footnote>
  <w:footnote w:id="8">
    <w:p w:rsidR="003B35CE" w:rsidRDefault="003B35CE" w:rsidP="003B35CE">
      <w:pPr>
        <w:pStyle w:val="FootnoteText"/>
      </w:pPr>
      <w:r>
        <w:rPr>
          <w:rStyle w:val="FootnoteReference"/>
        </w:rPr>
        <w:footnoteRef/>
      </w:r>
      <w:r>
        <w:t xml:space="preserve">  47 C.F.R. § 1.46(a).</w:t>
      </w:r>
    </w:p>
    <w:p w:rsidR="003B35CE" w:rsidRDefault="003B35CE" w:rsidP="003B35C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06" w:rsidRDefault="00336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32" w:rsidRDefault="004B7B32">
    <w:pPr>
      <w:pStyle w:val="Header"/>
      <w:tabs>
        <w:tab w:val="clear" w:pos="4320"/>
        <w:tab w:val="clear" w:pos="8640"/>
        <w:tab w:val="center" w:pos="4680"/>
        <w:tab w:val="right" w:pos="9360"/>
      </w:tabs>
      <w:rPr>
        <w:b/>
      </w:rPr>
    </w:pPr>
    <w:r>
      <w:rPr>
        <w:b/>
      </w:rPr>
      <w:tab/>
      <w:t>Federal Communications Commission</w:t>
    </w:r>
    <w:r>
      <w:rPr>
        <w:b/>
      </w:rPr>
      <w:tab/>
      <w:t>DA 14-</w:t>
    </w:r>
    <w:r w:rsidR="002C24EF">
      <w:rPr>
        <w:b/>
      </w:rPr>
      <w:t>1906</w:t>
    </w:r>
    <w:r>
      <w:rPr>
        <w:b/>
      </w:rPr>
      <w:t xml:space="preserve"> </w:t>
    </w:r>
  </w:p>
  <w:p w:rsidR="004B7B32" w:rsidRDefault="00F72958">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153B2B1" wp14:editId="32FB1767">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4B7B32" w:rsidRDefault="004B7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32" w:rsidRDefault="004B7B32">
    <w:pPr>
      <w:pStyle w:val="Header"/>
      <w:tabs>
        <w:tab w:val="clear" w:pos="4320"/>
        <w:tab w:val="clear" w:pos="8640"/>
        <w:tab w:val="center" w:pos="4680"/>
        <w:tab w:val="right" w:pos="9360"/>
      </w:tabs>
      <w:rPr>
        <w:b/>
      </w:rPr>
    </w:pPr>
    <w:r>
      <w:rPr>
        <w:b/>
      </w:rPr>
      <w:tab/>
      <w:t>Federal Communications Commission</w:t>
    </w:r>
    <w:r>
      <w:rPr>
        <w:b/>
      </w:rPr>
      <w:tab/>
      <w:t>DA 14-</w:t>
    </w:r>
    <w:r w:rsidR="002C24EF">
      <w:rPr>
        <w:b/>
      </w:rPr>
      <w:t>1906</w:t>
    </w:r>
  </w:p>
  <w:p w:rsidR="004B7B32" w:rsidRDefault="00F72958">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4A1"/>
    <w:multiLevelType w:val="hybridMultilevel"/>
    <w:tmpl w:val="FAD2F974"/>
    <w:lvl w:ilvl="0" w:tplc="19D69CD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2862E2"/>
    <w:multiLevelType w:val="hybridMultilevel"/>
    <w:tmpl w:val="18F259F0"/>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3C4E4A59"/>
    <w:multiLevelType w:val="hybridMultilevel"/>
    <w:tmpl w:val="0D4674E0"/>
    <w:lvl w:ilvl="0" w:tplc="58088F3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0F1B3D"/>
    <w:multiLevelType w:val="multilevel"/>
    <w:tmpl w:val="D260579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AA9411B"/>
    <w:multiLevelType w:val="hybridMultilevel"/>
    <w:tmpl w:val="41FCAB0C"/>
    <w:lvl w:ilvl="0" w:tplc="404653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182925"/>
    <w:multiLevelType w:val="singleLevel"/>
    <w:tmpl w:val="D180CED0"/>
    <w:lvl w:ilvl="0">
      <w:start w:val="1"/>
      <w:numFmt w:val="decimal"/>
      <w:pStyle w:val="ParaNumChar1"/>
      <w:lvlText w:val="%1."/>
      <w:lvlJc w:val="left"/>
      <w:pPr>
        <w:tabs>
          <w:tab w:val="num" w:pos="1080"/>
        </w:tabs>
        <w:ind w:left="0" w:firstLine="720"/>
      </w:pPr>
    </w:lvl>
  </w:abstractNum>
  <w:num w:numId="1">
    <w:abstractNumId w:val="5"/>
  </w:num>
  <w:num w:numId="2">
    <w:abstractNumId w:val="6"/>
  </w:num>
  <w:num w:numId="3">
    <w:abstractNumId w:val="3"/>
  </w:num>
  <w:num w:numId="4">
    <w:abstractNumId w:val="4"/>
  </w:num>
  <w:num w:numId="5">
    <w:abstractNumId w:val="8"/>
  </w:num>
  <w:num w:numId="6">
    <w:abstractNumId w:val="1"/>
  </w:num>
  <w:num w:numId="7">
    <w:abstractNumId w:val="3"/>
  </w:num>
  <w:num w:numId="8">
    <w:abstractNumId w:val="3"/>
  </w:num>
  <w:num w:numId="9">
    <w:abstractNumId w:val="3"/>
  </w:num>
  <w:num w:numId="10">
    <w:abstractNumId w:val="3"/>
  </w:num>
  <w:num w:numId="11">
    <w:abstractNumId w:val="5"/>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7"/>
  </w:num>
  <w:num w:numId="20">
    <w:abstractNumId w:val="2"/>
  </w:num>
  <w:num w:numId="21">
    <w:abstractNumId w:val="0"/>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A9"/>
    <w:rsid w:val="0000051A"/>
    <w:rsid w:val="00034AB1"/>
    <w:rsid w:val="00051DF8"/>
    <w:rsid w:val="00056ABD"/>
    <w:rsid w:val="000C476D"/>
    <w:rsid w:val="000F42CF"/>
    <w:rsid w:val="001127DF"/>
    <w:rsid w:val="00160D6F"/>
    <w:rsid w:val="00187199"/>
    <w:rsid w:val="0019261C"/>
    <w:rsid w:val="002C24EF"/>
    <w:rsid w:val="00327B3F"/>
    <w:rsid w:val="00336406"/>
    <w:rsid w:val="003B35CE"/>
    <w:rsid w:val="00413BD0"/>
    <w:rsid w:val="0043193C"/>
    <w:rsid w:val="004571C0"/>
    <w:rsid w:val="00490044"/>
    <w:rsid w:val="004B7B32"/>
    <w:rsid w:val="005316C7"/>
    <w:rsid w:val="00607A12"/>
    <w:rsid w:val="006204FC"/>
    <w:rsid w:val="00632CA0"/>
    <w:rsid w:val="00725AA0"/>
    <w:rsid w:val="00755708"/>
    <w:rsid w:val="00760257"/>
    <w:rsid w:val="007F1DD1"/>
    <w:rsid w:val="00837849"/>
    <w:rsid w:val="00931F94"/>
    <w:rsid w:val="00951325"/>
    <w:rsid w:val="0095575F"/>
    <w:rsid w:val="009629C9"/>
    <w:rsid w:val="009A1866"/>
    <w:rsid w:val="009A691F"/>
    <w:rsid w:val="009E2A64"/>
    <w:rsid w:val="00A24966"/>
    <w:rsid w:val="00A2660D"/>
    <w:rsid w:val="00A450FB"/>
    <w:rsid w:val="00A61F8E"/>
    <w:rsid w:val="00AC2A16"/>
    <w:rsid w:val="00B13056"/>
    <w:rsid w:val="00B25921"/>
    <w:rsid w:val="00B858A9"/>
    <w:rsid w:val="00B90E5D"/>
    <w:rsid w:val="00BB645B"/>
    <w:rsid w:val="00BC4586"/>
    <w:rsid w:val="00BF15BF"/>
    <w:rsid w:val="00C94F5C"/>
    <w:rsid w:val="00CC44CA"/>
    <w:rsid w:val="00D2684A"/>
    <w:rsid w:val="00D40488"/>
    <w:rsid w:val="00D83DF4"/>
    <w:rsid w:val="00E00BC8"/>
    <w:rsid w:val="00E0464F"/>
    <w:rsid w:val="00F72958"/>
    <w:rsid w:val="00F86621"/>
    <w:rsid w:val="00FE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link w:val="FootnoteText"/>
    <w:semiHidden/>
    <w:rPr>
      <w:lang w:val="en-US" w:eastAsia="en-US" w:bidi="ar-SA"/>
    </w:rPr>
  </w:style>
  <w:style w:type="paragraph" w:customStyle="1" w:styleId="ParaNumChar1">
    <w:name w:val="ParaNum Char1"/>
    <w:basedOn w:val="Normal"/>
    <w:pPr>
      <w:widowControl w:val="0"/>
      <w:numPr>
        <w:numId w:val="5"/>
      </w:numPr>
      <w:spacing w:after="220"/>
      <w:jc w:val="both"/>
    </w:pPr>
    <w:rPr>
      <w:snapToGrid w:val="0"/>
      <w:kern w:val="28"/>
    </w:rPr>
  </w:style>
  <w:style w:type="character" w:customStyle="1" w:styleId="documentbody1">
    <w:name w:val="documentbody1"/>
    <w:rPr>
      <w:rFonts w:ascii="Verdana" w:hAnsi="Verdana" w:hint="default"/>
      <w:sz w:val="19"/>
      <w:szCs w:val="19"/>
      <w:shd w:val="clear" w:color="auto" w:fill="FFFFFF"/>
    </w:rPr>
  </w:style>
  <w:style w:type="paragraph" w:styleId="EndnoteText">
    <w:name w:val="endnote text"/>
    <w:basedOn w:val="Normal"/>
    <w:semiHidden/>
    <w:pPr>
      <w:widowControl w:val="0"/>
    </w:pPr>
    <w:rPr>
      <w:rFonts w:ascii="Courier" w:hAnsi="Courier"/>
      <w:snapToGrid w:val="0"/>
      <w:sz w:val="24"/>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pPr>
    <w:rPr>
      <w:snapToGrid w:val="0"/>
      <w:kern w:val="28"/>
    </w:rPr>
  </w:style>
  <w:style w:type="paragraph" w:customStyle="1" w:styleId="StyleBoldCentered">
    <w:name w:val="Style Bold Centered"/>
    <w:basedOn w:val="Normal"/>
    <w:pPr>
      <w:widowControl w:val="0"/>
      <w:jc w:val="center"/>
    </w:pPr>
    <w:rPr>
      <w:rFonts w:ascii="Times New Roman Bold" w:hAnsi="Times New Roman Bold"/>
      <w:b/>
      <w:bCs/>
      <w:caps/>
      <w:snapToGrid w:val="0"/>
      <w:kern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link w:val="FootnoteText"/>
    <w:semiHidden/>
    <w:rPr>
      <w:lang w:val="en-US" w:eastAsia="en-US" w:bidi="ar-SA"/>
    </w:rPr>
  </w:style>
  <w:style w:type="paragraph" w:customStyle="1" w:styleId="ParaNumChar1">
    <w:name w:val="ParaNum Char1"/>
    <w:basedOn w:val="Normal"/>
    <w:pPr>
      <w:widowControl w:val="0"/>
      <w:numPr>
        <w:numId w:val="5"/>
      </w:numPr>
      <w:spacing w:after="220"/>
      <w:jc w:val="both"/>
    </w:pPr>
    <w:rPr>
      <w:snapToGrid w:val="0"/>
      <w:kern w:val="28"/>
    </w:rPr>
  </w:style>
  <w:style w:type="character" w:customStyle="1" w:styleId="documentbody1">
    <w:name w:val="documentbody1"/>
    <w:rPr>
      <w:rFonts w:ascii="Verdana" w:hAnsi="Verdana" w:hint="default"/>
      <w:sz w:val="19"/>
      <w:szCs w:val="19"/>
      <w:shd w:val="clear" w:color="auto" w:fill="FFFFFF"/>
    </w:rPr>
  </w:style>
  <w:style w:type="paragraph" w:styleId="EndnoteText">
    <w:name w:val="endnote text"/>
    <w:basedOn w:val="Normal"/>
    <w:semiHidden/>
    <w:pPr>
      <w:widowControl w:val="0"/>
    </w:pPr>
    <w:rPr>
      <w:rFonts w:ascii="Courier" w:hAnsi="Courier"/>
      <w:snapToGrid w:val="0"/>
      <w:sz w:val="24"/>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pPr>
    <w:rPr>
      <w:snapToGrid w:val="0"/>
      <w:kern w:val="28"/>
    </w:rPr>
  </w:style>
  <w:style w:type="paragraph" w:customStyle="1" w:styleId="StyleBoldCentered">
    <w:name w:val="Style Bold Centered"/>
    <w:basedOn w:val="Normal"/>
    <w:pPr>
      <w:widowControl w:val="0"/>
      <w:jc w:val="center"/>
    </w:pPr>
    <w:rPr>
      <w:rFonts w:ascii="Times New Roman Bold" w:hAnsi="Times New Roman Bold"/>
      <w:b/>
      <w:bCs/>
      <w:caps/>
      <w:snapToGrid w:val="0"/>
      <w:kern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1094">
      <w:bodyDiv w:val="1"/>
      <w:marLeft w:val="0"/>
      <w:marRight w:val="0"/>
      <w:marTop w:val="0"/>
      <w:marBottom w:val="0"/>
      <w:divBdr>
        <w:top w:val="none" w:sz="0" w:space="0" w:color="auto"/>
        <w:left w:val="none" w:sz="0" w:space="0" w:color="auto"/>
        <w:bottom w:val="none" w:sz="0" w:space="0" w:color="auto"/>
        <w:right w:val="none" w:sz="0" w:space="0" w:color="auto"/>
      </w:divBdr>
      <w:divsChild>
        <w:div w:id="114131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2</Pages>
  <Words>396</Words>
  <Characters>2088</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2012-12-19T20:13:00Z</cp:lastPrinted>
  <dcterms:created xsi:type="dcterms:W3CDTF">2014-12-30T16:04:00Z</dcterms:created>
  <dcterms:modified xsi:type="dcterms:W3CDTF">2014-12-30T16:04:00Z</dcterms:modified>
  <cp:category> </cp:category>
  <cp:contentStatus> </cp:contentStatus>
</cp:coreProperties>
</file>