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BD5" w:rsidRDefault="008A0BD5" w:rsidP="008A0BD5">
      <w:pPr>
        <w:rPr>
          <w:sz w:val="22"/>
        </w:rPr>
      </w:pPr>
      <w:bookmarkStart w:id="0" w:name="_GoBack"/>
      <w:bookmarkEnd w:id="0"/>
    </w:p>
    <w:p w:rsidR="00871E0E" w:rsidRDefault="00871E0E" w:rsidP="008A0BD5">
      <w:pPr>
        <w:rPr>
          <w:sz w:val="22"/>
        </w:rPr>
      </w:pPr>
    </w:p>
    <w:p w:rsidR="008A0BD5" w:rsidRDefault="008A0BD5" w:rsidP="008A0BD5">
      <w:pPr>
        <w:rPr>
          <w:sz w:val="22"/>
        </w:rPr>
      </w:pPr>
      <w:r w:rsidRPr="00F84FCE">
        <w:rPr>
          <w:sz w:val="22"/>
        </w:rPr>
        <w:t>Christopher R. Bjornson</w:t>
      </w:r>
      <w:r w:rsidRPr="00F84FCE">
        <w:rPr>
          <w:sz w:val="22"/>
        </w:rPr>
        <w:br/>
        <w:t>Steptoe &amp; Johnson LLP</w:t>
      </w:r>
      <w:r w:rsidRPr="00F84FCE">
        <w:rPr>
          <w:sz w:val="22"/>
        </w:rPr>
        <w:br/>
        <w:t>1330 Connecticut Avenue, N.W.</w:t>
      </w:r>
      <w:r w:rsidRPr="00F84FCE">
        <w:rPr>
          <w:sz w:val="22"/>
        </w:rPr>
        <w:br/>
        <w:t>Washington, D.C. 20036</w:t>
      </w:r>
    </w:p>
    <w:p w:rsidR="008A0BD5" w:rsidRPr="007E5A4B" w:rsidRDefault="008A0BD5" w:rsidP="008A0BD5">
      <w:pPr>
        <w:rPr>
          <w:sz w:val="22"/>
        </w:rPr>
      </w:pPr>
    </w:p>
    <w:p w:rsidR="008A0BD5" w:rsidRPr="00450E9F" w:rsidRDefault="008A0BD5" w:rsidP="001836C6">
      <w:pPr>
        <w:ind w:left="720" w:hanging="720"/>
        <w:rPr>
          <w:sz w:val="22"/>
        </w:rPr>
      </w:pPr>
      <w:r w:rsidRPr="007E5A4B">
        <w:rPr>
          <w:b/>
          <w:sz w:val="22"/>
        </w:rPr>
        <w:t>Re:</w:t>
      </w:r>
      <w:r w:rsidRPr="007E5A4B">
        <w:rPr>
          <w:b/>
          <w:sz w:val="22"/>
        </w:rPr>
        <w:tab/>
      </w:r>
      <w:r w:rsidRPr="007E5A4B">
        <w:rPr>
          <w:b/>
          <w:sz w:val="22"/>
          <w:u w:val="single"/>
        </w:rPr>
        <w:t xml:space="preserve">Preferred </w:t>
      </w:r>
      <w:r w:rsidR="00863BBE">
        <w:rPr>
          <w:b/>
          <w:sz w:val="22"/>
          <w:u w:val="single"/>
        </w:rPr>
        <w:t>Communication</w:t>
      </w:r>
      <w:r w:rsidR="001836C6">
        <w:rPr>
          <w:b/>
          <w:sz w:val="22"/>
          <w:u w:val="single"/>
        </w:rPr>
        <w:t xml:space="preserve"> System</w:t>
      </w:r>
      <w:r w:rsidRPr="007E5A4B">
        <w:rPr>
          <w:b/>
          <w:sz w:val="22"/>
          <w:u w:val="single"/>
        </w:rPr>
        <w:t>, Inc.</w:t>
      </w:r>
      <w:r>
        <w:rPr>
          <w:b/>
          <w:sz w:val="22"/>
          <w:u w:val="single"/>
        </w:rPr>
        <w:t xml:space="preserve"> </w:t>
      </w:r>
      <w:r w:rsidRPr="007E5A4B">
        <w:rPr>
          <w:b/>
          <w:sz w:val="22"/>
          <w:u w:val="single"/>
        </w:rPr>
        <w:t xml:space="preserve">Application for Waiver </w:t>
      </w:r>
      <w:r w:rsidR="001836C6">
        <w:rPr>
          <w:b/>
          <w:sz w:val="22"/>
          <w:u w:val="single"/>
        </w:rPr>
        <w:t xml:space="preserve">and Reinstatement </w:t>
      </w:r>
      <w:r w:rsidR="001836C6">
        <w:rPr>
          <w:b/>
          <w:i/>
          <w:sz w:val="22"/>
          <w:u w:val="single"/>
        </w:rPr>
        <w:t>Nunc Pro Tunc</w:t>
      </w:r>
      <w:r w:rsidR="00450E9F">
        <w:rPr>
          <w:b/>
          <w:i/>
          <w:sz w:val="22"/>
          <w:u w:val="single"/>
        </w:rPr>
        <w:t xml:space="preserve"> </w:t>
      </w:r>
      <w:r w:rsidR="00450E9F">
        <w:rPr>
          <w:b/>
          <w:sz w:val="22"/>
          <w:u w:val="single"/>
        </w:rPr>
        <w:t>for ULS File Nos.</w:t>
      </w:r>
      <w:r w:rsidR="008175B5">
        <w:rPr>
          <w:b/>
          <w:sz w:val="22"/>
          <w:u w:val="single"/>
        </w:rPr>
        <w:t xml:space="preserve"> </w:t>
      </w:r>
      <w:r w:rsidR="00450E9F">
        <w:rPr>
          <w:b/>
          <w:sz w:val="22"/>
          <w:u w:val="single"/>
        </w:rPr>
        <w:t>0004614757-0004614832</w:t>
      </w:r>
    </w:p>
    <w:p w:rsidR="008A0BD5" w:rsidRDefault="008A0BD5" w:rsidP="008A0BD5">
      <w:pPr>
        <w:rPr>
          <w:sz w:val="22"/>
        </w:rPr>
      </w:pPr>
    </w:p>
    <w:p w:rsidR="008A0BD5" w:rsidRDefault="008A0BD5" w:rsidP="008A0BD5">
      <w:pPr>
        <w:spacing w:after="120"/>
        <w:rPr>
          <w:sz w:val="22"/>
        </w:rPr>
      </w:pPr>
      <w:r>
        <w:rPr>
          <w:sz w:val="22"/>
        </w:rPr>
        <w:t>Dear Mr. Bjornson:</w:t>
      </w:r>
    </w:p>
    <w:p w:rsidR="008A0BD5" w:rsidRDefault="008A0BD5" w:rsidP="008A0BD5">
      <w:pPr>
        <w:spacing w:after="120"/>
        <w:rPr>
          <w:sz w:val="22"/>
        </w:rPr>
      </w:pPr>
      <w:r>
        <w:rPr>
          <w:sz w:val="22"/>
        </w:rPr>
        <w:t xml:space="preserve">This letter addresses the above-captioned Application for Waiver </w:t>
      </w:r>
      <w:r w:rsidR="001836C6">
        <w:rPr>
          <w:sz w:val="22"/>
        </w:rPr>
        <w:t xml:space="preserve">and Reinstatement </w:t>
      </w:r>
      <w:r w:rsidR="001836C6">
        <w:rPr>
          <w:i/>
          <w:sz w:val="22"/>
        </w:rPr>
        <w:t>Nunc Pro Tunc</w:t>
      </w:r>
      <w:r>
        <w:rPr>
          <w:sz w:val="22"/>
        </w:rPr>
        <w:t xml:space="preserve"> (Waiver Request), filed by Preferred </w:t>
      </w:r>
      <w:r w:rsidR="001836C6">
        <w:rPr>
          <w:sz w:val="22"/>
        </w:rPr>
        <w:t>Communication Systems</w:t>
      </w:r>
      <w:r>
        <w:rPr>
          <w:sz w:val="22"/>
        </w:rPr>
        <w:t xml:space="preserve">, Inc. (Preferred) on </w:t>
      </w:r>
      <w:r w:rsidR="001836C6">
        <w:rPr>
          <w:sz w:val="22"/>
        </w:rPr>
        <w:t>February 15, 2011</w:t>
      </w:r>
      <w:r>
        <w:rPr>
          <w:sz w:val="22"/>
        </w:rPr>
        <w:t xml:space="preserve">, seeking </w:t>
      </w:r>
      <w:r w:rsidR="00EA06EE">
        <w:rPr>
          <w:sz w:val="22"/>
        </w:rPr>
        <w:t xml:space="preserve">a </w:t>
      </w:r>
      <w:r>
        <w:rPr>
          <w:sz w:val="22"/>
        </w:rPr>
        <w:t>waiver of the Commission’s rules</w:t>
      </w:r>
      <w:r w:rsidR="001836C6">
        <w:rPr>
          <w:sz w:val="22"/>
        </w:rPr>
        <w:t xml:space="preserve"> and reinstatement </w:t>
      </w:r>
      <w:r w:rsidR="001836C6">
        <w:rPr>
          <w:i/>
          <w:sz w:val="22"/>
        </w:rPr>
        <w:t>nunc pro tunc</w:t>
      </w:r>
      <w:r>
        <w:rPr>
          <w:sz w:val="22"/>
        </w:rPr>
        <w:t xml:space="preserve"> </w:t>
      </w:r>
      <w:r w:rsidR="006B7208">
        <w:rPr>
          <w:sz w:val="22"/>
        </w:rPr>
        <w:t xml:space="preserve">for </w:t>
      </w:r>
      <w:r w:rsidR="00356B43">
        <w:rPr>
          <w:sz w:val="22"/>
        </w:rPr>
        <w:t>7</w:t>
      </w:r>
      <w:r w:rsidR="001836C6">
        <w:rPr>
          <w:sz w:val="22"/>
        </w:rPr>
        <w:t>6 of</w:t>
      </w:r>
      <w:r>
        <w:rPr>
          <w:sz w:val="22"/>
        </w:rPr>
        <w:t xml:space="preserve"> its 800 MHz Specialized Mobile Radio (SMR) </w:t>
      </w:r>
      <w:r w:rsidR="001836C6">
        <w:rPr>
          <w:sz w:val="22"/>
        </w:rPr>
        <w:t>site-based</w:t>
      </w:r>
      <w:r>
        <w:rPr>
          <w:sz w:val="22"/>
        </w:rPr>
        <w:t xml:space="preserve"> licenses</w:t>
      </w:r>
      <w:r w:rsidR="00797431">
        <w:rPr>
          <w:sz w:val="22"/>
        </w:rPr>
        <w:t xml:space="preserve"> (Licenses)</w:t>
      </w:r>
      <w:r>
        <w:rPr>
          <w:sz w:val="22"/>
        </w:rPr>
        <w:t>.</w:t>
      </w:r>
      <w:r w:rsidR="00832C2E">
        <w:rPr>
          <w:rStyle w:val="FootnoteReference"/>
          <w:sz w:val="22"/>
        </w:rPr>
        <w:footnoteReference w:id="1"/>
      </w:r>
      <w:r>
        <w:rPr>
          <w:sz w:val="22"/>
        </w:rPr>
        <w:t xml:space="preserve"> </w:t>
      </w:r>
      <w:r w:rsidR="008175B5">
        <w:rPr>
          <w:sz w:val="22"/>
        </w:rPr>
        <w:t xml:space="preserve"> </w:t>
      </w:r>
      <w:r w:rsidR="001836C6">
        <w:rPr>
          <w:sz w:val="22"/>
        </w:rPr>
        <w:t>For the reasons</w:t>
      </w:r>
      <w:r>
        <w:rPr>
          <w:sz w:val="22"/>
        </w:rPr>
        <w:t xml:space="preserve"> discussed below, we </w:t>
      </w:r>
      <w:r w:rsidR="00B9285E">
        <w:rPr>
          <w:sz w:val="22"/>
        </w:rPr>
        <w:t>deny Preferred’s request.</w:t>
      </w:r>
    </w:p>
    <w:p w:rsidR="00450E9F" w:rsidRPr="00450E9F" w:rsidRDefault="008A0BD5" w:rsidP="00262073">
      <w:pPr>
        <w:spacing w:after="120"/>
      </w:pPr>
      <w:r>
        <w:rPr>
          <w:sz w:val="22"/>
        </w:rPr>
        <w:t>The Commission may grant 800 MHz SMR licenses for ten-year terms,</w:t>
      </w:r>
      <w:r w:rsidR="00832C2E">
        <w:rPr>
          <w:rStyle w:val="FootnoteReference"/>
          <w:sz w:val="22"/>
        </w:rPr>
        <w:footnoteReference w:id="2"/>
      </w:r>
      <w:r>
        <w:rPr>
          <w:sz w:val="22"/>
        </w:rPr>
        <w:t xml:space="preserve"> </w:t>
      </w:r>
      <w:r w:rsidR="004245F8">
        <w:rPr>
          <w:sz w:val="22"/>
        </w:rPr>
        <w:t xml:space="preserve">and licensees must </w:t>
      </w:r>
      <w:r w:rsidR="00202EB9">
        <w:rPr>
          <w:sz w:val="22"/>
        </w:rPr>
        <w:t xml:space="preserve">file </w:t>
      </w:r>
      <w:r w:rsidR="004245F8">
        <w:rPr>
          <w:sz w:val="22"/>
        </w:rPr>
        <w:t xml:space="preserve">an application for renewal </w:t>
      </w:r>
      <w:r w:rsidR="008426F5">
        <w:rPr>
          <w:sz w:val="22"/>
        </w:rPr>
        <w:t xml:space="preserve">no sooner than 90 days prior to the expiration </w:t>
      </w:r>
      <w:r w:rsidR="008175B5">
        <w:rPr>
          <w:sz w:val="22"/>
        </w:rPr>
        <w:t xml:space="preserve">date </w:t>
      </w:r>
      <w:r w:rsidR="008426F5">
        <w:rPr>
          <w:sz w:val="22"/>
        </w:rPr>
        <w:t xml:space="preserve">and </w:t>
      </w:r>
      <w:r w:rsidR="004245F8">
        <w:rPr>
          <w:sz w:val="22"/>
        </w:rPr>
        <w:t>no later than the expiration date of the license</w:t>
      </w:r>
      <w:r w:rsidR="008426F5">
        <w:rPr>
          <w:sz w:val="22"/>
        </w:rPr>
        <w:t xml:space="preserve"> for which the renewal is sought</w:t>
      </w:r>
      <w:r w:rsidR="004245F8">
        <w:rPr>
          <w:sz w:val="22"/>
        </w:rPr>
        <w:t>.</w:t>
      </w:r>
      <w:r w:rsidR="004245F8">
        <w:rPr>
          <w:rStyle w:val="FootnoteReference"/>
          <w:sz w:val="22"/>
        </w:rPr>
        <w:footnoteReference w:id="3"/>
      </w:r>
      <w:r>
        <w:rPr>
          <w:sz w:val="22"/>
        </w:rPr>
        <w:t xml:space="preserve">  </w:t>
      </w:r>
      <w:r w:rsidR="008426F5">
        <w:rPr>
          <w:sz w:val="22"/>
          <w:szCs w:val="22"/>
        </w:rPr>
        <w:t xml:space="preserve">Licenses automatically terminate upon the expiration date, unless a timely application for renewal </w:t>
      </w:r>
      <w:r w:rsidR="008175B5">
        <w:rPr>
          <w:sz w:val="22"/>
          <w:szCs w:val="22"/>
        </w:rPr>
        <w:t xml:space="preserve">has been </w:t>
      </w:r>
      <w:r w:rsidR="008426F5">
        <w:rPr>
          <w:sz w:val="22"/>
          <w:szCs w:val="22"/>
        </w:rPr>
        <w:t>filed.</w:t>
      </w:r>
      <w:r w:rsidR="008426F5">
        <w:rPr>
          <w:rStyle w:val="FootnoteReference"/>
          <w:sz w:val="22"/>
          <w:szCs w:val="22"/>
        </w:rPr>
        <w:footnoteReference w:id="4"/>
      </w:r>
      <w:r w:rsidR="008426F5">
        <w:rPr>
          <w:sz w:val="22"/>
          <w:szCs w:val="22"/>
        </w:rPr>
        <w:t xml:space="preserve">  </w:t>
      </w:r>
    </w:p>
    <w:p w:rsidR="009A0F05" w:rsidRDefault="00D53016" w:rsidP="008A0BD5">
      <w:pPr>
        <w:spacing w:after="120"/>
        <w:rPr>
          <w:sz w:val="22"/>
        </w:rPr>
      </w:pPr>
      <w:r>
        <w:rPr>
          <w:sz w:val="22"/>
        </w:rPr>
        <w:t>The</w:t>
      </w:r>
      <w:r w:rsidR="008A0BD5">
        <w:rPr>
          <w:sz w:val="22"/>
        </w:rPr>
        <w:t xml:space="preserve"> Commission granted </w:t>
      </w:r>
      <w:r w:rsidR="00004698">
        <w:rPr>
          <w:sz w:val="22"/>
        </w:rPr>
        <w:t>Preferred 7</w:t>
      </w:r>
      <w:r w:rsidR="006B7208">
        <w:rPr>
          <w:sz w:val="22"/>
        </w:rPr>
        <w:t>6</w:t>
      </w:r>
      <w:r w:rsidR="001F6FB1">
        <w:rPr>
          <w:sz w:val="22"/>
        </w:rPr>
        <w:t xml:space="preserve"> 800 MHz SMR site-based licenses </w:t>
      </w:r>
      <w:r>
        <w:rPr>
          <w:sz w:val="22"/>
        </w:rPr>
        <w:t>between May 12, 1999</w:t>
      </w:r>
      <w:r w:rsidR="00262073">
        <w:rPr>
          <w:sz w:val="22"/>
        </w:rPr>
        <w:t>,</w:t>
      </w:r>
      <w:r>
        <w:rPr>
          <w:sz w:val="22"/>
        </w:rPr>
        <w:t xml:space="preserve"> </w:t>
      </w:r>
      <w:r w:rsidR="00307F9E">
        <w:rPr>
          <w:sz w:val="22"/>
        </w:rPr>
        <w:t xml:space="preserve">and </w:t>
      </w:r>
      <w:r>
        <w:rPr>
          <w:sz w:val="22"/>
        </w:rPr>
        <w:t xml:space="preserve">June </w:t>
      </w:r>
      <w:r w:rsidR="00450E9F">
        <w:rPr>
          <w:sz w:val="22"/>
        </w:rPr>
        <w:t xml:space="preserve">14, 2010, </w:t>
      </w:r>
      <w:r w:rsidR="008B2639">
        <w:rPr>
          <w:sz w:val="22"/>
        </w:rPr>
        <w:t>and the licenses expired</w:t>
      </w:r>
      <w:r w:rsidR="001F6FB1">
        <w:rPr>
          <w:sz w:val="22"/>
        </w:rPr>
        <w:t xml:space="preserve"> ten years after </w:t>
      </w:r>
      <w:r>
        <w:rPr>
          <w:sz w:val="22"/>
        </w:rPr>
        <w:t>their respective grant dates.</w:t>
      </w:r>
      <w:r w:rsidR="00450E9F">
        <w:rPr>
          <w:sz w:val="22"/>
        </w:rPr>
        <w:t xml:space="preserve"> </w:t>
      </w:r>
      <w:r>
        <w:rPr>
          <w:sz w:val="22"/>
        </w:rPr>
        <w:t xml:space="preserve"> </w:t>
      </w:r>
      <w:r w:rsidR="009A0F05">
        <w:rPr>
          <w:sz w:val="22"/>
        </w:rPr>
        <w:t>Prior</w:t>
      </w:r>
      <w:r>
        <w:rPr>
          <w:sz w:val="22"/>
        </w:rPr>
        <w:t xml:space="preserve"> to </w:t>
      </w:r>
      <w:r w:rsidR="00797431">
        <w:rPr>
          <w:sz w:val="22"/>
        </w:rPr>
        <w:t>the licenses’ expiration dates</w:t>
      </w:r>
      <w:r>
        <w:rPr>
          <w:sz w:val="22"/>
        </w:rPr>
        <w:t xml:space="preserve">, Preferred filed applications for renewal </w:t>
      </w:r>
      <w:r w:rsidR="008175B5">
        <w:rPr>
          <w:sz w:val="22"/>
        </w:rPr>
        <w:t xml:space="preserve">of </w:t>
      </w:r>
      <w:r>
        <w:rPr>
          <w:sz w:val="22"/>
        </w:rPr>
        <w:t xml:space="preserve">three </w:t>
      </w:r>
      <w:r w:rsidR="00797431">
        <w:rPr>
          <w:sz w:val="22"/>
        </w:rPr>
        <w:t xml:space="preserve">of </w:t>
      </w:r>
      <w:r w:rsidR="00EA06EE">
        <w:rPr>
          <w:sz w:val="22"/>
        </w:rPr>
        <w:t xml:space="preserve">the </w:t>
      </w:r>
      <w:r w:rsidR="00797431">
        <w:rPr>
          <w:sz w:val="22"/>
        </w:rPr>
        <w:t>Licenses</w:t>
      </w:r>
      <w:r w:rsidR="009A0F05">
        <w:rPr>
          <w:sz w:val="22"/>
        </w:rPr>
        <w:t xml:space="preserve"> on May 19, </w:t>
      </w:r>
      <w:r w:rsidR="00F358B6">
        <w:rPr>
          <w:sz w:val="22"/>
        </w:rPr>
        <w:t>200</w:t>
      </w:r>
      <w:r w:rsidR="009A0F05">
        <w:rPr>
          <w:sz w:val="22"/>
        </w:rPr>
        <w:t>9,</w:t>
      </w:r>
      <w:r w:rsidR="003A5F7F">
        <w:rPr>
          <w:rStyle w:val="FootnoteReference"/>
          <w:sz w:val="22"/>
        </w:rPr>
        <w:footnoteReference w:id="5"/>
      </w:r>
      <w:r w:rsidR="009A0F05">
        <w:rPr>
          <w:sz w:val="22"/>
        </w:rPr>
        <w:t xml:space="preserve"> and for fifteen of the Licenses</w:t>
      </w:r>
      <w:r w:rsidR="00450E9F">
        <w:rPr>
          <w:sz w:val="22"/>
        </w:rPr>
        <w:t xml:space="preserve"> </w:t>
      </w:r>
      <w:r w:rsidR="00EA06EE">
        <w:rPr>
          <w:sz w:val="22"/>
        </w:rPr>
        <w:t xml:space="preserve">on </w:t>
      </w:r>
      <w:r w:rsidR="00450E9F">
        <w:rPr>
          <w:sz w:val="22"/>
        </w:rPr>
        <w:t xml:space="preserve">June 17, </w:t>
      </w:r>
      <w:r w:rsidR="00F358B6">
        <w:rPr>
          <w:sz w:val="22"/>
        </w:rPr>
        <w:t>200</w:t>
      </w:r>
      <w:r w:rsidR="00450E9F">
        <w:rPr>
          <w:sz w:val="22"/>
        </w:rPr>
        <w:t>9</w:t>
      </w:r>
      <w:r w:rsidR="00797431">
        <w:rPr>
          <w:sz w:val="22"/>
        </w:rPr>
        <w:t>.</w:t>
      </w:r>
      <w:r w:rsidR="003A5F7F">
        <w:rPr>
          <w:rStyle w:val="FootnoteReference"/>
          <w:sz w:val="22"/>
        </w:rPr>
        <w:footnoteReference w:id="6"/>
      </w:r>
      <w:r w:rsidR="00797431">
        <w:rPr>
          <w:sz w:val="22"/>
        </w:rPr>
        <w:t xml:space="preserve"> </w:t>
      </w:r>
      <w:r w:rsidR="00450E9F">
        <w:rPr>
          <w:sz w:val="22"/>
        </w:rPr>
        <w:t xml:space="preserve"> Preferred did not file renewal applications for the other 58 Licenses prior to the license expiration date.</w:t>
      </w:r>
    </w:p>
    <w:p w:rsidR="00547644" w:rsidRDefault="008D3424" w:rsidP="008A0BD5">
      <w:pPr>
        <w:spacing w:after="120"/>
        <w:rPr>
          <w:sz w:val="22"/>
        </w:rPr>
      </w:pPr>
      <w:r>
        <w:rPr>
          <w:sz w:val="22"/>
        </w:rPr>
        <w:t>On June 9, 2009, and July 7, 2009</w:t>
      </w:r>
      <w:r w:rsidR="009A0F05">
        <w:rPr>
          <w:sz w:val="22"/>
        </w:rPr>
        <w:t>, ULS</w:t>
      </w:r>
      <w:r w:rsidR="00797431">
        <w:rPr>
          <w:sz w:val="22"/>
        </w:rPr>
        <w:t xml:space="preserve"> generated </w:t>
      </w:r>
      <w:r>
        <w:rPr>
          <w:sz w:val="22"/>
        </w:rPr>
        <w:t>dismissal letters</w:t>
      </w:r>
      <w:r w:rsidR="009A0F05">
        <w:rPr>
          <w:sz w:val="22"/>
        </w:rPr>
        <w:t xml:space="preserve"> </w:t>
      </w:r>
      <w:r w:rsidR="00EA06EE">
        <w:rPr>
          <w:sz w:val="22"/>
        </w:rPr>
        <w:t>for the May 19, 2009, and June 17, 2009 applications</w:t>
      </w:r>
      <w:r w:rsidR="008175B5">
        <w:rPr>
          <w:sz w:val="22"/>
        </w:rPr>
        <w:t>,</w:t>
      </w:r>
      <w:r w:rsidR="00EA06EE">
        <w:rPr>
          <w:sz w:val="22"/>
        </w:rPr>
        <w:t xml:space="preserve"> respectively</w:t>
      </w:r>
      <w:r w:rsidR="00797431">
        <w:rPr>
          <w:sz w:val="22"/>
        </w:rPr>
        <w:t>, returning the application</w:t>
      </w:r>
      <w:r w:rsidR="00EA06EE">
        <w:rPr>
          <w:sz w:val="22"/>
        </w:rPr>
        <w:t>s</w:t>
      </w:r>
      <w:r w:rsidR="00797431">
        <w:rPr>
          <w:sz w:val="22"/>
        </w:rPr>
        <w:t xml:space="preserve"> because “insufficient payment was received or no payment was received within the required time frame.”</w:t>
      </w:r>
      <w:r>
        <w:rPr>
          <w:rStyle w:val="FootnoteReference"/>
          <w:sz w:val="22"/>
        </w:rPr>
        <w:footnoteReference w:id="7"/>
      </w:r>
      <w:r w:rsidR="009A0F05">
        <w:rPr>
          <w:sz w:val="22"/>
        </w:rPr>
        <w:t xml:space="preserve">  </w:t>
      </w:r>
      <w:r w:rsidR="008426F5">
        <w:rPr>
          <w:sz w:val="22"/>
        </w:rPr>
        <w:t>The letter</w:t>
      </w:r>
      <w:r w:rsidR="008175B5">
        <w:rPr>
          <w:sz w:val="22"/>
        </w:rPr>
        <w:t>s</w:t>
      </w:r>
      <w:r w:rsidR="008426F5">
        <w:rPr>
          <w:sz w:val="22"/>
        </w:rPr>
        <w:t xml:space="preserve"> </w:t>
      </w:r>
      <w:r w:rsidR="008175B5">
        <w:rPr>
          <w:sz w:val="22"/>
        </w:rPr>
        <w:t xml:space="preserve">each </w:t>
      </w:r>
      <w:r w:rsidR="008426F5">
        <w:rPr>
          <w:sz w:val="22"/>
        </w:rPr>
        <w:t xml:space="preserve">stated that the </w:t>
      </w:r>
      <w:r w:rsidR="008175B5">
        <w:rPr>
          <w:sz w:val="22"/>
        </w:rPr>
        <w:t xml:space="preserve">subject </w:t>
      </w:r>
      <w:r w:rsidR="008426F5">
        <w:rPr>
          <w:sz w:val="22"/>
        </w:rPr>
        <w:t xml:space="preserve">application was in dismissal status without prejudice and informed Preferred that </w:t>
      </w:r>
      <w:r w:rsidR="009A0F05">
        <w:rPr>
          <w:sz w:val="22"/>
        </w:rPr>
        <w:t>it must file a new application if it wished to still be licensed.</w:t>
      </w:r>
      <w:r>
        <w:rPr>
          <w:rStyle w:val="FootnoteReference"/>
          <w:sz w:val="22"/>
        </w:rPr>
        <w:footnoteReference w:id="8"/>
      </w:r>
      <w:r w:rsidR="009A0F05">
        <w:rPr>
          <w:sz w:val="22"/>
        </w:rPr>
        <w:t xml:space="preserve">  Preferred did not file </w:t>
      </w:r>
      <w:r w:rsidR="008175B5">
        <w:rPr>
          <w:sz w:val="22"/>
        </w:rPr>
        <w:t xml:space="preserve">any </w:t>
      </w:r>
      <w:r w:rsidR="009A0F05">
        <w:rPr>
          <w:sz w:val="22"/>
        </w:rPr>
        <w:t>new applications for renewal and</w:t>
      </w:r>
      <w:r w:rsidR="00F358B6">
        <w:rPr>
          <w:sz w:val="22"/>
        </w:rPr>
        <w:t xml:space="preserve"> all of the L</w:t>
      </w:r>
      <w:r w:rsidR="009A0F05">
        <w:rPr>
          <w:sz w:val="22"/>
        </w:rPr>
        <w:t>icenses automatically terminated as of the license expiration date.</w:t>
      </w:r>
    </w:p>
    <w:p w:rsidR="008D3424" w:rsidRPr="00F358B6" w:rsidRDefault="00593A7F" w:rsidP="008A0BD5">
      <w:pPr>
        <w:spacing w:after="120"/>
        <w:rPr>
          <w:b/>
          <w:sz w:val="22"/>
        </w:rPr>
      </w:pPr>
      <w:r>
        <w:rPr>
          <w:sz w:val="22"/>
        </w:rPr>
        <w:lastRenderedPageBreak/>
        <w:t>In 2006</w:t>
      </w:r>
      <w:r w:rsidR="008175B5">
        <w:rPr>
          <w:sz w:val="22"/>
        </w:rPr>
        <w:t>,</w:t>
      </w:r>
      <w:r>
        <w:rPr>
          <w:sz w:val="22"/>
        </w:rPr>
        <w:t xml:space="preserve"> a</w:t>
      </w:r>
      <w:r w:rsidR="00F358B6">
        <w:rPr>
          <w:sz w:val="22"/>
        </w:rPr>
        <w:t>fter receiving information that Preferred may not have properly disclosed information about the stock ownership and felony convictions regarding two of its consultants, Jay Bishop and Pendleton Waugh, the Enforcement Bureau</w:t>
      </w:r>
      <w:r w:rsidR="001D2211">
        <w:rPr>
          <w:sz w:val="22"/>
        </w:rPr>
        <w:t xml:space="preserve"> (EB)</w:t>
      </w:r>
      <w:r w:rsidR="00F358B6">
        <w:rPr>
          <w:sz w:val="22"/>
        </w:rPr>
        <w:t xml:space="preserve"> initiated an investigation into Preferred, Mr. Bishop, and Mr. Waugh.  On July 20, 2007, the Commission issued an Order to Show Cause, which commenced a hearing</w:t>
      </w:r>
      <w:r w:rsidR="00F358B6">
        <w:rPr>
          <w:i/>
          <w:sz w:val="22"/>
        </w:rPr>
        <w:t xml:space="preserve"> </w:t>
      </w:r>
      <w:r w:rsidR="00F358B6">
        <w:rPr>
          <w:sz w:val="22"/>
        </w:rPr>
        <w:t>conducted by the Office of Administrative Law Judges (ALJ) of the Commission</w:t>
      </w:r>
      <w:r w:rsidR="00EA06EE">
        <w:rPr>
          <w:sz w:val="22"/>
        </w:rPr>
        <w:t>.</w:t>
      </w:r>
      <w:r w:rsidR="00F358B6">
        <w:rPr>
          <w:rStyle w:val="FootnoteReference"/>
          <w:sz w:val="22"/>
        </w:rPr>
        <w:footnoteReference w:id="9"/>
      </w:r>
      <w:r w:rsidR="00F358B6">
        <w:rPr>
          <w:sz w:val="22"/>
        </w:rPr>
        <w:t xml:space="preserve">  On August 5, 2009, the ALJ released an order approving a settlement agreement,</w:t>
      </w:r>
      <w:r w:rsidR="00EA06EE">
        <w:rPr>
          <w:rStyle w:val="FootnoteReference"/>
          <w:sz w:val="22"/>
        </w:rPr>
        <w:footnoteReference w:id="10"/>
      </w:r>
      <w:r w:rsidR="00F358B6">
        <w:rPr>
          <w:sz w:val="22"/>
        </w:rPr>
        <w:t xml:space="preserve"> which Mr. Waugh and Preferred’s shareholders</w:t>
      </w:r>
      <w:r w:rsidR="001D2211">
        <w:rPr>
          <w:sz w:val="22"/>
        </w:rPr>
        <w:t xml:space="preserve"> appealed</w:t>
      </w:r>
      <w:r w:rsidR="00F358B6">
        <w:rPr>
          <w:sz w:val="22"/>
        </w:rPr>
        <w:t>.</w:t>
      </w:r>
      <w:r w:rsidR="00F358B6">
        <w:rPr>
          <w:rStyle w:val="FootnoteReference"/>
          <w:sz w:val="22"/>
        </w:rPr>
        <w:footnoteReference w:id="11"/>
      </w:r>
      <w:r w:rsidR="00F358B6" w:rsidRPr="002E0CA9">
        <w:rPr>
          <w:sz w:val="22"/>
        </w:rPr>
        <w:t xml:space="preserve"> </w:t>
      </w:r>
      <w:r w:rsidR="00F358B6">
        <w:rPr>
          <w:sz w:val="22"/>
        </w:rPr>
        <w:t xml:space="preserve"> Pursuant to the Settlement Agreement, Preferred is required to relinquish 56 of its 77 site-based 800 MHz SMR licenses for “unconditional and immediate cancellation.”</w:t>
      </w:r>
      <w:r w:rsidR="007E5B12">
        <w:rPr>
          <w:rStyle w:val="FootnoteReference"/>
          <w:sz w:val="22"/>
        </w:rPr>
        <w:footnoteReference w:id="12"/>
      </w:r>
      <w:r w:rsidR="00F358B6">
        <w:rPr>
          <w:sz w:val="22"/>
        </w:rPr>
        <w:t xml:space="preserve"> </w:t>
      </w:r>
    </w:p>
    <w:p w:rsidR="00547644" w:rsidRDefault="00547644" w:rsidP="008A0BD5">
      <w:pPr>
        <w:spacing w:after="120"/>
        <w:rPr>
          <w:sz w:val="22"/>
        </w:rPr>
      </w:pPr>
      <w:r>
        <w:rPr>
          <w:sz w:val="22"/>
        </w:rPr>
        <w:t xml:space="preserve">On </w:t>
      </w:r>
      <w:r w:rsidR="00D53016">
        <w:rPr>
          <w:sz w:val="22"/>
        </w:rPr>
        <w:t>February 15</w:t>
      </w:r>
      <w:r>
        <w:rPr>
          <w:sz w:val="22"/>
        </w:rPr>
        <w:t xml:space="preserve">, 2011, Preferred filed </w:t>
      </w:r>
      <w:r w:rsidR="00D53016">
        <w:rPr>
          <w:sz w:val="22"/>
        </w:rPr>
        <w:t xml:space="preserve">the Waiver Request for </w:t>
      </w:r>
      <w:r w:rsidR="008D3424">
        <w:rPr>
          <w:sz w:val="22"/>
        </w:rPr>
        <w:t>the Licenses</w:t>
      </w:r>
      <w:r w:rsidR="00D06604">
        <w:rPr>
          <w:sz w:val="22"/>
        </w:rPr>
        <w:t>, seeking</w:t>
      </w:r>
      <w:r w:rsidR="008D3424">
        <w:rPr>
          <w:sz w:val="22"/>
        </w:rPr>
        <w:t xml:space="preserve"> reinstatement </w:t>
      </w:r>
      <w:r w:rsidR="008D3424">
        <w:rPr>
          <w:i/>
          <w:sz w:val="22"/>
        </w:rPr>
        <w:t xml:space="preserve">nunc pro tunc </w:t>
      </w:r>
      <w:r w:rsidR="008D3424">
        <w:rPr>
          <w:sz w:val="22"/>
        </w:rPr>
        <w:t>and renewal of the Licenses.</w:t>
      </w:r>
      <w:r w:rsidR="008426F5">
        <w:rPr>
          <w:sz w:val="22"/>
        </w:rPr>
        <w:t xml:space="preserve"> </w:t>
      </w:r>
      <w:r w:rsidR="002E0CA9">
        <w:rPr>
          <w:sz w:val="22"/>
        </w:rPr>
        <w:t xml:space="preserve"> </w:t>
      </w:r>
      <w:r w:rsidR="00D06604">
        <w:rPr>
          <w:sz w:val="22"/>
        </w:rPr>
        <w:t xml:space="preserve">Preferred states that all of the Licenses are associated with a pending </w:t>
      </w:r>
      <w:r w:rsidR="00450E9F">
        <w:rPr>
          <w:sz w:val="22"/>
        </w:rPr>
        <w:t>administrative</w:t>
      </w:r>
      <w:r w:rsidR="00D06604">
        <w:rPr>
          <w:sz w:val="22"/>
        </w:rPr>
        <w:t xml:space="preserve"> proceeding </w:t>
      </w:r>
      <w:r w:rsidR="00450E9F">
        <w:rPr>
          <w:sz w:val="22"/>
        </w:rPr>
        <w:t xml:space="preserve">that should toll the Licenses’ expirations dates.  Further, Preferred states that </w:t>
      </w:r>
      <w:r w:rsidR="00D06604">
        <w:rPr>
          <w:sz w:val="22"/>
        </w:rPr>
        <w:t>most of the license terms expired “within the two month period coinciding with the time [Preferred] was actively negotiatin</w:t>
      </w:r>
      <w:r w:rsidR="008175B5">
        <w:rPr>
          <w:sz w:val="22"/>
        </w:rPr>
        <w:t>g</w:t>
      </w:r>
      <w:r w:rsidR="00D06604">
        <w:rPr>
          <w:sz w:val="22"/>
        </w:rPr>
        <w:t xml:space="preserve"> with [EB].”</w:t>
      </w:r>
      <w:r w:rsidR="00D06604" w:rsidRPr="00D06604">
        <w:rPr>
          <w:rStyle w:val="FootnoteReference"/>
          <w:sz w:val="22"/>
        </w:rPr>
        <w:t xml:space="preserve"> </w:t>
      </w:r>
      <w:r w:rsidR="00D06604">
        <w:rPr>
          <w:rStyle w:val="FootnoteReference"/>
          <w:sz w:val="22"/>
        </w:rPr>
        <w:footnoteReference w:id="13"/>
      </w:r>
      <w:r w:rsidR="00D06604">
        <w:rPr>
          <w:sz w:val="22"/>
        </w:rPr>
        <w:t xml:space="preserve">  </w:t>
      </w:r>
      <w:r w:rsidR="00553B9F">
        <w:rPr>
          <w:sz w:val="22"/>
        </w:rPr>
        <w:t xml:space="preserve">Preferred argues that it is </w:t>
      </w:r>
      <w:r w:rsidR="008175B5">
        <w:rPr>
          <w:sz w:val="22"/>
        </w:rPr>
        <w:t xml:space="preserve">therefore </w:t>
      </w:r>
      <w:r w:rsidR="00553B9F">
        <w:rPr>
          <w:sz w:val="22"/>
        </w:rPr>
        <w:t>in the public interest to grant the Waiver Request and reinstate the licenses until the ongoing proceeding is final.</w:t>
      </w:r>
      <w:r w:rsidR="00553B9F">
        <w:rPr>
          <w:rStyle w:val="FootnoteReference"/>
          <w:sz w:val="22"/>
        </w:rPr>
        <w:footnoteReference w:id="14"/>
      </w:r>
    </w:p>
    <w:p w:rsidR="002E0CA9" w:rsidRDefault="002F45FC" w:rsidP="002E0CA9">
      <w:pPr>
        <w:spacing w:after="120"/>
        <w:rPr>
          <w:sz w:val="22"/>
        </w:rPr>
      </w:pPr>
      <w:r>
        <w:rPr>
          <w:sz w:val="22"/>
        </w:rPr>
        <w:t>On April 11, 2014, the Commission’s Office of General Counsel</w:t>
      </w:r>
      <w:r w:rsidR="002E0CA9">
        <w:rPr>
          <w:sz w:val="22"/>
        </w:rPr>
        <w:t xml:space="preserve"> dismissed both pending appeals </w:t>
      </w:r>
      <w:r w:rsidR="00262073">
        <w:rPr>
          <w:sz w:val="22"/>
        </w:rPr>
        <w:t>of</w:t>
      </w:r>
      <w:r w:rsidR="002E0CA9">
        <w:rPr>
          <w:sz w:val="22"/>
        </w:rPr>
        <w:t xml:space="preserve"> the Settlement Agreement</w:t>
      </w:r>
      <w:r w:rsidR="00832C2E">
        <w:rPr>
          <w:sz w:val="22"/>
        </w:rPr>
        <w:t xml:space="preserve"> and terminated the proceeding</w:t>
      </w:r>
      <w:r w:rsidR="002E0CA9">
        <w:rPr>
          <w:sz w:val="22"/>
        </w:rPr>
        <w:t>.</w:t>
      </w:r>
      <w:r w:rsidR="00553B9F">
        <w:rPr>
          <w:rStyle w:val="FootnoteReference"/>
          <w:sz w:val="22"/>
        </w:rPr>
        <w:footnoteReference w:id="15"/>
      </w:r>
      <w:r w:rsidR="002E0CA9">
        <w:rPr>
          <w:sz w:val="22"/>
        </w:rPr>
        <w:t xml:space="preserve">  </w:t>
      </w:r>
    </w:p>
    <w:p w:rsidR="002E0CA9" w:rsidRDefault="002E0CA9" w:rsidP="002E0CA9">
      <w:pPr>
        <w:spacing w:after="120"/>
        <w:rPr>
          <w:sz w:val="22"/>
        </w:rPr>
      </w:pPr>
      <w:r w:rsidRPr="002E0CA9">
        <w:rPr>
          <w:sz w:val="22"/>
        </w:rPr>
        <w:t xml:space="preserve">As specified in Section 1.925(b)(3) of the Commission’s rules, the Commission may grant a waiver of its rules where </w:t>
      </w:r>
      <w:r w:rsidR="00385AD9" w:rsidRPr="00385AD9">
        <w:rPr>
          <w:sz w:val="22"/>
        </w:rPr>
        <w:t>“the underlying purpose of the rule(s) would not be served or would be frustrated by application to the instant case, and that a grant of the requested waiver would be in the public interest; or</w:t>
      </w:r>
      <w:r w:rsidR="00385AD9">
        <w:rPr>
          <w:sz w:val="22"/>
        </w:rPr>
        <w:t xml:space="preserve"> </w:t>
      </w:r>
      <w:r w:rsidRPr="00385AD9">
        <w:rPr>
          <w:sz w:val="22"/>
        </w:rPr>
        <w:t xml:space="preserve">in </w:t>
      </w:r>
      <w:r w:rsidRPr="002E0CA9">
        <w:rPr>
          <w:sz w:val="22"/>
        </w:rPr>
        <w:t>view of unique or unusual factual circumstances of the instant case, application of the rule(s) would be inequitable, unduly burdensome, or contrary to the public interest, or the applicant has no reasonable alternative.”</w:t>
      </w:r>
      <w:r w:rsidR="00385AD9">
        <w:rPr>
          <w:rStyle w:val="FootnoteReference"/>
          <w:sz w:val="22"/>
        </w:rPr>
        <w:footnoteReference w:id="16"/>
      </w:r>
    </w:p>
    <w:p w:rsidR="00593A7F" w:rsidRDefault="00385AD9" w:rsidP="002E0CA9">
      <w:pPr>
        <w:spacing w:after="120"/>
        <w:rPr>
          <w:sz w:val="22"/>
        </w:rPr>
      </w:pPr>
      <w:r>
        <w:rPr>
          <w:sz w:val="22"/>
        </w:rPr>
        <w:t xml:space="preserve">Preferred has not </w:t>
      </w:r>
      <w:r w:rsidR="00643626">
        <w:rPr>
          <w:sz w:val="22"/>
        </w:rPr>
        <w:t>demonstrated how</w:t>
      </w:r>
      <w:r w:rsidR="004D020C">
        <w:rPr>
          <w:sz w:val="22"/>
        </w:rPr>
        <w:t xml:space="preserve"> a grant of the Waiver Reques</w:t>
      </w:r>
      <w:r w:rsidR="00C6374B">
        <w:rPr>
          <w:sz w:val="22"/>
        </w:rPr>
        <w:t xml:space="preserve">t is in the public interest or </w:t>
      </w:r>
      <w:r>
        <w:rPr>
          <w:sz w:val="22"/>
        </w:rPr>
        <w:t xml:space="preserve">that </w:t>
      </w:r>
      <w:r w:rsidR="008737C6">
        <w:rPr>
          <w:sz w:val="22"/>
        </w:rPr>
        <w:t>the underl</w:t>
      </w:r>
      <w:r w:rsidR="00502784">
        <w:rPr>
          <w:sz w:val="22"/>
        </w:rPr>
        <w:t xml:space="preserve">ying purpose of the rule </w:t>
      </w:r>
      <w:r w:rsidR="008737C6">
        <w:rPr>
          <w:sz w:val="22"/>
        </w:rPr>
        <w:t xml:space="preserve">would be frustrated by application in this case.  Licensees are fully responsible for knowing </w:t>
      </w:r>
      <w:r w:rsidR="008175B5">
        <w:rPr>
          <w:sz w:val="22"/>
        </w:rPr>
        <w:t xml:space="preserve">the </w:t>
      </w:r>
      <w:r w:rsidR="008737C6">
        <w:rPr>
          <w:sz w:val="22"/>
        </w:rPr>
        <w:t xml:space="preserve">terms of </w:t>
      </w:r>
      <w:r w:rsidR="008175B5">
        <w:rPr>
          <w:sz w:val="22"/>
        </w:rPr>
        <w:t xml:space="preserve">their </w:t>
      </w:r>
      <w:r w:rsidR="008737C6">
        <w:rPr>
          <w:sz w:val="22"/>
        </w:rPr>
        <w:t>license</w:t>
      </w:r>
      <w:r w:rsidR="008175B5">
        <w:rPr>
          <w:sz w:val="22"/>
        </w:rPr>
        <w:t>s</w:t>
      </w:r>
      <w:r w:rsidR="008737C6">
        <w:rPr>
          <w:sz w:val="22"/>
        </w:rPr>
        <w:t xml:space="preserve"> and filing timely renewal application</w:t>
      </w:r>
      <w:r w:rsidR="008175B5">
        <w:rPr>
          <w:sz w:val="22"/>
        </w:rPr>
        <w:t>s</w:t>
      </w:r>
      <w:r w:rsidR="008737C6">
        <w:rPr>
          <w:sz w:val="22"/>
        </w:rPr>
        <w:t>.</w:t>
      </w:r>
      <w:r w:rsidR="008737C6">
        <w:rPr>
          <w:rStyle w:val="FootnoteReference"/>
          <w:sz w:val="22"/>
        </w:rPr>
        <w:footnoteReference w:id="17"/>
      </w:r>
      <w:r w:rsidR="008737C6">
        <w:rPr>
          <w:sz w:val="22"/>
        </w:rPr>
        <w:t xml:space="preserve">  Preferred has not shown that the </w:t>
      </w:r>
      <w:r w:rsidR="008175B5">
        <w:rPr>
          <w:sz w:val="22"/>
        </w:rPr>
        <w:t xml:space="preserve">pendency of the </w:t>
      </w:r>
      <w:r w:rsidR="008737C6">
        <w:rPr>
          <w:sz w:val="22"/>
        </w:rPr>
        <w:t>EB proceeding constitutes “unique or unusual” circumstances warranting a waiver of this obligation</w:t>
      </w:r>
      <w:r w:rsidR="00502784">
        <w:rPr>
          <w:sz w:val="22"/>
        </w:rPr>
        <w:t xml:space="preserve">.  Preferred </w:t>
      </w:r>
      <w:r w:rsidR="008175B5">
        <w:rPr>
          <w:sz w:val="22"/>
        </w:rPr>
        <w:t xml:space="preserve">has </w:t>
      </w:r>
      <w:r w:rsidR="00502784">
        <w:rPr>
          <w:sz w:val="22"/>
        </w:rPr>
        <w:t>not demonstrate</w:t>
      </w:r>
      <w:r w:rsidR="008175B5">
        <w:rPr>
          <w:sz w:val="22"/>
        </w:rPr>
        <w:t>d</w:t>
      </w:r>
      <w:r w:rsidR="00502784">
        <w:rPr>
          <w:sz w:val="22"/>
        </w:rPr>
        <w:t xml:space="preserve"> how the </w:t>
      </w:r>
      <w:r w:rsidR="008737C6">
        <w:rPr>
          <w:sz w:val="22"/>
        </w:rPr>
        <w:t>proceeding prevented Preferred from timely completing its app</w:t>
      </w:r>
      <w:r w:rsidR="00502784">
        <w:rPr>
          <w:sz w:val="22"/>
        </w:rPr>
        <w:t xml:space="preserve">lication for </w:t>
      </w:r>
      <w:r w:rsidR="008175B5">
        <w:rPr>
          <w:sz w:val="22"/>
        </w:rPr>
        <w:t xml:space="preserve">renewal of </w:t>
      </w:r>
      <w:r w:rsidR="00502784">
        <w:rPr>
          <w:sz w:val="22"/>
        </w:rPr>
        <w:t>18 of the Licenses or why it did not file the renewal applications for the other 58 Licenses until over a year past their expiration dates</w:t>
      </w:r>
      <w:r w:rsidR="008737C6">
        <w:rPr>
          <w:sz w:val="22"/>
        </w:rPr>
        <w:t xml:space="preserve">.  </w:t>
      </w:r>
    </w:p>
    <w:p w:rsidR="003B186C" w:rsidRDefault="00C6374B" w:rsidP="002E0CA9">
      <w:pPr>
        <w:spacing w:after="120"/>
        <w:rPr>
          <w:sz w:val="22"/>
        </w:rPr>
      </w:pPr>
      <w:r>
        <w:rPr>
          <w:sz w:val="22"/>
        </w:rPr>
        <w:lastRenderedPageBreak/>
        <w:t>Preferred argues that</w:t>
      </w:r>
      <w:r w:rsidR="008175B5">
        <w:rPr>
          <w:sz w:val="22"/>
        </w:rPr>
        <w:t>,</w:t>
      </w:r>
      <w:r>
        <w:rPr>
          <w:sz w:val="22"/>
        </w:rPr>
        <w:t xml:space="preserve"> in other contexts, the Commission is specifically prohibited from taking action to terminate or cancel</w:t>
      </w:r>
      <w:r w:rsidR="00307F9E">
        <w:rPr>
          <w:sz w:val="22"/>
        </w:rPr>
        <w:t xml:space="preserve"> a</w:t>
      </w:r>
      <w:r>
        <w:rPr>
          <w:sz w:val="22"/>
        </w:rPr>
        <w:t xml:space="preserve"> license authorization, citing to Section 307(c)(3) of the Communications Act.</w:t>
      </w:r>
      <w:r w:rsidR="00C95833">
        <w:rPr>
          <w:rStyle w:val="FootnoteReference"/>
          <w:sz w:val="22"/>
        </w:rPr>
        <w:footnoteReference w:id="18"/>
      </w:r>
      <w:r>
        <w:rPr>
          <w:sz w:val="22"/>
        </w:rPr>
        <w:t xml:space="preserve"> However, </w:t>
      </w:r>
      <w:r w:rsidR="00385AD9">
        <w:rPr>
          <w:sz w:val="22"/>
        </w:rPr>
        <w:t>Preferred’s</w:t>
      </w:r>
      <w:r w:rsidR="00C95833">
        <w:rPr>
          <w:sz w:val="22"/>
        </w:rPr>
        <w:t xml:space="preserve"> reliance</w:t>
      </w:r>
      <w:r w:rsidR="00385AD9">
        <w:rPr>
          <w:sz w:val="22"/>
        </w:rPr>
        <w:t xml:space="preserve"> </w:t>
      </w:r>
      <w:r w:rsidR="00502784">
        <w:rPr>
          <w:sz w:val="22"/>
        </w:rPr>
        <w:t xml:space="preserve">on this section </w:t>
      </w:r>
      <w:r w:rsidR="00385AD9">
        <w:rPr>
          <w:sz w:val="22"/>
        </w:rPr>
        <w:t xml:space="preserve">misguided.  </w:t>
      </w:r>
      <w:r w:rsidR="00245CBE">
        <w:rPr>
          <w:sz w:val="22"/>
        </w:rPr>
        <w:t>This provision is intended to</w:t>
      </w:r>
      <w:r w:rsidR="00611881">
        <w:rPr>
          <w:sz w:val="22"/>
        </w:rPr>
        <w:t xml:space="preserve"> ensure that a license is not cancelled whi</w:t>
      </w:r>
      <w:r>
        <w:rPr>
          <w:sz w:val="22"/>
        </w:rPr>
        <w:t>le the Commission is reviewing a</w:t>
      </w:r>
      <w:r w:rsidR="00611881">
        <w:rPr>
          <w:sz w:val="22"/>
        </w:rPr>
        <w:t xml:space="preserve"> renewal application itself,</w:t>
      </w:r>
      <w:r w:rsidR="00611881">
        <w:rPr>
          <w:rStyle w:val="FootnoteReference"/>
          <w:sz w:val="22"/>
        </w:rPr>
        <w:footnoteReference w:id="19"/>
      </w:r>
      <w:r w:rsidR="00611881">
        <w:rPr>
          <w:sz w:val="22"/>
        </w:rPr>
        <w:t xml:space="preserve"> n</w:t>
      </w:r>
      <w:r w:rsidR="00245CBE">
        <w:rPr>
          <w:sz w:val="22"/>
        </w:rPr>
        <w:t xml:space="preserve">ot </w:t>
      </w:r>
      <w:r w:rsidR="00611881">
        <w:rPr>
          <w:sz w:val="22"/>
        </w:rPr>
        <w:t xml:space="preserve">to </w:t>
      </w:r>
      <w:r w:rsidR="00245CBE">
        <w:rPr>
          <w:sz w:val="22"/>
        </w:rPr>
        <w:t>serve as a</w:t>
      </w:r>
      <w:r w:rsidR="00611881">
        <w:rPr>
          <w:sz w:val="22"/>
        </w:rPr>
        <w:t xml:space="preserve"> mechanism for a licensee to </w:t>
      </w:r>
      <w:r w:rsidR="00611881" w:rsidRPr="00611881">
        <w:rPr>
          <w:sz w:val="22"/>
        </w:rPr>
        <w:t>circumvent</w:t>
      </w:r>
      <w:r w:rsidR="003B186C" w:rsidRPr="00611881">
        <w:rPr>
          <w:sz w:val="22"/>
        </w:rPr>
        <w:t xml:space="preserve"> </w:t>
      </w:r>
      <w:r w:rsidR="00611881">
        <w:rPr>
          <w:sz w:val="22"/>
        </w:rPr>
        <w:t>the procedural requirements associated with maintaining a valid license</w:t>
      </w:r>
      <w:r>
        <w:rPr>
          <w:sz w:val="22"/>
        </w:rPr>
        <w:t>, such as timely filing an application for renewal.</w:t>
      </w:r>
      <w:r w:rsidR="003B186C">
        <w:rPr>
          <w:sz w:val="22"/>
        </w:rPr>
        <w:t xml:space="preserve"> </w:t>
      </w:r>
    </w:p>
    <w:p w:rsidR="00CF74A9" w:rsidRDefault="00502784" w:rsidP="002E0CA9">
      <w:pPr>
        <w:spacing w:after="120"/>
        <w:rPr>
          <w:sz w:val="22"/>
        </w:rPr>
      </w:pPr>
      <w:r>
        <w:rPr>
          <w:sz w:val="22"/>
        </w:rPr>
        <w:t xml:space="preserve">Also, </w:t>
      </w:r>
      <w:r w:rsidR="00CF74A9">
        <w:rPr>
          <w:sz w:val="22"/>
        </w:rPr>
        <w:t>Preferred states</w:t>
      </w:r>
      <w:r w:rsidR="004D020C">
        <w:rPr>
          <w:sz w:val="22"/>
        </w:rPr>
        <w:t xml:space="preserve"> the </w:t>
      </w:r>
      <w:r w:rsidR="00CF74A9">
        <w:rPr>
          <w:sz w:val="22"/>
        </w:rPr>
        <w:t>Commission has acknowledged the preclusive impact of administrative and judicial proceedings on Commission deadlines.</w:t>
      </w:r>
      <w:r w:rsidR="004D020C">
        <w:rPr>
          <w:rStyle w:val="FootnoteReference"/>
          <w:sz w:val="22"/>
        </w:rPr>
        <w:footnoteReference w:id="20"/>
      </w:r>
      <w:r w:rsidR="004D020C">
        <w:rPr>
          <w:sz w:val="22"/>
        </w:rPr>
        <w:t xml:space="preserve">  </w:t>
      </w:r>
      <w:r w:rsidR="009158B5">
        <w:rPr>
          <w:sz w:val="22"/>
        </w:rPr>
        <w:t>Preferred</w:t>
      </w:r>
      <w:r w:rsidR="004D020C">
        <w:rPr>
          <w:sz w:val="22"/>
        </w:rPr>
        <w:t xml:space="preserve"> </w:t>
      </w:r>
      <w:r w:rsidR="009158B5">
        <w:rPr>
          <w:sz w:val="22"/>
        </w:rPr>
        <w:t>cites to an order that modified the Commission’s broadcast application and licensing procedures, which states the</w:t>
      </w:r>
      <w:r w:rsidR="004D020C">
        <w:rPr>
          <w:sz w:val="22"/>
        </w:rPr>
        <w:t xml:space="preserve"> Commission will toll a construction deadline when the construction p</w:t>
      </w:r>
      <w:r w:rsidR="00C6374B">
        <w:rPr>
          <w:sz w:val="22"/>
        </w:rPr>
        <w:t>ermit</w:t>
      </w:r>
      <w:r w:rsidR="004D020C">
        <w:rPr>
          <w:sz w:val="22"/>
        </w:rPr>
        <w:t xml:space="preserve"> is the subject of administrative o</w:t>
      </w:r>
      <w:r w:rsidR="008175B5">
        <w:rPr>
          <w:sz w:val="22"/>
        </w:rPr>
        <w:t>r</w:t>
      </w:r>
      <w:r w:rsidR="004D020C">
        <w:rPr>
          <w:sz w:val="22"/>
        </w:rPr>
        <w:t xml:space="preserve"> judicial review.</w:t>
      </w:r>
      <w:r w:rsidR="009158B5">
        <w:rPr>
          <w:rStyle w:val="FootnoteReference"/>
          <w:sz w:val="22"/>
        </w:rPr>
        <w:footnoteReference w:id="21"/>
      </w:r>
      <w:r w:rsidR="004D020C">
        <w:rPr>
          <w:sz w:val="22"/>
        </w:rPr>
        <w:t xml:space="preserve">  </w:t>
      </w:r>
      <w:r>
        <w:rPr>
          <w:sz w:val="22"/>
        </w:rPr>
        <w:t>However, the circumstances in this case are distinguishable.</w:t>
      </w:r>
      <w:r w:rsidR="009158B5">
        <w:rPr>
          <w:sz w:val="22"/>
        </w:rPr>
        <w:t xml:space="preserve">  </w:t>
      </w:r>
      <w:r w:rsidR="004D020C">
        <w:rPr>
          <w:sz w:val="22"/>
        </w:rPr>
        <w:t>In this case, Preferred seeks to retroactively toll its renewal</w:t>
      </w:r>
      <w:r w:rsidR="009158B5">
        <w:rPr>
          <w:sz w:val="22"/>
        </w:rPr>
        <w:t>, not construction</w:t>
      </w:r>
      <w:r w:rsidR="001D2211">
        <w:rPr>
          <w:sz w:val="22"/>
        </w:rPr>
        <w:t>,</w:t>
      </w:r>
      <w:r w:rsidR="004D020C">
        <w:rPr>
          <w:sz w:val="22"/>
        </w:rPr>
        <w:t xml:space="preserve"> deadlines</w:t>
      </w:r>
      <w:r w:rsidR="00C6374B">
        <w:rPr>
          <w:sz w:val="22"/>
        </w:rPr>
        <w:t>, and, further, the</w:t>
      </w:r>
      <w:r w:rsidR="009158B5">
        <w:rPr>
          <w:sz w:val="22"/>
        </w:rPr>
        <w:t xml:space="preserve"> renewal deadlines </w:t>
      </w:r>
      <w:r w:rsidR="00C95833">
        <w:rPr>
          <w:sz w:val="22"/>
        </w:rPr>
        <w:t xml:space="preserve">themselves </w:t>
      </w:r>
      <w:r w:rsidR="009158B5">
        <w:rPr>
          <w:sz w:val="22"/>
        </w:rPr>
        <w:t>were</w:t>
      </w:r>
      <w:r w:rsidR="004D020C">
        <w:rPr>
          <w:sz w:val="22"/>
        </w:rPr>
        <w:t xml:space="preserve"> not the subject of the administrative review at issue.</w:t>
      </w:r>
    </w:p>
    <w:p w:rsidR="00385AD9" w:rsidRDefault="00C95833" w:rsidP="002E0CA9">
      <w:pPr>
        <w:spacing w:after="120"/>
        <w:rPr>
          <w:sz w:val="22"/>
        </w:rPr>
      </w:pPr>
      <w:r>
        <w:rPr>
          <w:sz w:val="22"/>
        </w:rPr>
        <w:t xml:space="preserve">For the </w:t>
      </w:r>
      <w:r w:rsidR="008175B5">
        <w:rPr>
          <w:sz w:val="22"/>
        </w:rPr>
        <w:t>reasons stated above</w:t>
      </w:r>
      <w:r w:rsidR="004D020C">
        <w:rPr>
          <w:sz w:val="22"/>
        </w:rPr>
        <w:t xml:space="preserve">, </w:t>
      </w:r>
      <w:r w:rsidR="00A86917">
        <w:rPr>
          <w:sz w:val="22"/>
        </w:rPr>
        <w:t>we deny the Waiver Request and dismiss all associated renewal applications.</w:t>
      </w:r>
      <w:r w:rsidR="005C761F">
        <w:rPr>
          <w:rStyle w:val="FootnoteReference"/>
          <w:sz w:val="22"/>
        </w:rPr>
        <w:footnoteReference w:id="22"/>
      </w:r>
    </w:p>
    <w:p w:rsidR="008A0BD5" w:rsidRDefault="008A0BD5" w:rsidP="008A0BD5">
      <w:pPr>
        <w:ind w:left="3600" w:firstLine="720"/>
        <w:rPr>
          <w:sz w:val="22"/>
        </w:rPr>
      </w:pPr>
    </w:p>
    <w:p w:rsidR="008A0BD5" w:rsidRDefault="008A0BD5" w:rsidP="008A0BD5">
      <w:pPr>
        <w:ind w:left="3600" w:firstLine="720"/>
        <w:rPr>
          <w:sz w:val="22"/>
        </w:rPr>
      </w:pPr>
      <w:r>
        <w:rPr>
          <w:sz w:val="22"/>
        </w:rPr>
        <w:t>Sincerely,</w:t>
      </w:r>
    </w:p>
    <w:p w:rsidR="008A0BD5" w:rsidRDefault="008A0BD5" w:rsidP="008A0BD5">
      <w:pPr>
        <w:rPr>
          <w:sz w:val="22"/>
        </w:rPr>
      </w:pPr>
    </w:p>
    <w:p w:rsidR="008A0BD5" w:rsidRDefault="008A0BD5" w:rsidP="008A0BD5">
      <w:pPr>
        <w:rPr>
          <w:sz w:val="22"/>
        </w:rPr>
      </w:pPr>
    </w:p>
    <w:p w:rsidR="008A0BD5" w:rsidRDefault="008A0BD5" w:rsidP="008A0BD5">
      <w:pPr>
        <w:rPr>
          <w:sz w:val="22"/>
        </w:rPr>
      </w:pPr>
    </w:p>
    <w:p w:rsidR="008A0BD5" w:rsidRDefault="008A0BD5" w:rsidP="008A0BD5">
      <w:pPr>
        <w:ind w:left="3600" w:firstLine="720"/>
        <w:rPr>
          <w:sz w:val="22"/>
        </w:rPr>
      </w:pPr>
      <w:r>
        <w:rPr>
          <w:sz w:val="22"/>
        </w:rPr>
        <w:t>Roger S. Noel</w:t>
      </w:r>
    </w:p>
    <w:p w:rsidR="008A0BD5" w:rsidRDefault="008A0BD5" w:rsidP="008A0BD5">
      <w:pPr>
        <w:ind w:left="4320"/>
        <w:rPr>
          <w:sz w:val="22"/>
        </w:rPr>
      </w:pPr>
      <w:r>
        <w:rPr>
          <w:sz w:val="22"/>
        </w:rPr>
        <w:t>Chief, Mobility Division</w:t>
      </w:r>
    </w:p>
    <w:p w:rsidR="008A0BD5" w:rsidRDefault="008A0BD5" w:rsidP="008A0BD5">
      <w:pPr>
        <w:ind w:left="3600" w:firstLine="720"/>
        <w:rPr>
          <w:sz w:val="22"/>
        </w:rPr>
      </w:pPr>
      <w:r>
        <w:rPr>
          <w:sz w:val="22"/>
        </w:rPr>
        <w:t>Wireless Telecommunications Bureau</w:t>
      </w:r>
    </w:p>
    <w:p w:rsidR="008A0BD5" w:rsidRDefault="008A0BD5" w:rsidP="008A0BD5">
      <w:pPr>
        <w:rPr>
          <w:sz w:val="22"/>
        </w:rPr>
      </w:pPr>
    </w:p>
    <w:p w:rsidR="008A0BD5" w:rsidRDefault="008A0BD5" w:rsidP="008A0BD5">
      <w:pPr>
        <w:jc w:val="center"/>
        <w:rPr>
          <w:b/>
          <w:sz w:val="22"/>
        </w:rPr>
      </w:pPr>
      <w:r>
        <w:rPr>
          <w:sz w:val="22"/>
        </w:rPr>
        <w:br w:type="page"/>
      </w:r>
      <w:r>
        <w:rPr>
          <w:b/>
          <w:sz w:val="22"/>
        </w:rPr>
        <w:t>APPENDIX A</w:t>
      </w:r>
    </w:p>
    <w:p w:rsidR="008A0BD5" w:rsidRDefault="008A0BD5" w:rsidP="008A0BD5">
      <w:pPr>
        <w:jc w:val="center"/>
        <w:rPr>
          <w:b/>
          <w:sz w:val="22"/>
        </w:rPr>
      </w:pPr>
    </w:p>
    <w:p w:rsidR="008A0BD5" w:rsidRDefault="008A0BD5" w:rsidP="008A0BD5">
      <w:pPr>
        <w:jc w:val="center"/>
        <w:rPr>
          <w:b/>
          <w:sz w:val="22"/>
        </w:rPr>
      </w:pPr>
      <w:r>
        <w:rPr>
          <w:b/>
          <w:sz w:val="22"/>
        </w:rPr>
        <w:t xml:space="preserve">Preferred </w:t>
      </w:r>
      <w:r w:rsidR="00362D2A">
        <w:rPr>
          <w:b/>
          <w:sz w:val="22"/>
        </w:rPr>
        <w:t>Communication Systems</w:t>
      </w:r>
      <w:r>
        <w:rPr>
          <w:b/>
          <w:sz w:val="22"/>
        </w:rPr>
        <w:t xml:space="preserve">, Inc. 800 MHz SMR </w:t>
      </w:r>
      <w:r w:rsidR="00502784">
        <w:rPr>
          <w:b/>
          <w:sz w:val="22"/>
        </w:rPr>
        <w:t xml:space="preserve">site-based RO </w:t>
      </w:r>
      <w:r w:rsidR="00362D2A">
        <w:rPr>
          <w:b/>
          <w:sz w:val="22"/>
        </w:rPr>
        <w:t>applications and</w:t>
      </w:r>
      <w:r>
        <w:rPr>
          <w:b/>
          <w:sz w:val="22"/>
        </w:rPr>
        <w:t xml:space="preserve"> call signs </w:t>
      </w:r>
    </w:p>
    <w:p w:rsidR="008A0BD5" w:rsidRDefault="008A0BD5" w:rsidP="008A0BD5">
      <w:pPr>
        <w:jc w:val="center"/>
        <w:rPr>
          <w:b/>
          <w:sz w:val="22"/>
        </w:rPr>
      </w:pPr>
    </w:p>
    <w:tbl>
      <w:tblPr>
        <w:tblW w:w="10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4927"/>
      </w:tblGrid>
      <w:tr w:rsidR="007700ED" w:rsidRPr="00362D2A" w:rsidTr="00362D2A">
        <w:trPr>
          <w:trHeight w:val="235"/>
        </w:trPr>
        <w:tc>
          <w:tcPr>
            <w:tcW w:w="5586" w:type="dxa"/>
            <w:shd w:val="clear" w:color="auto" w:fill="auto"/>
            <w:noWrap/>
            <w:vAlign w:val="bottom"/>
          </w:tcPr>
          <w:p w:rsidR="007700ED" w:rsidRDefault="007700ED" w:rsidP="00871E0E">
            <w:pPr>
              <w:rPr>
                <w:rFonts w:ascii="Arial" w:hAnsi="Arial" w:cs="Arial"/>
                <w:b/>
                <w:bCs/>
              </w:rPr>
            </w:pPr>
            <w:r>
              <w:rPr>
                <w:rFonts w:ascii="Arial" w:hAnsi="Arial" w:cs="Arial"/>
                <w:b/>
                <w:bCs/>
              </w:rPr>
              <w:t>File</w:t>
            </w:r>
            <w:r w:rsidR="00871E0E">
              <w:rPr>
                <w:rFonts w:ascii="Arial" w:hAnsi="Arial" w:cs="Arial"/>
                <w:b/>
                <w:bCs/>
              </w:rPr>
              <w:t xml:space="preserve"> </w:t>
            </w:r>
            <w:r>
              <w:rPr>
                <w:rFonts w:ascii="Arial" w:hAnsi="Arial" w:cs="Arial"/>
                <w:b/>
                <w:bCs/>
              </w:rPr>
              <w:t>Number</w:t>
            </w:r>
          </w:p>
        </w:tc>
        <w:tc>
          <w:tcPr>
            <w:tcW w:w="4927" w:type="dxa"/>
            <w:shd w:val="clear" w:color="auto" w:fill="auto"/>
            <w:noWrap/>
            <w:vAlign w:val="bottom"/>
          </w:tcPr>
          <w:p w:rsidR="007700ED" w:rsidRDefault="007700ED" w:rsidP="00871E0E">
            <w:pPr>
              <w:rPr>
                <w:rFonts w:ascii="Arial" w:hAnsi="Arial" w:cs="Arial"/>
                <w:b/>
                <w:bCs/>
              </w:rPr>
            </w:pPr>
            <w:r>
              <w:rPr>
                <w:rFonts w:ascii="Arial" w:hAnsi="Arial" w:cs="Arial"/>
                <w:b/>
                <w:bCs/>
              </w:rPr>
              <w:t>Call</w:t>
            </w:r>
            <w:r w:rsidR="00871E0E">
              <w:rPr>
                <w:rFonts w:ascii="Arial" w:hAnsi="Arial" w:cs="Arial"/>
                <w:b/>
                <w:bCs/>
              </w:rPr>
              <w:t xml:space="preserve"> </w:t>
            </w:r>
            <w:r>
              <w:rPr>
                <w:rFonts w:ascii="Arial" w:hAnsi="Arial" w:cs="Arial"/>
                <w:b/>
                <w:bCs/>
              </w:rPr>
              <w:t>Sign</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WPFT968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0004614757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WPDU206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0004614758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WPDU218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0004614759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WPDU263</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WPDU279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WPEF461</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WPEY418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WPEY419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WPEY421</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WPEY445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WPEY450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WPEY451</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WPEZ750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WPFA269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WPFA273</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WPFA278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WPFD607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WPFD808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WPFD809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WPFD810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WPFD811</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WPFM600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WPFN636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WPFN725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WPFQ293</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WPFS846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WPFT416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WPFT334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WPFT335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WPFT357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WPFT369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WPFZ805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WPFZ806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WPFG589</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WPDU210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WPEY430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WPFA265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WPDU222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WPFA268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WPFD812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WPGD852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WPDU287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WPEY447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WPFN354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WPFV884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WPFA266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WPFM597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WPGD855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WPDU275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WPEY423</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WPFA280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0004614823</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WPFE934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WPFS856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WPFV692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0004614826</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WPEU434</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WPEX345</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0004614828</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WPEY431</w:t>
            </w:r>
          </w:p>
        </w:tc>
      </w:tr>
      <w:tr w:rsidR="00871E0E" w:rsidRPr="00362D2A" w:rsidTr="00362D2A">
        <w:trPr>
          <w:trHeight w:val="235"/>
        </w:trPr>
        <w:tc>
          <w:tcPr>
            <w:tcW w:w="5586" w:type="dxa"/>
            <w:shd w:val="clear" w:color="auto" w:fill="auto"/>
            <w:noWrap/>
            <w:vAlign w:val="bottom"/>
          </w:tcPr>
          <w:p w:rsidR="00871E0E" w:rsidRDefault="00871E0E">
            <w:pPr>
              <w:rPr>
                <w:rFonts w:ascii="Arial" w:hAnsi="Arial" w:cs="Arial"/>
              </w:rPr>
            </w:pPr>
            <w:r>
              <w:rPr>
                <w:rFonts w:ascii="Arial" w:hAnsi="Arial" w:cs="Arial"/>
              </w:rPr>
              <w:t>0004614829</w:t>
            </w:r>
          </w:p>
        </w:tc>
        <w:tc>
          <w:tcPr>
            <w:tcW w:w="4927" w:type="dxa"/>
            <w:shd w:val="clear" w:color="auto" w:fill="auto"/>
            <w:noWrap/>
            <w:vAlign w:val="bottom"/>
          </w:tcPr>
          <w:p w:rsidR="00871E0E" w:rsidRDefault="00871E0E">
            <w:pPr>
              <w:rPr>
                <w:rFonts w:ascii="Arial" w:hAnsi="Arial" w:cs="Arial"/>
              </w:rPr>
            </w:pPr>
            <w:r>
              <w:rPr>
                <w:rFonts w:ascii="Arial" w:hAnsi="Arial" w:cs="Arial"/>
              </w:rPr>
              <w:t>WPFA270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0004614830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WPFN600</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0004614831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WPFT356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0004614832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WPFZ808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0004614760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WPDU266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0004614772</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WPEY446</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0004614784</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WPFE472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0004614797</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WPFX997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0004614809</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WPFT417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0004614821</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WPEY448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0004614770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WPEY432</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0004614785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WPFG598</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0004614800</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WPFZ807</w:t>
            </w:r>
          </w:p>
        </w:tc>
      </w:tr>
      <w:tr w:rsidR="007700ED" w:rsidRPr="00362D2A" w:rsidTr="00362D2A">
        <w:trPr>
          <w:trHeight w:val="235"/>
        </w:trPr>
        <w:tc>
          <w:tcPr>
            <w:tcW w:w="5586" w:type="dxa"/>
            <w:shd w:val="clear" w:color="auto" w:fill="auto"/>
            <w:noWrap/>
            <w:vAlign w:val="bottom"/>
            <w:hideMark/>
          </w:tcPr>
          <w:p w:rsidR="007700ED" w:rsidRDefault="007700ED">
            <w:pPr>
              <w:rPr>
                <w:rFonts w:ascii="Arial" w:hAnsi="Arial" w:cs="Arial"/>
              </w:rPr>
            </w:pPr>
            <w:r>
              <w:rPr>
                <w:rFonts w:ascii="Arial" w:hAnsi="Arial" w:cs="Arial"/>
              </w:rPr>
              <w:t>0004614815</w:t>
            </w:r>
          </w:p>
        </w:tc>
        <w:tc>
          <w:tcPr>
            <w:tcW w:w="4927" w:type="dxa"/>
            <w:shd w:val="clear" w:color="auto" w:fill="auto"/>
            <w:noWrap/>
            <w:vAlign w:val="bottom"/>
            <w:hideMark/>
          </w:tcPr>
          <w:p w:rsidR="007700ED" w:rsidRDefault="007700ED">
            <w:pPr>
              <w:rPr>
                <w:rFonts w:ascii="Arial" w:hAnsi="Arial" w:cs="Arial"/>
              </w:rPr>
            </w:pPr>
            <w:r>
              <w:rPr>
                <w:rFonts w:ascii="Arial" w:hAnsi="Arial" w:cs="Arial"/>
              </w:rPr>
              <w:t>WPDU271</w:t>
            </w:r>
          </w:p>
        </w:tc>
      </w:tr>
    </w:tbl>
    <w:p w:rsidR="00362D2A" w:rsidRDefault="00362D2A" w:rsidP="008A0BD5">
      <w:pPr>
        <w:jc w:val="center"/>
        <w:rPr>
          <w:b/>
          <w:sz w:val="22"/>
        </w:rPr>
      </w:pPr>
    </w:p>
    <w:p w:rsidR="008A0BD5" w:rsidRDefault="008A0BD5" w:rsidP="008A0BD5">
      <w:pPr>
        <w:jc w:val="center"/>
        <w:rPr>
          <w:b/>
          <w:sz w:val="22"/>
        </w:rPr>
      </w:pPr>
    </w:p>
    <w:p w:rsidR="008A0BD5" w:rsidRPr="0002466A" w:rsidRDefault="008A0BD5" w:rsidP="008A0BD5">
      <w:pPr>
        <w:jc w:val="center"/>
        <w:rPr>
          <w:b/>
          <w:sz w:val="22"/>
        </w:rPr>
      </w:pPr>
    </w:p>
    <w:p w:rsidR="001640F7" w:rsidRDefault="00261692"/>
    <w:sectPr w:rsidR="001640F7">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4A" w:rsidRDefault="000E4A4A" w:rsidP="008A0BD5">
      <w:r>
        <w:separator/>
      </w:r>
    </w:p>
  </w:endnote>
  <w:endnote w:type="continuationSeparator" w:id="0">
    <w:p w:rsidR="000E4A4A" w:rsidRDefault="000E4A4A" w:rsidP="008A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C" w:rsidRDefault="00C36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41C" w:rsidRDefault="00261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C" w:rsidRDefault="00C36F3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61692">
      <w:rPr>
        <w:rStyle w:val="PageNumber"/>
        <w:noProof/>
      </w:rPr>
      <w:t>2</w:t>
    </w:r>
    <w:r>
      <w:rPr>
        <w:rStyle w:val="PageNumber"/>
      </w:rPr>
      <w:fldChar w:fldCharType="end"/>
    </w:r>
    <w:r>
      <w:rPr>
        <w:rStyle w:val="PageNumber"/>
      </w:rPr>
      <w:t xml:space="preserve"> -</w:t>
    </w:r>
  </w:p>
  <w:p w:rsidR="003C541C" w:rsidRDefault="00261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C" w:rsidRDefault="002616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4A" w:rsidRDefault="000E4A4A" w:rsidP="008A0BD5">
      <w:r>
        <w:separator/>
      </w:r>
    </w:p>
  </w:footnote>
  <w:footnote w:type="continuationSeparator" w:id="0">
    <w:p w:rsidR="000E4A4A" w:rsidRDefault="000E4A4A" w:rsidP="008A0BD5">
      <w:r>
        <w:continuationSeparator/>
      </w:r>
    </w:p>
  </w:footnote>
  <w:footnote w:id="1">
    <w:p w:rsidR="00832C2E" w:rsidRDefault="00832C2E">
      <w:pPr>
        <w:pStyle w:val="FootnoteText"/>
      </w:pPr>
      <w:r>
        <w:rPr>
          <w:rStyle w:val="FootnoteReference"/>
        </w:rPr>
        <w:footnoteRef/>
      </w:r>
      <w:r>
        <w:t xml:space="preserve"> </w:t>
      </w:r>
      <w:r w:rsidRPr="00832C2E">
        <w:rPr>
          <w:i/>
        </w:rPr>
        <w:t xml:space="preserve">See, e.g., </w:t>
      </w:r>
      <w:r w:rsidRPr="00832C2E">
        <w:t xml:space="preserve">ULS File No. </w:t>
      </w:r>
      <w:r w:rsidR="00863BBE">
        <w:t>0004614757</w:t>
      </w:r>
      <w:r w:rsidRPr="00832C2E">
        <w:t xml:space="preserve">, Attachment, Request for Waiver (Feb. 15, 2011) (Waiver Request).  Appendix A lists the </w:t>
      </w:r>
      <w:r w:rsidR="00262073">
        <w:t>76</w:t>
      </w:r>
      <w:r w:rsidRPr="00832C2E">
        <w:t xml:space="preserve"> pending renewal applications for Preferred’s 800 MHz SMR site-based licenses, with associated call signs and markets.</w:t>
      </w:r>
    </w:p>
  </w:footnote>
  <w:footnote w:id="2">
    <w:p w:rsidR="00832C2E" w:rsidRDefault="00832C2E">
      <w:pPr>
        <w:pStyle w:val="FootnoteText"/>
      </w:pPr>
      <w:r>
        <w:rPr>
          <w:rStyle w:val="FootnoteReference"/>
        </w:rPr>
        <w:footnoteRef/>
      </w:r>
      <w:r>
        <w:t xml:space="preserve"> 47 C.F.R. § 90.149.  </w:t>
      </w:r>
    </w:p>
  </w:footnote>
  <w:footnote w:id="3">
    <w:p w:rsidR="00547644" w:rsidRDefault="004245F8" w:rsidP="00DE19E2">
      <w:pPr>
        <w:pStyle w:val="FootnoteText"/>
      </w:pPr>
      <w:r>
        <w:rPr>
          <w:rStyle w:val="FootnoteReference"/>
        </w:rPr>
        <w:footnoteRef/>
      </w:r>
      <w:r>
        <w:t xml:space="preserve"> </w:t>
      </w:r>
      <w:r w:rsidR="00262073">
        <w:rPr>
          <w:i/>
        </w:rPr>
        <w:t>Id.</w:t>
      </w:r>
      <w:r>
        <w:t xml:space="preserve"> § 1.949(a).</w:t>
      </w:r>
    </w:p>
  </w:footnote>
  <w:footnote w:id="4">
    <w:p w:rsidR="008D3424" w:rsidRDefault="008426F5" w:rsidP="008426F5">
      <w:pPr>
        <w:pStyle w:val="FootnoteText"/>
      </w:pPr>
      <w:r>
        <w:rPr>
          <w:rStyle w:val="FootnoteReference"/>
        </w:rPr>
        <w:footnoteRef/>
      </w:r>
      <w:r>
        <w:rPr>
          <w:i/>
        </w:rPr>
        <w:t xml:space="preserve"> Id</w:t>
      </w:r>
      <w:r w:rsidR="00F358B6">
        <w:t>. § 1.955(a)</w:t>
      </w:r>
      <w:r>
        <w:t>(1).</w:t>
      </w:r>
    </w:p>
  </w:footnote>
  <w:footnote w:id="5">
    <w:p w:rsidR="003A5F7F" w:rsidRPr="003A5F7F" w:rsidRDefault="003A5F7F">
      <w:pPr>
        <w:pStyle w:val="FootnoteText"/>
      </w:pPr>
      <w:r>
        <w:rPr>
          <w:rStyle w:val="FootnoteReference"/>
        </w:rPr>
        <w:footnoteRef/>
      </w:r>
      <w:r>
        <w:t xml:space="preserve"> </w:t>
      </w:r>
      <w:r>
        <w:rPr>
          <w:i/>
        </w:rPr>
        <w:t xml:space="preserve">See, e.g., </w:t>
      </w:r>
      <w:r>
        <w:t>ULS File No.</w:t>
      </w:r>
      <w:r w:rsidRPr="003A5F7F">
        <w:rPr>
          <w:rFonts w:ascii="Verdana" w:hAnsi="Verdana"/>
          <w:color w:val="000000"/>
          <w:sz w:val="18"/>
          <w:szCs w:val="18"/>
          <w:shd w:val="clear" w:color="auto" w:fill="F7F5FF"/>
        </w:rPr>
        <w:t xml:space="preserve"> </w:t>
      </w:r>
      <w:r w:rsidRPr="003A5F7F">
        <w:t>0003845309</w:t>
      </w:r>
      <w:r>
        <w:t>, Application for Renewal (May 19, 2009).</w:t>
      </w:r>
    </w:p>
  </w:footnote>
  <w:footnote w:id="6">
    <w:p w:rsidR="003A5F7F" w:rsidRDefault="003A5F7F">
      <w:pPr>
        <w:pStyle w:val="FootnoteText"/>
      </w:pPr>
      <w:r>
        <w:rPr>
          <w:rStyle w:val="FootnoteReference"/>
        </w:rPr>
        <w:footnoteRef/>
      </w:r>
      <w:r>
        <w:t xml:space="preserve"> </w:t>
      </w:r>
      <w:r>
        <w:rPr>
          <w:i/>
        </w:rPr>
        <w:t xml:space="preserve">See, e.g., </w:t>
      </w:r>
      <w:r>
        <w:t>ULS File No.</w:t>
      </w:r>
      <w:r w:rsidRPr="003A5F7F">
        <w:rPr>
          <w:rFonts w:ascii="Verdana" w:hAnsi="Verdana"/>
          <w:color w:val="000000"/>
          <w:sz w:val="18"/>
          <w:szCs w:val="18"/>
          <w:shd w:val="clear" w:color="auto" w:fill="F7F5FF"/>
        </w:rPr>
        <w:t xml:space="preserve"> </w:t>
      </w:r>
      <w:r w:rsidRPr="003A5F7F">
        <w:t>0003874299</w:t>
      </w:r>
      <w:r>
        <w:t>, Application for Renewal (June 17, 2009).</w:t>
      </w:r>
    </w:p>
  </w:footnote>
  <w:footnote w:id="7">
    <w:p w:rsidR="008D3424" w:rsidRPr="008D3424" w:rsidRDefault="008D3424">
      <w:pPr>
        <w:pStyle w:val="FootnoteText"/>
      </w:pPr>
      <w:r>
        <w:rPr>
          <w:rStyle w:val="FootnoteReference"/>
        </w:rPr>
        <w:footnoteRef/>
      </w:r>
      <w:r>
        <w:t xml:space="preserve"> </w:t>
      </w:r>
      <w:r>
        <w:rPr>
          <w:i/>
        </w:rPr>
        <w:t>See</w:t>
      </w:r>
      <w:r w:rsidR="008175B5">
        <w:rPr>
          <w:i/>
        </w:rPr>
        <w:t>,</w:t>
      </w:r>
      <w:r>
        <w:rPr>
          <w:i/>
        </w:rPr>
        <w:t xml:space="preserve"> e.g., </w:t>
      </w:r>
      <w:r>
        <w:t>ULS File No. 0003874298, Application for Renewal, Automated Letter, Reference No. 4879029</w:t>
      </w:r>
      <w:r w:rsidR="00863BBE">
        <w:t xml:space="preserve"> (July 7, 2009)</w:t>
      </w:r>
      <w:r>
        <w:t>.</w:t>
      </w:r>
    </w:p>
  </w:footnote>
  <w:footnote w:id="8">
    <w:p w:rsidR="008D3424" w:rsidRPr="008D3424" w:rsidRDefault="008D3424">
      <w:pPr>
        <w:pStyle w:val="FootnoteText"/>
        <w:rPr>
          <w:i/>
        </w:rPr>
      </w:pPr>
      <w:r>
        <w:rPr>
          <w:rStyle w:val="FootnoteReference"/>
        </w:rPr>
        <w:footnoteRef/>
      </w:r>
      <w:r>
        <w:t xml:space="preserve"> </w:t>
      </w:r>
      <w:r>
        <w:rPr>
          <w:i/>
        </w:rPr>
        <w:t>See id.</w:t>
      </w:r>
    </w:p>
  </w:footnote>
  <w:footnote w:id="9">
    <w:p w:rsidR="00F358B6" w:rsidRPr="006B7208" w:rsidRDefault="00F358B6" w:rsidP="00F358B6">
      <w:pPr>
        <w:pStyle w:val="FootnoteText"/>
      </w:pPr>
      <w:r>
        <w:rPr>
          <w:rStyle w:val="FootnoteReference"/>
        </w:rPr>
        <w:footnoteRef/>
      </w:r>
      <w:r>
        <w:t xml:space="preserve"> </w:t>
      </w:r>
      <w:r>
        <w:rPr>
          <w:i/>
        </w:rPr>
        <w:t xml:space="preserve">See </w:t>
      </w:r>
      <w:r w:rsidRPr="006B7208">
        <w:t xml:space="preserve">Pendleton C. Waugh, Charles M. Austin, and Jay R. Bishop, </w:t>
      </w:r>
      <w:r>
        <w:rPr>
          <w:i/>
        </w:rPr>
        <w:t xml:space="preserve">Order to Show Cause, </w:t>
      </w:r>
      <w:r>
        <w:t>22 FCC Rcd 13363 (2007).</w:t>
      </w:r>
    </w:p>
  </w:footnote>
  <w:footnote w:id="10">
    <w:p w:rsidR="00EA06EE" w:rsidRDefault="00EA06EE" w:rsidP="00EA06EE">
      <w:pPr>
        <w:pStyle w:val="FootnoteText"/>
      </w:pPr>
      <w:r>
        <w:rPr>
          <w:rStyle w:val="FootnoteReference"/>
        </w:rPr>
        <w:footnoteRef/>
      </w:r>
      <w:r>
        <w:t xml:space="preserve"> </w:t>
      </w:r>
      <w:r>
        <w:rPr>
          <w:i/>
        </w:rPr>
        <w:t xml:space="preserve">See </w:t>
      </w:r>
      <w:r>
        <w:t>Joint Request for Approval of Settlement Agreement</w:t>
      </w:r>
      <w:r w:rsidR="003A5F7F">
        <w:t xml:space="preserve"> and Termination of Proceeding,</w:t>
      </w:r>
      <w:r>
        <w:t xml:space="preserve"> filed August 5, 2009, by EB, Preferred, Preferred Acquisitions, Inc. (PAI), Austin, and Bishop.  The settlement agreement is reprinted as an attachment to Pendleton C. Waugh, </w:t>
      </w:r>
      <w:r w:rsidRPr="00262073">
        <w:rPr>
          <w:i/>
        </w:rPr>
        <w:t>Order</w:t>
      </w:r>
      <w:r>
        <w:t xml:space="preserve">, FCC 09M-51 (ALJ Aug. 12, 2009) (“Settlement Agreement”).  </w:t>
      </w:r>
    </w:p>
  </w:footnote>
  <w:footnote w:id="11">
    <w:p w:rsidR="00F358B6" w:rsidRDefault="00F358B6" w:rsidP="00F358B6">
      <w:pPr>
        <w:pStyle w:val="FootnoteText"/>
      </w:pPr>
      <w:r>
        <w:rPr>
          <w:rStyle w:val="FootnoteReference"/>
        </w:rPr>
        <w:footnoteRef/>
      </w:r>
      <w:r>
        <w:t xml:space="preserve"> </w:t>
      </w:r>
      <w:r w:rsidRPr="003A5F7F">
        <w:rPr>
          <w:i/>
        </w:rPr>
        <w:t>See</w:t>
      </w:r>
      <w:r w:rsidRPr="002F45FC">
        <w:t xml:space="preserve"> Appeal from Presiding Offic</w:t>
      </w:r>
      <w:r w:rsidR="00262073">
        <w:t>er’s Final Ruling, filed Oct.</w:t>
      </w:r>
      <w:r w:rsidRPr="002F45FC">
        <w:t xml:space="preserve"> 26</w:t>
      </w:r>
      <w:r>
        <w:t xml:space="preserve">, 2009, by Waugh; </w:t>
      </w:r>
      <w:r w:rsidRPr="002F45FC">
        <w:t>Appeal</w:t>
      </w:r>
      <w:r>
        <w:t>, by Michael D. Judy</w:t>
      </w:r>
      <w:r w:rsidR="00863BBE">
        <w:t>, filed Oct.</w:t>
      </w:r>
      <w:r w:rsidR="003A5F7F">
        <w:t xml:space="preserve"> 1, 2009</w:t>
      </w:r>
      <w:r w:rsidR="007E5B12">
        <w:t>.</w:t>
      </w:r>
    </w:p>
  </w:footnote>
  <w:footnote w:id="12">
    <w:p w:rsidR="007E5B12" w:rsidRPr="007E5B12" w:rsidRDefault="007E5B12">
      <w:pPr>
        <w:pStyle w:val="FootnoteText"/>
      </w:pPr>
      <w:r>
        <w:rPr>
          <w:rStyle w:val="FootnoteReference"/>
        </w:rPr>
        <w:footnoteRef/>
      </w:r>
      <w:r>
        <w:t xml:space="preserve"> </w:t>
      </w:r>
      <w:r>
        <w:rPr>
          <w:i/>
        </w:rPr>
        <w:t xml:space="preserve">See </w:t>
      </w:r>
      <w:r>
        <w:t xml:space="preserve">Settlement </w:t>
      </w:r>
      <w:r w:rsidR="00F103D9">
        <w:t xml:space="preserve">Agreement at </w:t>
      </w:r>
      <w:r w:rsidR="00832C2E">
        <w:t>¶ 27</w:t>
      </w:r>
      <w:r w:rsidR="00F103D9">
        <w:t>.</w:t>
      </w:r>
    </w:p>
  </w:footnote>
  <w:footnote w:id="13">
    <w:p w:rsidR="00D06604" w:rsidRPr="002E0CA9" w:rsidRDefault="00D06604" w:rsidP="00D06604">
      <w:pPr>
        <w:pStyle w:val="FootnoteText"/>
      </w:pPr>
      <w:r>
        <w:rPr>
          <w:rStyle w:val="FootnoteReference"/>
        </w:rPr>
        <w:footnoteRef/>
      </w:r>
      <w:r>
        <w:t xml:space="preserve"> Waiver Request at 1.</w:t>
      </w:r>
    </w:p>
  </w:footnote>
  <w:footnote w:id="14">
    <w:p w:rsidR="00553B9F" w:rsidRPr="00553B9F" w:rsidRDefault="00553B9F">
      <w:pPr>
        <w:pStyle w:val="FootnoteText"/>
      </w:pPr>
      <w:r>
        <w:rPr>
          <w:rStyle w:val="FootnoteReference"/>
        </w:rPr>
        <w:footnoteRef/>
      </w:r>
      <w:r>
        <w:t xml:space="preserve"> </w:t>
      </w:r>
      <w:r>
        <w:rPr>
          <w:i/>
        </w:rPr>
        <w:t xml:space="preserve">Id. </w:t>
      </w:r>
      <w:r>
        <w:t>at 3-4.</w:t>
      </w:r>
    </w:p>
  </w:footnote>
  <w:footnote w:id="15">
    <w:p w:rsidR="00553B9F" w:rsidRDefault="00553B9F" w:rsidP="003A5F7F">
      <w:pPr>
        <w:pStyle w:val="FootnoteText"/>
      </w:pPr>
      <w:r>
        <w:rPr>
          <w:rStyle w:val="FootnoteReference"/>
        </w:rPr>
        <w:footnoteRef/>
      </w:r>
      <w:r>
        <w:t xml:space="preserve"> </w:t>
      </w:r>
      <w:r>
        <w:rPr>
          <w:i/>
        </w:rPr>
        <w:t xml:space="preserve">See </w:t>
      </w:r>
      <w:r w:rsidR="003A5F7F">
        <w:t>Settlement Agreement</w:t>
      </w:r>
      <w:r w:rsidR="00863BBE">
        <w:t>;</w:t>
      </w:r>
      <w:r>
        <w:rPr>
          <w:i/>
        </w:rPr>
        <w:t xml:space="preserve"> </w:t>
      </w:r>
      <w:r w:rsidRPr="006B7208">
        <w:t xml:space="preserve">Pendleton C. Waugh, Charles M. Austin, and Jay R. Bishop, </w:t>
      </w:r>
      <w:r>
        <w:rPr>
          <w:i/>
        </w:rPr>
        <w:t xml:space="preserve">Memorandum Opinion and Order, </w:t>
      </w:r>
      <w:r>
        <w:t>EB Dock</w:t>
      </w:r>
      <w:r w:rsidR="00262073">
        <w:t xml:space="preserve">et No. 07-147, 29 FCC Rcd 3787 </w:t>
      </w:r>
      <w:r>
        <w:t>(2014).</w:t>
      </w:r>
    </w:p>
  </w:footnote>
  <w:footnote w:id="16">
    <w:p w:rsidR="00385AD9" w:rsidRPr="00385AD9" w:rsidRDefault="00385AD9">
      <w:pPr>
        <w:pStyle w:val="FootnoteText"/>
      </w:pPr>
      <w:r>
        <w:rPr>
          <w:rStyle w:val="FootnoteReference"/>
        </w:rPr>
        <w:footnoteRef/>
      </w:r>
      <w:r>
        <w:t xml:space="preserve"> </w:t>
      </w:r>
      <w:r>
        <w:rPr>
          <w:i/>
        </w:rPr>
        <w:t xml:space="preserve">See </w:t>
      </w:r>
      <w:r>
        <w:t>47 C.F.R. § 1.925(b)(3)</w:t>
      </w:r>
      <w:r w:rsidR="007E5B12">
        <w:t>.</w:t>
      </w:r>
    </w:p>
  </w:footnote>
  <w:footnote w:id="17">
    <w:p w:rsidR="008737C6" w:rsidRDefault="008737C6" w:rsidP="008737C6">
      <w:pPr>
        <w:pStyle w:val="FootnoteText"/>
      </w:pPr>
      <w:r>
        <w:rPr>
          <w:rStyle w:val="FootnoteReference"/>
        </w:rPr>
        <w:footnoteRef/>
      </w:r>
      <w:r>
        <w:t xml:space="preserve"> </w:t>
      </w:r>
      <w:r w:rsidRPr="00C6374B">
        <w:t xml:space="preserve">Amendment of Parts 0, 1, 13, 22, 24, 26, 27, 80, 87, 90, 95, 97, and 101 of the Commission’s Rules to Facilitate the Development and Use of the Universal Licensing System in the Wireless Telecommunications Services, </w:t>
      </w:r>
      <w:r w:rsidRPr="00C6374B">
        <w:rPr>
          <w:i/>
        </w:rPr>
        <w:t>Memorandum Opinion and Order</w:t>
      </w:r>
      <w:r w:rsidR="00863BBE">
        <w:t>, 14 FCC Rcd 11476, 11485-86</w:t>
      </w:r>
      <w:r w:rsidRPr="00C6374B">
        <w:t xml:space="preserve"> ¶ 22 (1999)</w:t>
      </w:r>
      <w:r w:rsidR="00307F9E">
        <w:t>.</w:t>
      </w:r>
    </w:p>
  </w:footnote>
  <w:footnote w:id="18">
    <w:p w:rsidR="00C95833" w:rsidRPr="00C95833" w:rsidRDefault="00C95833">
      <w:pPr>
        <w:pStyle w:val="FootnoteText"/>
        <w:rPr>
          <w:i/>
        </w:rPr>
      </w:pPr>
      <w:r>
        <w:rPr>
          <w:rStyle w:val="FootnoteReference"/>
        </w:rPr>
        <w:footnoteRef/>
      </w:r>
      <w:r>
        <w:t xml:space="preserve"> </w:t>
      </w:r>
      <w:r>
        <w:rPr>
          <w:i/>
        </w:rPr>
        <w:t xml:space="preserve">See </w:t>
      </w:r>
      <w:r>
        <w:t xml:space="preserve">47 U.S.C. 307(c)(3).  Section 307 of the Communications Act states that: </w:t>
      </w:r>
      <w:r w:rsidRPr="00C95833">
        <w:t>Pending any administrative or judicial hearing and final decision on such an application and the disposition of any petition for rehearing pursuant to section 405 or section 402 of this title, the Commission shall continue such license in effect.</w:t>
      </w:r>
      <w:r>
        <w:t xml:space="preserve">  </w:t>
      </w:r>
      <w:r>
        <w:rPr>
          <w:i/>
        </w:rPr>
        <w:t>See id.</w:t>
      </w:r>
    </w:p>
  </w:footnote>
  <w:footnote w:id="19">
    <w:p w:rsidR="00611881" w:rsidRPr="00611881" w:rsidRDefault="00611881">
      <w:pPr>
        <w:pStyle w:val="FootnoteText"/>
      </w:pPr>
      <w:r>
        <w:rPr>
          <w:rStyle w:val="FootnoteReference"/>
        </w:rPr>
        <w:footnoteRef/>
      </w:r>
      <w:r>
        <w:t xml:space="preserve"> </w:t>
      </w:r>
      <w:r>
        <w:rPr>
          <w:i/>
        </w:rPr>
        <w:t xml:space="preserve">See </w:t>
      </w:r>
      <w:r w:rsidR="005C761F">
        <w:t xml:space="preserve">Linfield College, </w:t>
      </w:r>
      <w:r w:rsidR="005C761F">
        <w:rPr>
          <w:i/>
        </w:rPr>
        <w:t xml:space="preserve">Forfeiture Order, </w:t>
      </w:r>
      <w:r w:rsidR="005C761F">
        <w:t>26 FCC Rcd. 794</w:t>
      </w:r>
      <w:r w:rsidR="00262073">
        <w:t xml:space="preserve">9 </w:t>
      </w:r>
      <w:r w:rsidR="005C761F">
        <w:t xml:space="preserve">¶ 8 (2011).  </w:t>
      </w:r>
      <w:r>
        <w:t>Linfield lawfully operate</w:t>
      </w:r>
      <w:r w:rsidR="005C761F">
        <w:t xml:space="preserve">d </w:t>
      </w:r>
      <w:r>
        <w:t>its station under an expired license while the Commission review</w:t>
      </w:r>
      <w:r w:rsidR="009158B5">
        <w:t>ed</w:t>
      </w:r>
      <w:r>
        <w:t xml:space="preserve"> its pending </w:t>
      </w:r>
      <w:r w:rsidR="009158B5">
        <w:t xml:space="preserve">renewal </w:t>
      </w:r>
      <w:r>
        <w:t>application.</w:t>
      </w:r>
    </w:p>
  </w:footnote>
  <w:footnote w:id="20">
    <w:p w:rsidR="004D020C" w:rsidRPr="004D020C" w:rsidRDefault="004D020C">
      <w:pPr>
        <w:pStyle w:val="FootnoteText"/>
      </w:pPr>
      <w:r>
        <w:rPr>
          <w:rStyle w:val="FootnoteReference"/>
        </w:rPr>
        <w:footnoteRef/>
      </w:r>
      <w:r>
        <w:t xml:space="preserve"> </w:t>
      </w:r>
      <w:r>
        <w:rPr>
          <w:i/>
        </w:rPr>
        <w:t xml:space="preserve">See </w:t>
      </w:r>
      <w:r>
        <w:t>Waiver Request at 3-4.</w:t>
      </w:r>
    </w:p>
  </w:footnote>
  <w:footnote w:id="21">
    <w:p w:rsidR="009158B5" w:rsidRPr="009158B5" w:rsidRDefault="009158B5">
      <w:pPr>
        <w:pStyle w:val="FootnoteText"/>
      </w:pPr>
      <w:r>
        <w:rPr>
          <w:rStyle w:val="FootnoteReference"/>
        </w:rPr>
        <w:footnoteRef/>
      </w:r>
      <w:r>
        <w:t xml:space="preserve"> </w:t>
      </w:r>
      <w:r>
        <w:rPr>
          <w:i/>
        </w:rPr>
        <w:t xml:space="preserve">See </w:t>
      </w:r>
      <w:r>
        <w:t>1998 Biennial Regulatory Review – Streamlin</w:t>
      </w:r>
      <w:r w:rsidR="00A86917">
        <w:t>in</w:t>
      </w:r>
      <w:r>
        <w:t xml:space="preserve">g of Mass Media Applications, Rules, and Processes, </w:t>
      </w:r>
      <w:r>
        <w:rPr>
          <w:i/>
        </w:rPr>
        <w:t xml:space="preserve">Report and Order, </w:t>
      </w:r>
      <w:r>
        <w:t xml:space="preserve">13 FCC Rcd 23056 </w:t>
      </w:r>
      <w:r w:rsidR="00A86917">
        <w:t xml:space="preserve">¶ 84 </w:t>
      </w:r>
      <w:r>
        <w:t>(1998).</w:t>
      </w:r>
    </w:p>
  </w:footnote>
  <w:footnote w:id="22">
    <w:p w:rsidR="005C761F" w:rsidRDefault="005C761F">
      <w:pPr>
        <w:pStyle w:val="FootnoteText"/>
      </w:pPr>
      <w:r>
        <w:rPr>
          <w:rStyle w:val="FootnoteReference"/>
        </w:rPr>
        <w:footnoteRef/>
      </w:r>
      <w:r>
        <w:t xml:space="preserve"> </w:t>
      </w:r>
      <w:r w:rsidR="006F533D">
        <w:t>As a result of today’s action, the Licenses</w:t>
      </w:r>
      <w:r w:rsidR="00C95833">
        <w:t xml:space="preserve">, including the 56 </w:t>
      </w:r>
      <w:r w:rsidR="006F533D">
        <w:t>licenses Preferred agreed to relinquish pursuant to the Settlement Agreement</w:t>
      </w:r>
      <w:r w:rsidR="00593A7F">
        <w:t>,</w:t>
      </w:r>
      <w:r w:rsidR="00593A7F" w:rsidRPr="00593A7F">
        <w:t xml:space="preserve"> </w:t>
      </w:r>
      <w:r w:rsidR="00593A7F">
        <w:t>will automatically terminate</w:t>
      </w:r>
      <w:r w:rsidR="006F533D">
        <w:t>.</w:t>
      </w:r>
      <w:r w:rsidR="00F103D9">
        <w:t xml:space="preserve">  The ULS application file numbers are listed in</w:t>
      </w:r>
      <w:r w:rsidR="00832C2E">
        <w:t xml:space="preserve">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C0" w:rsidRDefault="009B0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C0" w:rsidRDefault="009B0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1C" w:rsidRDefault="0026169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481529968" r:id="rId2"/>
      </w:pict>
    </w:r>
    <w:r w:rsidR="00C36F35">
      <w:rPr>
        <w:rFonts w:ascii="CG Times (W1)" w:hAnsi="CG Times (W1)"/>
        <w:sz w:val="28"/>
      </w:rPr>
      <w:t>Federal Communications Commission</w:t>
    </w:r>
  </w:p>
  <w:p w:rsidR="003C541C" w:rsidRDefault="00C36F3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3C541C" w:rsidRDefault="00261692">
    <w:pPr>
      <w:pStyle w:val="Header"/>
      <w:tabs>
        <w:tab w:val="clear" w:pos="4320"/>
      </w:tabs>
      <w:rPr>
        <w:sz w:val="22"/>
      </w:rPr>
    </w:pPr>
  </w:p>
  <w:p w:rsidR="003C541C" w:rsidRDefault="00261692">
    <w:pPr>
      <w:pStyle w:val="Header"/>
      <w:tabs>
        <w:tab w:val="clear" w:pos="4320"/>
      </w:tabs>
      <w:jc w:val="center"/>
      <w:rPr>
        <w:sz w:val="22"/>
      </w:rPr>
    </w:pPr>
  </w:p>
  <w:p w:rsidR="00871E0E" w:rsidRDefault="00871E0E" w:rsidP="00871E0E">
    <w:pPr>
      <w:pStyle w:val="Header"/>
      <w:tabs>
        <w:tab w:val="clear" w:pos="4320"/>
      </w:tabs>
      <w:jc w:val="right"/>
      <w:rPr>
        <w:sz w:val="22"/>
      </w:rPr>
    </w:pPr>
    <w:r>
      <w:rPr>
        <w:sz w:val="22"/>
      </w:rPr>
      <w:t>DA 14-</w:t>
    </w:r>
    <w:r w:rsidR="00BC347D">
      <w:rPr>
        <w:sz w:val="22"/>
      </w:rPr>
      <w:t>1912</w:t>
    </w:r>
  </w:p>
  <w:p w:rsidR="00871E0E" w:rsidRDefault="00871E0E" w:rsidP="00871E0E">
    <w:pPr>
      <w:pStyle w:val="Header"/>
      <w:tabs>
        <w:tab w:val="clear" w:pos="4320"/>
      </w:tabs>
      <w:jc w:val="right"/>
      <w:rPr>
        <w:sz w:val="22"/>
      </w:rPr>
    </w:pPr>
  </w:p>
  <w:p w:rsidR="003C541C" w:rsidRPr="004A2C06" w:rsidRDefault="00262073" w:rsidP="00A503F5">
    <w:pPr>
      <w:jc w:val="center"/>
      <w:rPr>
        <w:sz w:val="22"/>
        <w:szCs w:val="22"/>
      </w:rPr>
    </w:pPr>
    <w:r w:rsidRPr="004A2C06">
      <w:rPr>
        <w:sz w:val="22"/>
        <w:szCs w:val="22"/>
      </w:rPr>
      <w:t>December 31</w:t>
    </w:r>
    <w:r w:rsidR="00C36F35" w:rsidRPr="004A2C06">
      <w:rPr>
        <w:sz w:val="22"/>
        <w:szCs w:val="22"/>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D5"/>
    <w:rsid w:val="00004698"/>
    <w:rsid w:val="000E4A4A"/>
    <w:rsid w:val="00155AF0"/>
    <w:rsid w:val="001836C6"/>
    <w:rsid w:val="001B3E12"/>
    <w:rsid w:val="001D2211"/>
    <w:rsid w:val="001F6FB1"/>
    <w:rsid w:val="00202EB9"/>
    <w:rsid w:val="00245CBE"/>
    <w:rsid w:val="00250D99"/>
    <w:rsid w:val="00260AA2"/>
    <w:rsid w:val="00261692"/>
    <w:rsid w:val="00262073"/>
    <w:rsid w:val="002A1E3E"/>
    <w:rsid w:val="002A40DC"/>
    <w:rsid w:val="002E0CA9"/>
    <w:rsid w:val="002F320E"/>
    <w:rsid w:val="002F45FC"/>
    <w:rsid w:val="00307F9E"/>
    <w:rsid w:val="00356B43"/>
    <w:rsid w:val="00362D2A"/>
    <w:rsid w:val="00385AD9"/>
    <w:rsid w:val="003A5F7F"/>
    <w:rsid w:val="003B186C"/>
    <w:rsid w:val="003C31D0"/>
    <w:rsid w:val="003E3E40"/>
    <w:rsid w:val="004245F8"/>
    <w:rsid w:val="00450E9F"/>
    <w:rsid w:val="004A2C06"/>
    <w:rsid w:val="004A3B7C"/>
    <w:rsid w:val="004A75EB"/>
    <w:rsid w:val="004D020C"/>
    <w:rsid w:val="00502784"/>
    <w:rsid w:val="00502B51"/>
    <w:rsid w:val="00547644"/>
    <w:rsid w:val="00553B9F"/>
    <w:rsid w:val="00587250"/>
    <w:rsid w:val="00593A7F"/>
    <w:rsid w:val="005C761F"/>
    <w:rsid w:val="00611881"/>
    <w:rsid w:val="00643626"/>
    <w:rsid w:val="006B7208"/>
    <w:rsid w:val="006F533D"/>
    <w:rsid w:val="007700ED"/>
    <w:rsid w:val="00797431"/>
    <w:rsid w:val="007E5B12"/>
    <w:rsid w:val="008175B5"/>
    <w:rsid w:val="00832C2E"/>
    <w:rsid w:val="008426F5"/>
    <w:rsid w:val="00863BBE"/>
    <w:rsid w:val="00871E0E"/>
    <w:rsid w:val="008737C6"/>
    <w:rsid w:val="008737EA"/>
    <w:rsid w:val="008819C2"/>
    <w:rsid w:val="008A0BD5"/>
    <w:rsid w:val="008B2639"/>
    <w:rsid w:val="008D3424"/>
    <w:rsid w:val="009158B5"/>
    <w:rsid w:val="0094191D"/>
    <w:rsid w:val="009907DA"/>
    <w:rsid w:val="009A0F05"/>
    <w:rsid w:val="009B04C0"/>
    <w:rsid w:val="00A56DA1"/>
    <w:rsid w:val="00A73E89"/>
    <w:rsid w:val="00A86917"/>
    <w:rsid w:val="00AE1224"/>
    <w:rsid w:val="00AF4E84"/>
    <w:rsid w:val="00B9285E"/>
    <w:rsid w:val="00BC347D"/>
    <w:rsid w:val="00C36F35"/>
    <w:rsid w:val="00C6374B"/>
    <w:rsid w:val="00C95833"/>
    <w:rsid w:val="00CF74A9"/>
    <w:rsid w:val="00D06604"/>
    <w:rsid w:val="00D13490"/>
    <w:rsid w:val="00D46EA5"/>
    <w:rsid w:val="00D53016"/>
    <w:rsid w:val="00DE19E2"/>
    <w:rsid w:val="00EA06EE"/>
    <w:rsid w:val="00F103D9"/>
    <w:rsid w:val="00F358B6"/>
    <w:rsid w:val="00F8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BD5"/>
    <w:pPr>
      <w:tabs>
        <w:tab w:val="center" w:pos="4320"/>
        <w:tab w:val="right" w:pos="8640"/>
      </w:tabs>
    </w:pPr>
  </w:style>
  <w:style w:type="character" w:customStyle="1" w:styleId="HeaderChar">
    <w:name w:val="Header Char"/>
    <w:basedOn w:val="DefaultParagraphFont"/>
    <w:link w:val="Header"/>
    <w:rsid w:val="008A0BD5"/>
    <w:rPr>
      <w:rFonts w:ascii="Times New Roman" w:eastAsia="Times New Roman" w:hAnsi="Times New Roman" w:cs="Times New Roman"/>
      <w:sz w:val="20"/>
      <w:szCs w:val="20"/>
    </w:rPr>
  </w:style>
  <w:style w:type="paragraph" w:styleId="Footer">
    <w:name w:val="footer"/>
    <w:basedOn w:val="Normal"/>
    <w:link w:val="FooterChar"/>
    <w:rsid w:val="008A0BD5"/>
    <w:pPr>
      <w:tabs>
        <w:tab w:val="center" w:pos="4320"/>
        <w:tab w:val="right" w:pos="8640"/>
      </w:tabs>
    </w:pPr>
  </w:style>
  <w:style w:type="character" w:customStyle="1" w:styleId="FooterChar">
    <w:name w:val="Footer Char"/>
    <w:basedOn w:val="DefaultParagraphFont"/>
    <w:link w:val="Footer"/>
    <w:rsid w:val="008A0BD5"/>
    <w:rPr>
      <w:rFonts w:ascii="Times New Roman" w:eastAsia="Times New Roman" w:hAnsi="Times New Roman" w:cs="Times New Roman"/>
      <w:sz w:val="20"/>
      <w:szCs w:val="20"/>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
    <w:basedOn w:val="Normal"/>
    <w:link w:val="FootnoteTextChar"/>
    <w:semiHidden/>
    <w:rsid w:val="008A0BD5"/>
  </w:style>
  <w:style w:type="character" w:customStyle="1" w:styleId="FootnoteTextChar">
    <w:name w:val="Footnote Text Char"/>
    <w:aliases w:val="Footnote Text Char2 Char1,Footnote Text Char Char Char1,Footnote Text Char2 Char Char Char1,Footnote Text Char3 Char Char Char1 Char1,Footnote Text Char2 Char Char Char Char1 Char1"/>
    <w:basedOn w:val="DefaultParagraphFont"/>
    <w:link w:val="FootnoteText"/>
    <w:semiHidden/>
    <w:rsid w:val="008A0BD5"/>
    <w:rPr>
      <w:rFonts w:ascii="Times New Roman" w:eastAsia="Times New Roman" w:hAnsi="Times New Roman" w:cs="Times New Roman"/>
      <w:sz w:val="20"/>
      <w:szCs w:val="20"/>
    </w:rPr>
  </w:style>
  <w:style w:type="character" w:styleId="FootnoteReference">
    <w:name w:val="footnote reference"/>
    <w:semiHidden/>
    <w:rsid w:val="008A0BD5"/>
    <w:rPr>
      <w:vertAlign w:val="superscript"/>
    </w:rPr>
  </w:style>
  <w:style w:type="character" w:styleId="PageNumber">
    <w:name w:val="page number"/>
    <w:basedOn w:val="DefaultParagraphFont"/>
    <w:rsid w:val="008A0BD5"/>
  </w:style>
  <w:style w:type="character" w:customStyle="1" w:styleId="h21">
    <w:name w:val="h21"/>
    <w:rsid w:val="008A0BD5"/>
    <w:rPr>
      <w:rFonts w:ascii="Verdana" w:hAnsi="Verdana" w:hint="default"/>
      <w:b/>
      <w:bCs/>
      <w:color w:val="000099"/>
      <w:sz w:val="27"/>
      <w:szCs w:val="27"/>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semiHidden/>
    <w:locked/>
    <w:rsid w:val="008426F5"/>
  </w:style>
  <w:style w:type="character" w:styleId="Hyperlink">
    <w:name w:val="Hyperlink"/>
    <w:basedOn w:val="DefaultParagraphFont"/>
    <w:uiPriority w:val="99"/>
    <w:unhideWhenUsed/>
    <w:rsid w:val="00245CBE"/>
    <w:rPr>
      <w:color w:val="0000FF" w:themeColor="hyperlink"/>
      <w:u w:val="single"/>
    </w:rPr>
  </w:style>
  <w:style w:type="character" w:styleId="CommentReference">
    <w:name w:val="annotation reference"/>
    <w:basedOn w:val="DefaultParagraphFont"/>
    <w:uiPriority w:val="99"/>
    <w:semiHidden/>
    <w:unhideWhenUsed/>
    <w:rsid w:val="00DE19E2"/>
    <w:rPr>
      <w:sz w:val="16"/>
      <w:szCs w:val="16"/>
    </w:rPr>
  </w:style>
  <w:style w:type="paragraph" w:styleId="CommentText">
    <w:name w:val="annotation text"/>
    <w:basedOn w:val="Normal"/>
    <w:link w:val="CommentTextChar"/>
    <w:uiPriority w:val="99"/>
    <w:semiHidden/>
    <w:unhideWhenUsed/>
    <w:rsid w:val="00DE19E2"/>
  </w:style>
  <w:style w:type="character" w:customStyle="1" w:styleId="CommentTextChar">
    <w:name w:val="Comment Text Char"/>
    <w:basedOn w:val="DefaultParagraphFont"/>
    <w:link w:val="CommentText"/>
    <w:uiPriority w:val="99"/>
    <w:semiHidden/>
    <w:rsid w:val="00DE19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9E2"/>
    <w:rPr>
      <w:b/>
      <w:bCs/>
    </w:rPr>
  </w:style>
  <w:style w:type="character" w:customStyle="1" w:styleId="CommentSubjectChar">
    <w:name w:val="Comment Subject Char"/>
    <w:basedOn w:val="CommentTextChar"/>
    <w:link w:val="CommentSubject"/>
    <w:uiPriority w:val="99"/>
    <w:semiHidden/>
    <w:rsid w:val="00DE19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9E2"/>
    <w:rPr>
      <w:rFonts w:ascii="Tahoma" w:hAnsi="Tahoma" w:cs="Tahoma"/>
      <w:sz w:val="16"/>
      <w:szCs w:val="16"/>
    </w:rPr>
  </w:style>
  <w:style w:type="character" w:customStyle="1" w:styleId="BalloonTextChar">
    <w:name w:val="Balloon Text Char"/>
    <w:basedOn w:val="DefaultParagraphFont"/>
    <w:link w:val="BalloonText"/>
    <w:uiPriority w:val="99"/>
    <w:semiHidden/>
    <w:rsid w:val="00DE1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BD5"/>
    <w:pPr>
      <w:tabs>
        <w:tab w:val="center" w:pos="4320"/>
        <w:tab w:val="right" w:pos="8640"/>
      </w:tabs>
    </w:pPr>
  </w:style>
  <w:style w:type="character" w:customStyle="1" w:styleId="HeaderChar">
    <w:name w:val="Header Char"/>
    <w:basedOn w:val="DefaultParagraphFont"/>
    <w:link w:val="Header"/>
    <w:rsid w:val="008A0BD5"/>
    <w:rPr>
      <w:rFonts w:ascii="Times New Roman" w:eastAsia="Times New Roman" w:hAnsi="Times New Roman" w:cs="Times New Roman"/>
      <w:sz w:val="20"/>
      <w:szCs w:val="20"/>
    </w:rPr>
  </w:style>
  <w:style w:type="paragraph" w:styleId="Footer">
    <w:name w:val="footer"/>
    <w:basedOn w:val="Normal"/>
    <w:link w:val="FooterChar"/>
    <w:rsid w:val="008A0BD5"/>
    <w:pPr>
      <w:tabs>
        <w:tab w:val="center" w:pos="4320"/>
        <w:tab w:val="right" w:pos="8640"/>
      </w:tabs>
    </w:pPr>
  </w:style>
  <w:style w:type="character" w:customStyle="1" w:styleId="FooterChar">
    <w:name w:val="Footer Char"/>
    <w:basedOn w:val="DefaultParagraphFont"/>
    <w:link w:val="Footer"/>
    <w:rsid w:val="008A0BD5"/>
    <w:rPr>
      <w:rFonts w:ascii="Times New Roman" w:eastAsia="Times New Roman" w:hAnsi="Times New Roman" w:cs="Times New Roman"/>
      <w:sz w:val="20"/>
      <w:szCs w:val="20"/>
    </w:r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
    <w:basedOn w:val="Normal"/>
    <w:link w:val="FootnoteTextChar"/>
    <w:semiHidden/>
    <w:rsid w:val="008A0BD5"/>
  </w:style>
  <w:style w:type="character" w:customStyle="1" w:styleId="FootnoteTextChar">
    <w:name w:val="Footnote Text Char"/>
    <w:aliases w:val="Footnote Text Char2 Char1,Footnote Text Char Char Char1,Footnote Text Char2 Char Char Char1,Footnote Text Char3 Char Char Char1 Char1,Footnote Text Char2 Char Char Char Char1 Char1"/>
    <w:basedOn w:val="DefaultParagraphFont"/>
    <w:link w:val="FootnoteText"/>
    <w:semiHidden/>
    <w:rsid w:val="008A0BD5"/>
    <w:rPr>
      <w:rFonts w:ascii="Times New Roman" w:eastAsia="Times New Roman" w:hAnsi="Times New Roman" w:cs="Times New Roman"/>
      <w:sz w:val="20"/>
      <w:szCs w:val="20"/>
    </w:rPr>
  </w:style>
  <w:style w:type="character" w:styleId="FootnoteReference">
    <w:name w:val="footnote reference"/>
    <w:semiHidden/>
    <w:rsid w:val="008A0BD5"/>
    <w:rPr>
      <w:vertAlign w:val="superscript"/>
    </w:rPr>
  </w:style>
  <w:style w:type="character" w:styleId="PageNumber">
    <w:name w:val="page number"/>
    <w:basedOn w:val="DefaultParagraphFont"/>
    <w:rsid w:val="008A0BD5"/>
  </w:style>
  <w:style w:type="character" w:customStyle="1" w:styleId="h21">
    <w:name w:val="h21"/>
    <w:rsid w:val="008A0BD5"/>
    <w:rPr>
      <w:rFonts w:ascii="Verdana" w:hAnsi="Verdana" w:hint="default"/>
      <w:b/>
      <w:bCs/>
      <w:color w:val="000099"/>
      <w:sz w:val="27"/>
      <w:szCs w:val="27"/>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semiHidden/>
    <w:locked/>
    <w:rsid w:val="008426F5"/>
  </w:style>
  <w:style w:type="character" w:styleId="Hyperlink">
    <w:name w:val="Hyperlink"/>
    <w:basedOn w:val="DefaultParagraphFont"/>
    <w:uiPriority w:val="99"/>
    <w:unhideWhenUsed/>
    <w:rsid w:val="00245CBE"/>
    <w:rPr>
      <w:color w:val="0000FF" w:themeColor="hyperlink"/>
      <w:u w:val="single"/>
    </w:rPr>
  </w:style>
  <w:style w:type="character" w:styleId="CommentReference">
    <w:name w:val="annotation reference"/>
    <w:basedOn w:val="DefaultParagraphFont"/>
    <w:uiPriority w:val="99"/>
    <w:semiHidden/>
    <w:unhideWhenUsed/>
    <w:rsid w:val="00DE19E2"/>
    <w:rPr>
      <w:sz w:val="16"/>
      <w:szCs w:val="16"/>
    </w:rPr>
  </w:style>
  <w:style w:type="paragraph" w:styleId="CommentText">
    <w:name w:val="annotation text"/>
    <w:basedOn w:val="Normal"/>
    <w:link w:val="CommentTextChar"/>
    <w:uiPriority w:val="99"/>
    <w:semiHidden/>
    <w:unhideWhenUsed/>
    <w:rsid w:val="00DE19E2"/>
  </w:style>
  <w:style w:type="character" w:customStyle="1" w:styleId="CommentTextChar">
    <w:name w:val="Comment Text Char"/>
    <w:basedOn w:val="DefaultParagraphFont"/>
    <w:link w:val="CommentText"/>
    <w:uiPriority w:val="99"/>
    <w:semiHidden/>
    <w:rsid w:val="00DE19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9E2"/>
    <w:rPr>
      <w:b/>
      <w:bCs/>
    </w:rPr>
  </w:style>
  <w:style w:type="character" w:customStyle="1" w:styleId="CommentSubjectChar">
    <w:name w:val="Comment Subject Char"/>
    <w:basedOn w:val="CommentTextChar"/>
    <w:link w:val="CommentSubject"/>
    <w:uiPriority w:val="99"/>
    <w:semiHidden/>
    <w:rsid w:val="00DE19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9E2"/>
    <w:rPr>
      <w:rFonts w:ascii="Tahoma" w:hAnsi="Tahoma" w:cs="Tahoma"/>
      <w:sz w:val="16"/>
      <w:szCs w:val="16"/>
    </w:rPr>
  </w:style>
  <w:style w:type="character" w:customStyle="1" w:styleId="BalloonTextChar">
    <w:name w:val="Balloon Text Char"/>
    <w:basedOn w:val="DefaultParagraphFont"/>
    <w:link w:val="BalloonText"/>
    <w:uiPriority w:val="99"/>
    <w:semiHidden/>
    <w:rsid w:val="00DE1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747">
      <w:bodyDiv w:val="1"/>
      <w:marLeft w:val="0"/>
      <w:marRight w:val="0"/>
      <w:marTop w:val="0"/>
      <w:marBottom w:val="0"/>
      <w:divBdr>
        <w:top w:val="none" w:sz="0" w:space="0" w:color="auto"/>
        <w:left w:val="none" w:sz="0" w:space="0" w:color="auto"/>
        <w:bottom w:val="none" w:sz="0" w:space="0" w:color="auto"/>
        <w:right w:val="none" w:sz="0" w:space="0" w:color="auto"/>
      </w:divBdr>
    </w:div>
    <w:div w:id="472915335">
      <w:bodyDiv w:val="1"/>
      <w:marLeft w:val="0"/>
      <w:marRight w:val="0"/>
      <w:marTop w:val="0"/>
      <w:marBottom w:val="0"/>
      <w:divBdr>
        <w:top w:val="none" w:sz="0" w:space="0" w:color="auto"/>
        <w:left w:val="none" w:sz="0" w:space="0" w:color="auto"/>
        <w:bottom w:val="none" w:sz="0" w:space="0" w:color="auto"/>
        <w:right w:val="none" w:sz="0" w:space="0" w:color="auto"/>
      </w:divBdr>
    </w:div>
    <w:div w:id="578977242">
      <w:bodyDiv w:val="1"/>
      <w:marLeft w:val="0"/>
      <w:marRight w:val="0"/>
      <w:marTop w:val="0"/>
      <w:marBottom w:val="0"/>
      <w:divBdr>
        <w:top w:val="none" w:sz="0" w:space="0" w:color="auto"/>
        <w:left w:val="none" w:sz="0" w:space="0" w:color="auto"/>
        <w:bottom w:val="none" w:sz="0" w:space="0" w:color="auto"/>
        <w:right w:val="none" w:sz="0" w:space="0" w:color="auto"/>
      </w:divBdr>
    </w:div>
    <w:div w:id="19522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6769</Characters>
  <Application>Microsoft Office Word</Application>
  <DocSecurity>0</DocSecurity>
  <Lines>246</Lines>
  <Paragraphs>175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2014-12-31T16:02:00Z</cp:lastPrinted>
  <dcterms:created xsi:type="dcterms:W3CDTF">2014-12-31T16:20:00Z</dcterms:created>
  <dcterms:modified xsi:type="dcterms:W3CDTF">2014-12-31T16:20:00Z</dcterms:modified>
  <cp:category> </cp:category>
  <cp:contentStatus> </cp:contentStatus>
</cp:coreProperties>
</file>