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659" w:rsidRDefault="00322659">
      <w:pPr>
        <w:tabs>
          <w:tab w:val="center" w:pos="4680"/>
        </w:tabs>
        <w:suppressAutoHyphens/>
        <w:spacing w:line="240" w:lineRule="atLeast"/>
        <w:jc w:val="center"/>
        <w:outlineLvl w:val="0"/>
        <w:rPr>
          <w:b/>
        </w:rPr>
      </w:pPr>
      <w:bookmarkStart w:id="0" w:name="_GoBack"/>
      <w:bookmarkEnd w:id="0"/>
      <w:r>
        <w:rPr>
          <w:b/>
        </w:rPr>
        <w:t>Before the</w:t>
      </w:r>
    </w:p>
    <w:p w:rsidR="00322659" w:rsidRDefault="00322659">
      <w:pPr>
        <w:tabs>
          <w:tab w:val="center" w:pos="4680"/>
        </w:tabs>
        <w:suppressAutoHyphens/>
        <w:spacing w:line="240" w:lineRule="atLeast"/>
        <w:jc w:val="both"/>
        <w:outlineLvl w:val="0"/>
        <w:rPr>
          <w:b/>
        </w:rPr>
      </w:pPr>
      <w:r>
        <w:rPr>
          <w:b/>
        </w:rPr>
        <w:tab/>
        <w:t>Federal Communications Commission</w:t>
      </w:r>
    </w:p>
    <w:p w:rsidR="00322659" w:rsidRDefault="00322659">
      <w:pPr>
        <w:tabs>
          <w:tab w:val="center" w:pos="4680"/>
        </w:tabs>
        <w:suppressAutoHyphens/>
        <w:spacing w:line="240" w:lineRule="atLeast"/>
        <w:jc w:val="both"/>
        <w:outlineLvl w:val="0"/>
        <w:rPr>
          <w:b/>
        </w:rPr>
      </w:pPr>
      <w:r>
        <w:rPr>
          <w:b/>
        </w:rPr>
        <w:tab/>
      </w: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322659" w:rsidRDefault="00322659">
      <w:pPr>
        <w:tabs>
          <w:tab w:val="center" w:pos="4680"/>
        </w:tabs>
        <w:suppressAutoHyphens/>
        <w:spacing w:line="240" w:lineRule="atLeast"/>
        <w:jc w:val="both"/>
        <w:outlineLvl w:val="0"/>
        <w:rPr>
          <w:b/>
        </w:rPr>
      </w:pPr>
    </w:p>
    <w:tbl>
      <w:tblPr>
        <w:tblW w:w="0" w:type="auto"/>
        <w:tblLayout w:type="fixed"/>
        <w:tblLook w:val="0000" w:firstRow="0" w:lastRow="0" w:firstColumn="0" w:lastColumn="0" w:noHBand="0" w:noVBand="0"/>
      </w:tblPr>
      <w:tblGrid>
        <w:gridCol w:w="4788"/>
        <w:gridCol w:w="270"/>
        <w:gridCol w:w="4374"/>
      </w:tblGrid>
      <w:tr w:rsidR="00322659">
        <w:trPr>
          <w:trHeight w:val="1566"/>
        </w:trPr>
        <w:tc>
          <w:tcPr>
            <w:tcW w:w="4788" w:type="dxa"/>
          </w:tcPr>
          <w:p w:rsidR="002F1CD5" w:rsidRPr="002F1CD5" w:rsidRDefault="002F1CD5" w:rsidP="002F1CD5">
            <w:pPr>
              <w:rPr>
                <w:spacing w:val="-2"/>
              </w:rPr>
            </w:pPr>
            <w:r w:rsidRPr="002F1CD5">
              <w:rPr>
                <w:spacing w:val="-2"/>
              </w:rPr>
              <w:t xml:space="preserve">In the Matter of </w:t>
            </w:r>
          </w:p>
          <w:p w:rsidR="002F1CD5" w:rsidRPr="002F1CD5" w:rsidRDefault="002F1CD5" w:rsidP="002F1CD5">
            <w:pPr>
              <w:rPr>
                <w:spacing w:val="-2"/>
              </w:rPr>
            </w:pPr>
          </w:p>
          <w:p w:rsidR="002F1CD5" w:rsidRPr="002F1CD5" w:rsidRDefault="002F1CD5" w:rsidP="002F1CD5">
            <w:pPr>
              <w:rPr>
                <w:spacing w:val="-2"/>
              </w:rPr>
            </w:pPr>
            <w:r w:rsidRPr="002F1CD5">
              <w:rPr>
                <w:spacing w:val="-2"/>
              </w:rPr>
              <w:t>Directlink, LLC</w:t>
            </w:r>
          </w:p>
          <w:p w:rsidR="002F1CD5" w:rsidRPr="002F1CD5" w:rsidRDefault="002F1CD5" w:rsidP="002F1CD5">
            <w:pPr>
              <w:rPr>
                <w:spacing w:val="-2"/>
              </w:rPr>
            </w:pPr>
          </w:p>
          <w:p w:rsidR="00322659" w:rsidRDefault="002F1CD5" w:rsidP="002F1CD5">
            <w:r w:rsidRPr="002F1CD5">
              <w:rPr>
                <w:spacing w:val="-2"/>
              </w:rPr>
              <w:t xml:space="preserve">Parker, Colorado </w:t>
            </w:r>
          </w:p>
          <w:p w:rsidR="00322659" w:rsidRDefault="00322659"/>
          <w:p w:rsidR="00322659" w:rsidRDefault="00322659">
            <w:pPr>
              <w:rPr>
                <w:lang w:val="es-ES"/>
              </w:rPr>
            </w:pPr>
          </w:p>
          <w:p w:rsidR="00322659" w:rsidRDefault="00322659">
            <w:pPr>
              <w:rPr>
                <w:spacing w:val="-2"/>
                <w:lang w:val="es-ES"/>
              </w:rPr>
            </w:pPr>
          </w:p>
        </w:tc>
        <w:tc>
          <w:tcPr>
            <w:tcW w:w="270" w:type="dxa"/>
          </w:tcPr>
          <w:p w:rsidR="00322659" w:rsidRDefault="00322659">
            <w:pPr>
              <w:tabs>
                <w:tab w:val="center" w:pos="4680"/>
              </w:tabs>
              <w:suppressAutoHyphens/>
              <w:spacing w:line="240" w:lineRule="atLeast"/>
              <w:jc w:val="both"/>
              <w:outlineLvl w:val="0"/>
            </w:pPr>
            <w:r>
              <w:t>)</w:t>
            </w:r>
          </w:p>
          <w:p w:rsidR="00322659" w:rsidRDefault="00322659">
            <w:pPr>
              <w:tabs>
                <w:tab w:val="center" w:pos="4680"/>
              </w:tabs>
              <w:suppressAutoHyphens/>
              <w:spacing w:line="240" w:lineRule="atLeast"/>
              <w:jc w:val="both"/>
              <w:outlineLvl w:val="0"/>
            </w:pPr>
            <w:r>
              <w:t>)</w:t>
            </w:r>
          </w:p>
          <w:p w:rsidR="00322659" w:rsidRDefault="00322659">
            <w:pPr>
              <w:tabs>
                <w:tab w:val="center" w:pos="4680"/>
              </w:tabs>
              <w:suppressAutoHyphens/>
              <w:spacing w:line="240" w:lineRule="atLeast"/>
              <w:jc w:val="both"/>
              <w:outlineLvl w:val="0"/>
            </w:pPr>
            <w:r>
              <w:t>)</w:t>
            </w:r>
          </w:p>
          <w:p w:rsidR="00322659" w:rsidRDefault="00322659">
            <w:pPr>
              <w:tabs>
                <w:tab w:val="center" w:pos="4680"/>
              </w:tabs>
              <w:suppressAutoHyphens/>
              <w:spacing w:line="240" w:lineRule="atLeast"/>
              <w:jc w:val="both"/>
              <w:outlineLvl w:val="0"/>
            </w:pPr>
            <w:r>
              <w:t>)</w:t>
            </w:r>
          </w:p>
          <w:p w:rsidR="00322659" w:rsidRDefault="00322659">
            <w:pPr>
              <w:tabs>
                <w:tab w:val="center" w:pos="4680"/>
              </w:tabs>
              <w:suppressAutoHyphens/>
              <w:spacing w:line="240" w:lineRule="atLeast"/>
              <w:jc w:val="both"/>
              <w:outlineLvl w:val="0"/>
            </w:pPr>
            <w:r>
              <w:t>)</w:t>
            </w:r>
          </w:p>
          <w:p w:rsidR="00322659" w:rsidRDefault="00322659">
            <w:pPr>
              <w:tabs>
                <w:tab w:val="center" w:pos="4680"/>
              </w:tabs>
              <w:suppressAutoHyphens/>
              <w:spacing w:line="240" w:lineRule="atLeast"/>
              <w:jc w:val="both"/>
              <w:outlineLvl w:val="0"/>
            </w:pPr>
            <w:r>
              <w:t>)</w:t>
            </w:r>
          </w:p>
          <w:p w:rsidR="00322659" w:rsidRDefault="00322659">
            <w:pPr>
              <w:tabs>
                <w:tab w:val="center" w:pos="4680"/>
              </w:tabs>
              <w:suppressAutoHyphens/>
              <w:spacing w:line="240" w:lineRule="atLeast"/>
              <w:jc w:val="both"/>
              <w:outlineLvl w:val="0"/>
            </w:pPr>
          </w:p>
        </w:tc>
        <w:tc>
          <w:tcPr>
            <w:tcW w:w="4374" w:type="dxa"/>
          </w:tcPr>
          <w:p w:rsidR="00322659" w:rsidRDefault="00322659"/>
          <w:p w:rsidR="00937D49" w:rsidRDefault="00937D49" w:rsidP="00937D49">
            <w:pPr>
              <w:tabs>
                <w:tab w:val="left" w:pos="723"/>
              </w:tabs>
            </w:pPr>
            <w:r>
              <w:t xml:space="preserve">             </w:t>
            </w:r>
          </w:p>
          <w:p w:rsidR="002F1CD5" w:rsidRPr="002F1CD5" w:rsidRDefault="00937D49" w:rsidP="002F1CD5">
            <w:pPr>
              <w:tabs>
                <w:tab w:val="left" w:pos="723"/>
              </w:tabs>
            </w:pPr>
            <w:r>
              <w:t xml:space="preserve">             </w:t>
            </w:r>
            <w:r w:rsidR="002F1CD5" w:rsidRPr="002F1CD5">
              <w:t>File No:  EB-FIELDWR-12-00002815</w:t>
            </w:r>
          </w:p>
          <w:p w:rsidR="002F1CD5" w:rsidRPr="002F1CD5" w:rsidRDefault="002F1CD5" w:rsidP="002F1CD5">
            <w:pPr>
              <w:tabs>
                <w:tab w:val="left" w:pos="687"/>
              </w:tabs>
            </w:pPr>
            <w:r>
              <w:t xml:space="preserve">             </w:t>
            </w:r>
            <w:r w:rsidRPr="002F1CD5">
              <w:t>NAL/Acct. No.:  201332800001</w:t>
            </w:r>
          </w:p>
          <w:p w:rsidR="002F1CD5" w:rsidRPr="002F1CD5" w:rsidRDefault="002F1CD5" w:rsidP="002F1CD5">
            <w:pPr>
              <w:tabs>
                <w:tab w:val="left" w:pos="723"/>
              </w:tabs>
              <w:ind w:left="702"/>
            </w:pPr>
            <w:r w:rsidRPr="002F1CD5">
              <w:t>FRN:  0020233508</w:t>
            </w:r>
          </w:p>
          <w:p w:rsidR="00322659" w:rsidRDefault="00322659" w:rsidP="002F1CD5">
            <w:pPr>
              <w:tabs>
                <w:tab w:val="left" w:pos="723"/>
              </w:tabs>
              <w:rPr>
                <w:spacing w:val="-2"/>
              </w:rPr>
            </w:pPr>
          </w:p>
        </w:tc>
      </w:tr>
    </w:tbl>
    <w:p w:rsidR="00322659" w:rsidRDefault="00322659"/>
    <w:p w:rsidR="00322659" w:rsidRDefault="00322659">
      <w:pPr>
        <w:pStyle w:val="Heading2"/>
        <w:rPr>
          <w:sz w:val="22"/>
          <w:szCs w:val="22"/>
        </w:rPr>
      </w:pPr>
      <w:r>
        <w:rPr>
          <w:sz w:val="22"/>
          <w:szCs w:val="22"/>
        </w:rPr>
        <w:t>FORFEITURE ORDER</w:t>
      </w:r>
    </w:p>
    <w:p w:rsidR="00322659" w:rsidRDefault="00322659">
      <w:pPr>
        <w:tabs>
          <w:tab w:val="left" w:pos="0"/>
        </w:tabs>
        <w:suppressAutoHyphens/>
        <w:spacing w:line="240" w:lineRule="atLeast"/>
        <w:jc w:val="both"/>
      </w:pPr>
    </w:p>
    <w:p w:rsidR="00322659" w:rsidRDefault="00322659">
      <w:pPr>
        <w:tabs>
          <w:tab w:val="left" w:pos="0"/>
          <w:tab w:val="left" w:pos="720"/>
          <w:tab w:val="left" w:pos="5760"/>
        </w:tabs>
        <w:suppressAutoHyphens/>
        <w:spacing w:line="240" w:lineRule="atLeast"/>
      </w:pPr>
      <w:r>
        <w:rPr>
          <w:b/>
        </w:rPr>
        <w:t xml:space="preserve">Adopted:  </w:t>
      </w:r>
      <w:r w:rsidR="00804058">
        <w:rPr>
          <w:b/>
        </w:rPr>
        <w:t>February 20, 2014</w:t>
      </w:r>
      <w:r>
        <w:rPr>
          <w:b/>
        </w:rPr>
        <w:tab/>
      </w:r>
      <w:r>
        <w:rPr>
          <w:b/>
        </w:rPr>
        <w:tab/>
        <w:t xml:space="preserve">Released:  </w:t>
      </w:r>
      <w:r w:rsidR="00804058">
        <w:rPr>
          <w:b/>
        </w:rPr>
        <w:t>February 21, 2014</w:t>
      </w:r>
    </w:p>
    <w:p w:rsidR="00322659" w:rsidRDefault="00322659">
      <w:pPr>
        <w:tabs>
          <w:tab w:val="left" w:pos="0"/>
          <w:tab w:val="left" w:pos="720"/>
          <w:tab w:val="left" w:pos="5760"/>
        </w:tabs>
        <w:suppressAutoHyphens/>
        <w:spacing w:line="240" w:lineRule="atLeast"/>
        <w:jc w:val="both"/>
      </w:pPr>
    </w:p>
    <w:p w:rsidR="00322659" w:rsidRDefault="00322659">
      <w:pPr>
        <w:tabs>
          <w:tab w:val="left" w:pos="0"/>
          <w:tab w:val="left" w:pos="720"/>
          <w:tab w:val="left" w:pos="5760"/>
        </w:tabs>
        <w:suppressAutoHyphens/>
        <w:spacing w:line="240" w:lineRule="atLeast"/>
        <w:jc w:val="both"/>
      </w:pPr>
      <w:r>
        <w:t xml:space="preserve">By the </w:t>
      </w:r>
      <w:r w:rsidR="00780DD6">
        <w:t>Regional Director, Western Region</w:t>
      </w:r>
      <w:r>
        <w:t>, Enforcement Bureau:</w:t>
      </w:r>
    </w:p>
    <w:p w:rsidR="00322659" w:rsidRDefault="00322659">
      <w:pPr>
        <w:tabs>
          <w:tab w:val="left" w:pos="0"/>
        </w:tabs>
        <w:suppressAutoHyphens/>
        <w:spacing w:line="240" w:lineRule="atLeast"/>
      </w:pPr>
    </w:p>
    <w:p w:rsidR="00322659" w:rsidRDefault="00322659">
      <w:pPr>
        <w:tabs>
          <w:tab w:val="center" w:pos="720"/>
        </w:tabs>
        <w:suppressAutoHyphens/>
        <w:spacing w:line="240" w:lineRule="atLeast"/>
      </w:pPr>
      <w:r>
        <w:rPr>
          <w:b/>
        </w:rPr>
        <w:t xml:space="preserve">I. </w:t>
      </w:r>
      <w:r>
        <w:t xml:space="preserve"> </w:t>
      </w:r>
      <w:r>
        <w:tab/>
        <w:t xml:space="preserve">         </w:t>
      </w:r>
      <w:r>
        <w:rPr>
          <w:b/>
        </w:rPr>
        <w:t>INTRODUCTION</w:t>
      </w:r>
    </w:p>
    <w:p w:rsidR="00322659" w:rsidRDefault="00322659" w:rsidP="0098167B">
      <w:pPr>
        <w:tabs>
          <w:tab w:val="left" w:pos="0"/>
        </w:tabs>
        <w:suppressAutoHyphens/>
        <w:spacing w:line="240" w:lineRule="atLeast"/>
      </w:pPr>
    </w:p>
    <w:p w:rsidR="0065485B" w:rsidRPr="0065485B" w:rsidRDefault="0065485B" w:rsidP="0098167B">
      <w:pPr>
        <w:numPr>
          <w:ilvl w:val="0"/>
          <w:numId w:val="1"/>
        </w:numPr>
        <w:tabs>
          <w:tab w:val="clear" w:pos="1080"/>
          <w:tab w:val="left" w:pos="0"/>
          <w:tab w:val="num" w:pos="1440"/>
        </w:tabs>
        <w:suppressAutoHyphens/>
        <w:autoSpaceDE w:val="0"/>
        <w:autoSpaceDN w:val="0"/>
        <w:adjustRightInd w:val="0"/>
        <w:spacing w:line="240" w:lineRule="atLeast"/>
        <w:rPr>
          <w:spacing w:val="-2"/>
        </w:rPr>
      </w:pPr>
      <w:r>
        <w:t xml:space="preserve">   </w:t>
      </w:r>
      <w:r w:rsidR="00322659">
        <w:t xml:space="preserve">In this </w:t>
      </w:r>
      <w:r w:rsidR="00322659" w:rsidRPr="00780DD6">
        <w:rPr>
          <w:spacing w:val="-2"/>
        </w:rPr>
        <w:t>Forfeiture</w:t>
      </w:r>
      <w:r w:rsidR="00322659">
        <w:t xml:space="preserve"> Order (Order), we issue a monetary forfeiture in the amount of twe</w:t>
      </w:r>
      <w:r w:rsidR="002F1CD5">
        <w:t>nty</w:t>
      </w:r>
      <w:r w:rsidR="00780DD6">
        <w:t xml:space="preserve"> </w:t>
      </w:r>
      <w:r w:rsidR="00322659">
        <w:t>thousand dollars ($</w:t>
      </w:r>
      <w:r w:rsidR="002F1CD5">
        <w:t>20</w:t>
      </w:r>
      <w:r w:rsidR="00322659">
        <w:t xml:space="preserve">,000) to </w:t>
      </w:r>
      <w:r w:rsidR="00C97D2E" w:rsidRPr="00C97D2E">
        <w:t>Directlink, LLC</w:t>
      </w:r>
      <w:r w:rsidR="00C97D2E" w:rsidRPr="00C97D2E">
        <w:rPr>
          <w:vertAlign w:val="superscript"/>
        </w:rPr>
        <w:footnoteReference w:id="1"/>
      </w:r>
      <w:r w:rsidR="00C97D2E" w:rsidRPr="00C97D2E">
        <w:t xml:space="preserve"> (Directlink), operator of an Unlicensed National Information Infrastructure (U-NII) transmission system in Elizabeth, Colorado,</w:t>
      </w:r>
      <w:r w:rsidR="00C97D2E">
        <w:t xml:space="preserve"> for </w:t>
      </w:r>
      <w:r w:rsidR="00C97D2E" w:rsidRPr="00C97D2E">
        <w:t>willful and repeated violat</w:t>
      </w:r>
      <w:r w:rsidR="00C97D2E">
        <w:t>ion</w:t>
      </w:r>
      <w:r w:rsidR="00C97D2E" w:rsidRPr="00C97D2E">
        <w:t xml:space="preserve"> </w:t>
      </w:r>
      <w:r w:rsidR="00C97D2E">
        <w:t xml:space="preserve">of </w:t>
      </w:r>
      <w:r w:rsidR="00C97D2E" w:rsidRPr="00C97D2E">
        <w:t>Sections 301 and 302(b) of the Communications Act of 1934, as amended, (Act)</w:t>
      </w:r>
      <w:r w:rsidR="00C97D2E" w:rsidRPr="00C97D2E">
        <w:rPr>
          <w:color w:val="000000"/>
          <w:vertAlign w:val="superscript"/>
        </w:rPr>
        <w:t xml:space="preserve"> </w:t>
      </w:r>
      <w:r w:rsidR="00C97D2E" w:rsidRPr="00C97D2E">
        <w:rPr>
          <w:vertAlign w:val="superscript"/>
        </w:rPr>
        <w:footnoteReference w:id="2"/>
      </w:r>
      <w:r w:rsidR="00C97D2E" w:rsidRPr="00C97D2E">
        <w:t xml:space="preserve"> and Sections 15.1(b) and 15.1(c) of the Commission’s rules (Rules)</w:t>
      </w:r>
      <w:r w:rsidR="00C97D2E">
        <w:t>.</w:t>
      </w:r>
      <w:r w:rsidR="00C97D2E" w:rsidRPr="00C97D2E">
        <w:rPr>
          <w:vertAlign w:val="superscript"/>
        </w:rPr>
        <w:footnoteReference w:id="3"/>
      </w:r>
      <w:r w:rsidR="00C97D2E">
        <w:t xml:space="preserve">  The violations involved Direct</w:t>
      </w:r>
      <w:r w:rsidR="008558E1">
        <w:t>l</w:t>
      </w:r>
      <w:r w:rsidR="00C97D2E">
        <w:t xml:space="preserve">ink’s operation of </w:t>
      </w:r>
      <w:r w:rsidR="00C97D2E" w:rsidRPr="00C97D2E">
        <w:t>an intentional radiator without a license and in a manner inconsistent with Part 15 of the Rules</w:t>
      </w:r>
      <w:r w:rsidR="00C97D2E" w:rsidRPr="00C97D2E">
        <w:rPr>
          <w:vertAlign w:val="superscript"/>
        </w:rPr>
        <w:footnoteReference w:id="4"/>
      </w:r>
      <w:r w:rsidR="00C97D2E" w:rsidRPr="00C97D2E">
        <w:t xml:space="preserve"> and the device’s equipment authorization.</w:t>
      </w:r>
      <w:r w:rsidR="00C97D2E" w:rsidRPr="00C97D2E">
        <w:rPr>
          <w:vertAlign w:val="superscript"/>
        </w:rPr>
        <w:footnoteReference w:id="5"/>
      </w:r>
      <w:r w:rsidR="00C97D2E" w:rsidRPr="00C97D2E">
        <w:t xml:space="preserve">  </w:t>
      </w:r>
    </w:p>
    <w:p w:rsidR="0065485B" w:rsidRDefault="0065485B" w:rsidP="0098167B">
      <w:pPr>
        <w:tabs>
          <w:tab w:val="left" w:pos="0"/>
        </w:tabs>
        <w:suppressAutoHyphens/>
        <w:autoSpaceDE w:val="0"/>
        <w:autoSpaceDN w:val="0"/>
        <w:adjustRightInd w:val="0"/>
        <w:spacing w:line="240" w:lineRule="atLeast"/>
        <w:ind w:left="720"/>
      </w:pPr>
    </w:p>
    <w:p w:rsidR="0065485B" w:rsidRPr="0065485B" w:rsidRDefault="0065485B" w:rsidP="0098167B">
      <w:pPr>
        <w:pStyle w:val="ParaNum"/>
        <w:numPr>
          <w:ilvl w:val="0"/>
          <w:numId w:val="0"/>
        </w:numPr>
        <w:rPr>
          <w:b/>
        </w:rPr>
      </w:pPr>
      <w:r>
        <w:rPr>
          <w:b/>
        </w:rPr>
        <w:t xml:space="preserve">II.  </w:t>
      </w:r>
      <w:r>
        <w:rPr>
          <w:b/>
        </w:rPr>
        <w:tab/>
        <w:t>BACKGROUND</w:t>
      </w:r>
    </w:p>
    <w:p w:rsidR="000F5E73" w:rsidRDefault="00322659" w:rsidP="0098167B">
      <w:pPr>
        <w:numPr>
          <w:ilvl w:val="0"/>
          <w:numId w:val="1"/>
        </w:numPr>
        <w:tabs>
          <w:tab w:val="clear" w:pos="1080"/>
          <w:tab w:val="left" w:pos="0"/>
          <w:tab w:val="num" w:pos="1440"/>
        </w:tabs>
        <w:suppressAutoHyphens/>
        <w:autoSpaceDE w:val="0"/>
        <w:autoSpaceDN w:val="0"/>
        <w:adjustRightInd w:val="0"/>
        <w:spacing w:line="240" w:lineRule="atLeast"/>
        <w:rPr>
          <w:spacing w:val="-2"/>
        </w:rPr>
      </w:pPr>
      <w:r w:rsidRPr="0065485B">
        <w:rPr>
          <w:spacing w:val="-2"/>
        </w:rPr>
        <w:t>On</w:t>
      </w:r>
      <w:r w:rsidR="00C97D2E">
        <w:rPr>
          <w:spacing w:val="-2"/>
        </w:rPr>
        <w:t xml:space="preserve"> January 4, 2013</w:t>
      </w:r>
      <w:r w:rsidRPr="0065485B">
        <w:rPr>
          <w:spacing w:val="-2"/>
        </w:rPr>
        <w:t>, the Enforcement Bureau</w:t>
      </w:r>
      <w:r w:rsidR="00780DD6" w:rsidRPr="0065485B">
        <w:rPr>
          <w:spacing w:val="-2"/>
        </w:rPr>
        <w:t>’s Denver Office</w:t>
      </w:r>
      <w:r w:rsidR="00764554" w:rsidRPr="0065485B">
        <w:rPr>
          <w:spacing w:val="-2"/>
        </w:rPr>
        <w:t xml:space="preserve"> (</w:t>
      </w:r>
      <w:r w:rsidR="00780DD6" w:rsidRPr="0065485B">
        <w:rPr>
          <w:spacing w:val="-2"/>
        </w:rPr>
        <w:t>Denver Office</w:t>
      </w:r>
      <w:r w:rsidR="00764554" w:rsidRPr="0065485B">
        <w:rPr>
          <w:spacing w:val="-2"/>
        </w:rPr>
        <w:t>)</w:t>
      </w:r>
      <w:r w:rsidRPr="0065485B">
        <w:rPr>
          <w:spacing w:val="-2"/>
        </w:rPr>
        <w:t xml:space="preserve"> issued a Notice of Apparent Liability for Forfeiture and Order</w:t>
      </w:r>
      <w:r w:rsidRPr="0065485B">
        <w:rPr>
          <w:i/>
          <w:spacing w:val="-2"/>
        </w:rPr>
        <w:t xml:space="preserve"> </w:t>
      </w:r>
      <w:r w:rsidRPr="0065485B">
        <w:rPr>
          <w:spacing w:val="-2"/>
        </w:rPr>
        <w:t>(</w:t>
      </w:r>
      <w:r w:rsidRPr="0065485B">
        <w:rPr>
          <w:i/>
          <w:spacing w:val="-2"/>
        </w:rPr>
        <w:t>NAL</w:t>
      </w:r>
      <w:r w:rsidRPr="0065485B">
        <w:rPr>
          <w:spacing w:val="-2"/>
        </w:rPr>
        <w:t>)</w:t>
      </w:r>
      <w:r>
        <w:rPr>
          <w:rStyle w:val="FootnoteReference"/>
          <w:spacing w:val="-2"/>
        </w:rPr>
        <w:footnoteReference w:id="6"/>
      </w:r>
      <w:r w:rsidRPr="0065485B">
        <w:rPr>
          <w:spacing w:val="-2"/>
        </w:rPr>
        <w:t xml:space="preserve"> to </w:t>
      </w:r>
      <w:r w:rsidR="00C97D2E">
        <w:rPr>
          <w:spacing w:val="-2"/>
        </w:rPr>
        <w:t>Directlink</w:t>
      </w:r>
      <w:r w:rsidR="00764554" w:rsidRPr="0065485B">
        <w:rPr>
          <w:spacing w:val="-2"/>
        </w:rPr>
        <w:t xml:space="preserve"> for its operation of a U-NII</w:t>
      </w:r>
      <w:r w:rsidR="00780DD6" w:rsidRPr="0065485B">
        <w:rPr>
          <w:spacing w:val="-2"/>
        </w:rPr>
        <w:t xml:space="preserve"> </w:t>
      </w:r>
      <w:r w:rsidR="00764554" w:rsidRPr="0065485B">
        <w:rPr>
          <w:spacing w:val="-2"/>
        </w:rPr>
        <w:t xml:space="preserve">device on a frequency for which the device was not authorized and without a license.  As discussed in detail in the </w:t>
      </w:r>
      <w:r w:rsidR="00764554" w:rsidRPr="0065485B">
        <w:rPr>
          <w:i/>
          <w:spacing w:val="-2"/>
        </w:rPr>
        <w:t>NAL</w:t>
      </w:r>
      <w:r w:rsidR="00764554" w:rsidRPr="0065485B">
        <w:rPr>
          <w:spacing w:val="-2"/>
        </w:rPr>
        <w:t xml:space="preserve"> in this case,</w:t>
      </w:r>
      <w:r w:rsidR="00764554">
        <w:rPr>
          <w:rStyle w:val="FootnoteReference"/>
          <w:spacing w:val="-2"/>
        </w:rPr>
        <w:footnoteReference w:id="7"/>
      </w:r>
      <w:r w:rsidR="00764554" w:rsidRPr="0065485B">
        <w:rPr>
          <w:spacing w:val="-2"/>
        </w:rPr>
        <w:t xml:space="preserve"> on </w:t>
      </w:r>
      <w:r w:rsidR="00DE3576">
        <w:rPr>
          <w:spacing w:val="-2"/>
        </w:rPr>
        <w:t>January 10</w:t>
      </w:r>
      <w:r w:rsidR="003B7337" w:rsidRPr="0065485B">
        <w:rPr>
          <w:spacing w:val="-2"/>
        </w:rPr>
        <w:t>, 201</w:t>
      </w:r>
      <w:r w:rsidR="00DE3576">
        <w:rPr>
          <w:spacing w:val="-2"/>
        </w:rPr>
        <w:t>2</w:t>
      </w:r>
      <w:r w:rsidR="00911446" w:rsidRPr="0065485B">
        <w:rPr>
          <w:spacing w:val="-2"/>
        </w:rPr>
        <w:t>,</w:t>
      </w:r>
      <w:r w:rsidR="00764554" w:rsidRPr="0065485B">
        <w:rPr>
          <w:spacing w:val="-2"/>
        </w:rPr>
        <w:t xml:space="preserve"> while searching for the source of interference to the Federal Aviation Administration’s (FAA) </w:t>
      </w:r>
      <w:r w:rsidR="00764554">
        <w:t xml:space="preserve">Terminal Doppler Weather Radar (TDWR) serving the </w:t>
      </w:r>
      <w:r w:rsidR="003B7337">
        <w:t>Denver</w:t>
      </w:r>
      <w:r w:rsidR="00764554">
        <w:t xml:space="preserve"> International </w:t>
      </w:r>
      <w:r w:rsidR="00A06208">
        <w:t>A</w:t>
      </w:r>
      <w:r w:rsidR="00764554">
        <w:t xml:space="preserve">irport, </w:t>
      </w:r>
      <w:r w:rsidR="003B7337">
        <w:t>Denver Office ag</w:t>
      </w:r>
      <w:r w:rsidR="00764554" w:rsidRPr="0065485B">
        <w:rPr>
          <w:spacing w:val="-2"/>
        </w:rPr>
        <w:t>ents used direction-finding techniques to determine that radio emissions on frequency 56</w:t>
      </w:r>
      <w:r w:rsidR="00DE3576">
        <w:rPr>
          <w:spacing w:val="-2"/>
        </w:rPr>
        <w:t>3</w:t>
      </w:r>
      <w:r w:rsidR="00764554" w:rsidRPr="0065485B">
        <w:rPr>
          <w:spacing w:val="-2"/>
        </w:rPr>
        <w:t xml:space="preserve">0 MHz </w:t>
      </w:r>
      <w:r w:rsidR="00911446" w:rsidRPr="0065485B">
        <w:rPr>
          <w:spacing w:val="-2"/>
        </w:rPr>
        <w:t>were em</w:t>
      </w:r>
      <w:r w:rsidR="00507B65">
        <w:rPr>
          <w:spacing w:val="-2"/>
        </w:rPr>
        <w:t>anat</w:t>
      </w:r>
      <w:r w:rsidR="00911446" w:rsidRPr="0065485B">
        <w:rPr>
          <w:spacing w:val="-2"/>
        </w:rPr>
        <w:t>i</w:t>
      </w:r>
      <w:r w:rsidR="00507B65">
        <w:rPr>
          <w:spacing w:val="-2"/>
        </w:rPr>
        <w:t>n</w:t>
      </w:r>
      <w:r w:rsidR="00911446" w:rsidRPr="0065485B">
        <w:rPr>
          <w:spacing w:val="-2"/>
        </w:rPr>
        <w:t xml:space="preserve">g from the </w:t>
      </w:r>
      <w:r w:rsidR="00DE3576">
        <w:rPr>
          <w:spacing w:val="-2"/>
        </w:rPr>
        <w:t xml:space="preserve">Red Fox Circle communications site in </w:t>
      </w:r>
      <w:r w:rsidR="00DE3576">
        <w:rPr>
          <w:spacing w:val="-2"/>
        </w:rPr>
        <w:lastRenderedPageBreak/>
        <w:t>Elizabeth, Colorado.</w:t>
      </w:r>
      <w:r w:rsidR="000F5E73" w:rsidRPr="000F5E73">
        <w:rPr>
          <w:spacing w:val="-2"/>
          <w:vertAlign w:val="superscript"/>
        </w:rPr>
        <w:footnoteReference w:id="8"/>
      </w:r>
      <w:r w:rsidR="00911446" w:rsidRPr="0065485B">
        <w:rPr>
          <w:spacing w:val="-2"/>
        </w:rPr>
        <w:t xml:space="preserve">  On </w:t>
      </w:r>
      <w:r w:rsidR="00DE3576">
        <w:rPr>
          <w:spacing w:val="-2"/>
        </w:rPr>
        <w:t>January 12, 2012</w:t>
      </w:r>
      <w:r w:rsidR="00911446" w:rsidRPr="0065485B">
        <w:rPr>
          <w:spacing w:val="-2"/>
        </w:rPr>
        <w:t xml:space="preserve">, the </w:t>
      </w:r>
      <w:r w:rsidR="00507B65">
        <w:rPr>
          <w:spacing w:val="-2"/>
        </w:rPr>
        <w:t>a</w:t>
      </w:r>
      <w:r w:rsidR="00911446" w:rsidRPr="0065485B">
        <w:rPr>
          <w:spacing w:val="-2"/>
        </w:rPr>
        <w:t>g</w:t>
      </w:r>
      <w:r w:rsidR="00507B65">
        <w:rPr>
          <w:spacing w:val="-2"/>
        </w:rPr>
        <w:t>e</w:t>
      </w:r>
      <w:r w:rsidR="00911446" w:rsidRPr="0065485B">
        <w:rPr>
          <w:spacing w:val="-2"/>
        </w:rPr>
        <w:t>nts used those same techniques</w:t>
      </w:r>
      <w:r w:rsidR="00507B65">
        <w:rPr>
          <w:spacing w:val="-2"/>
        </w:rPr>
        <w:t xml:space="preserve"> </w:t>
      </w:r>
      <w:r w:rsidR="00911446" w:rsidRPr="0065485B">
        <w:rPr>
          <w:spacing w:val="-2"/>
        </w:rPr>
        <w:t>in combination with</w:t>
      </w:r>
      <w:r w:rsidR="000F5E73">
        <w:rPr>
          <w:spacing w:val="-2"/>
        </w:rPr>
        <w:t xml:space="preserve"> Directlink’</w:t>
      </w:r>
      <w:r w:rsidR="00DE3576">
        <w:rPr>
          <w:spacing w:val="-2"/>
        </w:rPr>
        <w:t>s involvement to confirm tha</w:t>
      </w:r>
      <w:r w:rsidR="000F5E73">
        <w:rPr>
          <w:spacing w:val="-2"/>
        </w:rPr>
        <w:t>t</w:t>
      </w:r>
      <w:r w:rsidR="00DE3576">
        <w:rPr>
          <w:spacing w:val="-2"/>
        </w:rPr>
        <w:t xml:space="preserve"> the interference was emanating from the U-NII transmission sy</w:t>
      </w:r>
      <w:r w:rsidR="000F5E73">
        <w:rPr>
          <w:spacing w:val="-2"/>
        </w:rPr>
        <w:t>s</w:t>
      </w:r>
      <w:r w:rsidR="00DE3576">
        <w:rPr>
          <w:spacing w:val="-2"/>
        </w:rPr>
        <w:t>tem operated by Directlink</w:t>
      </w:r>
      <w:r w:rsidR="000F5E73">
        <w:rPr>
          <w:spacing w:val="-2"/>
        </w:rPr>
        <w:t>.</w:t>
      </w:r>
      <w:r w:rsidR="000F5E73" w:rsidRPr="000F5E73">
        <w:rPr>
          <w:spacing w:val="-2"/>
          <w:vertAlign w:val="superscript"/>
        </w:rPr>
        <w:footnoteReference w:id="9"/>
      </w:r>
      <w:r w:rsidR="00DE3576">
        <w:rPr>
          <w:spacing w:val="-2"/>
        </w:rPr>
        <w:t xml:space="preserve"> </w:t>
      </w:r>
      <w:r w:rsidR="00911446" w:rsidRPr="0065485B">
        <w:rPr>
          <w:spacing w:val="-2"/>
        </w:rPr>
        <w:t xml:space="preserve"> </w:t>
      </w:r>
      <w:r w:rsidR="000F5E73" w:rsidRPr="000F5E73">
        <w:rPr>
          <w:spacing w:val="-2"/>
        </w:rPr>
        <w:t>On January 12, 2012, an FCC agent’s telephone call to the FAA confirmed that the U-NII interference had ceased when Directlink changed its center frequency from 5630 MHz to 5785 MHz during the Denver Office investigation.  The U-NII system utilized a transceiver module, model Rocket M5, an intentional radiator manufactured by Ubiquiti Networks, Inc.</w:t>
      </w:r>
      <w:r w:rsidR="000F5E73" w:rsidRPr="000F5E73">
        <w:rPr>
          <w:spacing w:val="-2"/>
          <w:vertAlign w:val="superscript"/>
        </w:rPr>
        <w:footnoteReference w:id="10"/>
      </w:r>
      <w:r w:rsidR="000F5E73" w:rsidRPr="000F5E73">
        <w:rPr>
          <w:spacing w:val="-2"/>
        </w:rPr>
        <w:t xml:space="preserve">  The FCC Equipment Authorization for the Ubiquiti Rocket M5 transceiver limits the device to operations within a frequency range of 5745 MHz to 5825 MHz.</w:t>
      </w:r>
      <w:r w:rsidR="000F5E73" w:rsidRPr="000F5E73">
        <w:rPr>
          <w:spacing w:val="-2"/>
          <w:vertAlign w:val="superscript"/>
        </w:rPr>
        <w:footnoteReference w:id="11"/>
      </w:r>
      <w:r w:rsidR="000F5E73" w:rsidRPr="000F5E73">
        <w:rPr>
          <w:spacing w:val="-2"/>
        </w:rPr>
        <w:t xml:space="preserve">  During the inspection, however, the FCC agents observed that the transceiver was operating on a center frequency of 5630 MHz, which is outside the authorized frequency range of the device.  Subsequently, Directlink remotely adjusted the device’s operating frequency from 5630 MHz to 5785 MHz which ceased the interference impacting the Denver TDWR installation.</w:t>
      </w:r>
      <w:r w:rsidR="000F5E73" w:rsidRPr="000F5E73">
        <w:rPr>
          <w:spacing w:val="-2"/>
          <w:vertAlign w:val="superscript"/>
        </w:rPr>
        <w:footnoteReference w:id="12"/>
      </w:r>
    </w:p>
    <w:p w:rsidR="000F5E73" w:rsidRDefault="000F5E73" w:rsidP="0098167B">
      <w:pPr>
        <w:tabs>
          <w:tab w:val="left" w:pos="0"/>
        </w:tabs>
        <w:suppressAutoHyphens/>
        <w:autoSpaceDE w:val="0"/>
        <w:autoSpaceDN w:val="0"/>
        <w:adjustRightInd w:val="0"/>
        <w:spacing w:line="240" w:lineRule="atLeast"/>
        <w:ind w:left="720"/>
        <w:rPr>
          <w:spacing w:val="-2"/>
        </w:rPr>
      </w:pPr>
    </w:p>
    <w:p w:rsidR="000F5E73" w:rsidRDefault="000F5E73" w:rsidP="0098167B">
      <w:pPr>
        <w:numPr>
          <w:ilvl w:val="0"/>
          <w:numId w:val="1"/>
        </w:numPr>
        <w:tabs>
          <w:tab w:val="clear" w:pos="1080"/>
          <w:tab w:val="left" w:pos="0"/>
          <w:tab w:val="num" w:pos="1440"/>
        </w:tabs>
        <w:suppressAutoHyphens/>
        <w:autoSpaceDE w:val="0"/>
        <w:autoSpaceDN w:val="0"/>
        <w:adjustRightInd w:val="0"/>
        <w:spacing w:line="240" w:lineRule="atLeast"/>
        <w:rPr>
          <w:spacing w:val="-2"/>
        </w:rPr>
      </w:pPr>
      <w:r w:rsidRPr="000F5E73">
        <w:rPr>
          <w:color w:val="000000"/>
        </w:rPr>
        <w:t xml:space="preserve"> </w:t>
      </w:r>
      <w:r w:rsidRPr="000F5E73">
        <w:rPr>
          <w:spacing w:val="-2"/>
        </w:rPr>
        <w:t>In order to avoid interference to the FAA’s TDWR installations, the Commission requires that U-NII devices operating in the 5.25 – 5.35 GHz and 5.47 – 5.725 GHz bands have Dynamic Frequency Selection (DFS) radar detection functionality, which allows them to detect the presence of radar systems and avoid co-channel operations with radar systems.</w:t>
      </w:r>
      <w:r w:rsidRPr="000F5E73">
        <w:rPr>
          <w:spacing w:val="-2"/>
          <w:vertAlign w:val="superscript"/>
        </w:rPr>
        <w:footnoteReference w:id="13"/>
      </w:r>
      <w:r w:rsidRPr="000F5E73">
        <w:rPr>
          <w:spacing w:val="-2"/>
        </w:rPr>
        <w:t xml:space="preserve">  As the inspection continued on January 12, 2012, FCC agents also observed and were advised by Directlink’s representative that</w:t>
      </w:r>
      <w:r w:rsidR="004E2C90">
        <w:rPr>
          <w:spacing w:val="-2"/>
        </w:rPr>
        <w:t xml:space="preserve"> </w:t>
      </w:r>
      <w:r w:rsidR="006C0CB3">
        <w:rPr>
          <w:spacing w:val="-2"/>
        </w:rPr>
        <w:t xml:space="preserve">the </w:t>
      </w:r>
      <w:r w:rsidRPr="000F5E73">
        <w:rPr>
          <w:spacing w:val="-2"/>
        </w:rPr>
        <w:t xml:space="preserve">transceiver </w:t>
      </w:r>
      <w:r w:rsidR="00130D31">
        <w:rPr>
          <w:spacing w:val="-2"/>
        </w:rPr>
        <w:t>was not operating with</w:t>
      </w:r>
      <w:r w:rsidR="006C0CB3">
        <w:rPr>
          <w:spacing w:val="-2"/>
        </w:rPr>
        <w:t xml:space="preserve"> DFS functionality</w:t>
      </w:r>
      <w:r w:rsidRPr="000F5E73">
        <w:rPr>
          <w:spacing w:val="-2"/>
        </w:rPr>
        <w:t>.</w:t>
      </w:r>
    </w:p>
    <w:p w:rsidR="000F5E73" w:rsidRPr="000F5E73" w:rsidRDefault="000F5E73" w:rsidP="0098167B">
      <w:pPr>
        <w:tabs>
          <w:tab w:val="left" w:pos="0"/>
        </w:tabs>
        <w:suppressAutoHyphens/>
        <w:autoSpaceDE w:val="0"/>
        <w:autoSpaceDN w:val="0"/>
        <w:adjustRightInd w:val="0"/>
        <w:spacing w:line="240" w:lineRule="atLeast"/>
        <w:ind w:left="720"/>
        <w:rPr>
          <w:spacing w:val="-2"/>
        </w:rPr>
      </w:pPr>
    </w:p>
    <w:p w:rsidR="00507B65" w:rsidRPr="00507B65" w:rsidRDefault="000F5E73" w:rsidP="0098167B">
      <w:pPr>
        <w:numPr>
          <w:ilvl w:val="0"/>
          <w:numId w:val="1"/>
        </w:numPr>
        <w:tabs>
          <w:tab w:val="clear" w:pos="1080"/>
          <w:tab w:val="left" w:pos="0"/>
          <w:tab w:val="num" w:pos="1440"/>
        </w:tabs>
        <w:suppressAutoHyphens/>
        <w:autoSpaceDE w:val="0"/>
        <w:autoSpaceDN w:val="0"/>
        <w:adjustRightInd w:val="0"/>
        <w:spacing w:line="240" w:lineRule="atLeast"/>
        <w:rPr>
          <w:spacing w:val="-2"/>
        </w:rPr>
      </w:pPr>
      <w:r>
        <w:rPr>
          <w:color w:val="000000"/>
        </w:rPr>
        <w:t>Directlink</w:t>
      </w:r>
      <w:r w:rsidR="00322659" w:rsidRPr="0065485B">
        <w:rPr>
          <w:spacing w:val="-2"/>
        </w:rPr>
        <w:t xml:space="preserve"> </w:t>
      </w:r>
      <w:r w:rsidR="00322659">
        <w:t xml:space="preserve">submitted a response to the </w:t>
      </w:r>
      <w:r w:rsidR="00322659" w:rsidRPr="0065485B">
        <w:rPr>
          <w:i/>
        </w:rPr>
        <w:t xml:space="preserve">NAL </w:t>
      </w:r>
      <w:r w:rsidR="00322659">
        <w:t>requesting</w:t>
      </w:r>
      <w:r w:rsidR="0065485B">
        <w:t xml:space="preserve"> </w:t>
      </w:r>
      <w:r>
        <w:t xml:space="preserve">cancellation </w:t>
      </w:r>
      <w:r w:rsidR="00322659">
        <w:t>or reduction of the proposed $</w:t>
      </w:r>
      <w:r>
        <w:t>2</w:t>
      </w:r>
      <w:r w:rsidR="00322659">
        <w:t>5,000 forfeiture,</w:t>
      </w:r>
      <w:r w:rsidR="00F56E7E">
        <w:rPr>
          <w:rStyle w:val="FootnoteReference"/>
        </w:rPr>
        <w:footnoteReference w:id="14"/>
      </w:r>
      <w:r w:rsidR="00A83E65">
        <w:t xml:space="preserve"> asserting that it was entitled to a citation or warning prior to the </w:t>
      </w:r>
      <w:r w:rsidR="00A83E65">
        <w:rPr>
          <w:i/>
        </w:rPr>
        <w:t>NAL</w:t>
      </w:r>
      <w:r w:rsidR="00A83E65">
        <w:t>;</w:t>
      </w:r>
      <w:r w:rsidR="00A83E65">
        <w:rPr>
          <w:rStyle w:val="FootnoteReference"/>
        </w:rPr>
        <w:footnoteReference w:id="15"/>
      </w:r>
      <w:r w:rsidR="00A83E65">
        <w:t xml:space="preserve"> that there</w:t>
      </w:r>
      <w:r w:rsidR="002212BB">
        <w:t xml:space="preserve"> were</w:t>
      </w:r>
      <w:r w:rsidR="00A83E65">
        <w:t xml:space="preserve"> no aggravating factors that re</w:t>
      </w:r>
      <w:r w:rsidR="00447C04">
        <w:t>q</w:t>
      </w:r>
      <w:r w:rsidR="00A83E65">
        <w:t>uired an upward adjustment of the forfeiture;</w:t>
      </w:r>
      <w:r w:rsidR="00A83E65">
        <w:rPr>
          <w:rStyle w:val="FootnoteReference"/>
        </w:rPr>
        <w:footnoteReference w:id="16"/>
      </w:r>
      <w:r w:rsidR="00A83E65">
        <w:t xml:space="preserve"> that the </w:t>
      </w:r>
      <w:r w:rsidR="00A83E65">
        <w:lastRenderedPageBreak/>
        <w:t>downward adjustment factors were not applied to the proposed forfeiture;</w:t>
      </w:r>
      <w:r w:rsidR="00A83E65">
        <w:rPr>
          <w:rStyle w:val="FootnoteReference"/>
        </w:rPr>
        <w:footnoteReference w:id="17"/>
      </w:r>
      <w:r w:rsidR="00A83E65">
        <w:t xml:space="preserve"> and that the proposed forfeiture was not consistent with actions taken against similarly situated violators.</w:t>
      </w:r>
      <w:r w:rsidR="00A83E65">
        <w:rPr>
          <w:rStyle w:val="FootnoteReference"/>
        </w:rPr>
        <w:footnoteReference w:id="18"/>
      </w:r>
      <w:r w:rsidR="00A83E65">
        <w:t xml:space="preserve">  </w:t>
      </w:r>
      <w:r w:rsidR="00A83E65">
        <w:rPr>
          <w:i/>
        </w:rPr>
        <w:t xml:space="preserve">  </w:t>
      </w:r>
    </w:p>
    <w:p w:rsidR="00507B65" w:rsidRDefault="00507B65" w:rsidP="0098167B">
      <w:pPr>
        <w:tabs>
          <w:tab w:val="left" w:pos="0"/>
        </w:tabs>
        <w:suppressAutoHyphens/>
        <w:autoSpaceDE w:val="0"/>
        <w:autoSpaceDN w:val="0"/>
        <w:adjustRightInd w:val="0"/>
        <w:spacing w:line="240" w:lineRule="atLeast"/>
        <w:ind w:left="720"/>
      </w:pPr>
    </w:p>
    <w:p w:rsidR="00507B65" w:rsidRDefault="00507B65" w:rsidP="0098167B">
      <w:pPr>
        <w:numPr>
          <w:ilvl w:val="0"/>
          <w:numId w:val="3"/>
        </w:numPr>
        <w:tabs>
          <w:tab w:val="clear" w:pos="1080"/>
          <w:tab w:val="num" w:pos="450"/>
        </w:tabs>
        <w:suppressAutoHyphens/>
        <w:autoSpaceDE w:val="0"/>
        <w:autoSpaceDN w:val="0"/>
        <w:adjustRightInd w:val="0"/>
        <w:spacing w:line="240" w:lineRule="atLeast"/>
        <w:ind w:left="0" w:firstLine="0"/>
        <w:rPr>
          <w:b/>
        </w:rPr>
      </w:pPr>
      <w:r>
        <w:rPr>
          <w:b/>
        </w:rPr>
        <w:tab/>
        <w:t>DISCUSSION</w:t>
      </w:r>
    </w:p>
    <w:p w:rsidR="00507B65" w:rsidRDefault="00507B65" w:rsidP="0098167B">
      <w:pPr>
        <w:tabs>
          <w:tab w:val="left" w:pos="0"/>
        </w:tabs>
        <w:suppressAutoHyphens/>
        <w:autoSpaceDE w:val="0"/>
        <w:autoSpaceDN w:val="0"/>
        <w:adjustRightInd w:val="0"/>
        <w:spacing w:line="240" w:lineRule="atLeast"/>
        <w:ind w:left="720"/>
        <w:rPr>
          <w:spacing w:val="-2"/>
        </w:rPr>
      </w:pPr>
    </w:p>
    <w:p w:rsidR="00507B65" w:rsidRDefault="00322659" w:rsidP="0098167B">
      <w:pPr>
        <w:numPr>
          <w:ilvl w:val="0"/>
          <w:numId w:val="1"/>
        </w:numPr>
        <w:tabs>
          <w:tab w:val="clear" w:pos="1080"/>
          <w:tab w:val="left" w:pos="0"/>
          <w:tab w:val="num" w:pos="1440"/>
        </w:tabs>
        <w:suppressAutoHyphens/>
        <w:autoSpaceDE w:val="0"/>
        <w:autoSpaceDN w:val="0"/>
        <w:adjustRightInd w:val="0"/>
        <w:spacing w:line="240" w:lineRule="atLeast"/>
        <w:rPr>
          <w:spacing w:val="-2"/>
        </w:rPr>
      </w:pPr>
      <w:r>
        <w:t>The proposed forfeiture amount in this case was assessed in accordance with Section 503(b) of the Act,</w:t>
      </w:r>
      <w:r>
        <w:rPr>
          <w:rStyle w:val="FootnoteReference"/>
        </w:rPr>
        <w:footnoteReference w:id="19"/>
      </w:r>
      <w:r>
        <w:t xml:space="preserve"> Section 1.80 of the Rules,</w:t>
      </w:r>
      <w:r>
        <w:rPr>
          <w:rStyle w:val="FootnoteReference"/>
        </w:rPr>
        <w:footnoteReference w:id="20"/>
      </w:r>
      <w:r>
        <w:t xml:space="preserve"> and the </w:t>
      </w:r>
      <w:r w:rsidRPr="00507B65">
        <w:rPr>
          <w:i/>
        </w:rPr>
        <w:t>Forfeiture Policy Statement</w:t>
      </w:r>
      <w:r>
        <w:t>.</w:t>
      </w:r>
      <w:r>
        <w:rPr>
          <w:rStyle w:val="FootnoteReference"/>
        </w:rPr>
        <w:footnoteReference w:id="21"/>
      </w:r>
      <w:r>
        <w:t xml:space="preserve">  In examining </w:t>
      </w:r>
      <w:r w:rsidR="00D017F9">
        <w:t>Directlink’s</w:t>
      </w:r>
      <w:r>
        <w:t xml:space="preserve"> response, Section 503(b)(2)(E) of the Act requires that the Commission take into account the nature, circumstances, extent, and gravity of the violation and, with respect to the violator, the degree of culpability, any history of prior offenses, ability to pay, and other such matters as justice may require.</w:t>
      </w:r>
      <w:r>
        <w:rPr>
          <w:rStyle w:val="FootnoteReference"/>
        </w:rPr>
        <w:footnoteReference w:id="22"/>
      </w:r>
      <w:r>
        <w:t xml:space="preserve">  As discussed below, we have considered </w:t>
      </w:r>
      <w:r w:rsidR="00D017F9">
        <w:t>Directlink</w:t>
      </w:r>
      <w:r w:rsidR="00EA2B59">
        <w:t>’s</w:t>
      </w:r>
      <w:r>
        <w:t xml:space="preserve"> response in light of these statutory factors, and find that a reduction of the forfeiture based on its history of compliance is justified.  </w:t>
      </w:r>
    </w:p>
    <w:p w:rsidR="00507B65" w:rsidRDefault="00507B65" w:rsidP="0098167B">
      <w:pPr>
        <w:tabs>
          <w:tab w:val="left" w:pos="0"/>
        </w:tabs>
        <w:suppressAutoHyphens/>
        <w:autoSpaceDE w:val="0"/>
        <w:autoSpaceDN w:val="0"/>
        <w:adjustRightInd w:val="0"/>
        <w:spacing w:line="240" w:lineRule="atLeast"/>
        <w:ind w:left="720"/>
        <w:rPr>
          <w:spacing w:val="-2"/>
        </w:rPr>
      </w:pPr>
    </w:p>
    <w:p w:rsidR="00EA2B59" w:rsidRDefault="00322659" w:rsidP="008558E1">
      <w:pPr>
        <w:numPr>
          <w:ilvl w:val="0"/>
          <w:numId w:val="1"/>
        </w:numPr>
        <w:tabs>
          <w:tab w:val="clear" w:pos="1080"/>
          <w:tab w:val="left" w:pos="0"/>
          <w:tab w:val="num" w:pos="1440"/>
        </w:tabs>
        <w:suppressAutoHyphens/>
        <w:autoSpaceDE w:val="0"/>
        <w:autoSpaceDN w:val="0"/>
        <w:adjustRightInd w:val="0"/>
        <w:spacing w:line="240" w:lineRule="atLeast"/>
      </w:pPr>
      <w:r w:rsidRPr="00D8051D">
        <w:rPr>
          <w:spacing w:val="-2"/>
        </w:rPr>
        <w:t xml:space="preserve">We find that the evidence supports the </w:t>
      </w:r>
      <w:r w:rsidR="00507B65" w:rsidRPr="00D8051D">
        <w:rPr>
          <w:spacing w:val="-2"/>
        </w:rPr>
        <w:t>Denver Office</w:t>
      </w:r>
      <w:r w:rsidRPr="00D8051D">
        <w:rPr>
          <w:spacing w:val="-2"/>
        </w:rPr>
        <w:t xml:space="preserve">’s findings that, on </w:t>
      </w:r>
      <w:r w:rsidR="00D017F9" w:rsidRPr="00D8051D">
        <w:rPr>
          <w:spacing w:val="-2"/>
        </w:rPr>
        <w:t>January 10</w:t>
      </w:r>
      <w:r w:rsidR="00507B65" w:rsidRPr="00D8051D">
        <w:rPr>
          <w:spacing w:val="-2"/>
        </w:rPr>
        <w:t xml:space="preserve"> and</w:t>
      </w:r>
      <w:r w:rsidR="00D017F9" w:rsidRPr="00D8051D">
        <w:rPr>
          <w:spacing w:val="-2"/>
        </w:rPr>
        <w:t xml:space="preserve"> </w:t>
      </w:r>
      <w:smartTag w:uri="urn:schemas-microsoft-com:office:smarttags" w:element="date">
        <w:smartTagPr>
          <w:attr w:name="ls" w:val="trans"/>
          <w:attr w:name="Month" w:val="1"/>
          <w:attr w:name="Day" w:val="12"/>
          <w:attr w:name="Year" w:val="2012"/>
        </w:smartTagPr>
        <w:r w:rsidR="00D017F9" w:rsidRPr="00D8051D">
          <w:rPr>
            <w:spacing w:val="-2"/>
          </w:rPr>
          <w:t>January 12, 2012</w:t>
        </w:r>
      </w:smartTag>
      <w:r>
        <w:t xml:space="preserve">, </w:t>
      </w:r>
      <w:r w:rsidR="00D017F9">
        <w:t>Directlink</w:t>
      </w:r>
      <w:r w:rsidRPr="00D8051D">
        <w:rPr>
          <w:spacing w:val="-2"/>
        </w:rPr>
        <w:t xml:space="preserve"> operated </w:t>
      </w:r>
      <w:r w:rsidR="006E60D3" w:rsidRPr="00D8051D">
        <w:rPr>
          <w:spacing w:val="-2"/>
        </w:rPr>
        <w:t xml:space="preserve">its </w:t>
      </w:r>
      <w:r w:rsidR="00D017F9" w:rsidRPr="00D8051D">
        <w:rPr>
          <w:spacing w:val="-2"/>
        </w:rPr>
        <w:t>Ubiquiti Rocket M5</w:t>
      </w:r>
      <w:r w:rsidR="006E60D3" w:rsidRPr="00D8051D">
        <w:rPr>
          <w:color w:val="000000"/>
        </w:rPr>
        <w:t xml:space="preserve"> transceiver </w:t>
      </w:r>
      <w:r w:rsidRPr="00D8051D">
        <w:rPr>
          <w:spacing w:val="-2"/>
        </w:rPr>
        <w:t xml:space="preserve">on </w:t>
      </w:r>
      <w:r w:rsidR="00D017F9" w:rsidRPr="00D8051D">
        <w:rPr>
          <w:spacing w:val="-2"/>
        </w:rPr>
        <w:t xml:space="preserve">a </w:t>
      </w:r>
      <w:r w:rsidRPr="00D8051D">
        <w:rPr>
          <w:spacing w:val="-2"/>
        </w:rPr>
        <w:t>frequenc</w:t>
      </w:r>
      <w:r w:rsidR="005370A8">
        <w:rPr>
          <w:spacing w:val="-2"/>
        </w:rPr>
        <w:t>y</w:t>
      </w:r>
      <w:r w:rsidRPr="00D8051D">
        <w:rPr>
          <w:spacing w:val="-2"/>
        </w:rPr>
        <w:t xml:space="preserve"> for which th</w:t>
      </w:r>
      <w:r w:rsidR="0061119D" w:rsidRPr="00D8051D">
        <w:rPr>
          <w:spacing w:val="-2"/>
        </w:rPr>
        <w:t xml:space="preserve">at device </w:t>
      </w:r>
      <w:r w:rsidRPr="00D8051D">
        <w:rPr>
          <w:spacing w:val="-2"/>
        </w:rPr>
        <w:t>w</w:t>
      </w:r>
      <w:r w:rsidR="0061119D" w:rsidRPr="00D8051D">
        <w:rPr>
          <w:spacing w:val="-2"/>
        </w:rPr>
        <w:t>as</w:t>
      </w:r>
      <w:r w:rsidRPr="00D8051D">
        <w:rPr>
          <w:spacing w:val="-2"/>
        </w:rPr>
        <w:t xml:space="preserve"> not certified, </w:t>
      </w:r>
      <w:r w:rsidR="0061119D" w:rsidRPr="00D8051D">
        <w:rPr>
          <w:spacing w:val="-2"/>
        </w:rPr>
        <w:t xml:space="preserve">and without </w:t>
      </w:r>
      <w:smartTag w:uri="urn:schemas-microsoft-com:office:smarttags" w:element="stockticker">
        <w:r w:rsidR="0061119D" w:rsidRPr="00D8051D">
          <w:rPr>
            <w:spacing w:val="-2"/>
          </w:rPr>
          <w:t>DFS</w:t>
        </w:r>
      </w:smartTag>
      <w:r w:rsidR="0061119D" w:rsidRPr="00D8051D">
        <w:rPr>
          <w:spacing w:val="-2"/>
        </w:rPr>
        <w:t xml:space="preserve"> functionality.  </w:t>
      </w:r>
      <w:r w:rsidR="00D017F9" w:rsidRPr="00D8051D">
        <w:rPr>
          <w:spacing w:val="-2"/>
        </w:rPr>
        <w:t>Directlink first argues that it should have received a warning or citation pursuant to Section 1.80(d) of the Rules, because Directlink was operating in “unlicensed” spectrum.</w:t>
      </w:r>
      <w:r w:rsidR="004E58AB">
        <w:rPr>
          <w:rStyle w:val="FootnoteReference"/>
          <w:spacing w:val="-2"/>
        </w:rPr>
        <w:footnoteReference w:id="23"/>
      </w:r>
      <w:r w:rsidR="00D017F9" w:rsidRPr="00D8051D">
        <w:rPr>
          <w:spacing w:val="-2"/>
        </w:rPr>
        <w:t xml:space="preserve">  Directlink is incorrect.  The </w:t>
      </w:r>
      <w:r w:rsidR="00866C36">
        <w:rPr>
          <w:spacing w:val="-2"/>
        </w:rPr>
        <w:t>preliminary procedure required</w:t>
      </w:r>
      <w:r w:rsidR="00D017F9" w:rsidRPr="00D8051D">
        <w:rPr>
          <w:spacing w:val="-2"/>
        </w:rPr>
        <w:t xml:space="preserve"> under Section 1.80(d) </w:t>
      </w:r>
      <w:r w:rsidR="00A21399">
        <w:rPr>
          <w:spacing w:val="-2"/>
        </w:rPr>
        <w:t xml:space="preserve">is not </w:t>
      </w:r>
      <w:r w:rsidR="00986A26">
        <w:rPr>
          <w:spacing w:val="-2"/>
        </w:rPr>
        <w:t>applicable</w:t>
      </w:r>
      <w:r w:rsidR="00A21399">
        <w:rPr>
          <w:spacing w:val="-2"/>
        </w:rPr>
        <w:t xml:space="preserve"> if the subject “is engaged in (and the violation relates to) activities for which a license, permit certificate or other authorization is required . . . .”</w:t>
      </w:r>
      <w:r w:rsidR="00AB356A">
        <w:rPr>
          <w:rStyle w:val="FootnoteReference"/>
          <w:spacing w:val="-2"/>
        </w:rPr>
        <w:footnoteReference w:id="24"/>
      </w:r>
      <w:r w:rsidR="00AB356A" w:rsidRPr="00D8051D">
        <w:rPr>
          <w:spacing w:val="-2"/>
        </w:rPr>
        <w:t xml:space="preserve">  Directlink </w:t>
      </w:r>
      <w:r w:rsidR="00A21399">
        <w:rPr>
          <w:spacing w:val="-2"/>
        </w:rPr>
        <w:t xml:space="preserve">does not dispute that it was operating </w:t>
      </w:r>
      <w:r w:rsidR="00A21399" w:rsidRPr="00A21399">
        <w:rPr>
          <w:spacing w:val="-2"/>
        </w:rPr>
        <w:t>its Ubiquiti Rocket M5 transceiver</w:t>
      </w:r>
      <w:r w:rsidR="00A21399">
        <w:rPr>
          <w:spacing w:val="-2"/>
        </w:rPr>
        <w:t xml:space="preserve"> on a frequency for which t</w:t>
      </w:r>
      <w:r w:rsidR="0087660F">
        <w:rPr>
          <w:spacing w:val="-2"/>
        </w:rPr>
        <w:t>h</w:t>
      </w:r>
      <w:r w:rsidR="00A21399">
        <w:rPr>
          <w:spacing w:val="-2"/>
        </w:rPr>
        <w:t>e device was not cer</w:t>
      </w:r>
      <w:r w:rsidR="0087660F">
        <w:rPr>
          <w:spacing w:val="-2"/>
        </w:rPr>
        <w:t>t</w:t>
      </w:r>
      <w:r w:rsidR="00A21399">
        <w:rPr>
          <w:spacing w:val="-2"/>
        </w:rPr>
        <w:t>ified</w:t>
      </w:r>
      <w:r w:rsidR="00AB3CCE">
        <w:rPr>
          <w:spacing w:val="-2"/>
        </w:rPr>
        <w:t xml:space="preserve"> and, therefore</w:t>
      </w:r>
      <w:r w:rsidR="00E3138F">
        <w:rPr>
          <w:spacing w:val="-2"/>
        </w:rPr>
        <w:t>,</w:t>
      </w:r>
      <w:r w:rsidR="00AB3CCE">
        <w:rPr>
          <w:spacing w:val="-2"/>
        </w:rPr>
        <w:t xml:space="preserve"> in violation of the Part 15 Rules.</w:t>
      </w:r>
      <w:r w:rsidR="00AB3CCE">
        <w:rPr>
          <w:rStyle w:val="FootnoteReference"/>
          <w:spacing w:val="-2"/>
        </w:rPr>
        <w:footnoteReference w:id="25"/>
      </w:r>
      <w:r w:rsidR="00AB3CCE">
        <w:rPr>
          <w:spacing w:val="-2"/>
        </w:rPr>
        <w:t xml:space="preserve"> </w:t>
      </w:r>
      <w:r w:rsidR="00B92212">
        <w:rPr>
          <w:spacing w:val="-2"/>
        </w:rPr>
        <w:t xml:space="preserve"> </w:t>
      </w:r>
      <w:r w:rsidR="00AB3CCE">
        <w:rPr>
          <w:spacing w:val="-2"/>
        </w:rPr>
        <w:t>P</w:t>
      </w:r>
      <w:r w:rsidR="00A21399">
        <w:rPr>
          <w:spacing w:val="-2"/>
        </w:rPr>
        <w:t>ursuant to S</w:t>
      </w:r>
      <w:r w:rsidR="0087660F">
        <w:rPr>
          <w:spacing w:val="-2"/>
        </w:rPr>
        <w:t>ec</w:t>
      </w:r>
      <w:r w:rsidR="00A21399">
        <w:rPr>
          <w:spacing w:val="-2"/>
        </w:rPr>
        <w:t>tion 15</w:t>
      </w:r>
      <w:r w:rsidR="0087660F">
        <w:rPr>
          <w:spacing w:val="-2"/>
        </w:rPr>
        <w:t>.1(b) of the Rules</w:t>
      </w:r>
      <w:r w:rsidR="00AB3CCE">
        <w:rPr>
          <w:spacing w:val="-2"/>
        </w:rPr>
        <w:t xml:space="preserve">, </w:t>
      </w:r>
      <w:r w:rsidR="00B92212">
        <w:rPr>
          <w:spacing w:val="-2"/>
        </w:rPr>
        <w:t>t</w:t>
      </w:r>
      <w:r w:rsidR="00AB3CCE">
        <w:rPr>
          <w:spacing w:val="-2"/>
        </w:rPr>
        <w:t xml:space="preserve">he operation of </w:t>
      </w:r>
      <w:r w:rsidR="00AB3CCE" w:rsidRPr="00AB3CCE">
        <w:rPr>
          <w:spacing w:val="-2"/>
        </w:rPr>
        <w:t>a Part 15 device in a manner that is inconsistent with the Part 15 Rules requires a license pursuant to Section 301 of the Act</w:t>
      </w:r>
      <w:r w:rsidR="0087660F">
        <w:rPr>
          <w:spacing w:val="-2"/>
        </w:rPr>
        <w:t>.</w:t>
      </w:r>
      <w:r w:rsidR="00AB356A">
        <w:rPr>
          <w:rStyle w:val="FootnoteReference"/>
          <w:spacing w:val="-2"/>
        </w:rPr>
        <w:footnoteReference w:id="26"/>
      </w:r>
      <w:r w:rsidR="00AB356A" w:rsidRPr="00D8051D">
        <w:rPr>
          <w:spacing w:val="-2"/>
        </w:rPr>
        <w:t xml:space="preserve"> </w:t>
      </w:r>
      <w:r w:rsidR="0087660F">
        <w:rPr>
          <w:spacing w:val="-2"/>
        </w:rPr>
        <w:t xml:space="preserve"> </w:t>
      </w:r>
      <w:r w:rsidR="00B92212">
        <w:rPr>
          <w:spacing w:val="-2"/>
        </w:rPr>
        <w:t xml:space="preserve">Therefore, </w:t>
      </w:r>
      <w:r w:rsidR="0087660F">
        <w:rPr>
          <w:spacing w:val="-2"/>
        </w:rPr>
        <w:t>Directlink</w:t>
      </w:r>
      <w:r w:rsidR="00B92212">
        <w:rPr>
          <w:spacing w:val="-2"/>
        </w:rPr>
        <w:t xml:space="preserve"> was engaged in activities for which a license was required and, consequently, </w:t>
      </w:r>
      <w:r w:rsidR="00866C36">
        <w:rPr>
          <w:spacing w:val="-2"/>
        </w:rPr>
        <w:t>is not eligible for the prelim</w:t>
      </w:r>
      <w:r w:rsidR="005E479B">
        <w:rPr>
          <w:spacing w:val="-2"/>
        </w:rPr>
        <w:t>in</w:t>
      </w:r>
      <w:r w:rsidR="00866C36">
        <w:rPr>
          <w:spacing w:val="-2"/>
        </w:rPr>
        <w:t>ary procedure outlined in section 1.80(d)</w:t>
      </w:r>
      <w:r w:rsidR="00BA248D" w:rsidRPr="00D8051D">
        <w:rPr>
          <w:spacing w:val="-2"/>
        </w:rPr>
        <w:t>.</w:t>
      </w:r>
      <w:r w:rsidR="00D8051D">
        <w:rPr>
          <w:rStyle w:val="FootnoteReference"/>
          <w:spacing w:val="-2"/>
        </w:rPr>
        <w:footnoteReference w:id="27"/>
      </w:r>
      <w:r w:rsidR="00BA248D" w:rsidRPr="00D8051D">
        <w:rPr>
          <w:spacing w:val="-2"/>
        </w:rPr>
        <w:t xml:space="preserve">  </w:t>
      </w:r>
    </w:p>
    <w:p w:rsidR="00130F1B" w:rsidRDefault="00D8051D" w:rsidP="0098167B">
      <w:pPr>
        <w:numPr>
          <w:ilvl w:val="0"/>
          <w:numId w:val="1"/>
        </w:numPr>
        <w:tabs>
          <w:tab w:val="clear" w:pos="1080"/>
          <w:tab w:val="left" w:pos="0"/>
          <w:tab w:val="num" w:pos="1440"/>
        </w:tabs>
        <w:suppressAutoHyphens/>
        <w:autoSpaceDE w:val="0"/>
        <w:autoSpaceDN w:val="0"/>
        <w:adjustRightInd w:val="0"/>
        <w:spacing w:after="120" w:line="240" w:lineRule="atLeast"/>
      </w:pPr>
      <w:r>
        <w:t>Directlink</w:t>
      </w:r>
      <w:r w:rsidR="00EA2B59">
        <w:t xml:space="preserve"> also argues that the</w:t>
      </w:r>
      <w:r>
        <w:t>re were no “aggravating circumstances” pursuant to the Commission’s adjustment factors</w:t>
      </w:r>
      <w:r w:rsidR="004E58AB">
        <w:t xml:space="preserve"> and </w:t>
      </w:r>
      <w:r w:rsidR="009702E7">
        <w:t xml:space="preserve">again </w:t>
      </w:r>
      <w:r w:rsidR="004E58AB">
        <w:t>suggest</w:t>
      </w:r>
      <w:r w:rsidR="00866C36">
        <w:t xml:space="preserve">s </w:t>
      </w:r>
      <w:r w:rsidR="004E58AB">
        <w:t>that a warning letter should have been issued</w:t>
      </w:r>
      <w:r>
        <w:t>.</w:t>
      </w:r>
      <w:r w:rsidRPr="00D8051D">
        <w:rPr>
          <w:vertAlign w:val="superscript"/>
        </w:rPr>
        <w:footnoteReference w:id="28"/>
      </w:r>
      <w:r>
        <w:t xml:space="preserve"> </w:t>
      </w:r>
      <w:r w:rsidR="00447C04">
        <w:t xml:space="preserve"> </w:t>
      </w:r>
      <w:r w:rsidR="006C2A13">
        <w:t xml:space="preserve">We </w:t>
      </w:r>
      <w:r w:rsidR="00134D89">
        <w:t>disagree.  The Denver Offi</w:t>
      </w:r>
      <w:r w:rsidR="006C2A13">
        <w:t>c</w:t>
      </w:r>
      <w:r w:rsidR="00134D89">
        <w:t>e</w:t>
      </w:r>
      <w:r w:rsidR="006C2A13">
        <w:t xml:space="preserve"> determined that Directlink’s unauthorized operation of an unauthorized syste</w:t>
      </w:r>
      <w:r w:rsidR="00134D89">
        <w:t>m</w:t>
      </w:r>
      <w:r w:rsidR="006C2A13">
        <w:t xml:space="preserve"> created int</w:t>
      </w:r>
      <w:r w:rsidR="00134D89">
        <w:t>er</w:t>
      </w:r>
      <w:r w:rsidR="006C2A13">
        <w:t xml:space="preserve">ference to the FAA’s TDWR radar system at the Denver </w:t>
      </w:r>
      <w:r w:rsidR="005E479B">
        <w:t>I</w:t>
      </w:r>
      <w:r w:rsidR="006C2A13">
        <w:t>nter</w:t>
      </w:r>
      <w:r w:rsidR="00134D89">
        <w:t>n</w:t>
      </w:r>
      <w:r w:rsidR="006C2A13">
        <w:t xml:space="preserve">ational </w:t>
      </w:r>
      <w:r w:rsidR="005E479B">
        <w:t>A</w:t>
      </w:r>
      <w:r w:rsidR="006C2A13">
        <w:t>irport, creating grave p</w:t>
      </w:r>
      <w:r w:rsidR="00134D89">
        <w:t>u</w:t>
      </w:r>
      <w:r w:rsidR="006C2A13">
        <w:t>b</w:t>
      </w:r>
      <w:r w:rsidR="00134D89">
        <w:t>li</w:t>
      </w:r>
      <w:r w:rsidR="006C2A13">
        <w:t>c safety risks.</w:t>
      </w:r>
      <w:r w:rsidR="006C2A13">
        <w:rPr>
          <w:rStyle w:val="FootnoteReference"/>
        </w:rPr>
        <w:footnoteReference w:id="29"/>
      </w:r>
      <w:r w:rsidR="006C2A13">
        <w:t xml:space="preserve"> </w:t>
      </w:r>
      <w:r>
        <w:t xml:space="preserve"> </w:t>
      </w:r>
      <w:r w:rsidR="0071753E">
        <w:t>Contrary to Directlink’s assertions,</w:t>
      </w:r>
      <w:r w:rsidR="0071753E">
        <w:rPr>
          <w:rStyle w:val="FootnoteReference"/>
        </w:rPr>
        <w:footnoteReference w:id="30"/>
      </w:r>
      <w:r w:rsidR="0071753E">
        <w:t xml:space="preserve"> t</w:t>
      </w:r>
      <w:r w:rsidR="00447C04">
        <w:t>here is no requirement that the Commission issue warnings</w:t>
      </w:r>
      <w:r w:rsidR="0071753E">
        <w:t xml:space="preserve"> or Notices of Unlicensed Operations (NOUOs)</w:t>
      </w:r>
      <w:r w:rsidR="00447C04">
        <w:t xml:space="preserve"> to</w:t>
      </w:r>
      <w:r w:rsidR="0071753E">
        <w:t xml:space="preserve"> violators, particularly those causing interference to FAA radar installations.</w:t>
      </w:r>
      <w:r w:rsidR="0071753E">
        <w:rPr>
          <w:rStyle w:val="FootnoteReference"/>
        </w:rPr>
        <w:footnoteReference w:id="31"/>
      </w:r>
    </w:p>
    <w:p w:rsidR="00EC28CE" w:rsidRDefault="00134D89" w:rsidP="0098167B">
      <w:pPr>
        <w:numPr>
          <w:ilvl w:val="0"/>
          <w:numId w:val="1"/>
        </w:numPr>
        <w:tabs>
          <w:tab w:val="clear" w:pos="1080"/>
          <w:tab w:val="left" w:pos="0"/>
          <w:tab w:val="num" w:pos="1440"/>
        </w:tabs>
        <w:suppressAutoHyphens/>
        <w:autoSpaceDE w:val="0"/>
        <w:autoSpaceDN w:val="0"/>
        <w:adjustRightInd w:val="0"/>
        <w:spacing w:after="120" w:line="240" w:lineRule="atLeast"/>
      </w:pPr>
      <w:r>
        <w:t>We also disagree with Dire</w:t>
      </w:r>
      <w:r w:rsidR="00261803">
        <w:t>c</w:t>
      </w:r>
      <w:r>
        <w:t>tlink</w:t>
      </w:r>
      <w:r w:rsidR="00660947">
        <w:t>’s</w:t>
      </w:r>
      <w:r>
        <w:t xml:space="preserve"> contention that none of the upward adjustment cri</w:t>
      </w:r>
      <w:r w:rsidR="00261803">
        <w:t>t</w:t>
      </w:r>
      <w:r>
        <w:t xml:space="preserve">eria </w:t>
      </w:r>
      <w:r w:rsidR="00F52046">
        <w:t xml:space="preserve">in the Rules </w:t>
      </w:r>
      <w:r>
        <w:t xml:space="preserve">were met by </w:t>
      </w:r>
      <w:r w:rsidR="00440917">
        <w:t>Directlink</w:t>
      </w:r>
      <w:r>
        <w:t>’s violation and that the forfeiture should be reduced for that reason.</w:t>
      </w:r>
      <w:r>
        <w:rPr>
          <w:rStyle w:val="FootnoteReference"/>
        </w:rPr>
        <w:footnoteReference w:id="32"/>
      </w:r>
      <w:r>
        <w:t xml:space="preserve"> </w:t>
      </w:r>
      <w:r w:rsidR="00440917">
        <w:t xml:space="preserve"> </w:t>
      </w:r>
      <w:r w:rsidR="008125DF">
        <w:t xml:space="preserve">Directlink does not deny the violations and </w:t>
      </w:r>
      <w:r w:rsidR="00D90638">
        <w:t xml:space="preserve">the Denver Office determined that </w:t>
      </w:r>
      <w:r w:rsidR="008125DF">
        <w:t xml:space="preserve">the unauthorized operation </w:t>
      </w:r>
      <w:r w:rsidR="00D90638">
        <w:t>caused</w:t>
      </w:r>
      <w:r w:rsidR="008125DF">
        <w:t xml:space="preserve"> int</w:t>
      </w:r>
      <w:r w:rsidR="00261803">
        <w:t>e</w:t>
      </w:r>
      <w:r w:rsidR="008125DF">
        <w:t>rfe</w:t>
      </w:r>
      <w:r w:rsidR="00261803">
        <w:t>re</w:t>
      </w:r>
      <w:r w:rsidR="008125DF">
        <w:t>nce to FAA TDWR radar</w:t>
      </w:r>
      <w:r w:rsidR="00D90638">
        <w:t>, which, given the obvious public safety concern, meets the criteria of</w:t>
      </w:r>
      <w:r w:rsidR="008125DF">
        <w:t xml:space="preserve"> substantial harm.</w:t>
      </w:r>
      <w:r w:rsidR="00866C36">
        <w:rPr>
          <w:rStyle w:val="FootnoteReference"/>
        </w:rPr>
        <w:footnoteReference w:id="33"/>
      </w:r>
      <w:r w:rsidR="008125DF">
        <w:t xml:space="preserve">  </w:t>
      </w:r>
      <w:r w:rsidR="00D90638">
        <w:t xml:space="preserve">Because that </w:t>
      </w:r>
      <w:r w:rsidR="008125DF">
        <w:t>factor w</w:t>
      </w:r>
      <w:r w:rsidR="00D90638">
        <w:t>as</w:t>
      </w:r>
      <w:r w:rsidR="008125DF">
        <w:t xml:space="preserve"> present, we find no error in the upward adjustment to the proposed forfeitur</w:t>
      </w:r>
      <w:r w:rsidR="00261803">
        <w:t>e</w:t>
      </w:r>
      <w:r w:rsidR="008125DF">
        <w:t xml:space="preserve"> made by the Denver Office.  </w:t>
      </w:r>
    </w:p>
    <w:p w:rsidR="004060C8" w:rsidRDefault="00261803" w:rsidP="0098167B">
      <w:pPr>
        <w:numPr>
          <w:ilvl w:val="0"/>
          <w:numId w:val="1"/>
        </w:numPr>
        <w:tabs>
          <w:tab w:val="clear" w:pos="1080"/>
          <w:tab w:val="left" w:pos="0"/>
          <w:tab w:val="num" w:pos="1440"/>
        </w:tabs>
        <w:suppressAutoHyphens/>
        <w:autoSpaceDE w:val="0"/>
        <w:autoSpaceDN w:val="0"/>
        <w:adjustRightInd w:val="0"/>
        <w:spacing w:after="120" w:line="240" w:lineRule="atLeast"/>
      </w:pPr>
      <w:r>
        <w:t>Direct</w:t>
      </w:r>
      <w:r w:rsidR="00130F1B">
        <w:t>link</w:t>
      </w:r>
      <w:r>
        <w:t xml:space="preserve"> further a</w:t>
      </w:r>
      <w:r w:rsidR="00130F1B">
        <w:t>r</w:t>
      </w:r>
      <w:r>
        <w:t xml:space="preserve">gues that it is entitled </w:t>
      </w:r>
      <w:r w:rsidR="00275AEF">
        <w:t xml:space="preserve">to a reduction or cancellation of the proposed forfeiture </w:t>
      </w:r>
      <w:r w:rsidR="00130F1B">
        <w:t xml:space="preserve">under the </w:t>
      </w:r>
      <w:r>
        <w:t>downward adjustment</w:t>
      </w:r>
      <w:r w:rsidR="00130F1B">
        <w:t xml:space="preserve"> criteria</w:t>
      </w:r>
      <w:r w:rsidR="00F52046">
        <w:t xml:space="preserve"> in the </w:t>
      </w:r>
      <w:r>
        <w:t>Rules.</w:t>
      </w:r>
      <w:r w:rsidRPr="00261803">
        <w:rPr>
          <w:vertAlign w:val="superscript"/>
        </w:rPr>
        <w:footnoteReference w:id="34"/>
      </w:r>
      <w:r w:rsidR="00D90638">
        <w:t xml:space="preserve">  Directlink claims that its violation was minor, and it should have received a NOUO, like various other violators have.</w:t>
      </w:r>
      <w:r w:rsidR="00D90638">
        <w:rPr>
          <w:rStyle w:val="FootnoteReference"/>
        </w:rPr>
        <w:footnoteReference w:id="35"/>
      </w:r>
      <w:r w:rsidR="00D90638">
        <w:t xml:space="preserve"> </w:t>
      </w:r>
      <w:r w:rsidR="00A53CEB">
        <w:t xml:space="preserve"> </w:t>
      </w:r>
      <w:r w:rsidR="00D90638">
        <w:t>We first note that the issuance of a NOUO does not mean that a violation is minor.  Instead, it puts the subject on noti</w:t>
      </w:r>
      <w:r w:rsidR="00486722">
        <w:t>c</w:t>
      </w:r>
      <w:r w:rsidR="00D90638">
        <w:t xml:space="preserve">e of its violation of Section 301 of the Act.  Of the NOUOs cited to by Directlink, most were issued in the </w:t>
      </w:r>
      <w:r w:rsidR="00486722">
        <w:t>early</w:t>
      </w:r>
      <w:r w:rsidR="00D90638">
        <w:t xml:space="preserve"> stages of enforcement against illegal U-NII operations.</w:t>
      </w:r>
      <w:r w:rsidR="00D90638">
        <w:rPr>
          <w:rStyle w:val="FootnoteReference"/>
        </w:rPr>
        <w:footnoteReference w:id="36"/>
      </w:r>
      <w:r w:rsidR="00486722">
        <w:t xml:space="preserve">  On July 27, 2010, the FCC’s Enforcement Bureau and Office of Engineerin</w:t>
      </w:r>
      <w:r w:rsidR="001277A0">
        <w:t>g and Technology issued a Memorandum</w:t>
      </w:r>
      <w:r w:rsidR="00486722">
        <w:t xml:space="preserve"> to Man</w:t>
      </w:r>
      <w:r w:rsidR="001277A0">
        <w:t>u</w:t>
      </w:r>
      <w:r w:rsidR="00486722">
        <w:t>factu</w:t>
      </w:r>
      <w:r w:rsidR="001277A0">
        <w:t>rers</w:t>
      </w:r>
      <w:r w:rsidR="00486722">
        <w:t xml:space="preserve"> and</w:t>
      </w:r>
      <w:r w:rsidR="001277A0">
        <w:t xml:space="preserve"> </w:t>
      </w:r>
      <w:r w:rsidR="00486722">
        <w:t xml:space="preserve">Operators of Unlicensed 5 GHz </w:t>
      </w:r>
      <w:r w:rsidR="00275AEF">
        <w:t>O</w:t>
      </w:r>
      <w:r w:rsidR="00486722">
        <w:t xml:space="preserve">utdoor </w:t>
      </w:r>
      <w:r w:rsidR="00275AEF">
        <w:t>N</w:t>
      </w:r>
      <w:r w:rsidR="00486722">
        <w:t xml:space="preserve">etwork </w:t>
      </w:r>
      <w:r w:rsidR="00275AEF">
        <w:t>E</w:t>
      </w:r>
      <w:r w:rsidR="00486722">
        <w:t>quipment</w:t>
      </w:r>
      <w:r w:rsidR="00275AEF">
        <w:t>, like Directlink,</w:t>
      </w:r>
      <w:r w:rsidR="00486722">
        <w:t xml:space="preserve"> concerning the interference caused to TDWR by U-NII systems and devices.</w:t>
      </w:r>
      <w:r w:rsidR="00486722">
        <w:rPr>
          <w:rStyle w:val="FootnoteReference"/>
        </w:rPr>
        <w:footnoteReference w:id="37"/>
      </w:r>
      <w:r w:rsidR="00486722">
        <w:t xml:space="preserve">  The </w:t>
      </w:r>
      <w:r w:rsidR="004C4A99">
        <w:t>OET/EB Memo notified</w:t>
      </w:r>
      <w:r w:rsidR="00D359F8">
        <w:t xml:space="preserve"> </w:t>
      </w:r>
      <w:r w:rsidR="00486722">
        <w:t>wir</w:t>
      </w:r>
      <w:r w:rsidR="001277A0">
        <w:t>e</w:t>
      </w:r>
      <w:r w:rsidR="00486722">
        <w:t>less int</w:t>
      </w:r>
      <w:r w:rsidR="00D359F8">
        <w:t>e</w:t>
      </w:r>
      <w:r w:rsidR="00486722">
        <w:t>rnet service providers, like</w:t>
      </w:r>
      <w:r w:rsidR="00ED7A27">
        <w:t xml:space="preserve"> Directlink, that operate</w:t>
      </w:r>
      <w:r w:rsidR="00D8156B">
        <w:t xml:space="preserve"> with</w:t>
      </w:r>
      <w:r w:rsidR="00ED7A27">
        <w:t>in the vicinity of</w:t>
      </w:r>
      <w:r w:rsidR="00983B58">
        <w:t xml:space="preserve"> TDWR installations</w:t>
      </w:r>
      <w:r w:rsidR="00ED7A27">
        <w:t xml:space="preserve"> </w:t>
      </w:r>
      <w:r w:rsidR="00787407">
        <w:t>or line-of-sight of TDWR installations,</w:t>
      </w:r>
      <w:r w:rsidR="00486722">
        <w:t xml:space="preserve"> of th</w:t>
      </w:r>
      <w:r w:rsidR="00ED7A27">
        <w:t>e</w:t>
      </w:r>
      <w:r w:rsidR="00486722">
        <w:t xml:space="preserve"> potential for interference to TDWR</w:t>
      </w:r>
      <w:r w:rsidR="00ED7A27">
        <w:t xml:space="preserve"> installation</w:t>
      </w:r>
      <w:r w:rsidR="00660947">
        <w:t>s</w:t>
      </w:r>
      <w:r w:rsidR="00ED7A27">
        <w:t>.</w:t>
      </w:r>
      <w:r w:rsidR="00ED7A27">
        <w:rPr>
          <w:rStyle w:val="FootnoteReference"/>
        </w:rPr>
        <w:footnoteReference w:id="38"/>
      </w:r>
      <w:r w:rsidR="00ED7A27">
        <w:t xml:space="preserve"> </w:t>
      </w:r>
      <w:r w:rsidR="00486722">
        <w:t xml:space="preserve"> </w:t>
      </w:r>
      <w:r w:rsidR="00983B58">
        <w:t>In particular, providers operating within 35 kilometers were encouraged to operate 30 MHz away from the TDWR frequency in use.</w:t>
      </w:r>
      <w:r w:rsidR="00983B58">
        <w:rPr>
          <w:rStyle w:val="FootnoteReference"/>
        </w:rPr>
        <w:footnoteReference w:id="39"/>
      </w:r>
      <w:r w:rsidR="00983B58">
        <w:t xml:space="preserve">  </w:t>
      </w:r>
      <w:r w:rsidR="004C4A99">
        <w:t xml:space="preserve">Because complaints from the FAA concerning interference to TDWR operations </w:t>
      </w:r>
      <w:r w:rsidR="001B0EE6">
        <w:t xml:space="preserve">continued </w:t>
      </w:r>
      <w:r w:rsidR="004C4A99">
        <w:t>after the release of the OET/EB Memo</w:t>
      </w:r>
      <w:r w:rsidR="00FE7B67">
        <w:t xml:space="preserve">, </w:t>
      </w:r>
      <w:r w:rsidR="004C4A99">
        <w:t>the</w:t>
      </w:r>
      <w:r w:rsidR="00ED7A27">
        <w:t xml:space="preserve"> Enforcement Bureau</w:t>
      </w:r>
      <w:r w:rsidR="00FE7B67">
        <w:t xml:space="preserve"> </w:t>
      </w:r>
      <w:r w:rsidR="00ED7A27">
        <w:t xml:space="preserve">determined </w:t>
      </w:r>
      <w:r w:rsidR="00FE7B67">
        <w:t xml:space="preserve">in 2011 </w:t>
      </w:r>
      <w:r w:rsidR="00ED7A27">
        <w:t xml:space="preserve">that </w:t>
      </w:r>
      <w:r w:rsidR="001B54D2">
        <w:t>stronger enforcement acti</w:t>
      </w:r>
      <w:r w:rsidR="00ED7A27">
        <w:t>o</w:t>
      </w:r>
      <w:r w:rsidR="001B54D2">
        <w:t>n</w:t>
      </w:r>
      <w:r w:rsidR="00ED7A27">
        <w:t xml:space="preserve"> </w:t>
      </w:r>
      <w:r w:rsidR="001B54D2">
        <w:t>was necessary</w:t>
      </w:r>
      <w:r w:rsidR="00FE7B67">
        <w:t>,</w:t>
      </w:r>
      <w:r w:rsidR="0001040A">
        <w:t xml:space="preserve"> including upward adjustments in forfeiture amounts where appropriate</w:t>
      </w:r>
      <w:r w:rsidR="001277A0">
        <w:t>.</w:t>
      </w:r>
      <w:r w:rsidR="001277A0">
        <w:rPr>
          <w:rStyle w:val="FootnoteReference"/>
        </w:rPr>
        <w:footnoteReference w:id="40"/>
      </w:r>
    </w:p>
    <w:p w:rsidR="009546CF" w:rsidRDefault="00A50C9B" w:rsidP="0098167B">
      <w:pPr>
        <w:numPr>
          <w:ilvl w:val="0"/>
          <w:numId w:val="1"/>
        </w:numPr>
        <w:tabs>
          <w:tab w:val="clear" w:pos="1080"/>
          <w:tab w:val="left" w:pos="0"/>
          <w:tab w:val="num" w:pos="1440"/>
        </w:tabs>
        <w:suppressAutoHyphens/>
        <w:autoSpaceDE w:val="0"/>
        <w:autoSpaceDN w:val="0"/>
        <w:adjustRightInd w:val="0"/>
        <w:spacing w:after="120" w:line="240" w:lineRule="atLeast"/>
      </w:pPr>
      <w:r>
        <w:t>In 2013, the Commission issued a Notice of Apparent Liability for Forfeiture in the amount of $202,000 against a U-NII operator.</w:t>
      </w:r>
      <w:r>
        <w:rPr>
          <w:rStyle w:val="FootnoteReference"/>
        </w:rPr>
        <w:footnoteReference w:id="41"/>
      </w:r>
      <w:r>
        <w:t xml:space="preserve"> </w:t>
      </w:r>
      <w:r w:rsidR="00A41280">
        <w:t xml:space="preserve"> </w:t>
      </w:r>
      <w:r>
        <w:t xml:space="preserve">In the </w:t>
      </w:r>
      <w:r w:rsidRPr="00E3138F">
        <w:rPr>
          <w:i/>
        </w:rPr>
        <w:t>Towerstrea</w:t>
      </w:r>
      <w:r w:rsidR="00660947" w:rsidRPr="00E3138F">
        <w:rPr>
          <w:i/>
        </w:rPr>
        <w:t>m</w:t>
      </w:r>
      <w:r w:rsidRPr="00E3138F">
        <w:rPr>
          <w:i/>
        </w:rPr>
        <w:t xml:space="preserve"> NAL</w:t>
      </w:r>
      <w:r>
        <w:t xml:space="preserve">, the </w:t>
      </w:r>
      <w:r w:rsidRPr="00A50C9B">
        <w:t xml:space="preserve">Commission </w:t>
      </w:r>
      <w:r w:rsidR="00660947">
        <w:t>specifically</w:t>
      </w:r>
      <w:r>
        <w:t xml:space="preserve"> </w:t>
      </w:r>
      <w:r w:rsidRPr="00A50C9B">
        <w:t>stated that the interference created by unauthorized U-NII systems (such as the one operated by Directlink) creates interference that “poses a clear hazard to air traffic safety and requires aggressive enforcement.”</w:t>
      </w:r>
      <w:r w:rsidR="00660947">
        <w:rPr>
          <w:rStyle w:val="FootnoteReference"/>
        </w:rPr>
        <w:footnoteReference w:id="42"/>
      </w:r>
      <w:r w:rsidRPr="00A50C9B">
        <w:t xml:space="preserve"> </w:t>
      </w:r>
      <w:r>
        <w:t xml:space="preserve"> </w:t>
      </w:r>
      <w:r w:rsidR="00D359F8">
        <w:t xml:space="preserve">The Commission </w:t>
      </w:r>
      <w:r w:rsidR="00660947">
        <w:t>also stated that for these violations, including</w:t>
      </w:r>
      <w:r w:rsidR="00D359F8" w:rsidRPr="00D359F8">
        <w:t xml:space="preserve"> operating without authorization and causing interference, the Communications Act authorizes monetary forfeitures of up to $16,000 for each violation.</w:t>
      </w:r>
      <w:r w:rsidR="00D359F8">
        <w:rPr>
          <w:rStyle w:val="FootnoteReference"/>
        </w:rPr>
        <w:footnoteReference w:id="43"/>
      </w:r>
      <w:r w:rsidR="00275AEF">
        <w:t xml:space="preserve">  Given the concerns raised </w:t>
      </w:r>
      <w:r w:rsidR="0098167B">
        <w:t xml:space="preserve">and actions taken by the Enforcement Bureau </w:t>
      </w:r>
      <w:r w:rsidR="00275AEF">
        <w:t xml:space="preserve">in 2010 and 2011 concerning the interference from </w:t>
      </w:r>
      <w:r w:rsidR="0098167B">
        <w:t xml:space="preserve">illegal </w:t>
      </w:r>
      <w:r w:rsidR="00275AEF">
        <w:t xml:space="preserve">U-NII </w:t>
      </w:r>
      <w:r w:rsidR="0098167B">
        <w:t>operations</w:t>
      </w:r>
      <w:r w:rsidR="00275AEF">
        <w:t xml:space="preserve">, we find that Directlink’s </w:t>
      </w:r>
      <w:r w:rsidR="00FE7B67">
        <w:t xml:space="preserve">2012 </w:t>
      </w:r>
      <w:r w:rsidR="00275AEF">
        <w:t>violation</w:t>
      </w:r>
      <w:r w:rsidR="00FE7B67">
        <w:t xml:space="preserve"> </w:t>
      </w:r>
      <w:r w:rsidR="00275AEF">
        <w:t xml:space="preserve">cannot be considered minor nor can it be dismissed with a warning. </w:t>
      </w:r>
    </w:p>
    <w:p w:rsidR="001B54D2" w:rsidRDefault="00660947" w:rsidP="00AB3CCE">
      <w:pPr>
        <w:numPr>
          <w:ilvl w:val="0"/>
          <w:numId w:val="1"/>
        </w:numPr>
        <w:tabs>
          <w:tab w:val="clear" w:pos="1080"/>
          <w:tab w:val="left" w:pos="0"/>
          <w:tab w:val="num" w:pos="1440"/>
        </w:tabs>
        <w:suppressAutoHyphens/>
        <w:autoSpaceDE w:val="0"/>
        <w:autoSpaceDN w:val="0"/>
        <w:adjustRightInd w:val="0"/>
        <w:spacing w:after="120" w:line="240" w:lineRule="atLeast"/>
      </w:pPr>
      <w:r>
        <w:t xml:space="preserve">We also disagree with </w:t>
      </w:r>
      <w:r w:rsidR="00275AEF">
        <w:t>Directlink’s c</w:t>
      </w:r>
      <w:r>
        <w:t xml:space="preserve">ontention that it </w:t>
      </w:r>
      <w:r w:rsidR="00EC28CE">
        <w:t xml:space="preserve">is being </w:t>
      </w:r>
      <w:r w:rsidR="00275AEF">
        <w:t xml:space="preserve">treated differently </w:t>
      </w:r>
      <w:r w:rsidR="00EC28CE">
        <w:t>than</w:t>
      </w:r>
      <w:r w:rsidR="00275AEF">
        <w:t xml:space="preserve"> </w:t>
      </w:r>
      <w:r w:rsidR="00BB6D27">
        <w:t>other similarly si</w:t>
      </w:r>
      <w:r w:rsidR="00275AEF">
        <w:t>tuated violators.</w:t>
      </w:r>
      <w:r w:rsidR="00BB6D27" w:rsidRPr="00BB6D27">
        <w:rPr>
          <w:vertAlign w:val="superscript"/>
        </w:rPr>
        <w:footnoteReference w:id="44"/>
      </w:r>
      <w:r w:rsidR="00BB6D27" w:rsidRPr="00BB6D27">
        <w:t xml:space="preserve"> </w:t>
      </w:r>
      <w:r w:rsidR="00275AEF">
        <w:t xml:space="preserve"> </w:t>
      </w:r>
      <w:r w:rsidR="00E15AC8" w:rsidRPr="00E15AC8">
        <w:t>According to its website, Directlink was “[f]ounded in 2002, [and] is one of the leading fixed wireless broadband providers in Colorado.”</w:t>
      </w:r>
      <w:r w:rsidR="00E15AC8" w:rsidRPr="00E15AC8">
        <w:rPr>
          <w:vertAlign w:val="superscript"/>
        </w:rPr>
        <w:footnoteReference w:id="45"/>
      </w:r>
      <w:r w:rsidR="00983B58">
        <w:t xml:space="preserve"> </w:t>
      </w:r>
      <w:r w:rsidR="00E15AC8" w:rsidRPr="00E15AC8">
        <w:t xml:space="preserve"> </w:t>
      </w:r>
      <w:r w:rsidR="00275AEF">
        <w:t xml:space="preserve">Beginning in 2011, the Enforcement Bureau put </w:t>
      </w:r>
      <w:r w:rsidR="00BB6D27" w:rsidRPr="00BB6D27">
        <w:t xml:space="preserve">wireless internet service providers </w:t>
      </w:r>
      <w:r w:rsidR="00BB6D27">
        <w:t xml:space="preserve">on notice that operating illegally on U-NII frequencies and causing interference to TDWR installations would result in </w:t>
      </w:r>
      <w:r w:rsidR="00EC28CE">
        <w:t xml:space="preserve">a </w:t>
      </w:r>
      <w:r w:rsidR="00BB6D27">
        <w:t xml:space="preserve">notice of apparent liability for forfeiture, and not </w:t>
      </w:r>
      <w:r w:rsidR="00EC28CE">
        <w:t xml:space="preserve">a </w:t>
      </w:r>
      <w:r w:rsidR="00BB6D27">
        <w:t xml:space="preserve">warning, </w:t>
      </w:r>
      <w:r w:rsidR="00E15AC8">
        <w:t xml:space="preserve">for the </w:t>
      </w:r>
      <w:r w:rsidR="00BB6D27">
        <w:t xml:space="preserve">first </w:t>
      </w:r>
      <w:r w:rsidR="00E15AC8">
        <w:t>violation</w:t>
      </w:r>
      <w:r w:rsidR="00BB6D27">
        <w:t>.</w:t>
      </w:r>
      <w:r w:rsidR="00BB6D27">
        <w:rPr>
          <w:rStyle w:val="FootnoteReference"/>
        </w:rPr>
        <w:footnoteReference w:id="46"/>
      </w:r>
      <w:r w:rsidR="00BB6D27">
        <w:t xml:space="preserve">  </w:t>
      </w:r>
      <w:r w:rsidR="00DE1979">
        <w:t>In particular, prior to</w:t>
      </w:r>
      <w:r w:rsidR="00E15AC8">
        <w:t xml:space="preserve"> Directlink’s violations, </w:t>
      </w:r>
      <w:r w:rsidR="00DE1979">
        <w:t>two other</w:t>
      </w:r>
      <w:r w:rsidR="00DE1979" w:rsidRPr="00DE1979">
        <w:t xml:space="preserve"> wireless internet service providers </w:t>
      </w:r>
      <w:r w:rsidR="00DE1979">
        <w:t xml:space="preserve">were issued notices of apparent liability for forfeiture for operating devices illegally on </w:t>
      </w:r>
      <w:r w:rsidR="00BB6D27">
        <w:t>U-NII</w:t>
      </w:r>
      <w:r w:rsidR="00DE1979">
        <w:t xml:space="preserve"> frequencies, in violation of Section 301 of the Act, and for</w:t>
      </w:r>
      <w:r w:rsidR="00401E2B">
        <w:t xml:space="preserve"> not activating or</w:t>
      </w:r>
      <w:r w:rsidR="00DE1979">
        <w:t xml:space="preserve"> intentionally disabling the available DFS on Ubiquiti tran</w:t>
      </w:r>
      <w:r w:rsidR="00EC28CE">
        <w:t>sceivers</w:t>
      </w:r>
      <w:r w:rsidR="00DE1979">
        <w:t>, in violation of Section 302(b) of the Act.</w:t>
      </w:r>
      <w:r w:rsidR="00DE1979">
        <w:rPr>
          <w:rStyle w:val="FootnoteReference"/>
        </w:rPr>
        <w:footnoteReference w:id="47"/>
      </w:r>
      <w:r w:rsidR="00BB6D27">
        <w:t xml:space="preserve"> </w:t>
      </w:r>
      <w:r w:rsidR="00DE1979">
        <w:t xml:space="preserve"> Both of these </w:t>
      </w:r>
      <w:r w:rsidR="00BB6D27">
        <w:t xml:space="preserve">operators </w:t>
      </w:r>
      <w:r w:rsidR="00EC28CE">
        <w:t>received proposed</w:t>
      </w:r>
      <w:r w:rsidR="00DE1979">
        <w:t xml:space="preserve"> forfeiture amounts of $25,000, the same amount proposed to Directlink for t</w:t>
      </w:r>
      <w:r w:rsidR="00EC28CE">
        <w:t>h</w:t>
      </w:r>
      <w:r w:rsidR="00DE1979">
        <w:t>e same violations.</w:t>
      </w:r>
      <w:r w:rsidR="00EC28CE">
        <w:rPr>
          <w:rStyle w:val="FootnoteReference"/>
        </w:rPr>
        <w:footnoteReference w:id="48"/>
      </w:r>
      <w:r w:rsidR="00EC28CE">
        <w:t xml:space="preserve"> </w:t>
      </w:r>
      <w:r w:rsidR="00A41280">
        <w:t xml:space="preserve"> </w:t>
      </w:r>
      <w:r w:rsidR="00A53CEB">
        <w:t>Given it</w:t>
      </w:r>
      <w:r w:rsidR="00A41280">
        <w:t>s</w:t>
      </w:r>
      <w:r w:rsidR="00A53CEB">
        <w:t xml:space="preserve"> </w:t>
      </w:r>
      <w:r w:rsidR="009546CF">
        <w:t xml:space="preserve">advertised </w:t>
      </w:r>
      <w:r w:rsidR="00A53CEB">
        <w:t xml:space="preserve">long term status as a commercial wireless internet services provider, we see no reason not to treat Directlink as other providers, who were aware they were operating equipment on unauthorized frequencies and </w:t>
      </w:r>
      <w:r w:rsidR="009546CF">
        <w:t xml:space="preserve">were not operating the device with the required, and available, </w:t>
      </w:r>
      <w:r w:rsidR="00A53CEB">
        <w:t>functionality to avoid interference with TDWR radar.</w:t>
      </w:r>
      <w:r w:rsidR="00A53CEB">
        <w:rPr>
          <w:rStyle w:val="FootnoteReference"/>
        </w:rPr>
        <w:footnoteReference w:id="49"/>
      </w:r>
      <w:r w:rsidR="00A53CEB">
        <w:t xml:space="preserve"> </w:t>
      </w:r>
    </w:p>
    <w:p w:rsidR="00AD2566" w:rsidRDefault="00130F1B" w:rsidP="009732BD">
      <w:pPr>
        <w:numPr>
          <w:ilvl w:val="0"/>
          <w:numId w:val="1"/>
        </w:numPr>
        <w:tabs>
          <w:tab w:val="clear" w:pos="1080"/>
          <w:tab w:val="left" w:pos="0"/>
          <w:tab w:val="num" w:pos="1440"/>
        </w:tabs>
        <w:suppressAutoHyphens/>
        <w:autoSpaceDE w:val="0"/>
        <w:autoSpaceDN w:val="0"/>
        <w:adjustRightInd w:val="0"/>
        <w:spacing w:after="240" w:line="240" w:lineRule="atLeast"/>
      </w:pPr>
      <w:r>
        <w:t>Directlink</w:t>
      </w:r>
      <w:r w:rsidR="001B54D2">
        <w:t xml:space="preserve"> also</w:t>
      </w:r>
      <w:r w:rsidR="00F52046">
        <w:t xml:space="preserve"> argues that the</w:t>
      </w:r>
      <w:r w:rsidRPr="00130F1B">
        <w:t xml:space="preserve"> remedial measures</w:t>
      </w:r>
      <w:r w:rsidR="00F52046">
        <w:t xml:space="preserve"> it took to </w:t>
      </w:r>
      <w:r w:rsidRPr="00130F1B">
        <w:t>correct its violations</w:t>
      </w:r>
      <w:r>
        <w:t xml:space="preserve"> after working with the Denver Office agents</w:t>
      </w:r>
      <w:r w:rsidR="00F52046">
        <w:t xml:space="preserve"> evidences its good faith,</w:t>
      </w:r>
      <w:r w:rsidR="00F52046">
        <w:rPr>
          <w:rStyle w:val="FootnoteReference"/>
        </w:rPr>
        <w:footnoteReference w:id="50"/>
      </w:r>
      <w:r w:rsidR="00F52046">
        <w:t xml:space="preserve"> </w:t>
      </w:r>
      <w:r w:rsidR="001B54D2">
        <w:t xml:space="preserve">however, </w:t>
      </w:r>
      <w:r w:rsidRPr="00130F1B">
        <w:t>the Commission will not reduce forfeiture amounts for remedial efforts taken after Commission involvement.</w:t>
      </w:r>
      <w:r w:rsidRPr="00130F1B">
        <w:rPr>
          <w:vertAlign w:val="superscript"/>
        </w:rPr>
        <w:footnoteReference w:id="51"/>
      </w:r>
      <w:r w:rsidRPr="00130F1B">
        <w:t xml:space="preserve">  </w:t>
      </w:r>
      <w:r w:rsidR="00F52046">
        <w:t>We have also reviewed the tax records provided by Direc</w:t>
      </w:r>
      <w:r w:rsidR="00C85BE3">
        <w:t>t</w:t>
      </w:r>
      <w:r w:rsidR="00F52046">
        <w:t>link and find that they do not justify a reduction based on inability to pay.</w:t>
      </w:r>
      <w:r w:rsidR="00DE4CEB">
        <w:t xml:space="preserve"> </w:t>
      </w:r>
      <w:r w:rsidR="00F52046">
        <w:t xml:space="preserve"> </w:t>
      </w:r>
      <w:r w:rsidR="00F52046" w:rsidRPr="00F52046">
        <w:rPr>
          <w:color w:val="000000"/>
          <w:spacing w:val="-2"/>
        </w:rPr>
        <w:t>With regard to an individual’s or entity’s inability to pay claim, the Commission has determined that, in general, gross income or revenues are the best indicator of an ability to pay a forfeiture.</w:t>
      </w:r>
      <w:r w:rsidR="00F52046" w:rsidRPr="00F52046">
        <w:rPr>
          <w:color w:val="000000"/>
          <w:spacing w:val="-2"/>
          <w:vertAlign w:val="superscript"/>
        </w:rPr>
        <w:footnoteReference w:id="52"/>
      </w:r>
      <w:r w:rsidR="00F52046" w:rsidRPr="00F52046">
        <w:rPr>
          <w:color w:val="000000"/>
          <w:spacing w:val="-2"/>
        </w:rPr>
        <w:t xml:space="preserve">  While the Commission has in a few limited cases looked to other factors, including profits and losses, to determine ability to pay, those cases involved licensees in severe financial distress.</w:t>
      </w:r>
      <w:r w:rsidR="00F52046" w:rsidRPr="00F52046">
        <w:rPr>
          <w:color w:val="000000"/>
          <w:spacing w:val="-2"/>
          <w:sz w:val="20"/>
          <w:szCs w:val="20"/>
          <w:vertAlign w:val="superscript"/>
        </w:rPr>
        <w:footnoteReference w:id="53"/>
      </w:r>
      <w:r w:rsidR="00F52046" w:rsidRPr="00F52046">
        <w:rPr>
          <w:color w:val="000000"/>
          <w:spacing w:val="-2"/>
        </w:rPr>
        <w:t xml:space="preserve">  </w:t>
      </w:r>
      <w:r w:rsidR="00F52046">
        <w:rPr>
          <w:color w:val="000000"/>
          <w:spacing w:val="-2"/>
        </w:rPr>
        <w:t>Directlink</w:t>
      </w:r>
      <w:r w:rsidR="00F52046" w:rsidRPr="00F52046">
        <w:rPr>
          <w:color w:val="000000"/>
          <w:spacing w:val="-2"/>
        </w:rPr>
        <w:t xml:space="preserve"> has failed to demonstrate that it is experiencing a level of financial distress that would qualify for an exception to our gross revenues policy.  Based on our review of</w:t>
      </w:r>
      <w:r w:rsidR="00F52046" w:rsidRPr="00F52046">
        <w:t xml:space="preserve"> the financial documents provided by </w:t>
      </w:r>
      <w:r w:rsidR="00C85BE3">
        <w:t>Directlink</w:t>
      </w:r>
      <w:r w:rsidR="00F52046" w:rsidRPr="00F52046">
        <w:t>, we decline to reduce on inability to pay grounds.</w:t>
      </w:r>
      <w:r w:rsidR="00F52046" w:rsidRPr="00F52046">
        <w:rPr>
          <w:sz w:val="20"/>
          <w:szCs w:val="20"/>
          <w:vertAlign w:val="superscript"/>
        </w:rPr>
        <w:footnoteReference w:id="54"/>
      </w:r>
      <w:r w:rsidR="00E04C93">
        <w:t xml:space="preserve">  </w:t>
      </w:r>
    </w:p>
    <w:p w:rsidR="00EA6283" w:rsidRPr="00A53CEB" w:rsidRDefault="00C85BE3" w:rsidP="009732BD">
      <w:pPr>
        <w:numPr>
          <w:ilvl w:val="0"/>
          <w:numId w:val="1"/>
        </w:numPr>
        <w:tabs>
          <w:tab w:val="clear" w:pos="1080"/>
          <w:tab w:val="left" w:pos="0"/>
          <w:tab w:val="num" w:pos="1440"/>
        </w:tabs>
        <w:suppressAutoHyphens/>
        <w:autoSpaceDE w:val="0"/>
        <w:autoSpaceDN w:val="0"/>
        <w:adjustRightInd w:val="0"/>
        <w:spacing w:after="240" w:line="240" w:lineRule="atLeast"/>
      </w:pPr>
      <w:r>
        <w:t>Direc</w:t>
      </w:r>
      <w:r w:rsidR="00A53CEB">
        <w:t>t</w:t>
      </w:r>
      <w:r>
        <w:t xml:space="preserve">link </w:t>
      </w:r>
      <w:r w:rsidR="00EA6283" w:rsidRPr="00E04C93">
        <w:rPr>
          <w:color w:val="000000"/>
        </w:rPr>
        <w:t>also requests that the proposed forfeiture be reduced based on</w:t>
      </w:r>
      <w:r w:rsidR="00C04776" w:rsidRPr="00E04C93">
        <w:rPr>
          <w:color w:val="000000"/>
        </w:rPr>
        <w:t xml:space="preserve"> </w:t>
      </w:r>
      <w:r w:rsidR="00693986" w:rsidRPr="00E04C93">
        <w:rPr>
          <w:color w:val="000000"/>
        </w:rPr>
        <w:t>its</w:t>
      </w:r>
      <w:r w:rsidR="00EA6283" w:rsidRPr="00E04C93">
        <w:rPr>
          <w:color w:val="000000"/>
        </w:rPr>
        <w:t xml:space="preserve"> history of compliance with the Rules.</w:t>
      </w:r>
      <w:r w:rsidR="008D32B9">
        <w:rPr>
          <w:rStyle w:val="FootnoteReference"/>
          <w:color w:val="000000"/>
        </w:rPr>
        <w:footnoteReference w:id="55"/>
      </w:r>
      <w:r w:rsidR="00EA6283" w:rsidRPr="00E04C93">
        <w:rPr>
          <w:color w:val="000000"/>
        </w:rPr>
        <w:t xml:space="preserve">  </w:t>
      </w:r>
      <w:r w:rsidR="008A39C4">
        <w:t>P</w:t>
      </w:r>
      <w:r w:rsidR="00EA6283" w:rsidRPr="00EA6283">
        <w:t xml:space="preserve">rior to this violation, </w:t>
      </w:r>
      <w:r w:rsidR="00A53CEB">
        <w:t>Directlink</w:t>
      </w:r>
      <w:r w:rsidR="00EA6283" w:rsidRPr="00EA6283">
        <w:t xml:space="preserve"> had no violations of the Act or the Rules and, therefore, consistent with the adjustment factors,</w:t>
      </w:r>
      <w:r w:rsidR="00EA6283" w:rsidRPr="00EA6283">
        <w:rPr>
          <w:vertAlign w:val="superscript"/>
        </w:rPr>
        <w:footnoteReference w:id="56"/>
      </w:r>
      <w:r w:rsidR="00EA6283" w:rsidRPr="00EA6283">
        <w:t xml:space="preserve"> we find that </w:t>
      </w:r>
      <w:r w:rsidR="00EA6283" w:rsidRPr="00E04C93">
        <w:rPr>
          <w:bCs/>
        </w:rPr>
        <w:t>reduction</w:t>
      </w:r>
      <w:r w:rsidR="00EA6283" w:rsidRPr="00EA6283">
        <w:t xml:space="preserve"> of the forfeiture based on </w:t>
      </w:r>
      <w:r w:rsidR="00A53CEB">
        <w:t>Directlink</w:t>
      </w:r>
      <w:r w:rsidR="00EA6283" w:rsidRPr="00EA6283">
        <w:t xml:space="preserve">’s </w:t>
      </w:r>
      <w:r w:rsidR="00EA6283" w:rsidRPr="00E04C93">
        <w:rPr>
          <w:bCs/>
        </w:rPr>
        <w:t>history</w:t>
      </w:r>
      <w:r w:rsidR="00EA6283" w:rsidRPr="00EA6283">
        <w:t xml:space="preserve"> of </w:t>
      </w:r>
      <w:r w:rsidR="00EA6283" w:rsidRPr="00E04C93">
        <w:rPr>
          <w:bCs/>
        </w:rPr>
        <w:t>compliance</w:t>
      </w:r>
      <w:r w:rsidR="00EA6283" w:rsidRPr="00EA6283">
        <w:t xml:space="preserve"> with the Rules is warranted and </w:t>
      </w:r>
      <w:r w:rsidR="00EA6283" w:rsidRPr="00E04C93">
        <w:rPr>
          <w:bCs/>
        </w:rPr>
        <w:t>reduce</w:t>
      </w:r>
      <w:r w:rsidR="00EA6283" w:rsidRPr="00EA6283">
        <w:t xml:space="preserve"> the forfeiture by $</w:t>
      </w:r>
      <w:r w:rsidR="00A53CEB">
        <w:t>5</w:t>
      </w:r>
      <w:r w:rsidR="00EA6283" w:rsidRPr="00EA6283">
        <w:t>,</w:t>
      </w:r>
      <w:r w:rsidR="00C04776">
        <w:t>0</w:t>
      </w:r>
      <w:r w:rsidR="00EA6283" w:rsidRPr="00EA6283">
        <w:t>00.</w:t>
      </w:r>
      <w:r w:rsidR="00EA6283" w:rsidRPr="00E04C93">
        <w:rPr>
          <w:b/>
        </w:rPr>
        <w:t xml:space="preserve"> </w:t>
      </w:r>
      <w:r w:rsidR="00E25A8B">
        <w:rPr>
          <w:b/>
        </w:rPr>
        <w:t xml:space="preserve"> </w:t>
      </w:r>
      <w:r w:rsidR="00EA6283" w:rsidRPr="00E04C93">
        <w:rPr>
          <w:spacing w:val="-2"/>
        </w:rPr>
        <w:t xml:space="preserve">Therefore, after consideration of the entire record and the factors listed above, we find that a </w:t>
      </w:r>
      <w:r w:rsidR="00C04776" w:rsidRPr="00E04C93">
        <w:rPr>
          <w:spacing w:val="-2"/>
        </w:rPr>
        <w:t>f</w:t>
      </w:r>
      <w:r w:rsidR="00EA6283" w:rsidRPr="00E04C93">
        <w:rPr>
          <w:spacing w:val="-2"/>
        </w:rPr>
        <w:t>orfeiture in the amount of $</w:t>
      </w:r>
      <w:r w:rsidR="00C04776" w:rsidRPr="00E04C93">
        <w:rPr>
          <w:spacing w:val="-2"/>
        </w:rPr>
        <w:t>2</w:t>
      </w:r>
      <w:r w:rsidR="00A53CEB" w:rsidRPr="00E04C93">
        <w:rPr>
          <w:spacing w:val="-2"/>
        </w:rPr>
        <w:t>0</w:t>
      </w:r>
      <w:r w:rsidR="00EA6283" w:rsidRPr="00E04C93">
        <w:rPr>
          <w:spacing w:val="-2"/>
        </w:rPr>
        <w:t>,</w:t>
      </w:r>
      <w:r w:rsidR="00C04776" w:rsidRPr="00E04C93">
        <w:rPr>
          <w:spacing w:val="-2"/>
        </w:rPr>
        <w:t>0</w:t>
      </w:r>
      <w:r w:rsidR="00EA6283" w:rsidRPr="00E04C93">
        <w:rPr>
          <w:spacing w:val="-2"/>
        </w:rPr>
        <w:t>00 is warranted.</w:t>
      </w:r>
    </w:p>
    <w:p w:rsidR="00C04776" w:rsidRPr="009732BD" w:rsidRDefault="00C04776" w:rsidP="009732BD">
      <w:pPr>
        <w:pStyle w:val="ListParagraph"/>
        <w:numPr>
          <w:ilvl w:val="0"/>
          <w:numId w:val="3"/>
        </w:numPr>
        <w:tabs>
          <w:tab w:val="clear" w:pos="1080"/>
          <w:tab w:val="num" w:pos="720"/>
        </w:tabs>
        <w:suppressAutoHyphens/>
        <w:autoSpaceDE w:val="0"/>
        <w:autoSpaceDN w:val="0"/>
        <w:adjustRightInd w:val="0"/>
        <w:spacing w:line="240" w:lineRule="atLeast"/>
        <w:ind w:hanging="1080"/>
        <w:rPr>
          <w:b/>
        </w:rPr>
      </w:pPr>
      <w:bookmarkStart w:id="1" w:name="_Toc70235218"/>
      <w:r w:rsidRPr="009732BD">
        <w:rPr>
          <w:b/>
        </w:rPr>
        <w:t>ORDERING CLAUSES</w:t>
      </w:r>
      <w:bookmarkEnd w:id="1"/>
    </w:p>
    <w:p w:rsidR="00C04776" w:rsidRDefault="00C04776" w:rsidP="0098167B">
      <w:pPr>
        <w:pStyle w:val="ListParagraph"/>
        <w:rPr>
          <w:b/>
        </w:rPr>
      </w:pPr>
    </w:p>
    <w:p w:rsidR="00C04776" w:rsidRPr="00EC28CE" w:rsidRDefault="00322659" w:rsidP="0098167B">
      <w:pPr>
        <w:pStyle w:val="ParaNum"/>
        <w:numPr>
          <w:ilvl w:val="0"/>
          <w:numId w:val="1"/>
        </w:numPr>
        <w:tabs>
          <w:tab w:val="clear" w:pos="1080"/>
        </w:tabs>
        <w:spacing w:after="0" w:line="240" w:lineRule="atLeast"/>
        <w:rPr>
          <w:b/>
        </w:rPr>
      </w:pPr>
      <w:r>
        <w:t xml:space="preserve">Accordingly, </w:t>
      </w:r>
      <w:r w:rsidRPr="00EC28CE">
        <w:rPr>
          <w:b/>
        </w:rPr>
        <w:t>IT IS ORDERED</w:t>
      </w:r>
      <w:r>
        <w:t xml:space="preserve"> that, pursuant to Section 503(b) of the Communications Act of 1934, as amended, and Sections 0.111, 0.204, 0.311, 0.314, and 1.80(f)(4) of the Commission’s rules,</w:t>
      </w:r>
      <w:r w:rsidR="00CF4CE0" w:rsidRPr="00CF4CE0">
        <w:t xml:space="preserve"> </w:t>
      </w:r>
      <w:r w:rsidR="00EC28CE" w:rsidRPr="00EC28CE">
        <w:t>Directlink, LLC</w:t>
      </w:r>
      <w:r w:rsidR="00EC28CE">
        <w:t xml:space="preserve">, </w:t>
      </w:r>
      <w:r w:rsidRPr="00EC28CE">
        <w:rPr>
          <w:b/>
        </w:rPr>
        <w:t>IS LIABLE FOR A MONETARY FORFEITURE</w:t>
      </w:r>
      <w:r>
        <w:t xml:space="preserve"> in the amount of tw</w:t>
      </w:r>
      <w:r w:rsidR="00E15AC8">
        <w:t>enty</w:t>
      </w:r>
      <w:r>
        <w:t xml:space="preserve"> thousand dollars ($</w:t>
      </w:r>
      <w:r w:rsidR="00CF4CE0">
        <w:t>2</w:t>
      </w:r>
      <w:r w:rsidR="00E15AC8">
        <w:t>0</w:t>
      </w:r>
      <w:r>
        <w:t>,000) for violations of Section</w:t>
      </w:r>
      <w:r w:rsidR="00D344D9">
        <w:t>s</w:t>
      </w:r>
      <w:r>
        <w:t xml:space="preserve"> 301 </w:t>
      </w:r>
      <w:r w:rsidR="00D344D9">
        <w:t xml:space="preserve">and 302(b) </w:t>
      </w:r>
      <w:r>
        <w:t xml:space="preserve">of the Communications Act and Section 15.1(b) </w:t>
      </w:r>
      <w:r w:rsidR="00D344D9">
        <w:t xml:space="preserve">and 15.1(c) </w:t>
      </w:r>
      <w:r>
        <w:t>of the Commission’s rules.</w:t>
      </w:r>
      <w:r>
        <w:rPr>
          <w:rStyle w:val="FootnoteReference"/>
        </w:rPr>
        <w:footnoteReference w:id="57"/>
      </w:r>
      <w:r>
        <w:t xml:space="preserve"> </w:t>
      </w:r>
    </w:p>
    <w:p w:rsidR="00C04776" w:rsidRDefault="00C04776" w:rsidP="0098167B">
      <w:pPr>
        <w:pStyle w:val="ListParagraph"/>
      </w:pPr>
    </w:p>
    <w:p w:rsidR="00C04776" w:rsidRPr="00EC28CE" w:rsidRDefault="00322659" w:rsidP="0098167B">
      <w:pPr>
        <w:pStyle w:val="ParaNum"/>
        <w:numPr>
          <w:ilvl w:val="0"/>
          <w:numId w:val="1"/>
        </w:numPr>
        <w:tabs>
          <w:tab w:val="clear" w:pos="1080"/>
        </w:tabs>
        <w:spacing w:after="0" w:line="240" w:lineRule="atLeast"/>
        <w:rPr>
          <w:b/>
        </w:rPr>
      </w:pPr>
      <w:r>
        <w:t>Payment</w:t>
      </w:r>
      <w:r w:rsidRPr="00EC28CE">
        <w:rPr>
          <w:rFonts w:eastAsia="MS Mincho"/>
        </w:rPr>
        <w:t xml:space="preserve"> of the forfeiture shall be made in the manner provided for in Section 1.80 of the Rules within thirty (30) calendar days after the release date of this Forfeiture Order.</w:t>
      </w:r>
      <w:r>
        <w:rPr>
          <w:rStyle w:val="FootnoteReference"/>
          <w:rFonts w:eastAsia="MS Mincho"/>
        </w:rPr>
        <w:footnoteReference w:id="58"/>
      </w:r>
      <w:r w:rsidRPr="00EC28CE">
        <w:rPr>
          <w:rFonts w:eastAsia="MS Mincho"/>
        </w:rPr>
        <w:t xml:space="preserve">  If the forfeiture is not paid within the period specified, the case may be referred to the U.S. Department of Justice for enforcement of the forfeiture pursuant to Section 504(a) of the Act.</w:t>
      </w:r>
      <w:r>
        <w:rPr>
          <w:rStyle w:val="FootnoteReference"/>
          <w:rFonts w:eastAsia="MS Mincho"/>
        </w:rPr>
        <w:footnoteReference w:id="59"/>
      </w:r>
      <w:r w:rsidRPr="00EC28CE">
        <w:rPr>
          <w:rFonts w:eastAsia="MS Mincho"/>
        </w:rPr>
        <w:t> </w:t>
      </w:r>
      <w:r w:rsidR="00EC28CE" w:rsidRPr="00EC28CE">
        <w:rPr>
          <w:rFonts w:eastAsia="MS Mincho"/>
        </w:rPr>
        <w:t xml:space="preserve">Directlink, LLC, </w:t>
      </w:r>
      <w:r w:rsidR="00CF4CE0">
        <w:t xml:space="preserve">shall </w:t>
      </w:r>
      <w:r w:rsidRPr="00EC28CE">
        <w:rPr>
          <w:rFonts w:eastAsia="MS Mincho"/>
        </w:rPr>
        <w:t xml:space="preserve">send electronic notification of payment to </w:t>
      </w:r>
      <w:r w:rsidR="000C35B0" w:rsidRPr="00EC28CE">
        <w:rPr>
          <w:rFonts w:eastAsia="MS Mincho"/>
        </w:rPr>
        <w:t>WR</w:t>
      </w:r>
      <w:r w:rsidR="000C35B0" w:rsidRPr="00EC28CE">
        <w:t>-Response@fcc.gov</w:t>
      </w:r>
      <w:r w:rsidR="00EC28CE">
        <w:rPr>
          <w:rFonts w:eastAsia="MS Mincho"/>
        </w:rPr>
        <w:t xml:space="preserve"> </w:t>
      </w:r>
      <w:r w:rsidRPr="00EC28CE">
        <w:rPr>
          <w:rFonts w:eastAsia="MS Mincho"/>
        </w:rPr>
        <w:t>on the date said payment is made.</w:t>
      </w:r>
      <w:r>
        <w:t xml:space="preserve">  </w:t>
      </w:r>
      <w:r w:rsidRPr="00EC28CE">
        <w:rPr>
          <w:rFonts w:eastAsia="MS Mincho"/>
        </w:rPr>
        <w:t>The </w:t>
      </w:r>
      <w:r>
        <w:t>payment</w:t>
      </w:r>
      <w:r w:rsidRPr="00EC28CE">
        <w:rPr>
          <w:rFonts w:eastAsia="MS Mincho"/>
        </w:rPr>
        <w:t xml:space="preserve"> must be made by check or similar instrument, wire transfer, or credit card, and must include the NAL/Account number and FRN referenced above.  Regardless of the form of payment, a completed FCC Form 159 (Remittance Advice) must be submitted.</w:t>
      </w:r>
      <w:r>
        <w:rPr>
          <w:rStyle w:val="FootnoteReference"/>
          <w:rFonts w:eastAsia="MS Mincho"/>
        </w:rPr>
        <w:footnoteReference w:id="60"/>
      </w:r>
      <w:r w:rsidRPr="00EC28CE">
        <w:rPr>
          <w:rFonts w:eastAsia="MS Mincho"/>
        </w:rPr>
        <w:t xml:space="preserve">  When completing the FCC Form 159, enter the Account Number in block number 23A (call sign/other ID) and enter the letters “FORF” in block number 24A (payment type code).   </w:t>
      </w:r>
      <w:r w:rsidRPr="00EC28CE">
        <w:rPr>
          <w:color w:val="000000"/>
        </w:rPr>
        <w:t>Below are additional instructions you should follow based on the form of payment you select:</w:t>
      </w:r>
    </w:p>
    <w:p w:rsidR="00C04776" w:rsidRPr="00C04776" w:rsidRDefault="00C04776" w:rsidP="0098167B">
      <w:pPr>
        <w:pStyle w:val="ParaNum"/>
        <w:numPr>
          <w:ilvl w:val="0"/>
          <w:numId w:val="0"/>
        </w:numPr>
        <w:spacing w:after="0" w:line="240" w:lineRule="atLeast"/>
        <w:rPr>
          <w:b/>
        </w:rPr>
      </w:pPr>
    </w:p>
    <w:p w:rsidR="00C04776" w:rsidRDefault="00C04776" w:rsidP="0098167B">
      <w:pPr>
        <w:pStyle w:val="ParaNum"/>
        <w:numPr>
          <w:ilvl w:val="0"/>
          <w:numId w:val="10"/>
        </w:numPr>
        <w:snapToGrid w:val="0"/>
        <w:spacing w:after="120"/>
        <w:rPr>
          <w:rFonts w:eastAsia="MS Mincho"/>
        </w:rPr>
      </w:pPr>
      <w:r>
        <w:rPr>
          <w:rFonts w:eastAsia="MS Mincho"/>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Pr>
              <w:rFonts w:eastAsia="MS Mincho"/>
            </w:rPr>
            <w:t>P.O. Box 979088</w:t>
          </w:r>
        </w:smartTag>
        <w:r>
          <w:rPr>
            <w:rFonts w:eastAsia="MS Mincho"/>
          </w:rPr>
          <w:t xml:space="preserve">, </w:t>
        </w:r>
        <w:smartTag w:uri="urn:schemas-microsoft-com:office:smarttags" w:element="City">
          <w:r>
            <w:rPr>
              <w:rFonts w:eastAsia="MS Mincho"/>
            </w:rPr>
            <w:t>St. Louis</w:t>
          </w:r>
        </w:smartTag>
        <w:r>
          <w:rPr>
            <w:rFonts w:eastAsia="MS Mincho"/>
          </w:rPr>
          <w:t xml:space="preserve">, </w:t>
        </w:r>
        <w:smartTag w:uri="urn:schemas-microsoft-com:office:smarttags" w:element="State">
          <w:r>
            <w:rPr>
              <w:rFonts w:eastAsia="MS Mincho"/>
            </w:rPr>
            <w:t>MO</w:t>
          </w:r>
        </w:smartTag>
        <w:r>
          <w:rPr>
            <w:rFonts w:eastAsia="MS Mincho"/>
          </w:rPr>
          <w:t xml:space="preserve"> </w:t>
        </w:r>
        <w:smartTag w:uri="urn:schemas-microsoft-com:office:smarttags" w:element="PostalCode">
          <w:r>
            <w:rPr>
              <w:rFonts w:eastAsia="MS Mincho"/>
            </w:rPr>
            <w:t>63197-9000</w:t>
          </w:r>
        </w:smartTag>
      </w:smartTag>
      <w:r>
        <w:rPr>
          <w:rFonts w:eastAsia="MS Mincho"/>
        </w:rPr>
        <w:t xml:space="preserve">, or sent via overnight mail to U.S. Bank – Government Lockbox #979088, SL-MO-C2-GL, 1005 </w:t>
      </w:r>
      <w:smartTag w:uri="urn:schemas-microsoft-com:office:smarttags" w:element="PlaceName">
        <w:r>
          <w:rPr>
            <w:rFonts w:eastAsia="MS Mincho"/>
          </w:rPr>
          <w:t>Convention</w:t>
        </w:r>
      </w:smartTag>
      <w:r>
        <w:rPr>
          <w:rFonts w:eastAsia="MS Mincho"/>
        </w:rPr>
        <w:t xml:space="preserve"> </w:t>
      </w:r>
      <w:smartTag w:uri="urn:schemas-microsoft-com:office:smarttags" w:element="PlaceType">
        <w:r>
          <w:rPr>
            <w:rFonts w:eastAsia="MS Mincho"/>
          </w:rPr>
          <w:t>Plaza</w:t>
        </w:r>
      </w:smartTag>
      <w:r>
        <w:rPr>
          <w:rFonts w:eastAsia="MS Mincho"/>
        </w:rPr>
        <w:t xml:space="preserve">, </w:t>
      </w:r>
      <w:smartTag w:uri="urn:schemas-microsoft-com:office:smarttags" w:element="place">
        <w:smartTag w:uri="urn:schemas-microsoft-com:office:smarttags" w:element="City">
          <w:r>
            <w:rPr>
              <w:rFonts w:eastAsia="MS Mincho"/>
            </w:rPr>
            <w:t>St. Louis</w:t>
          </w:r>
        </w:smartTag>
        <w:r>
          <w:rPr>
            <w:rFonts w:eastAsia="MS Mincho"/>
          </w:rPr>
          <w:t xml:space="preserve">, </w:t>
        </w:r>
        <w:smartTag w:uri="urn:schemas-microsoft-com:office:smarttags" w:element="State">
          <w:r>
            <w:rPr>
              <w:rFonts w:eastAsia="MS Mincho"/>
            </w:rPr>
            <w:t>MO</w:t>
          </w:r>
        </w:smartTag>
        <w:r>
          <w:rPr>
            <w:rFonts w:eastAsia="MS Mincho"/>
          </w:rPr>
          <w:t xml:space="preserve"> </w:t>
        </w:r>
        <w:smartTag w:uri="urn:schemas-microsoft-com:office:smarttags" w:element="PostalCode">
          <w:r>
            <w:rPr>
              <w:rFonts w:eastAsia="MS Mincho"/>
            </w:rPr>
            <w:t>63101</w:t>
          </w:r>
        </w:smartTag>
      </w:smartTag>
      <w:r>
        <w:rPr>
          <w:rFonts w:eastAsia="MS Mincho"/>
        </w:rPr>
        <w:t xml:space="preserve">.  </w:t>
      </w:r>
    </w:p>
    <w:p w:rsidR="00C04776" w:rsidRDefault="00C04776" w:rsidP="0098167B">
      <w:pPr>
        <w:pStyle w:val="ParaNum"/>
        <w:numPr>
          <w:ilvl w:val="0"/>
          <w:numId w:val="10"/>
        </w:numPr>
        <w:snapToGrid w:val="0"/>
        <w:spacing w:after="120"/>
        <w:rPr>
          <w:rFonts w:eastAsia="MS Mincho"/>
        </w:rPr>
      </w:pPr>
      <w:r>
        <w:rPr>
          <w:rFonts w:eastAsia="MS Mincho"/>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C04776" w:rsidRDefault="00C04776" w:rsidP="0098167B">
      <w:pPr>
        <w:pStyle w:val="ParaNum"/>
        <w:numPr>
          <w:ilvl w:val="0"/>
          <w:numId w:val="10"/>
        </w:numPr>
        <w:snapToGrid w:val="0"/>
        <w:spacing w:after="120"/>
        <w:rPr>
          <w:rFonts w:eastAsia="MS Mincho"/>
        </w:rPr>
      </w:pPr>
      <w:r>
        <w:rPr>
          <w:rFonts w:eastAsia="MS Mincho"/>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w:t>
      </w:r>
      <w:smartTag w:uri="urn:schemas-microsoft-com:office:smarttags" w:element="address">
        <w:smartTag w:uri="urn:schemas-microsoft-com:office:smarttags" w:element="Street">
          <w:r>
            <w:rPr>
              <w:rFonts w:eastAsia="MS Mincho"/>
            </w:rPr>
            <w:t>P.O. Box 979088</w:t>
          </w:r>
        </w:smartTag>
        <w:r>
          <w:rPr>
            <w:rFonts w:eastAsia="MS Mincho"/>
          </w:rPr>
          <w:t xml:space="preserve">, </w:t>
        </w:r>
        <w:smartTag w:uri="urn:schemas-microsoft-com:office:smarttags" w:element="City">
          <w:r>
            <w:rPr>
              <w:rFonts w:eastAsia="MS Mincho"/>
            </w:rPr>
            <w:t>St. Louis</w:t>
          </w:r>
        </w:smartTag>
        <w:r>
          <w:rPr>
            <w:rFonts w:eastAsia="MS Mincho"/>
          </w:rPr>
          <w:t xml:space="preserve">, </w:t>
        </w:r>
        <w:smartTag w:uri="urn:schemas-microsoft-com:office:smarttags" w:element="State">
          <w:r>
            <w:rPr>
              <w:rFonts w:eastAsia="MS Mincho"/>
            </w:rPr>
            <w:t>MO</w:t>
          </w:r>
        </w:smartTag>
        <w:r>
          <w:rPr>
            <w:rFonts w:eastAsia="MS Mincho"/>
          </w:rPr>
          <w:t xml:space="preserve"> </w:t>
        </w:r>
        <w:smartTag w:uri="urn:schemas-microsoft-com:office:smarttags" w:element="PostalCode">
          <w:r>
            <w:rPr>
              <w:rFonts w:eastAsia="MS Mincho"/>
            </w:rPr>
            <w:t>63197-9000</w:t>
          </w:r>
        </w:smartTag>
      </w:smartTag>
      <w:r>
        <w:rPr>
          <w:rFonts w:eastAsia="MS Mincho"/>
        </w:rPr>
        <w:t xml:space="preserve">, or sent via overnight mail to U.S. Bank – Government Lockbox #979088, SL-MO-C2-GL, 1005 </w:t>
      </w:r>
      <w:smartTag w:uri="urn:schemas-microsoft-com:office:smarttags" w:element="PlaceName">
        <w:r>
          <w:rPr>
            <w:rFonts w:eastAsia="MS Mincho"/>
          </w:rPr>
          <w:t>Convention</w:t>
        </w:r>
      </w:smartTag>
      <w:r>
        <w:rPr>
          <w:rFonts w:eastAsia="MS Mincho"/>
        </w:rPr>
        <w:t xml:space="preserve"> </w:t>
      </w:r>
      <w:smartTag w:uri="urn:schemas-microsoft-com:office:smarttags" w:element="PlaceType">
        <w:r>
          <w:rPr>
            <w:rFonts w:eastAsia="MS Mincho"/>
          </w:rPr>
          <w:t>Plaza</w:t>
        </w:r>
      </w:smartTag>
      <w:r>
        <w:rPr>
          <w:rFonts w:eastAsia="MS Mincho"/>
        </w:rPr>
        <w:t xml:space="preserve">, </w:t>
      </w:r>
      <w:smartTag w:uri="urn:schemas-microsoft-com:office:smarttags" w:element="place">
        <w:smartTag w:uri="urn:schemas-microsoft-com:office:smarttags" w:element="City">
          <w:r>
            <w:rPr>
              <w:rFonts w:eastAsia="MS Mincho"/>
            </w:rPr>
            <w:t>St. Louis</w:t>
          </w:r>
        </w:smartTag>
        <w:r>
          <w:rPr>
            <w:rFonts w:eastAsia="MS Mincho"/>
          </w:rPr>
          <w:t xml:space="preserve">, </w:t>
        </w:r>
        <w:smartTag w:uri="urn:schemas-microsoft-com:office:smarttags" w:element="State">
          <w:r>
            <w:rPr>
              <w:rFonts w:eastAsia="MS Mincho"/>
            </w:rPr>
            <w:t>MO</w:t>
          </w:r>
        </w:smartTag>
        <w:r>
          <w:rPr>
            <w:rFonts w:eastAsia="MS Mincho"/>
          </w:rPr>
          <w:t xml:space="preserve"> </w:t>
        </w:r>
        <w:smartTag w:uri="urn:schemas-microsoft-com:office:smarttags" w:element="PostalCode">
          <w:r>
            <w:rPr>
              <w:rFonts w:eastAsia="MS Mincho"/>
            </w:rPr>
            <w:t>63101</w:t>
          </w:r>
        </w:smartTag>
      </w:smartTag>
      <w:r>
        <w:rPr>
          <w:rFonts w:eastAsia="MS Mincho"/>
        </w:rPr>
        <w:t xml:space="preserve">.  </w:t>
      </w:r>
    </w:p>
    <w:p w:rsidR="00C04776" w:rsidRDefault="00C04776" w:rsidP="0098167B">
      <w:pPr>
        <w:pStyle w:val="ListParagraph"/>
      </w:pPr>
    </w:p>
    <w:p w:rsidR="00C04776" w:rsidRPr="00C04776" w:rsidRDefault="00322659" w:rsidP="0098167B">
      <w:pPr>
        <w:pStyle w:val="ParaNum"/>
        <w:numPr>
          <w:ilvl w:val="0"/>
          <w:numId w:val="1"/>
        </w:numPr>
        <w:tabs>
          <w:tab w:val="clear" w:pos="1080"/>
        </w:tabs>
        <w:spacing w:after="0" w:line="240" w:lineRule="atLeast"/>
        <w:rPr>
          <w:b/>
        </w:rPr>
      </w:pPr>
      <w:r>
        <w:t>Any</w:t>
      </w:r>
      <w:r w:rsidRPr="00C04776">
        <w:rPr>
          <w:rFonts w:eastAsia="MS Mincho"/>
        </w:rPr>
        <w:t xml:space="preserve"> request for full payment </w:t>
      </w:r>
      <w:r w:rsidR="00C966D3">
        <w:rPr>
          <w:rFonts w:eastAsia="MS Mincho"/>
        </w:rPr>
        <w:t xml:space="preserve">over time </w:t>
      </w:r>
      <w:r w:rsidRPr="00C04776">
        <w:rPr>
          <w:rFonts w:eastAsia="MS Mincho"/>
        </w:rPr>
        <w:t>under an installment plan should be sent to:  Chief Financial Officer—</w:t>
      </w:r>
      <w:r>
        <w:t>Financial</w:t>
      </w:r>
      <w:r w:rsidRPr="00C04776">
        <w:rPr>
          <w:rFonts w:eastAsia="MS Mincho"/>
        </w:rPr>
        <w:t xml:space="preserve"> Operations, Federal Communications Commission, 445 12th Street, S.W., Room 1-A625, Washington, D.C.  20554.</w:t>
      </w:r>
      <w:r>
        <w:rPr>
          <w:rStyle w:val="FootnoteReference"/>
          <w:rFonts w:eastAsia="MS Mincho"/>
        </w:rPr>
        <w:footnoteReference w:id="61"/>
      </w:r>
      <w:r w:rsidRPr="00C04776">
        <w:rPr>
          <w:rFonts w:eastAsia="MS Mincho"/>
        </w:rPr>
        <w:t>  If you have questions regarding payment procedures, please contact the Financial Operations Group Help Desk by phone, 1-877-480-3201, or by e</w:t>
      </w:r>
      <w:r w:rsidRPr="00C04776">
        <w:rPr>
          <w:rFonts w:eastAsia="MS Mincho"/>
        </w:rPr>
        <w:noBreakHyphen/>
        <w:t xml:space="preserve">mail, </w:t>
      </w:r>
      <w:r w:rsidRPr="005A1A81">
        <w:rPr>
          <w:rFonts w:eastAsia="MS Mincho"/>
        </w:rPr>
        <w:t>ARINQUIRIES@fcc.gov</w:t>
      </w:r>
      <w:r w:rsidRPr="00C04776">
        <w:rPr>
          <w:rFonts w:eastAsia="MS Mincho"/>
        </w:rPr>
        <w:t>.</w:t>
      </w:r>
    </w:p>
    <w:p w:rsidR="00C04776" w:rsidRDefault="00C04776" w:rsidP="0098167B">
      <w:pPr>
        <w:pStyle w:val="ListParagraph"/>
        <w:rPr>
          <w:b/>
        </w:rPr>
      </w:pPr>
    </w:p>
    <w:p w:rsidR="00322659" w:rsidRPr="00D66DD6" w:rsidRDefault="00322659" w:rsidP="0098167B">
      <w:pPr>
        <w:pStyle w:val="ParaNum"/>
        <w:numPr>
          <w:ilvl w:val="0"/>
          <w:numId w:val="1"/>
        </w:numPr>
        <w:tabs>
          <w:tab w:val="clear" w:pos="1080"/>
        </w:tabs>
        <w:spacing w:after="0" w:line="240" w:lineRule="atLeast"/>
        <w:rPr>
          <w:b/>
        </w:rPr>
      </w:pPr>
      <w:r w:rsidRPr="00D66DD6">
        <w:rPr>
          <w:b/>
        </w:rPr>
        <w:t>IT IS FURTHER ORDERED</w:t>
      </w:r>
      <w:r>
        <w:t xml:space="preserve"> that a copy of this Order shall be sent by both First Class and Certified Mail, Return Receipt Requested, to</w:t>
      </w:r>
      <w:r w:rsidR="00D344D9" w:rsidRPr="00D344D9">
        <w:t xml:space="preserve"> </w:t>
      </w:r>
      <w:r w:rsidR="00EC28CE" w:rsidRPr="00EC28CE">
        <w:t>Directlink, LLC</w:t>
      </w:r>
      <w:r w:rsidR="00EC28CE">
        <w:t>,</w:t>
      </w:r>
      <w:r w:rsidR="00D66DD6">
        <w:t xml:space="preserve"> 43217 London Drive, Parker, Colorado, 80138,</w:t>
      </w:r>
      <w:r w:rsidR="00CF4CE0" w:rsidRPr="00D66DD6">
        <w:rPr>
          <w:color w:val="000000"/>
          <w:spacing w:val="-2"/>
        </w:rPr>
        <w:t xml:space="preserve"> a</w:t>
      </w:r>
      <w:r w:rsidRPr="00D344D9">
        <w:t xml:space="preserve">nd to its counsel, </w:t>
      </w:r>
      <w:r w:rsidR="00D66DD6">
        <w:t xml:space="preserve">Eric J. Cecil, Esquire, Sourcelaw, PC, </w:t>
      </w:r>
      <w:r w:rsidR="00D66DD6" w:rsidRPr="00D66DD6">
        <w:t>9769 W. 119th Dr.</w:t>
      </w:r>
      <w:r w:rsidR="00D66DD6">
        <w:t xml:space="preserve">, </w:t>
      </w:r>
      <w:r w:rsidR="00D66DD6" w:rsidRPr="00D66DD6">
        <w:t>Suite 32</w:t>
      </w:r>
      <w:r w:rsidR="00D66DD6">
        <w:t xml:space="preserve">, </w:t>
      </w:r>
      <w:r w:rsidR="00D66DD6" w:rsidRPr="00D66DD6">
        <w:t>Broomfield</w:t>
      </w:r>
      <w:r w:rsidR="00D66DD6">
        <w:t>,</w:t>
      </w:r>
      <w:r w:rsidR="00D66DD6" w:rsidRPr="00D66DD6">
        <w:t xml:space="preserve"> C</w:t>
      </w:r>
      <w:r w:rsidR="00D66DD6">
        <w:t>olorado,</w:t>
      </w:r>
      <w:r w:rsidR="00D66DD6" w:rsidRPr="00D66DD6">
        <w:t xml:space="preserve"> 80021</w:t>
      </w:r>
      <w:r w:rsidR="00D344D9">
        <w:t>.</w:t>
      </w:r>
    </w:p>
    <w:p w:rsidR="00322659" w:rsidRPr="00D344D9" w:rsidRDefault="00322659" w:rsidP="0098167B">
      <w:pPr>
        <w:pStyle w:val="ListParagraph"/>
        <w:rPr>
          <w:color w:val="000000"/>
        </w:rPr>
      </w:pPr>
    </w:p>
    <w:p w:rsidR="00322659" w:rsidRPr="00D344D9" w:rsidRDefault="00322659" w:rsidP="0098167B">
      <w:pPr>
        <w:tabs>
          <w:tab w:val="left" w:pos="0"/>
        </w:tabs>
        <w:suppressAutoHyphens/>
        <w:autoSpaceDE w:val="0"/>
        <w:autoSpaceDN w:val="0"/>
        <w:adjustRightInd w:val="0"/>
        <w:spacing w:line="240" w:lineRule="atLeast"/>
        <w:ind w:left="720"/>
        <w:rPr>
          <w:color w:val="000000"/>
        </w:rPr>
      </w:pPr>
    </w:p>
    <w:p w:rsidR="00322659" w:rsidRDefault="00322659" w:rsidP="0098167B">
      <w:pPr>
        <w:pStyle w:val="ParaNum"/>
        <w:numPr>
          <w:ilvl w:val="0"/>
          <w:numId w:val="0"/>
        </w:numPr>
        <w:spacing w:after="0"/>
        <w:ind w:left="4320"/>
      </w:pPr>
      <w:r>
        <w:t>FEDERAL COMMUNICATIONS COMMISSION</w:t>
      </w:r>
    </w:p>
    <w:p w:rsidR="00322659" w:rsidRDefault="00322659" w:rsidP="0098167B">
      <w:pPr>
        <w:pStyle w:val="ParaNum"/>
        <w:numPr>
          <w:ilvl w:val="0"/>
          <w:numId w:val="0"/>
        </w:numPr>
        <w:spacing w:after="0"/>
        <w:ind w:left="4320"/>
      </w:pPr>
    </w:p>
    <w:p w:rsidR="00322659" w:rsidRDefault="00322659" w:rsidP="0098167B">
      <w:pPr>
        <w:pStyle w:val="ParaNum"/>
        <w:numPr>
          <w:ilvl w:val="0"/>
          <w:numId w:val="0"/>
        </w:numPr>
        <w:spacing w:after="0"/>
        <w:ind w:left="4320"/>
      </w:pPr>
    </w:p>
    <w:p w:rsidR="00322659" w:rsidRDefault="00322659" w:rsidP="0098167B">
      <w:pPr>
        <w:pStyle w:val="ParaNum"/>
        <w:numPr>
          <w:ilvl w:val="0"/>
          <w:numId w:val="0"/>
        </w:numPr>
        <w:spacing w:after="0"/>
        <w:ind w:left="4320"/>
      </w:pPr>
    </w:p>
    <w:p w:rsidR="00322659" w:rsidRDefault="00322659" w:rsidP="0098167B">
      <w:pPr>
        <w:pStyle w:val="ParaNum"/>
        <w:numPr>
          <w:ilvl w:val="0"/>
          <w:numId w:val="0"/>
        </w:numPr>
        <w:spacing w:after="0"/>
        <w:ind w:left="4320"/>
      </w:pPr>
    </w:p>
    <w:p w:rsidR="00322659" w:rsidRDefault="00CF4CE0" w:rsidP="0098167B">
      <w:pPr>
        <w:pStyle w:val="ParaNum"/>
        <w:numPr>
          <w:ilvl w:val="0"/>
          <w:numId w:val="0"/>
        </w:numPr>
        <w:spacing w:after="0"/>
        <w:ind w:left="3600" w:firstLine="720"/>
      </w:pPr>
      <w:r>
        <w:t>Rebecca L. Dorch</w:t>
      </w:r>
    </w:p>
    <w:p w:rsidR="00CF4CE0" w:rsidRDefault="00CF4CE0" w:rsidP="0098167B">
      <w:pPr>
        <w:pStyle w:val="ParaNum"/>
        <w:numPr>
          <w:ilvl w:val="0"/>
          <w:numId w:val="0"/>
        </w:numPr>
        <w:spacing w:after="0"/>
        <w:ind w:left="3600" w:firstLine="720"/>
      </w:pPr>
      <w:r>
        <w:t>Regional Director, Western Region</w:t>
      </w:r>
    </w:p>
    <w:p w:rsidR="00322659" w:rsidRDefault="00CF4CE0" w:rsidP="0098167B">
      <w:pPr>
        <w:pStyle w:val="ParaNum"/>
        <w:numPr>
          <w:ilvl w:val="0"/>
          <w:numId w:val="0"/>
        </w:numPr>
        <w:spacing w:after="0"/>
        <w:ind w:firstLine="720"/>
      </w:pPr>
      <w:r>
        <w:t>`</w:t>
      </w:r>
      <w:r>
        <w:tab/>
      </w:r>
      <w:r>
        <w:tab/>
      </w:r>
      <w:r>
        <w:tab/>
      </w:r>
      <w:r>
        <w:tab/>
      </w:r>
      <w:r>
        <w:tab/>
      </w:r>
      <w:r w:rsidR="00D344D9">
        <w:t>En</w:t>
      </w:r>
      <w:r w:rsidR="00322659">
        <w:t>forcement Bureau</w:t>
      </w:r>
    </w:p>
    <w:sectPr w:rsidR="0032265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0F" w:rsidRDefault="008B360F">
      <w:r>
        <w:separator/>
      </w:r>
    </w:p>
  </w:endnote>
  <w:endnote w:type="continuationSeparator" w:id="0">
    <w:p w:rsidR="008B360F" w:rsidRDefault="008B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27" w:rsidRDefault="00BB6D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6D27" w:rsidRDefault="00BB6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27" w:rsidRDefault="00BB6D27">
    <w:pPr>
      <w:pStyle w:val="Footer"/>
      <w:framePr w:wrap="around"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F42605">
      <w:rPr>
        <w:rStyle w:val="PageNumber"/>
        <w:noProof/>
        <w:sz w:val="20"/>
        <w:szCs w:val="20"/>
      </w:rPr>
      <w:t>2</w:t>
    </w:r>
    <w:r>
      <w:rPr>
        <w:rStyle w:val="PageNumber"/>
        <w:sz w:val="20"/>
        <w:szCs w:val="20"/>
      </w:rPr>
      <w:fldChar w:fldCharType="end"/>
    </w:r>
  </w:p>
  <w:p w:rsidR="00BB6D27" w:rsidRDefault="00BB6D27" w:rsidP="00937D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4A" w:rsidRDefault="00735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0F" w:rsidRDefault="008B360F">
      <w:r>
        <w:separator/>
      </w:r>
    </w:p>
  </w:footnote>
  <w:footnote w:type="continuationSeparator" w:id="0">
    <w:p w:rsidR="008B360F" w:rsidRDefault="008B360F">
      <w:r>
        <w:continuationSeparator/>
      </w:r>
    </w:p>
  </w:footnote>
  <w:footnote w:id="1">
    <w:p w:rsidR="00BB6D27" w:rsidRPr="00C97D2E" w:rsidRDefault="00BB6D27" w:rsidP="00C97D2E">
      <w:pPr>
        <w:tabs>
          <w:tab w:val="left" w:pos="0"/>
        </w:tabs>
        <w:spacing w:after="120"/>
        <w:rPr>
          <w:sz w:val="20"/>
          <w:szCs w:val="20"/>
          <w:lang w:val="en-GB"/>
        </w:rPr>
      </w:pPr>
      <w:r w:rsidRPr="00C97D2E">
        <w:rPr>
          <w:rStyle w:val="FootnoteReference"/>
        </w:rPr>
        <w:footnoteRef/>
      </w:r>
      <w:r w:rsidRPr="00C97D2E">
        <w:rPr>
          <w:sz w:val="20"/>
          <w:szCs w:val="20"/>
        </w:rPr>
        <w:t xml:space="preserve">  Directlink, LLC, holds three FCC licenses for microwave operations (call signs WQPL428, WQPL429, and WQPL430).</w:t>
      </w:r>
    </w:p>
  </w:footnote>
  <w:footnote w:id="2">
    <w:p w:rsidR="00BB6D27" w:rsidRPr="004A32A2" w:rsidRDefault="00BB6D27" w:rsidP="00C97D2E">
      <w:pPr>
        <w:pStyle w:val="FootnoteText"/>
        <w:ind w:firstLine="0"/>
        <w:jc w:val="left"/>
        <w:rPr>
          <w:color w:val="000000"/>
        </w:rPr>
      </w:pPr>
      <w:r w:rsidRPr="004A32A2">
        <w:rPr>
          <w:rStyle w:val="FootnoteReference"/>
          <w:color w:val="000000"/>
        </w:rPr>
        <w:footnoteRef/>
      </w:r>
      <w:r w:rsidRPr="004A32A2">
        <w:rPr>
          <w:color w:val="000000"/>
        </w:rPr>
        <w:t xml:space="preserve"> 47 U.S.C. §§ 301, 302a(b).</w:t>
      </w:r>
    </w:p>
  </w:footnote>
  <w:footnote w:id="3">
    <w:p w:rsidR="00BB6D27" w:rsidRDefault="00BB6D27" w:rsidP="00C97D2E">
      <w:pPr>
        <w:pStyle w:val="FootnoteText"/>
        <w:ind w:firstLine="0"/>
        <w:jc w:val="left"/>
      </w:pPr>
      <w:r>
        <w:rPr>
          <w:rStyle w:val="FootnoteReference"/>
        </w:rPr>
        <w:footnoteRef/>
      </w:r>
      <w:r>
        <w:t xml:space="preserve"> 47 C.F.R. § 15.1(b), (c).</w:t>
      </w:r>
    </w:p>
  </w:footnote>
  <w:footnote w:id="4">
    <w:p w:rsidR="00BB6D27" w:rsidRDefault="00BB6D27" w:rsidP="00C97D2E">
      <w:pPr>
        <w:pStyle w:val="FootnoteText"/>
        <w:ind w:firstLine="0"/>
        <w:jc w:val="left"/>
      </w:pPr>
      <w:r>
        <w:rPr>
          <w:rStyle w:val="FootnoteReference"/>
        </w:rPr>
        <w:footnoteRef/>
      </w:r>
      <w:r>
        <w:t xml:space="preserve"> 47 C.F.R. §§ 15.1 </w:t>
      </w:r>
      <w:r>
        <w:rPr>
          <w:i/>
        </w:rPr>
        <w:t>et seq.</w:t>
      </w:r>
    </w:p>
  </w:footnote>
  <w:footnote w:id="5">
    <w:p w:rsidR="00BB6D27" w:rsidRDefault="00BB6D27" w:rsidP="00C97D2E">
      <w:pPr>
        <w:pStyle w:val="FootnoteText"/>
        <w:ind w:firstLine="0"/>
        <w:jc w:val="left"/>
      </w:pPr>
      <w:r>
        <w:rPr>
          <w:rStyle w:val="FootnoteReference"/>
        </w:rPr>
        <w:footnoteRef/>
      </w:r>
      <w:r>
        <w:t xml:space="preserve"> 47 C.F.R. §§ 15.1, 15.407. </w:t>
      </w:r>
    </w:p>
  </w:footnote>
  <w:footnote w:id="6">
    <w:p w:rsidR="00BB6D27" w:rsidRDefault="00BB6D27">
      <w:pPr>
        <w:pStyle w:val="FootnoteText"/>
        <w:ind w:firstLine="0"/>
        <w:jc w:val="left"/>
        <w:rPr>
          <w:szCs w:val="20"/>
        </w:rPr>
      </w:pPr>
      <w:r>
        <w:rPr>
          <w:rStyle w:val="FootnoteReference"/>
        </w:rPr>
        <w:footnoteRef/>
      </w:r>
      <w:r>
        <w:t xml:space="preserve"> </w:t>
      </w:r>
      <w:r>
        <w:rPr>
          <w:i/>
          <w:szCs w:val="20"/>
        </w:rPr>
        <w:t>Directlink, LLC,</w:t>
      </w:r>
      <w:r>
        <w:rPr>
          <w:szCs w:val="20"/>
        </w:rPr>
        <w:t xml:space="preserve"> Notice of Apparent Liability for Forfeiture and Order, 28 FCC Rcd 37 (Enf. Bur. 201</w:t>
      </w:r>
      <w:r w:rsidR="005C3D95">
        <w:rPr>
          <w:szCs w:val="20"/>
        </w:rPr>
        <w:t>3</w:t>
      </w:r>
      <w:r>
        <w:rPr>
          <w:szCs w:val="20"/>
        </w:rPr>
        <w:t>) (</w:t>
      </w:r>
      <w:r>
        <w:rPr>
          <w:i/>
          <w:szCs w:val="20"/>
        </w:rPr>
        <w:t>NAL</w:t>
      </w:r>
      <w:r>
        <w:rPr>
          <w:szCs w:val="20"/>
        </w:rPr>
        <w:t xml:space="preserve">).  A comprehensive recitation of the facts and history of this case can be found in the </w:t>
      </w:r>
      <w:r>
        <w:rPr>
          <w:i/>
          <w:szCs w:val="20"/>
        </w:rPr>
        <w:t>NAL</w:t>
      </w:r>
      <w:r>
        <w:rPr>
          <w:szCs w:val="20"/>
        </w:rPr>
        <w:t xml:space="preserve"> and is incorporated herein by reference.</w:t>
      </w:r>
    </w:p>
  </w:footnote>
  <w:footnote w:id="7">
    <w:p w:rsidR="00BB6D27" w:rsidRDefault="00BB6D27" w:rsidP="00764554">
      <w:pPr>
        <w:pStyle w:val="FootnoteText"/>
        <w:widowControl/>
        <w:ind w:firstLine="0"/>
        <w:jc w:val="left"/>
        <w:rPr>
          <w:szCs w:val="20"/>
        </w:rPr>
      </w:pPr>
      <w:r>
        <w:rPr>
          <w:rStyle w:val="FootnoteReference"/>
        </w:rPr>
        <w:footnoteRef/>
      </w:r>
      <w:r>
        <w:t xml:space="preserve"> </w:t>
      </w:r>
      <w:r>
        <w:rPr>
          <w:i/>
        </w:rPr>
        <w:t xml:space="preserve">See </w:t>
      </w:r>
      <w:r>
        <w:t>2</w:t>
      </w:r>
      <w:r w:rsidR="005C3D95">
        <w:t>8</w:t>
      </w:r>
      <w:r>
        <w:t xml:space="preserve"> FCC Rcd at </w:t>
      </w:r>
      <w:r w:rsidR="005C3D95">
        <w:t xml:space="preserve">38–40, paras 2–4. </w:t>
      </w:r>
    </w:p>
  </w:footnote>
  <w:footnote w:id="8">
    <w:p w:rsidR="00BB6D27" w:rsidRPr="006D543D" w:rsidRDefault="00BB6D27" w:rsidP="000F5E73">
      <w:pPr>
        <w:pStyle w:val="FootnoteText"/>
        <w:ind w:firstLine="0"/>
        <w:jc w:val="left"/>
      </w:pPr>
      <w:r>
        <w:rPr>
          <w:rStyle w:val="FootnoteReference"/>
        </w:rPr>
        <w:footnoteRef/>
      </w:r>
      <w:r>
        <w:t xml:space="preserve"> </w:t>
      </w:r>
      <w:r w:rsidRPr="006D543D">
        <w:t xml:space="preserve">The </w:t>
      </w:r>
      <w:r>
        <w:t xml:space="preserve">unauthorized </w:t>
      </w:r>
      <w:r w:rsidRPr="006D543D">
        <w:t xml:space="preserve">emissions on </w:t>
      </w:r>
      <w:r>
        <w:t xml:space="preserve">frequency </w:t>
      </w:r>
      <w:r w:rsidRPr="006D543D">
        <w:t>5630 MHz i</w:t>
      </w:r>
      <w:r>
        <w:t xml:space="preserve">mpacted </w:t>
      </w:r>
      <w:r w:rsidRPr="006D543D">
        <w:t xml:space="preserve">the Federal Aviation Administration’s (FAA) Terminal Doppler Weather Radar (TDWR) system that serves the Denver International Airport.  TDWR installations exist at 45 major airports in the </w:t>
      </w:r>
      <w:smartTag w:uri="urn:schemas-microsoft-com:office:smarttags" w:element="country-region">
        <w:r w:rsidRPr="006D543D">
          <w:t>United States</w:t>
        </w:r>
      </w:smartTag>
      <w:r w:rsidRPr="006D543D">
        <w:t xml:space="preserve"> and </w:t>
      </w:r>
      <w:smartTag w:uri="urn:schemas-microsoft-com:office:smarttags" w:element="place">
        <w:r w:rsidRPr="006D543D">
          <w:t>Puerto Rico</w:t>
        </w:r>
      </w:smartTag>
      <w:r>
        <w:t>.  These radar installations</w:t>
      </w:r>
      <w:r w:rsidRPr="006D543D">
        <w:t xml:space="preserve"> assist air traffic controllers in detecting low-altitude wind shear that can pose a risk to aircraft.  </w:t>
      </w:r>
      <w:r w:rsidRPr="006D543D">
        <w:rPr>
          <w:i/>
        </w:rPr>
        <w:t xml:space="preserve">See </w:t>
      </w:r>
      <w:r w:rsidRPr="006D543D">
        <w:t xml:space="preserve">MIT Lincoln Laboratories, </w:t>
      </w:r>
      <w:r w:rsidRPr="00B42F23">
        <w:t>http://www.ll.mit.edu/mission/aviation/faawxsystems/tdwr.html</w:t>
      </w:r>
      <w:r w:rsidRPr="006D543D">
        <w:t xml:space="preserve"> </w:t>
      </w:r>
      <w:r>
        <w:t>(</w:t>
      </w:r>
      <w:r w:rsidRPr="006D543D">
        <w:t>last visited June 15, 2012</w:t>
      </w:r>
      <w:r>
        <w:t>)</w:t>
      </w:r>
      <w:r w:rsidRPr="006D543D">
        <w:t>.</w:t>
      </w:r>
    </w:p>
  </w:footnote>
  <w:footnote w:id="9">
    <w:p w:rsidR="00BB6D27" w:rsidRPr="000F5E73" w:rsidRDefault="00BB6D27" w:rsidP="000F5E73">
      <w:pPr>
        <w:pStyle w:val="FootnoteText"/>
        <w:ind w:firstLine="0"/>
        <w:jc w:val="left"/>
        <w:rPr>
          <w:szCs w:val="20"/>
        </w:rPr>
      </w:pPr>
      <w:r w:rsidRPr="003C2F70">
        <w:rPr>
          <w:rStyle w:val="FootnoteReference"/>
        </w:rPr>
        <w:footnoteRef/>
      </w:r>
      <w:r w:rsidRPr="003C2F70">
        <w:t xml:space="preserve"> </w:t>
      </w:r>
      <w:r w:rsidRPr="000F5E73">
        <w:rPr>
          <w:szCs w:val="20"/>
        </w:rPr>
        <w:t>47 C.F.R. § 15.403(s) (defining U-NII devices as “[i]ntentional radiators operating in the frequency bands 5.15-5.35 GHz and 5.470-5.825 GHz that use wideband digital modulation techniques and provide a wide array of high data rate mobile and fixed communications for individuals, businesses, and institutions”).  Although Directlink’s device was not authorized to operate in the U-NII bands, it was subject to the U-NII rules (47 C.F.R. 15.401-15.407) because Directlink operated it as a U-NII device.</w:t>
      </w:r>
    </w:p>
  </w:footnote>
  <w:footnote w:id="10">
    <w:p w:rsidR="00BB6D27" w:rsidRPr="000F5E73" w:rsidRDefault="00BB6D27" w:rsidP="000F5E73">
      <w:pPr>
        <w:spacing w:after="120"/>
        <w:rPr>
          <w:sz w:val="20"/>
          <w:szCs w:val="20"/>
        </w:rPr>
      </w:pPr>
      <w:r w:rsidRPr="000F5E73">
        <w:rPr>
          <w:rStyle w:val="FootnoteReference"/>
        </w:rPr>
        <w:footnoteRef/>
      </w:r>
      <w:r w:rsidRPr="000F5E73">
        <w:rPr>
          <w:sz w:val="20"/>
          <w:szCs w:val="20"/>
        </w:rPr>
        <w:t xml:space="preserve"> The device was a Ubiquiti model Rocket M5, FCC ID SWX-M5.  Ubiquiti Networks, Inc., was issued a Grant of Equipment Authorization for the Rocket M5 by MET Laboratories, Inc., under the authority of the FCC, on August 14, 2009.</w:t>
      </w:r>
    </w:p>
  </w:footnote>
  <w:footnote w:id="11">
    <w:p w:rsidR="00BB6D27" w:rsidRPr="000F5E73" w:rsidRDefault="00BB6D27" w:rsidP="004E2C90">
      <w:pPr>
        <w:pStyle w:val="FootnoteText"/>
        <w:ind w:firstLine="0"/>
        <w:jc w:val="left"/>
        <w:rPr>
          <w:szCs w:val="20"/>
        </w:rPr>
      </w:pPr>
      <w:r w:rsidRPr="000F5E73">
        <w:rPr>
          <w:rStyle w:val="FootnoteReference"/>
        </w:rPr>
        <w:footnoteRef/>
      </w:r>
      <w:r w:rsidRPr="000F5E73">
        <w:rPr>
          <w:szCs w:val="20"/>
        </w:rPr>
        <w:t xml:space="preserve"> The Equipment Authorization for the Ubiquiti Rocket M5 transceiver states that the device is certified for use pursuant to Part 15, Subpart C of the Rules (Intentional Radiators).  </w:t>
      </w:r>
      <w:r>
        <w:rPr>
          <w:szCs w:val="20"/>
        </w:rPr>
        <w:t xml:space="preserve"> The datasheet published by Ubiquiti for the Rocket M5</w:t>
      </w:r>
      <w:r w:rsidR="0098167B">
        <w:rPr>
          <w:szCs w:val="20"/>
        </w:rPr>
        <w:t xml:space="preserve"> states that the device</w:t>
      </w:r>
      <w:r>
        <w:rPr>
          <w:szCs w:val="20"/>
        </w:rPr>
        <w:t xml:space="preserve"> can operate in the 5470-5825 MHz band, noting that </w:t>
      </w:r>
      <w:r w:rsidR="0098167B">
        <w:rPr>
          <w:szCs w:val="20"/>
        </w:rPr>
        <w:t>“</w:t>
      </w:r>
      <w:r>
        <w:rPr>
          <w:szCs w:val="20"/>
        </w:rPr>
        <w:t>[o]</w:t>
      </w:r>
      <w:r w:rsidRPr="004E2C90">
        <w:rPr>
          <w:szCs w:val="20"/>
        </w:rPr>
        <w:t>nly 5745 - 5825 MHz is supported in the USA</w:t>
      </w:r>
      <w:r>
        <w:rPr>
          <w:szCs w:val="20"/>
        </w:rPr>
        <w:t>” and that “[i]</w:t>
      </w:r>
      <w:r w:rsidRPr="004E2C90">
        <w:rPr>
          <w:szCs w:val="20"/>
        </w:rPr>
        <w:t>t is the installers responsibility to follow local country regulations including operation within legal frequency channels, output</w:t>
      </w:r>
      <w:r>
        <w:rPr>
          <w:szCs w:val="20"/>
        </w:rPr>
        <w:t xml:space="preserve"> </w:t>
      </w:r>
      <w:r w:rsidRPr="004E2C90">
        <w:rPr>
          <w:szCs w:val="20"/>
        </w:rPr>
        <w:t>power, and Dynamic Frequency Selection (DFS) requirements.</w:t>
      </w:r>
      <w:r>
        <w:rPr>
          <w:szCs w:val="20"/>
        </w:rPr>
        <w:t>”  Ubiquiti Networks Rocket M Datasheet, 2011, at 7 and 10 (Rocket M Datasheet).</w:t>
      </w:r>
    </w:p>
  </w:footnote>
  <w:footnote w:id="12">
    <w:p w:rsidR="00BB6D27" w:rsidRPr="003C2F70" w:rsidRDefault="00BB6D27" w:rsidP="000F5E73">
      <w:pPr>
        <w:pStyle w:val="FootnoteText"/>
        <w:ind w:firstLine="0"/>
        <w:jc w:val="left"/>
      </w:pPr>
      <w:r w:rsidRPr="003C2F70">
        <w:rPr>
          <w:rStyle w:val="FootnoteReference"/>
        </w:rPr>
        <w:footnoteRef/>
      </w:r>
      <w:r w:rsidRPr="003C2F70">
        <w:t xml:space="preserve"> Directlink changed the operating frequency of this system from 5630 MHz to 5785 MHz during the FCC investigation on January 12, 2012.  As noted </w:t>
      </w:r>
      <w:r>
        <w:t>above</w:t>
      </w:r>
      <w:r w:rsidRPr="003C2F70">
        <w:t xml:space="preserve">, the Ubiquiti Rocket M5 transceiver is authorized to operate </w:t>
      </w:r>
      <w:r>
        <w:t xml:space="preserve">only </w:t>
      </w:r>
      <w:r w:rsidRPr="003C2F70">
        <w:t>within a frequency range of 5745 MHz to 5825 MHz.</w:t>
      </w:r>
    </w:p>
  </w:footnote>
  <w:footnote w:id="13">
    <w:p w:rsidR="00BB6D27" w:rsidRPr="004A32A2" w:rsidRDefault="00BB6D27" w:rsidP="000F5E73">
      <w:pPr>
        <w:pStyle w:val="FootnoteText"/>
        <w:ind w:firstLine="0"/>
        <w:jc w:val="left"/>
        <w:rPr>
          <w:b/>
          <w:color w:val="000000"/>
        </w:rPr>
      </w:pPr>
      <w:r w:rsidRPr="004A32A2">
        <w:rPr>
          <w:rStyle w:val="FootnoteReference"/>
          <w:color w:val="000000"/>
        </w:rPr>
        <w:footnoteRef/>
      </w:r>
      <w:r w:rsidRPr="004A32A2">
        <w:rPr>
          <w:color w:val="000000"/>
        </w:rPr>
        <w:t xml:space="preserve"> </w:t>
      </w:r>
      <w:r w:rsidRPr="004A32A2">
        <w:rPr>
          <w:i/>
          <w:color w:val="000000"/>
        </w:rPr>
        <w:t>See</w:t>
      </w:r>
      <w:r w:rsidRPr="004A32A2">
        <w:rPr>
          <w:color w:val="000000"/>
        </w:rPr>
        <w:t xml:space="preserve"> 47 C.F.R. § 15.407(h)(2).  </w:t>
      </w:r>
    </w:p>
  </w:footnote>
  <w:footnote w:id="14">
    <w:p w:rsidR="00BB6D27" w:rsidRPr="00507B65" w:rsidRDefault="00BB6D27" w:rsidP="00F56E7E">
      <w:pPr>
        <w:pStyle w:val="FootnoteText"/>
        <w:ind w:firstLine="0"/>
        <w:jc w:val="left"/>
        <w:rPr>
          <w:szCs w:val="20"/>
        </w:rPr>
      </w:pPr>
      <w:r>
        <w:rPr>
          <w:rStyle w:val="FootnoteReference"/>
        </w:rPr>
        <w:footnoteRef/>
      </w:r>
      <w:r>
        <w:t xml:space="preserve"> </w:t>
      </w:r>
      <w:r w:rsidRPr="00507B65">
        <w:rPr>
          <w:szCs w:val="20"/>
        </w:rPr>
        <w:t xml:space="preserve">Response of </w:t>
      </w:r>
      <w:r>
        <w:rPr>
          <w:szCs w:val="20"/>
        </w:rPr>
        <w:t>Directlink, LLC,</w:t>
      </w:r>
      <w:r w:rsidRPr="00507B65">
        <w:rPr>
          <w:szCs w:val="20"/>
        </w:rPr>
        <w:t xml:space="preserve"> (</w:t>
      </w:r>
      <w:r>
        <w:rPr>
          <w:szCs w:val="20"/>
        </w:rPr>
        <w:t>Feb.</w:t>
      </w:r>
      <w:r w:rsidRPr="00507B65">
        <w:rPr>
          <w:szCs w:val="20"/>
        </w:rPr>
        <w:t xml:space="preserve"> </w:t>
      </w:r>
      <w:r>
        <w:rPr>
          <w:szCs w:val="20"/>
        </w:rPr>
        <w:t>15</w:t>
      </w:r>
      <w:r w:rsidRPr="00507B65">
        <w:rPr>
          <w:szCs w:val="20"/>
        </w:rPr>
        <w:t>, 201</w:t>
      </w:r>
      <w:r>
        <w:rPr>
          <w:szCs w:val="20"/>
        </w:rPr>
        <w:t>3</w:t>
      </w:r>
      <w:r w:rsidRPr="00507B65">
        <w:rPr>
          <w:szCs w:val="20"/>
        </w:rPr>
        <w:t xml:space="preserve">) (on file in </w:t>
      </w:r>
      <w:r w:rsidRPr="00507B65">
        <w:rPr>
          <w:spacing w:val="-2"/>
          <w:szCs w:val="20"/>
        </w:rPr>
        <w:t>EB-FIELDWR-12-00002</w:t>
      </w:r>
      <w:r>
        <w:rPr>
          <w:spacing w:val="-2"/>
          <w:szCs w:val="20"/>
        </w:rPr>
        <w:t>815</w:t>
      </w:r>
      <w:r w:rsidRPr="00507B65">
        <w:rPr>
          <w:szCs w:val="20"/>
        </w:rPr>
        <w:t>) (</w:t>
      </w:r>
      <w:r>
        <w:rPr>
          <w:i/>
          <w:szCs w:val="20"/>
        </w:rPr>
        <w:t xml:space="preserve">NAL </w:t>
      </w:r>
      <w:r w:rsidRPr="00507B65">
        <w:rPr>
          <w:i/>
          <w:szCs w:val="20"/>
        </w:rPr>
        <w:t>Response</w:t>
      </w:r>
      <w:r w:rsidRPr="00507B65">
        <w:rPr>
          <w:szCs w:val="20"/>
        </w:rPr>
        <w:t xml:space="preserve">).  </w:t>
      </w:r>
      <w:r w:rsidRPr="002834CD">
        <w:rPr>
          <w:szCs w:val="20"/>
        </w:rPr>
        <w:t xml:space="preserve">  </w:t>
      </w:r>
    </w:p>
  </w:footnote>
  <w:footnote w:id="15">
    <w:p w:rsidR="00BB6D27" w:rsidRPr="00A83E65" w:rsidRDefault="00BB6D27" w:rsidP="00217D8A">
      <w:pPr>
        <w:pStyle w:val="FootnoteText"/>
        <w:ind w:firstLine="0"/>
      </w:pPr>
      <w:r>
        <w:rPr>
          <w:rStyle w:val="FootnoteReference"/>
        </w:rPr>
        <w:footnoteRef/>
      </w:r>
      <w:r>
        <w:t xml:space="preserve"> </w:t>
      </w:r>
      <w:r>
        <w:rPr>
          <w:i/>
        </w:rPr>
        <w:t xml:space="preserve">Id. </w:t>
      </w:r>
      <w:r>
        <w:t xml:space="preserve">at 5–7. </w:t>
      </w:r>
    </w:p>
  </w:footnote>
  <w:footnote w:id="16">
    <w:p w:rsidR="00BB6D27" w:rsidRDefault="00BB6D27" w:rsidP="00217D8A">
      <w:pPr>
        <w:pStyle w:val="FootnoteText"/>
        <w:ind w:firstLine="0"/>
      </w:pPr>
      <w:r>
        <w:rPr>
          <w:rStyle w:val="FootnoteReference"/>
        </w:rPr>
        <w:footnoteRef/>
      </w:r>
      <w:r>
        <w:t xml:space="preserve"> </w:t>
      </w:r>
      <w:r w:rsidRPr="00A83E65">
        <w:rPr>
          <w:i/>
        </w:rPr>
        <w:t xml:space="preserve">Id. </w:t>
      </w:r>
      <w:r w:rsidRPr="00A83E65">
        <w:t xml:space="preserve">at </w:t>
      </w:r>
      <w:r>
        <w:t>7</w:t>
      </w:r>
      <w:r w:rsidRPr="00A83E65">
        <w:t>–</w:t>
      </w:r>
      <w:r>
        <w:t>8</w:t>
      </w:r>
      <w:r w:rsidRPr="00A83E65">
        <w:t>.</w:t>
      </w:r>
    </w:p>
  </w:footnote>
  <w:footnote w:id="17">
    <w:p w:rsidR="00BB6D27" w:rsidRDefault="00BB6D27" w:rsidP="00217D8A">
      <w:pPr>
        <w:pStyle w:val="FootnoteText"/>
        <w:ind w:firstLine="0"/>
      </w:pPr>
      <w:r>
        <w:rPr>
          <w:rStyle w:val="FootnoteReference"/>
        </w:rPr>
        <w:footnoteRef/>
      </w:r>
      <w:r>
        <w:t xml:space="preserve"> </w:t>
      </w:r>
      <w:r w:rsidRPr="00A83E65">
        <w:rPr>
          <w:i/>
        </w:rPr>
        <w:t xml:space="preserve">Id. </w:t>
      </w:r>
      <w:r w:rsidRPr="00A83E65">
        <w:t xml:space="preserve">at </w:t>
      </w:r>
      <w:r>
        <w:t>9</w:t>
      </w:r>
      <w:r w:rsidRPr="00A83E65">
        <w:t>–</w:t>
      </w:r>
      <w:r>
        <w:t>15</w:t>
      </w:r>
      <w:r w:rsidRPr="00A83E65">
        <w:t>.</w:t>
      </w:r>
    </w:p>
  </w:footnote>
  <w:footnote w:id="18">
    <w:p w:rsidR="00BB6D27" w:rsidRDefault="00BB6D27" w:rsidP="00217D8A">
      <w:pPr>
        <w:pStyle w:val="FootnoteText"/>
        <w:ind w:firstLine="0"/>
      </w:pPr>
      <w:r>
        <w:rPr>
          <w:rStyle w:val="FootnoteReference"/>
        </w:rPr>
        <w:footnoteRef/>
      </w:r>
      <w:r>
        <w:t xml:space="preserve"> </w:t>
      </w:r>
      <w:r w:rsidRPr="00A83E65">
        <w:rPr>
          <w:i/>
        </w:rPr>
        <w:t xml:space="preserve">Id. </w:t>
      </w:r>
      <w:r w:rsidRPr="00A83E65">
        <w:t xml:space="preserve">at </w:t>
      </w:r>
      <w:r>
        <w:t>15</w:t>
      </w:r>
      <w:r w:rsidRPr="00A83E65">
        <w:t>–</w:t>
      </w:r>
      <w:r>
        <w:t>20</w:t>
      </w:r>
      <w:r w:rsidRPr="00A83E65">
        <w:t>.</w:t>
      </w:r>
    </w:p>
  </w:footnote>
  <w:footnote w:id="19">
    <w:p w:rsidR="00BB6D27" w:rsidRDefault="00BB6D27">
      <w:pPr>
        <w:pStyle w:val="FootnoteText"/>
        <w:ind w:firstLine="0"/>
        <w:jc w:val="left"/>
        <w:rPr>
          <w:szCs w:val="20"/>
        </w:rPr>
      </w:pPr>
      <w:r>
        <w:rPr>
          <w:rStyle w:val="FootnoteReference"/>
        </w:rPr>
        <w:footnoteRef/>
      </w:r>
      <w:r>
        <w:rPr>
          <w:szCs w:val="20"/>
        </w:rPr>
        <w:t xml:space="preserve"> 47 U.S.C. § 503(b).</w:t>
      </w:r>
    </w:p>
  </w:footnote>
  <w:footnote w:id="20">
    <w:p w:rsidR="00BB6D27" w:rsidRDefault="00BB6D27">
      <w:pPr>
        <w:pStyle w:val="FootnoteText"/>
        <w:ind w:firstLine="0"/>
        <w:jc w:val="left"/>
        <w:rPr>
          <w:szCs w:val="20"/>
        </w:rPr>
      </w:pPr>
      <w:r>
        <w:rPr>
          <w:rStyle w:val="FootnoteReference"/>
        </w:rPr>
        <w:footnoteRef/>
      </w:r>
      <w:r>
        <w:rPr>
          <w:szCs w:val="20"/>
        </w:rPr>
        <w:t xml:space="preserve"> 47 C.F.R. § 1.80.</w:t>
      </w:r>
    </w:p>
  </w:footnote>
  <w:footnote w:id="21">
    <w:p w:rsidR="00BB6D27" w:rsidRDefault="00BB6D27">
      <w:pPr>
        <w:pStyle w:val="FootnoteText"/>
        <w:ind w:firstLine="0"/>
        <w:jc w:val="left"/>
        <w:rPr>
          <w:szCs w:val="20"/>
        </w:rPr>
      </w:pPr>
      <w:r>
        <w:rPr>
          <w:rStyle w:val="FootnoteReference"/>
        </w:rPr>
        <w:footnoteRef/>
      </w:r>
      <w:r>
        <w:rPr>
          <w:szCs w:val="20"/>
        </w:rPr>
        <w:t xml:space="preserve"> </w:t>
      </w:r>
      <w:r>
        <w:rPr>
          <w:i/>
          <w:szCs w:val="20"/>
        </w:rPr>
        <w:t>The Commission’s Forfeiture Policy Statement and Amendment of Section 1.80 of the Rules to Incorporate the Forfeiture Guidelines</w:t>
      </w:r>
      <w:r>
        <w:rPr>
          <w:szCs w:val="20"/>
        </w:rPr>
        <w:t xml:space="preserve">, Report and Order, 12 FCC Rcd 17087 (1997), </w:t>
      </w:r>
      <w:r>
        <w:rPr>
          <w:i/>
          <w:szCs w:val="20"/>
        </w:rPr>
        <w:t>recons. denied</w:t>
      </w:r>
      <w:r>
        <w:rPr>
          <w:szCs w:val="20"/>
        </w:rPr>
        <w:t>, 15 FCC Rcd 303 (1999) (</w:t>
      </w:r>
      <w:r>
        <w:rPr>
          <w:i/>
          <w:szCs w:val="20"/>
        </w:rPr>
        <w:t>Forfeiture Policy Statement</w:t>
      </w:r>
      <w:r>
        <w:rPr>
          <w:szCs w:val="20"/>
        </w:rPr>
        <w:t xml:space="preserve">).  </w:t>
      </w:r>
    </w:p>
  </w:footnote>
  <w:footnote w:id="22">
    <w:p w:rsidR="00BB6D27" w:rsidRDefault="00BB6D27">
      <w:pPr>
        <w:pStyle w:val="FootnoteText"/>
        <w:ind w:firstLine="0"/>
        <w:jc w:val="left"/>
        <w:rPr>
          <w:szCs w:val="20"/>
        </w:rPr>
      </w:pPr>
      <w:r>
        <w:rPr>
          <w:rStyle w:val="FootnoteReference"/>
        </w:rPr>
        <w:footnoteRef/>
      </w:r>
      <w:r>
        <w:rPr>
          <w:szCs w:val="20"/>
        </w:rPr>
        <w:t xml:space="preserve"> 47 U.S.C. § 503(b)(2)(E).</w:t>
      </w:r>
    </w:p>
  </w:footnote>
  <w:footnote w:id="23">
    <w:p w:rsidR="00BB6D27" w:rsidRPr="004E58AB" w:rsidRDefault="00BB6D27" w:rsidP="00866C36">
      <w:pPr>
        <w:pStyle w:val="FootnoteText"/>
        <w:ind w:firstLine="0"/>
        <w:jc w:val="left"/>
      </w:pPr>
      <w:r>
        <w:rPr>
          <w:rStyle w:val="FootnoteReference"/>
        </w:rPr>
        <w:footnoteRef/>
      </w:r>
      <w:r>
        <w:t xml:space="preserve"> </w:t>
      </w:r>
      <w:r>
        <w:rPr>
          <w:i/>
        </w:rPr>
        <w:t xml:space="preserve">NAL Response </w:t>
      </w:r>
      <w:r>
        <w:t>at 5 – 6.  Section 1.80(d) of the Rule states: “</w:t>
      </w:r>
      <w:r w:rsidRPr="00866C36">
        <w:rPr>
          <w:i/>
        </w:rPr>
        <w:t>Preliminary procedure in some cases</w:t>
      </w:r>
      <w:r>
        <w:t xml:space="preserve">; citations. </w:t>
      </w:r>
      <w:r w:rsidR="002A4DF3">
        <w:t xml:space="preserve"> </w:t>
      </w:r>
      <w:r>
        <w:t>No forfeiture penalty shall be imposed upon any person under this section, if such person does not hold a license, permit, certificate, or other</w:t>
      </w:r>
      <w:r w:rsidRPr="00866C36">
        <w:t xml:space="preserve"> </w:t>
      </w:r>
      <w:r>
        <w:t xml:space="preserve">authorization issued by the Commission, and if such person is not an applicant for a license, permit, certificate, or other authorization issued by the Commission, unless, prior to the issuance of the appropriate notice, such person: (1) Is sent a citation reciting the violation charged; (2) is given a reasonable opportunity (usually 30 days) to request a personal interview with a Commission official, at the field office which is nearest to such person’s place of residence; and (3) subsequently engages in conduct of the type described in the citation. </w:t>
      </w:r>
      <w:r w:rsidR="008A39C4">
        <w:t xml:space="preserve"> </w:t>
      </w:r>
      <w:r>
        <w:t xml:space="preserve">However, a forfeiture penalty may be imposed, if such person is engaged in (and the violation relates to) activities for which a license, permit, certificate, or other authorization is required or if such person is a cable television operator, or in the case of violations of section 303(q), if the person involved is a nonlicensee tower owner who has previously received notice of the obligations imposed by section 303(q) from the Commission or the permittee or licensee who uses that tower.” </w:t>
      </w:r>
      <w:r w:rsidRPr="00866C36">
        <w:t xml:space="preserve">47 C.F.R. § 1.80(d).  </w:t>
      </w:r>
    </w:p>
  </w:footnote>
  <w:footnote w:id="24">
    <w:p w:rsidR="00BB6D27" w:rsidRPr="00AE68E9" w:rsidRDefault="00BB6D27" w:rsidP="00AB356A">
      <w:pPr>
        <w:pStyle w:val="FootnoteText"/>
        <w:ind w:firstLine="0"/>
        <w:rPr>
          <w:i/>
        </w:rPr>
      </w:pPr>
      <w:r>
        <w:rPr>
          <w:rStyle w:val="FootnoteReference"/>
        </w:rPr>
        <w:footnoteRef/>
      </w:r>
      <w:r>
        <w:t xml:space="preserve"> </w:t>
      </w:r>
      <w:r w:rsidRPr="00AB356A">
        <w:t>47 C.F.R. § 1.80</w:t>
      </w:r>
      <w:r>
        <w:t>(d)</w:t>
      </w:r>
      <w:r w:rsidRPr="00AB356A">
        <w:t>.</w:t>
      </w:r>
      <w:r>
        <w:t xml:space="preserve">  </w:t>
      </w:r>
      <w:r>
        <w:rPr>
          <w:i/>
        </w:rPr>
        <w:t>See also</w:t>
      </w:r>
      <w:r w:rsidRPr="00AE68E9">
        <w:rPr>
          <w:i/>
        </w:rPr>
        <w:t xml:space="preserve"> </w:t>
      </w:r>
      <w:r w:rsidRPr="00AE68E9">
        <w:t>47 U.S.C. § 503(b)(</w:t>
      </w:r>
      <w:r>
        <w:t>5</w:t>
      </w:r>
      <w:r w:rsidRPr="00AE68E9">
        <w:t>).</w:t>
      </w:r>
    </w:p>
  </w:footnote>
  <w:footnote w:id="25">
    <w:p w:rsidR="00AB3CCE" w:rsidRDefault="00AB3CCE" w:rsidP="00E25A8B">
      <w:pPr>
        <w:pStyle w:val="FootnoteText"/>
        <w:ind w:firstLine="0"/>
      </w:pPr>
      <w:r>
        <w:rPr>
          <w:rStyle w:val="FootnoteReference"/>
        </w:rPr>
        <w:footnoteRef/>
      </w:r>
      <w:r>
        <w:t xml:space="preserve"> </w:t>
      </w:r>
      <w:r w:rsidR="00B92212" w:rsidRPr="00E25A8B">
        <w:rPr>
          <w:i/>
        </w:rPr>
        <w:t xml:space="preserve">See </w:t>
      </w:r>
      <w:r w:rsidR="00B92212" w:rsidRPr="008558E1">
        <w:rPr>
          <w:i/>
        </w:rPr>
        <w:t>NAL</w:t>
      </w:r>
      <w:r w:rsidR="00B92212" w:rsidRPr="00B92212">
        <w:t>, 28 FCC Rcd at 39 – 40, paras. 6–8.</w:t>
      </w:r>
    </w:p>
  </w:footnote>
  <w:footnote w:id="26">
    <w:p w:rsidR="00BB6D27" w:rsidRPr="00AE68E9" w:rsidRDefault="00BB6D27" w:rsidP="00AE68E9">
      <w:pPr>
        <w:pStyle w:val="FootnoteText"/>
        <w:ind w:firstLine="0"/>
      </w:pPr>
      <w:r>
        <w:rPr>
          <w:rStyle w:val="FootnoteReference"/>
        </w:rPr>
        <w:footnoteRef/>
      </w:r>
      <w:r w:rsidR="00B92212">
        <w:t xml:space="preserve"> </w:t>
      </w:r>
      <w:r w:rsidR="00B92212" w:rsidRPr="00B92212">
        <w:t xml:space="preserve">47 C.F.R. § </w:t>
      </w:r>
      <w:r w:rsidR="00B92212">
        <w:t xml:space="preserve">15.1(b).  </w:t>
      </w:r>
      <w:r>
        <w:rPr>
          <w:i/>
        </w:rPr>
        <w:t>See NAL</w:t>
      </w:r>
      <w:r>
        <w:t xml:space="preserve">, 28 FCC Rcd at </w:t>
      </w:r>
      <w:r w:rsidR="0087660F">
        <w:t>3</w:t>
      </w:r>
      <w:r w:rsidR="00B92212">
        <w:t xml:space="preserve">7 – 38, </w:t>
      </w:r>
      <w:r w:rsidR="0087660F">
        <w:t xml:space="preserve">para. </w:t>
      </w:r>
      <w:r w:rsidR="00B92212">
        <w:t>2</w:t>
      </w:r>
      <w:r w:rsidR="0087660F">
        <w:t xml:space="preserve">. </w:t>
      </w:r>
    </w:p>
  </w:footnote>
  <w:footnote w:id="27">
    <w:p w:rsidR="00BB6D27" w:rsidRDefault="00BB6D27" w:rsidP="00D8051D">
      <w:pPr>
        <w:pStyle w:val="FootnoteText"/>
        <w:ind w:firstLine="0"/>
        <w:jc w:val="left"/>
      </w:pPr>
      <w:r>
        <w:rPr>
          <w:rStyle w:val="FootnoteReference"/>
        </w:rPr>
        <w:footnoteRef/>
      </w:r>
      <w:r>
        <w:t xml:space="preserve"> </w:t>
      </w:r>
      <w:r w:rsidR="00B92212" w:rsidRPr="00E25A8B">
        <w:rPr>
          <w:i/>
        </w:rPr>
        <w:t>See</w:t>
      </w:r>
      <w:r w:rsidR="00B92212" w:rsidRPr="00B92212">
        <w:t xml:space="preserve"> </w:t>
      </w:r>
      <w:r w:rsidR="00B92212" w:rsidRPr="008558E1">
        <w:rPr>
          <w:i/>
        </w:rPr>
        <w:t>NAL</w:t>
      </w:r>
      <w:r w:rsidR="00B92212" w:rsidRPr="00B92212">
        <w:t>, 28 FCC Rcd at 39 – 40, paras. 6–8.</w:t>
      </w:r>
      <w:r w:rsidR="002212BB">
        <w:t xml:space="preserve"> </w:t>
      </w:r>
      <w:r w:rsidR="0087660F">
        <w:t xml:space="preserve">We note Directlink became a Commission licensee on June 19, 2012.  </w:t>
      </w:r>
      <w:r w:rsidR="0087660F">
        <w:rPr>
          <w:i/>
        </w:rPr>
        <w:t>See</w:t>
      </w:r>
      <w:r w:rsidR="00D8156B">
        <w:rPr>
          <w:i/>
        </w:rPr>
        <w:t>, e.g.,</w:t>
      </w:r>
      <w:r w:rsidR="0087660F">
        <w:rPr>
          <w:i/>
        </w:rPr>
        <w:t xml:space="preserve"> </w:t>
      </w:r>
      <w:r w:rsidR="00D8156B">
        <w:t xml:space="preserve">File No. </w:t>
      </w:r>
      <w:r w:rsidR="00D8156B" w:rsidRPr="00D8156B">
        <w:t>0005172027</w:t>
      </w:r>
      <w:r w:rsidR="00D8156B">
        <w:t xml:space="preserve">, granted June 19, 2012 (call sign WQPL428). </w:t>
      </w:r>
      <w:r w:rsidR="00B92212">
        <w:t xml:space="preserve"> </w:t>
      </w:r>
      <w:r w:rsidR="0087660F" w:rsidRPr="00AB3CCE">
        <w:rPr>
          <w:i/>
        </w:rPr>
        <w:t>See supra</w:t>
      </w:r>
      <w:r w:rsidR="0087660F" w:rsidRPr="0087660F">
        <w:t xml:space="preserve"> note 1; </w:t>
      </w:r>
      <w:r w:rsidR="0087660F" w:rsidRPr="00AB3CCE">
        <w:rPr>
          <w:i/>
        </w:rPr>
        <w:t>see also</w:t>
      </w:r>
      <w:r w:rsidR="0087660F" w:rsidRPr="0087660F">
        <w:t xml:space="preserve"> </w:t>
      </w:r>
      <w:r w:rsidR="0087660F" w:rsidRPr="00E25A8B">
        <w:rPr>
          <w:i/>
        </w:rPr>
        <w:t>NAL</w:t>
      </w:r>
      <w:r w:rsidR="0087660F" w:rsidRPr="0087660F">
        <w:t>, 28 FCC Rcd at 43 n.1.</w:t>
      </w:r>
    </w:p>
  </w:footnote>
  <w:footnote w:id="28">
    <w:p w:rsidR="00BB6D27" w:rsidRDefault="00BB6D27" w:rsidP="00D8051D">
      <w:pPr>
        <w:pStyle w:val="FootnoteText"/>
        <w:ind w:firstLine="0"/>
        <w:jc w:val="left"/>
      </w:pPr>
      <w:r>
        <w:rPr>
          <w:rStyle w:val="FootnoteReference"/>
        </w:rPr>
        <w:footnoteRef/>
      </w:r>
      <w:r>
        <w:t xml:space="preserve"> </w:t>
      </w:r>
      <w:r>
        <w:rPr>
          <w:i/>
        </w:rPr>
        <w:t>NAL Response</w:t>
      </w:r>
      <w:r w:rsidRPr="00D8051D">
        <w:rPr>
          <w:i/>
        </w:rPr>
        <w:t xml:space="preserve"> </w:t>
      </w:r>
      <w:r w:rsidRPr="00D8051D">
        <w:t>at 7–8.</w:t>
      </w:r>
      <w:r>
        <w:t xml:space="preserve">  Directlink cites to a Citation that was issued to a vendor of non-certified equipment that caused interference to TDWR systems equipment.  </w:t>
      </w:r>
      <w:r w:rsidR="00BE09E8">
        <w:t>A</w:t>
      </w:r>
      <w:r>
        <w:t xml:space="preserve"> citation was required by Section 1.80(d) of the Rules</w:t>
      </w:r>
      <w:r w:rsidR="00BE09E8">
        <w:t>, however,</w:t>
      </w:r>
      <w:r>
        <w:t xml:space="preserve"> because the vendor was not a Commission licensee and was not engaging in conduct that required an FCC license, permit or authorization.  </w:t>
      </w:r>
      <w:r>
        <w:rPr>
          <w:i/>
        </w:rPr>
        <w:t xml:space="preserve">See </w:t>
      </w:r>
      <w:r w:rsidRPr="004E58AB">
        <w:rPr>
          <w:i/>
        </w:rPr>
        <w:t>SECURITY-CAMERAS-CCTV.COM</w:t>
      </w:r>
      <w:r>
        <w:rPr>
          <w:i/>
        </w:rPr>
        <w:t xml:space="preserve">, </w:t>
      </w:r>
      <w:r>
        <w:t xml:space="preserve">Citation, 28 FCC Rcd 205 (Enf. Bur. 2013) (citation issued </w:t>
      </w:r>
      <w:r w:rsidR="005E479B">
        <w:t xml:space="preserve">to </w:t>
      </w:r>
      <w:r>
        <w:t>non-licensee who engaged in the illegal market</w:t>
      </w:r>
      <w:r w:rsidR="005E479B">
        <w:t>ing</w:t>
      </w:r>
      <w:r>
        <w:t xml:space="preserve"> of unauthorized radio frequency devices).    </w:t>
      </w:r>
    </w:p>
  </w:footnote>
  <w:footnote w:id="29">
    <w:p w:rsidR="00BB6D27" w:rsidRPr="006C2A13" w:rsidRDefault="00BB6D27" w:rsidP="0071753E">
      <w:pPr>
        <w:pStyle w:val="FootnoteText"/>
        <w:ind w:firstLine="0"/>
      </w:pPr>
      <w:r>
        <w:rPr>
          <w:rStyle w:val="FootnoteReference"/>
        </w:rPr>
        <w:footnoteRef/>
      </w:r>
      <w:r>
        <w:t xml:space="preserve"> </w:t>
      </w:r>
      <w:r>
        <w:rPr>
          <w:i/>
        </w:rPr>
        <w:t>NAL</w:t>
      </w:r>
      <w:r w:rsidR="00D66DD6">
        <w:t xml:space="preserve"> 28 FCC Rcd at 41</w:t>
      </w:r>
      <w:r>
        <w:t>, para 10.</w:t>
      </w:r>
    </w:p>
  </w:footnote>
  <w:footnote w:id="30">
    <w:p w:rsidR="00BB6D27" w:rsidRDefault="00BB6D27" w:rsidP="00134D89">
      <w:pPr>
        <w:pStyle w:val="FootnoteText"/>
        <w:ind w:firstLine="0"/>
        <w:jc w:val="left"/>
      </w:pPr>
      <w:r>
        <w:rPr>
          <w:rStyle w:val="FootnoteReference"/>
        </w:rPr>
        <w:footnoteRef/>
      </w:r>
      <w:r>
        <w:t xml:space="preserve"> </w:t>
      </w:r>
      <w:r>
        <w:rPr>
          <w:i/>
        </w:rPr>
        <w:t>NAL Response</w:t>
      </w:r>
      <w:r>
        <w:t xml:space="preserve"> at 7</w:t>
      </w:r>
      <w:r w:rsidR="009702E7">
        <w:t xml:space="preserve"> (</w:t>
      </w:r>
      <w:r>
        <w:t>arguing a warning would be appropriate because this was a first-time violation by the company</w:t>
      </w:r>
      <w:r w:rsidR="009702E7">
        <w:t>)</w:t>
      </w:r>
      <w:r>
        <w:t xml:space="preserve">.  </w:t>
      </w:r>
    </w:p>
  </w:footnote>
  <w:footnote w:id="31">
    <w:p w:rsidR="00BB6D27" w:rsidRPr="0071753E" w:rsidRDefault="00BB6D27" w:rsidP="00134D89">
      <w:pPr>
        <w:pStyle w:val="FootnoteText"/>
        <w:ind w:firstLine="0"/>
        <w:jc w:val="left"/>
      </w:pPr>
      <w:r>
        <w:rPr>
          <w:rStyle w:val="FootnoteReference"/>
        </w:rPr>
        <w:footnoteRef/>
      </w:r>
      <w:r>
        <w:t xml:space="preserve"> The Commission has found that a policy of providing a warning for all first-time violations </w:t>
      </w:r>
      <w:r w:rsidR="00BE09E8">
        <w:t>i</w:t>
      </w:r>
      <w:r>
        <w:t>s unworkable</w:t>
      </w:r>
      <w:r w:rsidR="009702E7">
        <w:t>,</w:t>
      </w:r>
      <w:r>
        <w:t xml:space="preserve"> stating that “</w:t>
      </w:r>
      <w:r w:rsidRPr="0071753E">
        <w:t xml:space="preserve">an approach whereby, except in cases of harm to others or safety of life, we would always issue a warning to first-time violators would greatly undermine the credibility and effectiveness of our overall compliance efforts. </w:t>
      </w:r>
      <w:r w:rsidR="009702E7">
        <w:t xml:space="preserve"> </w:t>
      </w:r>
      <w:r w:rsidRPr="0071753E">
        <w:t>Licensees must strive to comply with rules. Such an approach could invite some licensees to commit first-time violations with impunity.</w:t>
      </w:r>
      <w:r>
        <w:t xml:space="preserve">”  </w:t>
      </w:r>
      <w:r w:rsidRPr="00E3138F">
        <w:rPr>
          <w:i/>
        </w:rPr>
        <w:t>Forfeiture Policy Statement</w:t>
      </w:r>
      <w:r w:rsidRPr="0071753E">
        <w:t>,</w:t>
      </w:r>
      <w:r w:rsidR="0098167B">
        <w:t xml:space="preserve"> 12</w:t>
      </w:r>
      <w:r w:rsidRPr="0071753E">
        <w:t xml:space="preserve"> FCC Rcd at </w:t>
      </w:r>
      <w:r w:rsidR="0098167B">
        <w:t>17102, para. 31.</w:t>
      </w:r>
    </w:p>
  </w:footnote>
  <w:footnote w:id="32">
    <w:p w:rsidR="00BB6D27" w:rsidRPr="009702E7" w:rsidRDefault="00BB6D27" w:rsidP="00130F1B">
      <w:pPr>
        <w:pStyle w:val="FootnoteText"/>
        <w:ind w:firstLine="0"/>
        <w:jc w:val="left"/>
      </w:pPr>
      <w:r>
        <w:rPr>
          <w:rStyle w:val="FootnoteReference"/>
        </w:rPr>
        <w:footnoteRef/>
      </w:r>
      <w:r>
        <w:t xml:space="preserve"> </w:t>
      </w:r>
      <w:r w:rsidRPr="00134D89">
        <w:rPr>
          <w:i/>
        </w:rPr>
        <w:t>NAL Response</w:t>
      </w:r>
      <w:r w:rsidRPr="00134D89">
        <w:t xml:space="preserve"> at 7</w:t>
      </w:r>
      <w:r>
        <w:t xml:space="preserve">–8.  </w:t>
      </w:r>
      <w:r w:rsidRPr="00D8051D">
        <w:rPr>
          <w:i/>
        </w:rPr>
        <w:t>See</w:t>
      </w:r>
      <w:r>
        <w:t xml:space="preserve"> 47 C.F.R. § 1.80(b)(5), Note: Guidelines for Assessing Forfeitures, Section II, Adjustment Criteria for Section 503 Forfeitures</w:t>
      </w:r>
      <w:r w:rsidR="009702E7">
        <w:t>.  F</w:t>
      </w:r>
      <w:r w:rsidRPr="008B664C">
        <w:t>or forfeitures proposed and assessed under Section 503(b) of the Act, the adjustment factors included by the Commission in i</w:t>
      </w:r>
      <w:r>
        <w:t>ts upward adjustment criteria in Section 1.80</w:t>
      </w:r>
      <w:r w:rsidRPr="008B664C">
        <w:t xml:space="preserve"> are: </w:t>
      </w:r>
      <w:r>
        <w:t xml:space="preserve">(1) Egregious misconduct; </w:t>
      </w:r>
      <w:r w:rsidRPr="00D8051D">
        <w:t>(2) Ability to pay/relative disincentive</w:t>
      </w:r>
      <w:r>
        <w:t xml:space="preserve">; </w:t>
      </w:r>
      <w:r w:rsidRPr="00D8051D">
        <w:t>(3) Intentional violation</w:t>
      </w:r>
      <w:r>
        <w:t xml:space="preserve">; (4) Substantial harm; </w:t>
      </w:r>
      <w:r w:rsidRPr="00D8051D">
        <w:t>(5) Prior vio</w:t>
      </w:r>
      <w:r>
        <w:t xml:space="preserve">lations of any FCC requirements; </w:t>
      </w:r>
      <w:r w:rsidRPr="00D8051D">
        <w:t>(6) Substantial economic gain</w:t>
      </w:r>
      <w:r>
        <w:t xml:space="preserve">; and </w:t>
      </w:r>
      <w:r w:rsidRPr="00D8051D">
        <w:t>(7) R</w:t>
      </w:r>
      <w:r>
        <w:t>epeated or continuous violation.</w:t>
      </w:r>
      <w:r w:rsidR="009702E7">
        <w:t xml:space="preserve">  </w:t>
      </w:r>
      <w:r w:rsidR="009702E7">
        <w:rPr>
          <w:i/>
        </w:rPr>
        <w:t>Id.</w:t>
      </w:r>
    </w:p>
  </w:footnote>
  <w:footnote w:id="33">
    <w:p w:rsidR="00BB6D27" w:rsidRDefault="00BB6D27" w:rsidP="00866C36">
      <w:pPr>
        <w:pStyle w:val="FootnoteText"/>
        <w:ind w:firstLine="0"/>
      </w:pPr>
      <w:r>
        <w:rPr>
          <w:rStyle w:val="FootnoteReference"/>
        </w:rPr>
        <w:footnoteRef/>
      </w:r>
      <w:r w:rsidR="00D66DD6">
        <w:t xml:space="preserve"> </w:t>
      </w:r>
      <w:r w:rsidR="00D66DD6" w:rsidRPr="00D66DD6">
        <w:rPr>
          <w:i/>
        </w:rPr>
        <w:t>NAL</w:t>
      </w:r>
      <w:r w:rsidR="00D66DD6" w:rsidRPr="00D66DD6">
        <w:t xml:space="preserve"> 28 FCC Rcd at 41, para 10.</w:t>
      </w:r>
    </w:p>
  </w:footnote>
  <w:footnote w:id="34">
    <w:p w:rsidR="00BB6D27" w:rsidRDefault="00BB6D27" w:rsidP="00261803">
      <w:pPr>
        <w:pStyle w:val="FootnoteText"/>
        <w:ind w:firstLine="0"/>
        <w:jc w:val="left"/>
      </w:pPr>
      <w:r>
        <w:rPr>
          <w:rStyle w:val="FootnoteReference"/>
        </w:rPr>
        <w:footnoteRef/>
      </w:r>
      <w:r>
        <w:t xml:space="preserve"> </w:t>
      </w:r>
      <w:r w:rsidRPr="00134D89">
        <w:rPr>
          <w:i/>
        </w:rPr>
        <w:t>NAL Response</w:t>
      </w:r>
      <w:r>
        <w:t xml:space="preserve"> at 8–15.  </w:t>
      </w:r>
      <w:r w:rsidRPr="00D8051D">
        <w:rPr>
          <w:i/>
        </w:rPr>
        <w:t>See</w:t>
      </w:r>
      <w:r>
        <w:t xml:space="preserve"> 47 C.F.R. § 1.80(b)(5), Note: Guidelines for Assessing Forfeitures, Section II, Adjustment Criteria for Section 503 Forfeitures (f</w:t>
      </w:r>
      <w:r w:rsidRPr="008B664C">
        <w:t>or forfeitures proposed and assessed under Section 503(b) of the Act, as this one is, the adjustment factors included by the Commission in i</w:t>
      </w:r>
      <w:r>
        <w:t>ts downward adjustment criteria in Section 1.80</w:t>
      </w:r>
      <w:r w:rsidRPr="008B664C">
        <w:t xml:space="preserve"> are: </w:t>
      </w:r>
      <w:r>
        <w:t xml:space="preserve"> </w:t>
      </w:r>
      <w:r w:rsidRPr="008B664C">
        <w:t xml:space="preserve">(1) </w:t>
      </w:r>
      <w:r w:rsidR="00B92212">
        <w:t>M</w:t>
      </w:r>
      <w:r w:rsidRPr="008B664C">
        <w:t xml:space="preserve">inor violation; (2) </w:t>
      </w:r>
      <w:r w:rsidR="00B92212">
        <w:t>G</w:t>
      </w:r>
      <w:r w:rsidRPr="008B664C">
        <w:t xml:space="preserve">ood faith or voluntary disclosure; (3) </w:t>
      </w:r>
      <w:r w:rsidR="00B92212">
        <w:t>H</w:t>
      </w:r>
      <w:r w:rsidRPr="008B664C">
        <w:t xml:space="preserve">istory of compliance; and (4) </w:t>
      </w:r>
      <w:r w:rsidR="00B92212">
        <w:t>I</w:t>
      </w:r>
      <w:r w:rsidRPr="008B664C">
        <w:t>nability to pay</w:t>
      </w:r>
      <w:r>
        <w:t>).</w:t>
      </w:r>
    </w:p>
  </w:footnote>
  <w:footnote w:id="35">
    <w:p w:rsidR="00BB6D27" w:rsidRPr="003234B6" w:rsidRDefault="00BB6D27" w:rsidP="0098167B">
      <w:pPr>
        <w:spacing w:after="120"/>
        <w:rPr>
          <w:snapToGrid w:val="0"/>
          <w:sz w:val="20"/>
          <w:szCs w:val="20"/>
        </w:rPr>
      </w:pPr>
      <w:r>
        <w:rPr>
          <w:rStyle w:val="FootnoteReference"/>
        </w:rPr>
        <w:footnoteRef/>
      </w:r>
      <w:r>
        <w:t xml:space="preserve"> </w:t>
      </w:r>
      <w:r w:rsidRPr="003234B6">
        <w:rPr>
          <w:i/>
          <w:sz w:val="20"/>
          <w:szCs w:val="20"/>
        </w:rPr>
        <w:t>NAL Response</w:t>
      </w:r>
      <w:r w:rsidRPr="003234B6">
        <w:rPr>
          <w:sz w:val="20"/>
          <w:szCs w:val="20"/>
        </w:rPr>
        <w:t xml:space="preserve"> at 9–13</w:t>
      </w:r>
      <w:r w:rsidR="0098167B">
        <w:rPr>
          <w:snapToGrid w:val="0"/>
          <w:sz w:val="20"/>
          <w:szCs w:val="20"/>
        </w:rPr>
        <w:t>.</w:t>
      </w:r>
    </w:p>
  </w:footnote>
  <w:footnote w:id="36">
    <w:p w:rsidR="00BB6D27" w:rsidRDefault="00BB6D27" w:rsidP="003D0F81">
      <w:pPr>
        <w:pStyle w:val="FootnoteText"/>
        <w:ind w:firstLine="0"/>
        <w:jc w:val="left"/>
      </w:pPr>
      <w:r>
        <w:rPr>
          <w:rStyle w:val="FootnoteReference"/>
        </w:rPr>
        <w:footnoteRef/>
      </w:r>
      <w:r>
        <w:t xml:space="preserve"> </w:t>
      </w:r>
      <w:r>
        <w:rPr>
          <w:i/>
        </w:rPr>
        <w:t>See,</w:t>
      </w:r>
      <w:r w:rsidRPr="003D0F81">
        <w:rPr>
          <w:i/>
        </w:rPr>
        <w:t xml:space="preserve"> e.g. Aeronet Wireless</w:t>
      </w:r>
      <w:r w:rsidRPr="00D67FDA">
        <w:t>, Notice of Unlicensed Operation (Enf. Bur., San Juan Office, rel. Apr. 20, 2009</w:t>
      </w:r>
      <w:r w:rsidRPr="003D0F81">
        <w:rPr>
          <w:i/>
        </w:rPr>
        <w:t>); Sling Broadband, LLC</w:t>
      </w:r>
      <w:r w:rsidRPr="00D67FDA">
        <w:t>, Notice of Unlicensed Operation (Enf. Bur., Miami Office, rel. Jul. 20, 2010)</w:t>
      </w:r>
      <w:r w:rsidR="00207FEF">
        <w:t xml:space="preserve"> (</w:t>
      </w:r>
      <w:r w:rsidR="00207FEF" w:rsidRPr="00AB3CCE">
        <w:rPr>
          <w:i/>
        </w:rPr>
        <w:t>Sling Broadband NOUO</w:t>
      </w:r>
      <w:r w:rsidR="00207FEF">
        <w:t>)</w:t>
      </w:r>
      <w:r w:rsidRPr="00D67FDA">
        <w:t xml:space="preserve">; </w:t>
      </w:r>
      <w:r w:rsidRPr="003D0F81">
        <w:rPr>
          <w:i/>
        </w:rPr>
        <w:t xml:space="preserve">NSN Wireless, LP, </w:t>
      </w:r>
      <w:r w:rsidRPr="00D67FDA">
        <w:t xml:space="preserve">Notice of Unlicensed Operation (Enf. Bur., Houston Office, rel. Aug. 13, 2010); </w:t>
      </w:r>
      <w:r w:rsidRPr="003D0F81">
        <w:rPr>
          <w:i/>
        </w:rPr>
        <w:t>Wireless Metro LLC</w:t>
      </w:r>
      <w:r w:rsidRPr="00D67FDA">
        <w:t>, Notice of Unlicensed Operation (Enf. Bur., Hous</w:t>
      </w:r>
      <w:r>
        <w:t xml:space="preserve">ton Office, rel. Aug. 13, 2010).  </w:t>
      </w:r>
    </w:p>
  </w:footnote>
  <w:footnote w:id="37">
    <w:p w:rsidR="00BB6D27" w:rsidRDefault="00BB6D27" w:rsidP="003D0F81">
      <w:pPr>
        <w:pStyle w:val="FootnoteText"/>
        <w:ind w:firstLine="0"/>
        <w:jc w:val="left"/>
      </w:pPr>
      <w:r>
        <w:rPr>
          <w:rStyle w:val="FootnoteReference"/>
        </w:rPr>
        <w:footnoteRef/>
      </w:r>
      <w:r>
        <w:t xml:space="preserve"> </w:t>
      </w:r>
      <w:r w:rsidRPr="004C4A99">
        <w:rPr>
          <w:i/>
        </w:rPr>
        <w:t>See</w:t>
      </w:r>
      <w:r w:rsidRPr="003D0F81">
        <w:t xml:space="preserve"> Memorandum</w:t>
      </w:r>
      <w:r>
        <w:t xml:space="preserve"> </w:t>
      </w:r>
      <w:r w:rsidRPr="003D0F81">
        <w:t xml:space="preserve">from Julius Knapp, Chief, Office of Engineering and Technology, FCC, and P. Michele Ellison, Chief, Enforcement Bureau, FCC, to Manufacturers and Operators of Unlicensed 5 GHz Outdoor Network Equipment Re: Elimination of Interference to Terminal Doppler Weather Radar (TDWR) (dated July 27, 2010), available at http://transition.fcc.gov/eb/uniitdwr.pdf (last visited </w:t>
      </w:r>
      <w:r>
        <w:t>Jan. 24</w:t>
      </w:r>
      <w:r w:rsidRPr="003D0F81">
        <w:t>, 201</w:t>
      </w:r>
      <w:r>
        <w:t>4</w:t>
      </w:r>
      <w:r w:rsidRPr="003D0F81">
        <w:t>) (OET/EB Memo).</w:t>
      </w:r>
      <w:r w:rsidRPr="00911F4B">
        <w:t xml:space="preserve"> </w:t>
      </w:r>
      <w:r>
        <w:t xml:space="preserve"> NOUOs cited to by Directlink that were issued after the release of the OET/EB Memo were typically issued to new entrants, </w:t>
      </w:r>
      <w:r>
        <w:rPr>
          <w:i/>
        </w:rPr>
        <w:t>see, e.g.,</w:t>
      </w:r>
      <w:r>
        <w:t xml:space="preserve"> </w:t>
      </w:r>
      <w:r w:rsidRPr="003D0F81">
        <w:rPr>
          <w:i/>
        </w:rPr>
        <w:t xml:space="preserve">Crucito Marrero </w:t>
      </w:r>
      <w:r>
        <w:rPr>
          <w:i/>
        </w:rPr>
        <w:t>dba</w:t>
      </w:r>
      <w:r w:rsidRPr="003D0F81">
        <w:rPr>
          <w:i/>
        </w:rPr>
        <w:t xml:space="preserve"> CMARR</w:t>
      </w:r>
      <w:r>
        <w:t xml:space="preserve">, </w:t>
      </w:r>
      <w:r w:rsidRPr="00911F4B">
        <w:t xml:space="preserve">Notice of Unlicensed Operation (Enf. Bur., San Juan Office, rel. </w:t>
      </w:r>
      <w:r>
        <w:t>Jun. 2, 2011</w:t>
      </w:r>
      <w:r w:rsidRPr="00911F4B">
        <w:t>);</w:t>
      </w:r>
      <w:r>
        <w:t xml:space="preserve"> </w:t>
      </w:r>
      <w:r w:rsidRPr="003D0F81">
        <w:rPr>
          <w:i/>
        </w:rPr>
        <w:t>David Robles dba dmwireless</w:t>
      </w:r>
      <w:r>
        <w:t>,</w:t>
      </w:r>
      <w:r w:rsidRPr="003D0F81">
        <w:t xml:space="preserve"> Notice of Unlicensed Operation (Enf. Bur., San Juan Office, rel. </w:t>
      </w:r>
      <w:r>
        <w:t>Mar. 13</w:t>
      </w:r>
      <w:r w:rsidRPr="003D0F81">
        <w:t>, 201</w:t>
      </w:r>
      <w:r>
        <w:t>2</w:t>
      </w:r>
      <w:r w:rsidRPr="003D0F81">
        <w:t>);</w:t>
      </w:r>
      <w:r>
        <w:t xml:space="preserve"> </w:t>
      </w:r>
      <w:r w:rsidRPr="003D0F81">
        <w:rPr>
          <w:i/>
        </w:rPr>
        <w:t>The WIFI Store</w:t>
      </w:r>
      <w:r>
        <w:t>,</w:t>
      </w:r>
      <w:r w:rsidRPr="003D0F81">
        <w:t xml:space="preserve"> Notice of Unlicensed Operation (Enf. Bur., San Juan Office, rel. Mar. 13, 2012);</w:t>
      </w:r>
      <w:r>
        <w:t xml:space="preserve"> or where the interference was truly inadvertent because it was caused by a malfunctioning security camera, </w:t>
      </w:r>
      <w:r>
        <w:rPr>
          <w:i/>
        </w:rPr>
        <w:t xml:space="preserve">see ExtraSpace Storage, </w:t>
      </w:r>
      <w:r w:rsidRPr="003D0F81">
        <w:t xml:space="preserve">Notice of Unlicensed Operation (Enf. Bur., </w:t>
      </w:r>
      <w:r>
        <w:t>Los Angeles Office</w:t>
      </w:r>
      <w:r w:rsidRPr="003D0F81">
        <w:t xml:space="preserve">, rel. </w:t>
      </w:r>
      <w:r>
        <w:t>Dec. 20, 2011</w:t>
      </w:r>
      <w:r w:rsidRPr="003D0F81">
        <w:t>)</w:t>
      </w:r>
      <w:r>
        <w:t xml:space="preserve">.  </w:t>
      </w:r>
    </w:p>
  </w:footnote>
  <w:footnote w:id="38">
    <w:p w:rsidR="00BB6D27" w:rsidRDefault="00BB6D27" w:rsidP="0001040A">
      <w:pPr>
        <w:pStyle w:val="FootnoteText"/>
        <w:ind w:firstLine="0"/>
        <w:jc w:val="left"/>
      </w:pPr>
      <w:r>
        <w:rPr>
          <w:rStyle w:val="FootnoteReference"/>
        </w:rPr>
        <w:footnoteRef/>
      </w:r>
      <w:r>
        <w:t xml:space="preserve"> OET/EB Memo at 1</w:t>
      </w:r>
      <w:r w:rsidR="002A4DF3">
        <w:t>–2</w:t>
      </w:r>
      <w:r>
        <w:t xml:space="preserve">.    </w:t>
      </w:r>
    </w:p>
  </w:footnote>
  <w:footnote w:id="39">
    <w:p w:rsidR="00983B58" w:rsidRDefault="00983B58" w:rsidP="00AB3CCE">
      <w:pPr>
        <w:pStyle w:val="FootnoteText"/>
        <w:ind w:firstLine="0"/>
        <w:jc w:val="left"/>
      </w:pPr>
      <w:r>
        <w:rPr>
          <w:rStyle w:val="FootnoteReference"/>
        </w:rPr>
        <w:footnoteRef/>
      </w:r>
      <w:r>
        <w:t xml:space="preserve"> OET/EB Memo at 2</w:t>
      </w:r>
      <w:r w:rsidRPr="00983B58">
        <w:t xml:space="preserve">. </w:t>
      </w:r>
      <w:r>
        <w:t xml:space="preserve"> The OET/EB Memo also listed the lo</w:t>
      </w:r>
      <w:r w:rsidR="00EA6054">
        <w:t>c</w:t>
      </w:r>
      <w:r>
        <w:t>ations of the TDWR installations along with the frequencies in use</w:t>
      </w:r>
      <w:r w:rsidR="00EA6054">
        <w:t>, including the frequency used by the Denver</w:t>
      </w:r>
      <w:r w:rsidR="00EE36F1">
        <w:t>,</w:t>
      </w:r>
      <w:r w:rsidR="00EA6054">
        <w:t xml:space="preserve"> Colorado, TDWR of 5615 MHz</w:t>
      </w:r>
      <w:r>
        <w:t xml:space="preserve">. </w:t>
      </w:r>
      <w:r w:rsidR="00EA6054">
        <w:t xml:space="preserve"> </w:t>
      </w:r>
      <w:r w:rsidR="00EA6054" w:rsidRPr="00EA6054">
        <w:t xml:space="preserve">OET/EB Memo at </w:t>
      </w:r>
      <w:r w:rsidR="00EA6054">
        <w:t>3</w:t>
      </w:r>
      <w:r w:rsidR="00EA6054" w:rsidRPr="00EA6054">
        <w:t xml:space="preserve">. </w:t>
      </w:r>
      <w:r w:rsidR="00EA6054">
        <w:t xml:space="preserve"> </w:t>
      </w:r>
      <w:r>
        <w:t>Directlink operat</w:t>
      </w:r>
      <w:r w:rsidR="008A39C4">
        <w:t>ed</w:t>
      </w:r>
      <w:r>
        <w:t xml:space="preserve"> its transceiver within 31 kilometers of the Denver, Co</w:t>
      </w:r>
      <w:r w:rsidR="00EA6054">
        <w:t>lorado, TDWR, and operat</w:t>
      </w:r>
      <w:r w:rsidR="008A39C4">
        <w:t>ed</w:t>
      </w:r>
      <w:r w:rsidR="00EA6054">
        <w:t xml:space="preserve"> without authority </w:t>
      </w:r>
      <w:r>
        <w:t xml:space="preserve">on </w:t>
      </w:r>
      <w:r w:rsidR="00EA6054">
        <w:t>5630 MHz, with</w:t>
      </w:r>
      <w:r w:rsidR="00EE36F1">
        <w:t>in</w:t>
      </w:r>
      <w:r w:rsidR="00EA6054">
        <w:t xml:space="preserve"> 15 MHz of the Denver, Colorado, TDWR. </w:t>
      </w:r>
    </w:p>
  </w:footnote>
  <w:footnote w:id="40">
    <w:p w:rsidR="00BB6D27" w:rsidRDefault="00BB6D27" w:rsidP="003234B6">
      <w:pPr>
        <w:pStyle w:val="FootnoteText"/>
        <w:ind w:firstLine="0"/>
        <w:jc w:val="left"/>
      </w:pPr>
      <w:r>
        <w:rPr>
          <w:rStyle w:val="FootnoteReference"/>
        </w:rPr>
        <w:footnoteRef/>
      </w:r>
      <w:r>
        <w:t xml:space="preserve"> </w:t>
      </w:r>
      <w:r>
        <w:rPr>
          <w:i/>
        </w:rPr>
        <w:t xml:space="preserve">See </w:t>
      </w:r>
      <w:r w:rsidRPr="000D6E8D">
        <w:rPr>
          <w:i/>
        </w:rPr>
        <w:t>Utah Broadband</w:t>
      </w:r>
      <w:r>
        <w:t xml:space="preserve">, Notice of </w:t>
      </w:r>
      <w:r w:rsidRPr="0001040A">
        <w:t>Apparent Liability for Forfeit</w:t>
      </w:r>
      <w:r>
        <w:t xml:space="preserve">ure and Order, 26 FCC Rcd 1419 (Enf. Bur. 2011) ($25,000 forfeiture proposed for violations of Sections 301 and Section 302(b) of the Act, utilizing a Ubiquiti Xtreme Range 5 transceiver with </w:t>
      </w:r>
      <w:smartTag w:uri="urn:schemas-microsoft-com:office:smarttags" w:element="stockticker">
        <w:r>
          <w:t>DFS</w:t>
        </w:r>
      </w:smartTag>
      <w:r>
        <w:t xml:space="preserve"> functionality disabled with upward adjustment for public safety harm) (forfeiture paid) (</w:t>
      </w:r>
      <w:r w:rsidRPr="00AB3CCE">
        <w:rPr>
          <w:i/>
        </w:rPr>
        <w:t>Utah Broadband NAL</w:t>
      </w:r>
      <w:r>
        <w:t>);</w:t>
      </w:r>
      <w:r w:rsidRPr="002003AD">
        <w:t xml:space="preserve"> </w:t>
      </w:r>
      <w:r w:rsidRPr="000D6E8D">
        <w:rPr>
          <w:i/>
        </w:rPr>
        <w:t>AT&amp;T</w:t>
      </w:r>
      <w:r w:rsidRPr="002003AD">
        <w:t xml:space="preserve">, Notice of Apparent Liability for Forfeiture, </w:t>
      </w:r>
      <w:r>
        <w:t>26</w:t>
      </w:r>
      <w:r w:rsidRPr="002003AD">
        <w:t xml:space="preserve"> FCC Rcd </w:t>
      </w:r>
      <w:r w:rsidR="00AB5A34">
        <w:t>1894</w:t>
      </w:r>
      <w:r w:rsidRPr="002003AD">
        <w:t xml:space="preserve"> (Enf. Bur. 201</w:t>
      </w:r>
      <w:r>
        <w:t>1</w:t>
      </w:r>
      <w:r w:rsidRPr="002003AD">
        <w:t>)</w:t>
      </w:r>
      <w:r>
        <w:t xml:space="preserve"> </w:t>
      </w:r>
      <w:r w:rsidRPr="002003AD">
        <w:t xml:space="preserve">($25,000 forfeiture proposed for violations of Sections 301 and Section 302(b) of the Act, utilizing a </w:t>
      </w:r>
      <w:r>
        <w:t xml:space="preserve">Motorola Canopy device </w:t>
      </w:r>
      <w:r w:rsidR="00E3138F">
        <w:t>without</w:t>
      </w:r>
      <w:r>
        <w:t xml:space="preserve"> </w:t>
      </w:r>
      <w:smartTag w:uri="urn:schemas-microsoft-com:office:smarttags" w:element="stockticker">
        <w:r>
          <w:t>DFS</w:t>
        </w:r>
      </w:smartTag>
      <w:r>
        <w:t xml:space="preserve"> functionality with upward adjustment for public safety harm and revenue of company)</w:t>
      </w:r>
      <w:r w:rsidR="00D3561D">
        <w:t xml:space="preserve"> (</w:t>
      </w:r>
      <w:r w:rsidR="00D3561D">
        <w:rPr>
          <w:i/>
        </w:rPr>
        <w:t>AT&amp;T NAL)</w:t>
      </w:r>
      <w:r>
        <w:t xml:space="preserve"> </w:t>
      </w:r>
      <w:r>
        <w:rPr>
          <w:i/>
        </w:rPr>
        <w:t xml:space="preserve">forfeiture assessed in </w:t>
      </w:r>
      <w:r>
        <w:t>Forfeiture Order, 27 FCC Rcd 10803 (Enf. Bur. 2012) (noting that even if AT&amp;T did not cause interference to the TDWR operations, it was operating in violation of Section 301 and a $25,000 forfeiture was appropriate for a company of its size) (</w:t>
      </w:r>
      <w:r w:rsidRPr="00AB3CCE">
        <w:rPr>
          <w:i/>
        </w:rPr>
        <w:t xml:space="preserve">AT&amp;T </w:t>
      </w:r>
      <w:r w:rsidR="00D3561D">
        <w:rPr>
          <w:i/>
        </w:rPr>
        <w:t>Forfeiture Order</w:t>
      </w:r>
      <w:r>
        <w:t xml:space="preserve">); </w:t>
      </w:r>
      <w:r w:rsidRPr="000D6E8D">
        <w:rPr>
          <w:i/>
        </w:rPr>
        <w:t>Rapidwave</w:t>
      </w:r>
      <w:r w:rsidRPr="002003AD">
        <w:t>, Notice of Apparent Liability for Forfeiture and Order, 2</w:t>
      </w:r>
      <w:r>
        <w:t>6</w:t>
      </w:r>
      <w:r w:rsidRPr="002003AD">
        <w:t xml:space="preserve"> FCC Rcd 1</w:t>
      </w:r>
      <w:r>
        <w:t>0678</w:t>
      </w:r>
      <w:r w:rsidRPr="002003AD">
        <w:t xml:space="preserve"> (Enf. Bur. 201</w:t>
      </w:r>
      <w:r>
        <w:t>1</w:t>
      </w:r>
      <w:r w:rsidRPr="002003AD">
        <w:t>)</w:t>
      </w:r>
      <w:r>
        <w:t xml:space="preserve"> </w:t>
      </w:r>
      <w:r w:rsidRPr="002003AD">
        <w:t>($25,000 forfeiture proposed for violations of Sections 301 and Section 302(b) of the Act, utilizing a Ubiquiti Xtreme Range 5 transceiver with</w:t>
      </w:r>
      <w:r w:rsidR="00401E2B">
        <w:t>out its</w:t>
      </w:r>
      <w:r w:rsidRPr="002003AD">
        <w:t xml:space="preserve"> </w:t>
      </w:r>
      <w:smartTag w:uri="urn:schemas-microsoft-com:office:smarttags" w:element="stockticker">
        <w:r w:rsidRPr="002003AD">
          <w:t>DFS</w:t>
        </w:r>
      </w:smartTag>
      <w:r w:rsidRPr="002003AD">
        <w:t xml:space="preserve"> functionality with upward adjustment for public safety harm)</w:t>
      </w:r>
      <w:r>
        <w:t xml:space="preserve"> (</w:t>
      </w:r>
      <w:r w:rsidRPr="00AB3CCE">
        <w:rPr>
          <w:i/>
        </w:rPr>
        <w:t>Rapidwave NAL</w:t>
      </w:r>
      <w:r>
        <w:t>)</w:t>
      </w:r>
      <w:r w:rsidR="00D121CF">
        <w:t xml:space="preserve"> </w:t>
      </w:r>
      <w:r w:rsidR="00D121CF">
        <w:rPr>
          <w:i/>
        </w:rPr>
        <w:t xml:space="preserve">forfeiture assessed in </w:t>
      </w:r>
      <w:r w:rsidR="00D121CF">
        <w:t>Forfeiture Order, DA 14-139, 2014 WL 495195 (Enf. Bur. Feb 7, 201</w:t>
      </w:r>
      <w:r w:rsidR="00193F2B">
        <w:t>4</w:t>
      </w:r>
      <w:r w:rsidR="00D121CF">
        <w:t>) (assessing</w:t>
      </w:r>
      <w:r w:rsidR="00C91861">
        <w:t xml:space="preserve"> a</w:t>
      </w:r>
      <w:r w:rsidR="00D121CF">
        <w:t xml:space="preserve"> forfeiture of $20,000 when taking into </w:t>
      </w:r>
      <w:r w:rsidR="0069267E">
        <w:t xml:space="preserve">the </w:t>
      </w:r>
      <w:r w:rsidR="00D121CF">
        <w:t>account subject’s history of compliance with the Commission’s rules)</w:t>
      </w:r>
      <w:r w:rsidRPr="002003AD">
        <w:t>;</w:t>
      </w:r>
      <w:r>
        <w:t xml:space="preserve"> </w:t>
      </w:r>
      <w:r w:rsidRPr="000D6E8D">
        <w:rPr>
          <w:i/>
        </w:rPr>
        <w:t>Ayustar</w:t>
      </w:r>
      <w:r w:rsidRPr="002003AD">
        <w:t>, Notice of Apparent Liability for Forfeiture and Order, 2</w:t>
      </w:r>
      <w:r>
        <w:t>6</w:t>
      </w:r>
      <w:r w:rsidRPr="002003AD">
        <w:t xml:space="preserve"> FCC Rcd 1</w:t>
      </w:r>
      <w:r>
        <w:t>0693</w:t>
      </w:r>
      <w:r w:rsidRPr="002003AD">
        <w:t xml:space="preserve"> (Enf. Bur. 201</w:t>
      </w:r>
      <w:r>
        <w:t>1</w:t>
      </w:r>
      <w:r w:rsidRPr="002003AD">
        <w:t>)</w:t>
      </w:r>
      <w:r>
        <w:t xml:space="preserve"> </w:t>
      </w:r>
      <w:r w:rsidRPr="000D6E8D">
        <w:t>($25,000 forfeiture proposed for violations of Sections 301 and Section 302(b) of the Act, utilizing a Motorola Canopy device</w:t>
      </w:r>
      <w:r w:rsidR="00E3138F">
        <w:t xml:space="preserve"> without</w:t>
      </w:r>
      <w:r w:rsidRPr="000D6E8D">
        <w:t xml:space="preserve"> </w:t>
      </w:r>
      <w:smartTag w:uri="urn:schemas-microsoft-com:office:smarttags" w:element="stockticker">
        <w:r w:rsidRPr="000D6E8D">
          <w:t>DFS</w:t>
        </w:r>
      </w:smartTag>
      <w:r w:rsidRPr="000D6E8D">
        <w:t xml:space="preserve"> functionality with upward adjustment for </w:t>
      </w:r>
      <w:r>
        <w:t xml:space="preserve">egregious conduct because Ayustar had previously been issued sanctions for the same violations) </w:t>
      </w:r>
      <w:r>
        <w:rPr>
          <w:i/>
        </w:rPr>
        <w:t>consent decree issued</w:t>
      </w:r>
      <w:r w:rsidR="004D2B5D">
        <w:rPr>
          <w:i/>
        </w:rPr>
        <w:t xml:space="preserve"> in </w:t>
      </w:r>
      <w:r w:rsidR="004D2B5D">
        <w:t>Order, DA 13-2080,</w:t>
      </w:r>
      <w:r>
        <w:rPr>
          <w:i/>
        </w:rPr>
        <w:t xml:space="preserve"> </w:t>
      </w:r>
      <w:r>
        <w:t>2013 WL 6069461 (</w:t>
      </w:r>
      <w:r w:rsidR="00AB5A34">
        <w:t xml:space="preserve">Enf. Bur. </w:t>
      </w:r>
      <w:r>
        <w:t xml:space="preserve">Nov. 18, 2013); </w:t>
      </w:r>
      <w:r w:rsidRPr="000D6E8D">
        <w:rPr>
          <w:i/>
        </w:rPr>
        <w:t>Insight Consulting Group of Kansas City, LLC</w:t>
      </w:r>
      <w:r>
        <w:t xml:space="preserve">, </w:t>
      </w:r>
      <w:r w:rsidRPr="002003AD">
        <w:t>Notice of Apparent Liability for Forfeiture and Order, 2</w:t>
      </w:r>
      <w:r>
        <w:t>6</w:t>
      </w:r>
      <w:r w:rsidRPr="002003AD">
        <w:t xml:space="preserve"> FCC Rcd 1</w:t>
      </w:r>
      <w:r>
        <w:t>069</w:t>
      </w:r>
      <w:r w:rsidR="00AB5A34">
        <w:t>9</w:t>
      </w:r>
      <w:r w:rsidRPr="002003AD">
        <w:t xml:space="preserve"> (Enf. Bur. 201</w:t>
      </w:r>
      <w:r>
        <w:t>1</w:t>
      </w:r>
      <w:r w:rsidRPr="002003AD">
        <w:t>)</w:t>
      </w:r>
      <w:r>
        <w:t xml:space="preserve"> ($17,000 forfeiture proposed for violations of Section 301 of the Act with upward adjustment for causing hazard to air safety)</w:t>
      </w:r>
      <w:r w:rsidR="004D2B5D">
        <w:t xml:space="preserve"> </w:t>
      </w:r>
      <w:r w:rsidR="004D2B5D">
        <w:rPr>
          <w:i/>
        </w:rPr>
        <w:t xml:space="preserve">forfeiture assessed in </w:t>
      </w:r>
      <w:r w:rsidR="004D2B5D">
        <w:t xml:space="preserve">Forfeiture Order, 27 FCC Rcd 2792 (Enf. Bur. 2012) </w:t>
      </w:r>
      <w:r w:rsidR="004D2B5D" w:rsidRPr="004D2B5D">
        <w:t>(assessing a forfeiture of $</w:t>
      </w:r>
      <w:r w:rsidR="004D2B5D">
        <w:t>16</w:t>
      </w:r>
      <w:r w:rsidR="004D2B5D" w:rsidRPr="004D2B5D">
        <w:t>,000 when taking into the account subject’s</w:t>
      </w:r>
      <w:r w:rsidR="004D2B5D">
        <w:t xml:space="preserve"> ability to pay the forfeiture</w:t>
      </w:r>
      <w:r w:rsidR="00FC4F7F">
        <w:t>)</w:t>
      </w:r>
      <w:r w:rsidRPr="002003AD">
        <w:t xml:space="preserve">; </w:t>
      </w:r>
      <w:r w:rsidRPr="003234B6">
        <w:rPr>
          <w:i/>
        </w:rPr>
        <w:t>Sling Broadband, LLC</w:t>
      </w:r>
      <w:r>
        <w:t>,</w:t>
      </w:r>
      <w:r w:rsidRPr="002003AD">
        <w:t xml:space="preserve"> Notice of Apparent Liability for Forfeiture and Order, 2</w:t>
      </w:r>
      <w:r>
        <w:t>6</w:t>
      </w:r>
      <w:r w:rsidRPr="002003AD">
        <w:t xml:space="preserve"> FCC Rcd 1</w:t>
      </w:r>
      <w:r>
        <w:t>0686</w:t>
      </w:r>
      <w:r w:rsidRPr="002003AD">
        <w:t xml:space="preserve"> (Enf. Bur. 201</w:t>
      </w:r>
      <w:r>
        <w:t>1</w:t>
      </w:r>
      <w:r w:rsidRPr="002003AD">
        <w:t xml:space="preserve">); </w:t>
      </w:r>
      <w:r w:rsidRPr="0064300B">
        <w:t>($</w:t>
      </w:r>
      <w:r>
        <w:t>20</w:t>
      </w:r>
      <w:r w:rsidRPr="0064300B">
        <w:t>,000 forfeiture proposed for violations of Section 301 of the Act with upward adjustment</w:t>
      </w:r>
      <w:r>
        <w:t xml:space="preserve"> because Sling Broadband had previously been warned of violations)</w:t>
      </w:r>
      <w:r w:rsidR="005A1A81" w:rsidRPr="005A1A81">
        <w:t xml:space="preserve"> (</w:t>
      </w:r>
      <w:r w:rsidR="005A1A81" w:rsidRPr="005A1A81">
        <w:rPr>
          <w:i/>
        </w:rPr>
        <w:t>Sling Broadband NAL</w:t>
      </w:r>
      <w:r w:rsidR="005A1A81">
        <w:t xml:space="preserve">) </w:t>
      </w:r>
      <w:r>
        <w:rPr>
          <w:i/>
        </w:rPr>
        <w:t xml:space="preserve">forfeiture assessed in </w:t>
      </w:r>
      <w:r>
        <w:t xml:space="preserve">Forfeiture Order, 26 FCC Rcd 13062 (Enf. Bur. 2011) ($20,000 forfeiture assessed </w:t>
      </w:r>
      <w:r w:rsidR="00A41280">
        <w:t xml:space="preserve">when </w:t>
      </w:r>
      <w:r>
        <w:t>Sling Broadband, LLC, f</w:t>
      </w:r>
      <w:r w:rsidR="00A41280">
        <w:t>a</w:t>
      </w:r>
      <w:r>
        <w:t xml:space="preserve">iled to respond to NAL); </w:t>
      </w:r>
      <w:r w:rsidRPr="0064300B">
        <w:rPr>
          <w:i/>
        </w:rPr>
        <w:t>Argos Net, Inc.</w:t>
      </w:r>
      <w:r>
        <w:t>,</w:t>
      </w:r>
      <w:r w:rsidRPr="002003AD">
        <w:t xml:space="preserve"> Notice of Apparent Liability for Forfeiture and Order, 27 FCC Rcd </w:t>
      </w:r>
      <w:r>
        <w:t>2</w:t>
      </w:r>
      <w:r w:rsidR="004D2B5D">
        <w:t>786</w:t>
      </w:r>
      <w:r w:rsidRPr="002003AD">
        <w:t xml:space="preserve"> (Enf. Bur. 2012)</w:t>
      </w:r>
      <w:r>
        <w:t xml:space="preserve"> ($25,000 forfeiture proposed for violations of Section 301 of the Act with upward adjustment for continuing violation after receiving warning) </w:t>
      </w:r>
      <w:r w:rsidRPr="003234B6">
        <w:rPr>
          <w:i/>
        </w:rPr>
        <w:t>forfeiture assessed in</w:t>
      </w:r>
      <w:r w:rsidRPr="0064300B">
        <w:t xml:space="preserve"> Forfeiture Order, 2</w:t>
      </w:r>
      <w:r>
        <w:t>8 FCC Rcd 1126</w:t>
      </w:r>
      <w:r w:rsidRPr="0064300B">
        <w:t xml:space="preserve"> (Enf.</w:t>
      </w:r>
      <w:r>
        <w:t xml:space="preserve"> </w:t>
      </w:r>
      <w:r w:rsidRPr="0064300B">
        <w:t>Bur. 201</w:t>
      </w:r>
      <w:r>
        <w:t>3</w:t>
      </w:r>
      <w:r w:rsidRPr="0064300B">
        <w:t>)</w:t>
      </w:r>
      <w:r>
        <w:t xml:space="preserve"> ($20,000 forfeiture assessed after taking into consideration Argos Net, Inc.’s history of compliance)</w:t>
      </w:r>
      <w:r w:rsidR="00D121CF">
        <w:t xml:space="preserve"> </w:t>
      </w:r>
      <w:r w:rsidR="00C91861" w:rsidRPr="00B8413E">
        <w:rPr>
          <w:i/>
        </w:rPr>
        <w:t>affirm</w:t>
      </w:r>
      <w:r w:rsidR="00D121CF" w:rsidRPr="00B8413E">
        <w:rPr>
          <w:i/>
        </w:rPr>
        <w:t>ed in part in</w:t>
      </w:r>
      <w:r w:rsidR="00D121CF" w:rsidRPr="00D121CF">
        <w:t xml:space="preserve"> </w:t>
      </w:r>
      <w:r w:rsidR="00D121CF">
        <w:t>Memorandum Opinion and Order</w:t>
      </w:r>
      <w:r w:rsidR="00D121CF" w:rsidRPr="00D121CF">
        <w:t>, DA 14-</w:t>
      </w:r>
      <w:r w:rsidR="00D121CF">
        <w:t>137</w:t>
      </w:r>
      <w:r w:rsidR="00D121CF" w:rsidRPr="00D121CF">
        <w:t xml:space="preserve">, 2014 WL </w:t>
      </w:r>
      <w:r w:rsidR="005F4383">
        <w:t>495194</w:t>
      </w:r>
      <w:r w:rsidR="00D121CF" w:rsidRPr="00D121CF">
        <w:t xml:space="preserve"> (Enf. Bur. Feb 7, 201</w:t>
      </w:r>
      <w:r w:rsidR="00193F2B">
        <w:t>4</w:t>
      </w:r>
      <w:r w:rsidR="00D121CF" w:rsidRPr="00D121CF">
        <w:t>) (a</w:t>
      </w:r>
      <w:r w:rsidR="00D121CF">
        <w:t>ffirming the</w:t>
      </w:r>
      <w:r w:rsidR="00C91861">
        <w:t xml:space="preserve"> </w:t>
      </w:r>
      <w:r w:rsidR="00D121CF">
        <w:t xml:space="preserve">finding </w:t>
      </w:r>
      <w:r w:rsidR="00C91861">
        <w:t xml:space="preserve">of violation by the subject but reducing the forfeiture to </w:t>
      </w:r>
      <w:r w:rsidR="00D121CF" w:rsidRPr="00D121CF">
        <w:t xml:space="preserve">$12,000 </w:t>
      </w:r>
      <w:r w:rsidR="00C91861">
        <w:t>for a demonstrated inability to pay</w:t>
      </w:r>
      <w:r w:rsidR="00D121CF" w:rsidRPr="00D121CF">
        <w:t>)</w:t>
      </w:r>
      <w:r>
        <w:t>;</w:t>
      </w:r>
      <w:r w:rsidRPr="0064300B">
        <w:t xml:space="preserve"> </w:t>
      </w:r>
      <w:r w:rsidRPr="003234B6">
        <w:rPr>
          <w:i/>
        </w:rPr>
        <w:t>VPNet, Inc.,</w:t>
      </w:r>
      <w:r w:rsidRPr="002003AD">
        <w:t xml:space="preserve"> Notice of Apparent Liability for Fo</w:t>
      </w:r>
      <w:r>
        <w:t>rfeiture and Order, 27 FCC Rcd 2879</w:t>
      </w:r>
      <w:r w:rsidRPr="002003AD">
        <w:t xml:space="preserve"> (Enf. Bur. 2012)</w:t>
      </w:r>
      <w:r>
        <w:t xml:space="preserve"> ($15,000 forfeiture proposed for violations of Sections 301 and 302(b) of the Act, including utilizing an incorrect external antenna on device) </w:t>
      </w:r>
      <w:r>
        <w:rPr>
          <w:i/>
        </w:rPr>
        <w:t>consent decree issued</w:t>
      </w:r>
      <w:r w:rsidR="00193F2B">
        <w:rPr>
          <w:i/>
        </w:rPr>
        <w:t xml:space="preserve"> in </w:t>
      </w:r>
      <w:r w:rsidR="00193F2B">
        <w:t>Order, DA 13-2099,</w:t>
      </w:r>
      <w:r>
        <w:rPr>
          <w:i/>
        </w:rPr>
        <w:t xml:space="preserve"> </w:t>
      </w:r>
      <w:r>
        <w:t>2013 WL 614555</w:t>
      </w:r>
      <w:r w:rsidR="00324078">
        <w:t>7</w:t>
      </w:r>
      <w:r>
        <w:t xml:space="preserve"> (</w:t>
      </w:r>
      <w:r w:rsidR="00193F2B">
        <w:t>Enf. Bur.</w:t>
      </w:r>
      <w:r>
        <w:t xml:space="preserve"> Nov. 21, 2013); </w:t>
      </w:r>
      <w:r w:rsidRPr="00A50C9B">
        <w:rPr>
          <w:i/>
        </w:rPr>
        <w:t>Skybeam Acquisition Corporation</w:t>
      </w:r>
      <w:r w:rsidRPr="001B0EE6">
        <w:t>, Notice of Apparent Liability for Forfeiture and Order, 27 FCC Rcd 11337 (Enf. Bur. 2012)</w:t>
      </w:r>
      <w:r>
        <w:t xml:space="preserve"> ($15,000 forfeiture proposed for violations of Section 301 and 302(b) of the Act including operating a Motorola Canopy device </w:t>
      </w:r>
      <w:r w:rsidR="000E1612">
        <w:t>without DFS functionality</w:t>
      </w:r>
      <w:r>
        <w:t>)</w:t>
      </w:r>
      <w:r w:rsidR="00D121CF">
        <w:t xml:space="preserve"> </w:t>
      </w:r>
      <w:r w:rsidR="00D121CF" w:rsidRPr="00B8413E">
        <w:rPr>
          <w:i/>
        </w:rPr>
        <w:t>forfeiture assessed in</w:t>
      </w:r>
      <w:r w:rsidR="00D121CF" w:rsidRPr="00D121CF">
        <w:t xml:space="preserve"> Forfeiture Order, DA 14-</w:t>
      </w:r>
      <w:r w:rsidR="00D121CF">
        <w:t>161</w:t>
      </w:r>
      <w:r w:rsidR="00D121CF" w:rsidRPr="00D121CF">
        <w:t>, 2014 WL 495</w:t>
      </w:r>
      <w:r w:rsidR="00D121CF">
        <w:t>206</w:t>
      </w:r>
      <w:r w:rsidR="00D121CF" w:rsidRPr="00D121CF">
        <w:t xml:space="preserve"> (Enf. Bur. Feb 7, 2013) (assessing</w:t>
      </w:r>
      <w:r w:rsidR="00C91861">
        <w:t xml:space="preserve"> a</w:t>
      </w:r>
      <w:r w:rsidR="00D121CF" w:rsidRPr="00D121CF">
        <w:t xml:space="preserve"> forfeiture of $</w:t>
      </w:r>
      <w:r w:rsidR="00D121CF">
        <w:t>1</w:t>
      </w:r>
      <w:r w:rsidR="00D121CF" w:rsidRPr="00D121CF">
        <w:t>2,000 when taking into account</w:t>
      </w:r>
      <w:r w:rsidR="0069267E">
        <w:t xml:space="preserve"> the</w:t>
      </w:r>
      <w:r w:rsidR="00D121CF" w:rsidRPr="00D121CF">
        <w:t xml:space="preserve"> subject’s history of compliance with the Commission’s rules)</w:t>
      </w:r>
      <w:r>
        <w:t xml:space="preserve">. </w:t>
      </w:r>
    </w:p>
  </w:footnote>
  <w:footnote w:id="41">
    <w:p w:rsidR="00BB6D27" w:rsidRDefault="00BB6D27" w:rsidP="00A50C9B">
      <w:pPr>
        <w:pStyle w:val="FootnoteText"/>
        <w:ind w:firstLine="0"/>
        <w:jc w:val="left"/>
      </w:pPr>
      <w:r>
        <w:rPr>
          <w:rStyle w:val="FootnoteReference"/>
        </w:rPr>
        <w:footnoteRef/>
      </w:r>
      <w:r w:rsidRPr="00A50C9B">
        <w:rPr>
          <w:i/>
        </w:rPr>
        <w:t>Towerstream Corporation</w:t>
      </w:r>
      <w:r>
        <w:t xml:space="preserve">, </w:t>
      </w:r>
      <w:r w:rsidRPr="00A50C9B">
        <w:t>Notice of Apparent Liability for Forfeiture and Order, 2</w:t>
      </w:r>
      <w:r>
        <w:t>8</w:t>
      </w:r>
      <w:r w:rsidRPr="00A50C9B">
        <w:t xml:space="preserve"> FCC Rcd 11</w:t>
      </w:r>
      <w:r>
        <w:t>604</w:t>
      </w:r>
      <w:r w:rsidRPr="00A50C9B">
        <w:t xml:space="preserve"> (</w:t>
      </w:r>
      <w:r>
        <w:t xml:space="preserve">2013) </w:t>
      </w:r>
      <w:r w:rsidRPr="00A50C9B">
        <w:t>($</w:t>
      </w:r>
      <w:r>
        <w:t>202,00</w:t>
      </w:r>
      <w:r w:rsidRPr="00A50C9B">
        <w:t>0 forfeiture proposed for violations of Section</w:t>
      </w:r>
      <w:r>
        <w:t>s</w:t>
      </w:r>
      <w:r w:rsidRPr="00A50C9B">
        <w:t xml:space="preserve"> 301 and 3</w:t>
      </w:r>
      <w:r>
        <w:t>33 of the Act for operating U-NII devices without a license and causing harmful interference) (</w:t>
      </w:r>
      <w:r w:rsidRPr="00AB3CCE">
        <w:rPr>
          <w:i/>
        </w:rPr>
        <w:t>Towerstream NAL</w:t>
      </w:r>
      <w:r>
        <w:t>).</w:t>
      </w:r>
    </w:p>
  </w:footnote>
  <w:footnote w:id="42">
    <w:p w:rsidR="00BB6D27" w:rsidRDefault="00BB6D27" w:rsidP="00660947">
      <w:pPr>
        <w:pStyle w:val="FootnoteText"/>
        <w:ind w:firstLine="0"/>
      </w:pPr>
      <w:r>
        <w:rPr>
          <w:rStyle w:val="FootnoteReference"/>
        </w:rPr>
        <w:footnoteRef/>
      </w:r>
      <w:r>
        <w:t xml:space="preserve"> </w:t>
      </w:r>
      <w:r w:rsidRPr="00AB3CCE">
        <w:rPr>
          <w:i/>
        </w:rPr>
        <w:t>Tower</w:t>
      </w:r>
      <w:r w:rsidR="00E15AC8" w:rsidRPr="00AB3CCE">
        <w:rPr>
          <w:i/>
        </w:rPr>
        <w:t>stream NAL</w:t>
      </w:r>
      <w:r w:rsidR="00E15AC8">
        <w:t>, 28 FCC Rcd at 11606, para 5.</w:t>
      </w:r>
    </w:p>
  </w:footnote>
  <w:footnote w:id="43">
    <w:p w:rsidR="00BB6D27" w:rsidRDefault="00BB6D27" w:rsidP="003234B6">
      <w:pPr>
        <w:pStyle w:val="FootnoteText"/>
        <w:ind w:firstLine="0"/>
        <w:jc w:val="left"/>
      </w:pPr>
      <w:r>
        <w:rPr>
          <w:rStyle w:val="FootnoteReference"/>
        </w:rPr>
        <w:footnoteRef/>
      </w:r>
      <w:r>
        <w:t xml:space="preserve"> </w:t>
      </w:r>
      <w:r w:rsidRPr="00AB3CCE">
        <w:rPr>
          <w:i/>
        </w:rPr>
        <w:t>Towerstream NAL</w:t>
      </w:r>
      <w:r>
        <w:t>, 28 FCC Rcd at 1161</w:t>
      </w:r>
      <w:r w:rsidR="00E15AC8">
        <w:t>3, para 28.</w:t>
      </w:r>
      <w:r>
        <w:t xml:space="preserve">  </w:t>
      </w:r>
      <w:r>
        <w:rPr>
          <w:i/>
        </w:rPr>
        <w:t xml:space="preserve">See </w:t>
      </w:r>
      <w:r>
        <w:t xml:space="preserve">47 U.S.C. </w:t>
      </w:r>
      <w:r w:rsidRPr="00660947">
        <w:t>§ 50</w:t>
      </w:r>
      <w:r>
        <w:t>3(b)</w:t>
      </w:r>
      <w:r w:rsidRPr="00660947">
        <w:t>.</w:t>
      </w:r>
    </w:p>
  </w:footnote>
  <w:footnote w:id="44">
    <w:p w:rsidR="00BB6D27" w:rsidRDefault="00BB6D27" w:rsidP="00BB6D27">
      <w:pPr>
        <w:pStyle w:val="FootnoteText"/>
        <w:ind w:firstLine="0"/>
      </w:pPr>
      <w:r>
        <w:rPr>
          <w:rStyle w:val="FootnoteReference"/>
        </w:rPr>
        <w:footnoteRef/>
      </w:r>
      <w:r>
        <w:t xml:space="preserve"> </w:t>
      </w:r>
      <w:r w:rsidRPr="00660947">
        <w:rPr>
          <w:i/>
        </w:rPr>
        <w:t>NAL Response</w:t>
      </w:r>
      <w:r>
        <w:t xml:space="preserve"> at 15–20</w:t>
      </w:r>
      <w:r w:rsidRPr="00660947">
        <w:t xml:space="preserve">.  </w:t>
      </w:r>
    </w:p>
  </w:footnote>
  <w:footnote w:id="45">
    <w:p w:rsidR="00E15AC8" w:rsidRDefault="00E15AC8" w:rsidP="00E15AC8">
      <w:pPr>
        <w:pStyle w:val="FootnoteText"/>
        <w:ind w:firstLine="0"/>
        <w:jc w:val="left"/>
      </w:pPr>
      <w:r>
        <w:rPr>
          <w:rStyle w:val="FootnoteReference"/>
        </w:rPr>
        <w:footnoteRef/>
      </w:r>
      <w:r>
        <w:t xml:space="preserve"> </w:t>
      </w:r>
      <w:r w:rsidRPr="005A1A81">
        <w:t>http://www.mydl.com/company</w:t>
      </w:r>
      <w:r>
        <w:t xml:space="preserve"> (last visited Jan 23, 2014).</w:t>
      </w:r>
    </w:p>
  </w:footnote>
  <w:footnote w:id="46">
    <w:p w:rsidR="00BB6D27" w:rsidRPr="00BB6D27" w:rsidRDefault="00BB6D27" w:rsidP="00AB3CCE">
      <w:pPr>
        <w:pStyle w:val="FootnoteText"/>
        <w:ind w:firstLine="0"/>
        <w:jc w:val="left"/>
      </w:pPr>
      <w:r>
        <w:rPr>
          <w:rStyle w:val="FootnoteReference"/>
        </w:rPr>
        <w:footnoteRef/>
      </w:r>
      <w:r>
        <w:t xml:space="preserve"> </w:t>
      </w:r>
      <w:r>
        <w:rPr>
          <w:i/>
        </w:rPr>
        <w:t xml:space="preserve">See supra, </w:t>
      </w:r>
      <w:r w:rsidR="0098167B">
        <w:t>n.</w:t>
      </w:r>
      <w:r w:rsidR="00EA6054">
        <w:t>40</w:t>
      </w:r>
      <w:r>
        <w:t xml:space="preserve">; </w:t>
      </w:r>
      <w:r w:rsidR="00EA6054">
        <w:rPr>
          <w:i/>
        </w:rPr>
        <w:t xml:space="preserve">see also </w:t>
      </w:r>
      <w:r w:rsidR="00EA6054" w:rsidRPr="00AB3CCE">
        <w:rPr>
          <w:i/>
        </w:rPr>
        <w:t>Utah Broadband NAL</w:t>
      </w:r>
      <w:r w:rsidR="00EA6054" w:rsidRPr="00EA6054">
        <w:t xml:space="preserve">, 26 FCC Rcd </w:t>
      </w:r>
      <w:r w:rsidR="00167801">
        <w:t xml:space="preserve">at </w:t>
      </w:r>
      <w:r w:rsidR="002A4DF3">
        <w:t>1422–25</w:t>
      </w:r>
      <w:r w:rsidR="00401E2B">
        <w:t xml:space="preserve">, paras </w:t>
      </w:r>
      <w:r w:rsidR="0053511A">
        <w:t>7</w:t>
      </w:r>
      <w:r w:rsidR="00401E2B">
        <w:t>–</w:t>
      </w:r>
      <w:r w:rsidR="0053511A">
        <w:t>18</w:t>
      </w:r>
      <w:r w:rsidR="00401E2B">
        <w:t xml:space="preserve"> </w:t>
      </w:r>
      <w:r w:rsidR="00EA6054" w:rsidRPr="00EA6054">
        <w:t>(</w:t>
      </w:r>
      <w:r w:rsidR="00167801">
        <w:t>no warning prior to issuance of NAL to company that operated</w:t>
      </w:r>
      <w:r w:rsidR="00EA6054" w:rsidRPr="00EA6054">
        <w:t xml:space="preserve"> a Ubiquiti transceiver with DFS functionality disabled</w:t>
      </w:r>
      <w:r w:rsidR="00167801">
        <w:t xml:space="preserve"> on October 5, 2010, causing interference to Salt Lake City International Airport TDWR installation); </w:t>
      </w:r>
      <w:r w:rsidR="00EA6054" w:rsidRPr="00EA6054">
        <w:t xml:space="preserve"> </w:t>
      </w:r>
      <w:r w:rsidR="00EA6054" w:rsidRPr="00AB3CCE">
        <w:rPr>
          <w:i/>
        </w:rPr>
        <w:t>AT&amp;T</w:t>
      </w:r>
      <w:r w:rsidR="00167801" w:rsidRPr="00AB3CCE">
        <w:rPr>
          <w:i/>
        </w:rPr>
        <w:t xml:space="preserve"> NAL</w:t>
      </w:r>
      <w:r w:rsidR="00EA6054" w:rsidRPr="00EA6054">
        <w:t xml:space="preserve">, 26 FCC Rcd </w:t>
      </w:r>
      <w:r w:rsidR="00401E2B">
        <w:t xml:space="preserve">at </w:t>
      </w:r>
      <w:r w:rsidR="0053511A">
        <w:t>1895</w:t>
      </w:r>
      <w:r w:rsidR="00401E2B">
        <w:t>–</w:t>
      </w:r>
      <w:r w:rsidR="0053511A">
        <w:t>97</w:t>
      </w:r>
      <w:r w:rsidR="00401E2B">
        <w:t xml:space="preserve">, paras. </w:t>
      </w:r>
      <w:r w:rsidR="0053511A">
        <w:t>7</w:t>
      </w:r>
      <w:r w:rsidR="00401E2B">
        <w:t>–</w:t>
      </w:r>
      <w:r w:rsidR="0053511A">
        <w:t>13</w:t>
      </w:r>
      <w:r w:rsidR="00EA6054" w:rsidRPr="00EA6054">
        <w:t xml:space="preserve"> (</w:t>
      </w:r>
      <w:r w:rsidR="00167801" w:rsidRPr="00167801">
        <w:t>no warning prior to issuance of NAL to company that operate</w:t>
      </w:r>
      <w:r w:rsidR="00167801">
        <w:t>d</w:t>
      </w:r>
      <w:r w:rsidR="00EA6054" w:rsidRPr="00EA6054">
        <w:t xml:space="preserve"> a Motorola Canopy device </w:t>
      </w:r>
      <w:r w:rsidR="00E3138F">
        <w:t>without</w:t>
      </w:r>
      <w:r w:rsidR="00EA6054" w:rsidRPr="00EA6054">
        <w:t xml:space="preserve"> DFS functionality</w:t>
      </w:r>
      <w:r w:rsidR="00401E2B">
        <w:t xml:space="preserve"> on December 8, 2010, causing interference to San Juan International Airport TDWR installation); </w:t>
      </w:r>
      <w:r w:rsidR="00401E2B" w:rsidRPr="00AB3CCE">
        <w:rPr>
          <w:i/>
        </w:rPr>
        <w:t>Rapidwave NAL</w:t>
      </w:r>
      <w:r w:rsidR="00EA6054" w:rsidRPr="00EA6054">
        <w:t xml:space="preserve">, 26 FCC Rcd </w:t>
      </w:r>
      <w:r w:rsidR="00401E2B">
        <w:t xml:space="preserve">at </w:t>
      </w:r>
      <w:r w:rsidR="0053511A">
        <w:t>19680</w:t>
      </w:r>
      <w:r w:rsidR="00401E2B">
        <w:t>–</w:t>
      </w:r>
      <w:r w:rsidR="0053511A">
        <w:t>83</w:t>
      </w:r>
      <w:r w:rsidR="00401E2B">
        <w:t xml:space="preserve">, paras. </w:t>
      </w:r>
      <w:r w:rsidR="0053511A">
        <w:t>7</w:t>
      </w:r>
      <w:r w:rsidR="00401E2B">
        <w:t>–</w:t>
      </w:r>
      <w:r w:rsidR="0053511A">
        <w:t>17</w:t>
      </w:r>
      <w:r w:rsidR="00401E2B">
        <w:t xml:space="preserve"> (no warning prior to issuance of NAL to company that operated a</w:t>
      </w:r>
      <w:r w:rsidR="00EA6054" w:rsidRPr="00EA6054">
        <w:t xml:space="preserve"> Ubiquiti transceiver with</w:t>
      </w:r>
      <w:r w:rsidR="00401E2B">
        <w:t>out its</w:t>
      </w:r>
      <w:r w:rsidR="00EA6054" w:rsidRPr="00EA6054">
        <w:t xml:space="preserve"> DFS functionality</w:t>
      </w:r>
      <w:r w:rsidR="006639FB">
        <w:t xml:space="preserve"> enabled</w:t>
      </w:r>
      <w:r w:rsidR="00401E2B">
        <w:t xml:space="preserve"> on October 28, 2010, causing interference to the Denver International Airport TDWR installation). </w:t>
      </w:r>
    </w:p>
  </w:footnote>
  <w:footnote w:id="47">
    <w:p w:rsidR="00DE1979" w:rsidRDefault="00DE1979" w:rsidP="00E13D4B">
      <w:pPr>
        <w:pStyle w:val="FootnoteText"/>
        <w:ind w:firstLine="0"/>
        <w:jc w:val="left"/>
      </w:pPr>
      <w:r>
        <w:rPr>
          <w:rStyle w:val="FootnoteReference"/>
        </w:rPr>
        <w:footnoteRef/>
      </w:r>
      <w:r>
        <w:t xml:space="preserve"> </w:t>
      </w:r>
      <w:r>
        <w:rPr>
          <w:i/>
        </w:rPr>
        <w:t xml:space="preserve">See </w:t>
      </w:r>
      <w:r w:rsidR="00401E2B" w:rsidRPr="00AB3CCE">
        <w:rPr>
          <w:i/>
        </w:rPr>
        <w:t>Utah Broadband NAL</w:t>
      </w:r>
      <w:r w:rsidR="00401E2B" w:rsidRPr="00401E2B">
        <w:t>,</w:t>
      </w:r>
      <w:r w:rsidR="008D5796">
        <w:t xml:space="preserve"> </w:t>
      </w:r>
      <w:r w:rsidR="00401E2B" w:rsidRPr="00401E2B">
        <w:t xml:space="preserve">26 FCC Rcd at </w:t>
      </w:r>
      <w:r w:rsidR="00D3561D">
        <w:t>1420–21</w:t>
      </w:r>
      <w:r w:rsidR="008D5796">
        <w:t>, para</w:t>
      </w:r>
      <w:r w:rsidR="009546CF">
        <w:t>.</w:t>
      </w:r>
      <w:r w:rsidR="008D5796">
        <w:t xml:space="preserve"> 5</w:t>
      </w:r>
      <w:r w:rsidR="00401E2B" w:rsidRPr="00401E2B">
        <w:t xml:space="preserve"> (</w:t>
      </w:r>
      <w:r w:rsidR="008D5796">
        <w:t xml:space="preserve">during the inspection, </w:t>
      </w:r>
      <w:r w:rsidR="008D5796" w:rsidRPr="008D5796">
        <w:t xml:space="preserve">Utah Broadband personnel acknowledged that the required DFS functionality of </w:t>
      </w:r>
      <w:r w:rsidR="008D5796">
        <w:t xml:space="preserve">each of the </w:t>
      </w:r>
      <w:r w:rsidR="008D5796" w:rsidRPr="00401E2B">
        <w:t xml:space="preserve">Ubiquiti </w:t>
      </w:r>
      <w:r w:rsidR="008D5796" w:rsidRPr="008D5796">
        <w:t>transceiver</w:t>
      </w:r>
      <w:r w:rsidR="008D5796">
        <w:t>s</w:t>
      </w:r>
      <w:r w:rsidR="008D5796" w:rsidRPr="008D5796">
        <w:t xml:space="preserve"> was disabled</w:t>
      </w:r>
      <w:r w:rsidR="008D5796">
        <w:t>);</w:t>
      </w:r>
      <w:r w:rsidR="008D5796" w:rsidRPr="008D5796">
        <w:t xml:space="preserve"> </w:t>
      </w:r>
      <w:r w:rsidR="00401E2B" w:rsidRPr="00AB3CCE">
        <w:rPr>
          <w:i/>
        </w:rPr>
        <w:t>Rapidwave NAL</w:t>
      </w:r>
      <w:r w:rsidR="00401E2B" w:rsidRPr="00401E2B">
        <w:t>, 26 FCC Rcd at</w:t>
      </w:r>
      <w:r w:rsidR="00D3561D">
        <w:t xml:space="preserve"> 10679–80</w:t>
      </w:r>
      <w:r w:rsidR="009546CF">
        <w:t>, para.</w:t>
      </w:r>
      <w:r w:rsidR="008D5796">
        <w:t xml:space="preserve"> 5</w:t>
      </w:r>
      <w:r w:rsidR="00401E2B" w:rsidRPr="00401E2B">
        <w:t xml:space="preserve"> (</w:t>
      </w:r>
      <w:r w:rsidR="008D5796" w:rsidRPr="008D5796">
        <w:t xml:space="preserve">during the inspection, </w:t>
      </w:r>
      <w:r w:rsidR="008D5796">
        <w:t>Rapidwave representatives</w:t>
      </w:r>
      <w:r w:rsidR="008D5796" w:rsidRPr="008D5796">
        <w:t xml:space="preserve"> acknowledged that the required DFS functionality of </w:t>
      </w:r>
      <w:r w:rsidR="008D5796">
        <w:t>U</w:t>
      </w:r>
      <w:r w:rsidR="008D5796" w:rsidRPr="008D5796">
        <w:t xml:space="preserve">biquiti </w:t>
      </w:r>
      <w:r w:rsidR="008D5796">
        <w:t xml:space="preserve">transceiver was not </w:t>
      </w:r>
      <w:r w:rsidR="009546CF">
        <w:t>enabled</w:t>
      </w:r>
      <w:r w:rsidR="008D5796">
        <w:t xml:space="preserve">). </w:t>
      </w:r>
      <w:r w:rsidR="00115741">
        <w:t xml:space="preserve"> </w:t>
      </w:r>
    </w:p>
  </w:footnote>
  <w:footnote w:id="48">
    <w:p w:rsidR="00EC28CE" w:rsidRDefault="00EC28CE" w:rsidP="00EC28CE">
      <w:pPr>
        <w:pStyle w:val="FootnoteText"/>
        <w:ind w:firstLine="0"/>
      </w:pPr>
      <w:r>
        <w:rPr>
          <w:rStyle w:val="FootnoteReference"/>
        </w:rPr>
        <w:footnoteRef/>
      </w:r>
      <w:r>
        <w:t xml:space="preserve"> </w:t>
      </w:r>
      <w:r w:rsidR="008D5796">
        <w:rPr>
          <w:i/>
        </w:rPr>
        <w:t xml:space="preserve">See </w:t>
      </w:r>
      <w:r w:rsidR="008D5796" w:rsidRPr="00AB3CCE">
        <w:rPr>
          <w:i/>
        </w:rPr>
        <w:t>Utah Broadband NAL</w:t>
      </w:r>
      <w:r w:rsidR="008D5796" w:rsidRPr="008D5796">
        <w:t xml:space="preserve">, 26 FCC Rcd at </w:t>
      </w:r>
      <w:r w:rsidR="00D3561D">
        <w:t>1424</w:t>
      </w:r>
      <w:r w:rsidR="008D5796" w:rsidRPr="008D5796">
        <w:t>, para</w:t>
      </w:r>
      <w:r w:rsidR="008D5796">
        <w:t>.</w:t>
      </w:r>
      <w:r w:rsidR="008D5796" w:rsidRPr="008D5796">
        <w:t xml:space="preserve"> </w:t>
      </w:r>
      <w:r w:rsidR="008D5796">
        <w:t>16</w:t>
      </w:r>
      <w:r w:rsidR="009546CF">
        <w:t xml:space="preserve">; </w:t>
      </w:r>
      <w:r w:rsidR="008D5796" w:rsidRPr="00AB3CCE">
        <w:rPr>
          <w:i/>
        </w:rPr>
        <w:t>Rapidwave NAL</w:t>
      </w:r>
      <w:r w:rsidR="008D5796" w:rsidRPr="008D5796">
        <w:t xml:space="preserve">, 26 FCC Rcd at </w:t>
      </w:r>
      <w:r w:rsidR="00D3561D">
        <w:t>10683</w:t>
      </w:r>
      <w:r w:rsidR="008D5796" w:rsidRPr="008D5796">
        <w:t xml:space="preserve">, para </w:t>
      </w:r>
      <w:r w:rsidR="009546CF">
        <w:t xml:space="preserve">16. </w:t>
      </w:r>
      <w:r w:rsidR="008D5796" w:rsidRPr="008D5796">
        <w:t xml:space="preserve">  </w:t>
      </w:r>
    </w:p>
  </w:footnote>
  <w:footnote w:id="49">
    <w:p w:rsidR="00BB6D27" w:rsidRDefault="00BB6D27" w:rsidP="003234B6">
      <w:pPr>
        <w:pStyle w:val="FootnoteText"/>
        <w:ind w:firstLine="0"/>
        <w:jc w:val="left"/>
      </w:pPr>
      <w:r>
        <w:rPr>
          <w:rStyle w:val="FootnoteReference"/>
        </w:rPr>
        <w:footnoteRef/>
      </w:r>
      <w:r>
        <w:t xml:space="preserve"> </w:t>
      </w:r>
      <w:r w:rsidR="009546CF">
        <w:t xml:space="preserve">Directlink also contends that it should receive a significantly smaller forfeiture amount than AT&amp;T received </w:t>
      </w:r>
      <w:r w:rsidR="0087385D">
        <w:t>because AT&amp;T is “a multi-billion dollar international carrier” and the $25,000</w:t>
      </w:r>
      <w:r w:rsidR="00BF7215">
        <w:t xml:space="preserve"> forfeiture</w:t>
      </w:r>
      <w:r w:rsidR="0087385D">
        <w:t xml:space="preserve">, while significant to Directlink is </w:t>
      </w:r>
      <w:r w:rsidR="0087385D">
        <w:rPr>
          <w:i/>
        </w:rPr>
        <w:t xml:space="preserve">de minimis </w:t>
      </w:r>
      <w:r w:rsidR="0087385D">
        <w:t xml:space="preserve">to AT&amp;T.  </w:t>
      </w:r>
      <w:r w:rsidR="00EC28CE" w:rsidRPr="00AB3CCE">
        <w:rPr>
          <w:i/>
        </w:rPr>
        <w:t>See</w:t>
      </w:r>
      <w:r w:rsidR="00EC28CE">
        <w:t xml:space="preserve"> </w:t>
      </w:r>
      <w:r w:rsidR="00EC28CE" w:rsidRPr="00AB3CCE">
        <w:rPr>
          <w:i/>
        </w:rPr>
        <w:t>NAL</w:t>
      </w:r>
      <w:r w:rsidR="00207FEF">
        <w:rPr>
          <w:i/>
        </w:rPr>
        <w:t xml:space="preserve"> R</w:t>
      </w:r>
      <w:r w:rsidR="00EC28CE" w:rsidRPr="00AB3CCE">
        <w:rPr>
          <w:i/>
        </w:rPr>
        <w:t>esponse</w:t>
      </w:r>
      <w:r w:rsidR="00EC28CE">
        <w:t xml:space="preserve"> at 16 – 19</w:t>
      </w:r>
      <w:r w:rsidR="0087385D">
        <w:t>.  The Enforcement Bureau acknowledged AT&amp;T’s size when proposing and assessing the $25,000 forfeiture for its violations, noting that “[a]</w:t>
      </w:r>
      <w:r w:rsidR="0087385D" w:rsidRPr="0087385D">
        <w:t>lthough we could impose larger upward adjustments for AT&amp;T’s apparent violations, we decline to do so, based on the particular circumstances of this case.  We caution AT&amp;T and other U-NII service providers, however, that we may do so in future cases if the circumstances warrant or if our current approach does not serve as a sufficient deterrent.</w:t>
      </w:r>
      <w:r w:rsidR="0087385D">
        <w:t xml:space="preserve">”  </w:t>
      </w:r>
      <w:r w:rsidR="0087385D" w:rsidRPr="00AB3CCE">
        <w:rPr>
          <w:i/>
        </w:rPr>
        <w:t>AT&amp;T NAL</w:t>
      </w:r>
      <w:r w:rsidR="0087385D" w:rsidRPr="0087385D">
        <w:t xml:space="preserve">, 26 FCC Rcd at </w:t>
      </w:r>
      <w:r w:rsidR="00D3561D">
        <w:t>1897</w:t>
      </w:r>
      <w:r w:rsidR="0087385D" w:rsidRPr="0087385D">
        <w:t xml:space="preserve">, para. </w:t>
      </w:r>
      <w:r w:rsidR="0087385D">
        <w:t xml:space="preserve">13. </w:t>
      </w:r>
      <w:r w:rsidR="009D4978">
        <w:t xml:space="preserve"> </w:t>
      </w:r>
      <w:r w:rsidR="00D3561D">
        <w:t>The Bureau also noted AT&amp;T’s size when assessing the $25,000 forfeiture against the compan</w:t>
      </w:r>
      <w:r w:rsidR="00E13D4B">
        <w:t>y</w:t>
      </w:r>
      <w:r w:rsidR="009D4978">
        <w:t>,</w:t>
      </w:r>
      <w:r w:rsidR="00E13D4B">
        <w:t xml:space="preserve"> stating that even if the Bureau reconsidered its finding that AT&amp;T caused interference, AT&amp;T violated “</w:t>
      </w:r>
      <w:r w:rsidR="00E13D4B" w:rsidRPr="00E13D4B">
        <w:t>Section 301 of the Act</w:t>
      </w:r>
      <w:r w:rsidR="00E13D4B">
        <w:t xml:space="preserve"> [and an]</w:t>
      </w:r>
      <w:r w:rsidR="00E13D4B" w:rsidRPr="00E13D4B">
        <w:t xml:space="preserve"> upward adjustment of $10,000 is reasonable given AT&amp;T's substantial gross revenues</w:t>
      </w:r>
      <w:r w:rsidR="00E13D4B">
        <w:t xml:space="preserve">.” </w:t>
      </w:r>
      <w:r w:rsidR="00E13D4B">
        <w:rPr>
          <w:i/>
        </w:rPr>
        <w:t xml:space="preserve">AT&amp;T Forfeiture Order, </w:t>
      </w:r>
      <w:r w:rsidR="00E13D4B">
        <w:t xml:space="preserve">27 FCC Rcd at 10807, para. 11. </w:t>
      </w:r>
      <w:r w:rsidR="0087385D">
        <w:t xml:space="preserve"> We also note that Directlink’s argument that it should receive a </w:t>
      </w:r>
      <w:r w:rsidR="00A8393A">
        <w:t xml:space="preserve">forfeiture of $789, </w:t>
      </w:r>
      <w:r w:rsidR="00BF7215">
        <w:t>because it</w:t>
      </w:r>
      <w:r w:rsidR="00A8393A">
        <w:t xml:space="preserve"> would be, as </w:t>
      </w:r>
      <w:r w:rsidR="00BF7215">
        <w:t xml:space="preserve">a </w:t>
      </w:r>
      <w:r w:rsidR="00A8393A">
        <w:t>percentage of gross revenue, equivalent to</w:t>
      </w:r>
      <w:r w:rsidR="0087385D">
        <w:t xml:space="preserve"> AT&amp;T’s</w:t>
      </w:r>
      <w:r w:rsidR="00A8393A">
        <w:t xml:space="preserve"> forfeiture, </w:t>
      </w:r>
      <w:r w:rsidR="00BF7215">
        <w:t>is</w:t>
      </w:r>
      <w:r w:rsidR="006639FB">
        <w:t xml:space="preserve"> inconsistent with</w:t>
      </w:r>
      <w:r w:rsidR="00A8393A">
        <w:t xml:space="preserve"> the Commission’s base forfeiture amounts, as outlined in </w:t>
      </w:r>
      <w:r w:rsidR="00E13D4B" w:rsidRPr="00E13D4B">
        <w:t xml:space="preserve">47 C.F.R. § 1.80(b)(5), Note: Guidelines for Assessing Forfeitures, Section I, </w:t>
      </w:r>
      <w:r w:rsidR="00E13D4B">
        <w:t>Base Amounts for Section 503 Forfeitures.</w:t>
      </w:r>
      <w:r w:rsidR="00A8393A">
        <w:t xml:space="preserve">  Further, D</w:t>
      </w:r>
      <w:r>
        <w:t>irectlink ar</w:t>
      </w:r>
      <w:r w:rsidR="00EC28CE">
        <w:t>g</w:t>
      </w:r>
      <w:r>
        <w:t xml:space="preserve">ues that it </w:t>
      </w:r>
      <w:r w:rsidR="00484A2F">
        <w:t xml:space="preserve">should be </w:t>
      </w:r>
      <w:r w:rsidR="006639FB">
        <w:t>treated less harshly than</w:t>
      </w:r>
      <w:r>
        <w:t xml:space="preserve"> Sling Broadband, </w:t>
      </w:r>
      <w:r w:rsidR="00207FEF">
        <w:t>which received a</w:t>
      </w:r>
      <w:r w:rsidR="006639FB">
        <w:t xml:space="preserve"> NOUO</w:t>
      </w:r>
      <w:r w:rsidR="00207FEF">
        <w:t xml:space="preserve"> and then a NAL for $20,000.  </w:t>
      </w:r>
      <w:r w:rsidR="00207FEF" w:rsidRPr="00AB3CCE">
        <w:rPr>
          <w:i/>
        </w:rPr>
        <w:t>See</w:t>
      </w:r>
      <w:r w:rsidR="00207FEF" w:rsidRPr="00207FEF">
        <w:t xml:space="preserve"> </w:t>
      </w:r>
      <w:r w:rsidR="00207FEF" w:rsidRPr="00AB3CCE">
        <w:rPr>
          <w:i/>
        </w:rPr>
        <w:t>NAL Response</w:t>
      </w:r>
      <w:r w:rsidR="00207FEF" w:rsidRPr="00207FEF">
        <w:t xml:space="preserve"> at 16–19.</w:t>
      </w:r>
      <w:r w:rsidR="00207FEF">
        <w:t xml:space="preserve">  As explained above, Sling Broadband received a NOUO during the initial U-NII enforcement phase. </w:t>
      </w:r>
      <w:r w:rsidR="00BF7215">
        <w:t xml:space="preserve"> </w:t>
      </w:r>
      <w:r w:rsidR="00207FEF">
        <w:rPr>
          <w:i/>
        </w:rPr>
        <w:t xml:space="preserve">See infra </w:t>
      </w:r>
      <w:r w:rsidR="00207FEF">
        <w:t xml:space="preserve">n.36.  The issuance of the </w:t>
      </w:r>
      <w:r w:rsidR="00207FEF">
        <w:rPr>
          <w:i/>
        </w:rPr>
        <w:t xml:space="preserve">Sling Broadband NOUO, </w:t>
      </w:r>
      <w:r w:rsidR="00207FEF">
        <w:t xml:space="preserve">however, was taken into account in the </w:t>
      </w:r>
      <w:r w:rsidR="00207FEF">
        <w:rPr>
          <w:i/>
        </w:rPr>
        <w:t>Sling</w:t>
      </w:r>
      <w:r w:rsidR="006639FB">
        <w:rPr>
          <w:i/>
        </w:rPr>
        <w:t xml:space="preserve"> </w:t>
      </w:r>
      <w:r w:rsidR="00207FEF">
        <w:rPr>
          <w:i/>
        </w:rPr>
        <w:t>Bro</w:t>
      </w:r>
      <w:r w:rsidR="006639FB">
        <w:rPr>
          <w:i/>
        </w:rPr>
        <w:t>a</w:t>
      </w:r>
      <w:r w:rsidR="00207FEF">
        <w:rPr>
          <w:i/>
        </w:rPr>
        <w:t>dband NAL,</w:t>
      </w:r>
      <w:r w:rsidR="00207FEF">
        <w:t xml:space="preserve"> and was part of the basis of the upward adjustment </w:t>
      </w:r>
      <w:r w:rsidR="006639FB">
        <w:t xml:space="preserve">of the proposed forfeiture </w:t>
      </w:r>
      <w:r w:rsidR="00207FEF">
        <w:t>from $10,000 to $20,000, because unlike Directlink, Sling</w:t>
      </w:r>
      <w:r w:rsidR="006639FB">
        <w:t xml:space="preserve"> </w:t>
      </w:r>
      <w:r w:rsidR="00207FEF">
        <w:t xml:space="preserve">Broadband was </w:t>
      </w:r>
      <w:r w:rsidR="006639FB">
        <w:t xml:space="preserve">found to have violated only Section 301 of the Act, not Sections 301 and 302(b) of the Act.  </w:t>
      </w:r>
      <w:r w:rsidR="006639FB">
        <w:rPr>
          <w:i/>
        </w:rPr>
        <w:t>See Sling Broadband NAL</w:t>
      </w:r>
      <w:r w:rsidR="00207FEF">
        <w:t>,</w:t>
      </w:r>
      <w:r w:rsidR="006639FB">
        <w:t xml:space="preserve"> 26 FCC Rcd at </w:t>
      </w:r>
      <w:r w:rsidR="00E13D4B">
        <w:t>10690</w:t>
      </w:r>
      <w:r w:rsidR="006639FB">
        <w:t>, para. 12.</w:t>
      </w:r>
    </w:p>
  </w:footnote>
  <w:footnote w:id="50">
    <w:p w:rsidR="00BB6D27" w:rsidRDefault="00BB6D27" w:rsidP="003234B6">
      <w:pPr>
        <w:pStyle w:val="FootnoteText"/>
        <w:ind w:firstLine="0"/>
        <w:jc w:val="left"/>
      </w:pPr>
      <w:r>
        <w:rPr>
          <w:rStyle w:val="FootnoteReference"/>
        </w:rPr>
        <w:footnoteRef/>
      </w:r>
      <w:r>
        <w:t xml:space="preserve"> </w:t>
      </w:r>
      <w:r w:rsidRPr="00134D89">
        <w:rPr>
          <w:i/>
        </w:rPr>
        <w:t>NAL Response</w:t>
      </w:r>
      <w:r>
        <w:t xml:space="preserve"> at 13.  </w:t>
      </w:r>
    </w:p>
  </w:footnote>
  <w:footnote w:id="51">
    <w:p w:rsidR="00BB6D27" w:rsidRPr="00DE5B23" w:rsidRDefault="00BB6D27" w:rsidP="003234B6">
      <w:pPr>
        <w:pStyle w:val="FootnoteText"/>
        <w:ind w:firstLine="0"/>
        <w:jc w:val="left"/>
        <w:rPr>
          <w:szCs w:val="20"/>
        </w:rPr>
      </w:pPr>
      <w:r w:rsidRPr="00DE5B23">
        <w:rPr>
          <w:rStyle w:val="FootnoteReference"/>
        </w:rPr>
        <w:footnoteRef/>
      </w:r>
      <w:r w:rsidRPr="00DE5B23">
        <w:rPr>
          <w:szCs w:val="20"/>
        </w:rPr>
        <w:t xml:space="preserve"> </w:t>
      </w:r>
      <w:r w:rsidRPr="00DE5B23">
        <w:rPr>
          <w:i/>
          <w:szCs w:val="20"/>
        </w:rPr>
        <w:t>LawM</w:t>
      </w:r>
      <w:r w:rsidRPr="009A00EF">
        <w:rPr>
          <w:i/>
          <w:szCs w:val="20"/>
        </w:rPr>
        <w:t>ate Technology Co.</w:t>
      </w:r>
      <w:r w:rsidRPr="009A00EF">
        <w:rPr>
          <w:szCs w:val="20"/>
        </w:rPr>
        <w:t>,</w:t>
      </w:r>
      <w:r w:rsidR="00F42C28">
        <w:rPr>
          <w:szCs w:val="20"/>
        </w:rPr>
        <w:t xml:space="preserve"> Forfeiture Order,</w:t>
      </w:r>
      <w:r w:rsidRPr="009A00EF">
        <w:rPr>
          <w:szCs w:val="20"/>
        </w:rPr>
        <w:t xml:space="preserve"> 27 FCC Rcd</w:t>
      </w:r>
      <w:r w:rsidR="00F42C28">
        <w:rPr>
          <w:szCs w:val="20"/>
        </w:rPr>
        <w:t xml:space="preserve"> 15159,</w:t>
      </w:r>
      <w:r w:rsidRPr="00343EA3">
        <w:rPr>
          <w:szCs w:val="20"/>
        </w:rPr>
        <w:t xml:space="preserve"> 15161, para. 6</w:t>
      </w:r>
      <w:r w:rsidR="00F42C28">
        <w:rPr>
          <w:szCs w:val="20"/>
        </w:rPr>
        <w:t xml:space="preserve"> (Enf. Bur. 2012)</w:t>
      </w:r>
      <w:r w:rsidRPr="00343EA3">
        <w:rPr>
          <w:szCs w:val="20"/>
        </w:rPr>
        <w:t xml:space="preserve">; </w:t>
      </w:r>
      <w:r w:rsidRPr="00343EA3">
        <w:rPr>
          <w:i/>
          <w:iCs/>
          <w:color w:val="010101"/>
          <w:szCs w:val="20"/>
        </w:rPr>
        <w:t>Behringer USA, Inc.</w:t>
      </w:r>
      <w:r w:rsidRPr="00343EA3">
        <w:rPr>
          <w:color w:val="010101"/>
          <w:szCs w:val="20"/>
        </w:rPr>
        <w:t>, Forfeiture Order, 22 FCC Rcd 10451, 10459, para. 19 (2007).</w:t>
      </w:r>
    </w:p>
  </w:footnote>
  <w:footnote w:id="52">
    <w:p w:rsidR="00BB6D27" w:rsidRPr="00F87F65" w:rsidRDefault="00BB6D27" w:rsidP="003234B6">
      <w:pPr>
        <w:pStyle w:val="FootnoteText"/>
        <w:widowControl/>
        <w:ind w:firstLine="0"/>
        <w:jc w:val="left"/>
        <w:rPr>
          <w:szCs w:val="20"/>
        </w:rPr>
      </w:pPr>
      <w:r w:rsidRPr="00F87F65">
        <w:rPr>
          <w:rStyle w:val="FootnoteCharacters"/>
          <w:szCs w:val="20"/>
        </w:rPr>
        <w:footnoteRef/>
      </w:r>
      <w:r w:rsidRPr="00F87F65">
        <w:rPr>
          <w:i/>
          <w:szCs w:val="20"/>
        </w:rPr>
        <w:t xml:space="preserve"> See PJB Communications of Virginia, Inc</w:t>
      </w:r>
      <w:r w:rsidRPr="00F87F65">
        <w:rPr>
          <w:szCs w:val="20"/>
        </w:rPr>
        <w:t xml:space="preserve">., </w:t>
      </w:r>
      <w:r w:rsidR="00F42C28">
        <w:rPr>
          <w:szCs w:val="20"/>
        </w:rPr>
        <w:t>Memorandum Opinion and Order,</w:t>
      </w:r>
      <w:r w:rsidRPr="00F87F65">
        <w:rPr>
          <w:szCs w:val="20"/>
        </w:rPr>
        <w:t xml:space="preserve"> 7 FCC Rcd 2088, 2089 (1992) (forfeiture not deemed excessive where it represented approximately 2.02 percent of the violator’s gross revenues); </w:t>
      </w:r>
      <w:r w:rsidRPr="00F87F65">
        <w:rPr>
          <w:i/>
          <w:szCs w:val="20"/>
        </w:rPr>
        <w:t xml:space="preserve">Local Long Distance, Inc., </w:t>
      </w:r>
      <w:r w:rsidRPr="00F87F65">
        <w:rPr>
          <w:szCs w:val="20"/>
        </w:rPr>
        <w:t>Forfeiture Order, 1</w:t>
      </w:r>
      <w:r>
        <w:rPr>
          <w:szCs w:val="20"/>
        </w:rPr>
        <w:t>5</w:t>
      </w:r>
      <w:r w:rsidRPr="00F87F65">
        <w:rPr>
          <w:szCs w:val="20"/>
        </w:rPr>
        <w:t xml:space="preserve"> FCC Rcd 24385 (2000) (forfeiture not deemed excessive where it represented approximately 7.9 percent of the violator’s gross revenues); </w:t>
      </w:r>
      <w:r w:rsidRPr="00F87F65">
        <w:rPr>
          <w:i/>
          <w:szCs w:val="20"/>
        </w:rPr>
        <w:t xml:space="preserve">Hoosier Broadcasting Corporation, </w:t>
      </w:r>
      <w:r w:rsidR="00A07F49">
        <w:rPr>
          <w:szCs w:val="20"/>
        </w:rPr>
        <w:t>Memorandum Opinion and Order,</w:t>
      </w:r>
      <w:r w:rsidRPr="00F87F65">
        <w:rPr>
          <w:szCs w:val="20"/>
        </w:rPr>
        <w:t xml:space="preserve"> 15 FCC Rcd 8640 (</w:t>
      </w:r>
      <w:r w:rsidR="00A07F49">
        <w:rPr>
          <w:szCs w:val="20"/>
        </w:rPr>
        <w:t xml:space="preserve">Enf. Bur. </w:t>
      </w:r>
      <w:r w:rsidRPr="00F87F65">
        <w:rPr>
          <w:szCs w:val="20"/>
        </w:rPr>
        <w:t>200</w:t>
      </w:r>
      <w:r w:rsidR="00A07F49">
        <w:rPr>
          <w:szCs w:val="20"/>
        </w:rPr>
        <w:t>0</w:t>
      </w:r>
      <w:r w:rsidRPr="00F87F65">
        <w:rPr>
          <w:szCs w:val="20"/>
        </w:rPr>
        <w:t xml:space="preserve">) (forfeiture not deemed excessive where it represented approximately 7.6 percent of the violator’s gross revenues).  </w:t>
      </w:r>
    </w:p>
  </w:footnote>
  <w:footnote w:id="53">
    <w:p w:rsidR="00BB6D27" w:rsidRPr="00673357" w:rsidRDefault="00BB6D27" w:rsidP="003234B6">
      <w:pPr>
        <w:pStyle w:val="FootnoteText"/>
        <w:ind w:firstLine="0"/>
        <w:jc w:val="left"/>
      </w:pPr>
      <w:r>
        <w:rPr>
          <w:rStyle w:val="FootnoteReference"/>
        </w:rPr>
        <w:footnoteRef/>
      </w:r>
      <w:r>
        <w:t xml:space="preserve"> </w:t>
      </w:r>
      <w:r>
        <w:rPr>
          <w:i/>
        </w:rPr>
        <w:t xml:space="preserve">See Martin Broadcasting, Inc., </w:t>
      </w:r>
      <w:r>
        <w:t xml:space="preserve">Forfeiture Order, 28 FCC Rcd 1923 (Enf. Bur. 2013) (three years of an </w:t>
      </w:r>
      <w:r w:rsidRPr="00673357">
        <w:t xml:space="preserve">operating loss or no taxable income </w:t>
      </w:r>
      <w:r>
        <w:t>does not qualify as severe financial distress).</w:t>
      </w:r>
    </w:p>
  </w:footnote>
  <w:footnote w:id="54">
    <w:p w:rsidR="00BB6D27" w:rsidRDefault="00BB6D27" w:rsidP="003234B6">
      <w:pPr>
        <w:pStyle w:val="FootnoteText"/>
        <w:ind w:firstLine="0"/>
        <w:jc w:val="left"/>
      </w:pPr>
      <w:r>
        <w:rPr>
          <w:rStyle w:val="FootnoteReference"/>
        </w:rPr>
        <w:footnoteRef/>
      </w:r>
      <w:r>
        <w:t xml:space="preserve"> The $25,000 forfeiture falls within the percentage range that the Commission has previously found acceptable.  </w:t>
      </w:r>
      <w:r w:rsidRPr="00673357">
        <w:t>The $</w:t>
      </w:r>
      <w:r>
        <w:t>5</w:t>
      </w:r>
      <w:r w:rsidR="00AD2566">
        <w:t>,</w:t>
      </w:r>
      <w:r>
        <w:t>00</w:t>
      </w:r>
      <w:r w:rsidRPr="00673357">
        <w:t>0 reduction based on history of compliance with the Rules also reduces the financial penalty imposed against</w:t>
      </w:r>
      <w:r>
        <w:t xml:space="preserve"> Directlink</w:t>
      </w:r>
      <w:r w:rsidRPr="00673357">
        <w:t>.</w:t>
      </w:r>
    </w:p>
  </w:footnote>
  <w:footnote w:id="55">
    <w:p w:rsidR="00BB6D27" w:rsidRDefault="00BB6D27" w:rsidP="003234B6">
      <w:pPr>
        <w:pStyle w:val="FootnoteText"/>
        <w:ind w:firstLine="0"/>
        <w:jc w:val="left"/>
      </w:pPr>
      <w:r>
        <w:rPr>
          <w:rStyle w:val="FootnoteReference"/>
        </w:rPr>
        <w:footnoteRef/>
      </w:r>
      <w:r>
        <w:t xml:space="preserve"> </w:t>
      </w:r>
      <w:r>
        <w:rPr>
          <w:i/>
        </w:rPr>
        <w:t xml:space="preserve">NAL Response </w:t>
      </w:r>
      <w:r>
        <w:t>at 3–4.</w:t>
      </w:r>
    </w:p>
  </w:footnote>
  <w:footnote w:id="56">
    <w:p w:rsidR="00BB6D27" w:rsidRDefault="00BB6D27" w:rsidP="003234B6">
      <w:pPr>
        <w:pStyle w:val="FootnoteText"/>
        <w:ind w:firstLine="0"/>
        <w:jc w:val="left"/>
      </w:pPr>
      <w:r>
        <w:rPr>
          <w:rStyle w:val="FootnoteReference"/>
        </w:rPr>
        <w:footnoteRef/>
      </w:r>
      <w:r>
        <w:t xml:space="preserve"> 47 C.F.R. § 1.80(b)(5), Note: Guidelines for Assessing Forfeitures, Section II, Adjustment Criteria for Section 503 Forfeitures</w:t>
      </w:r>
      <w:r w:rsidR="00787407">
        <w:t xml:space="preserve">.  </w:t>
      </w:r>
      <w:r w:rsidR="00787407">
        <w:rPr>
          <w:i/>
        </w:rPr>
        <w:t xml:space="preserve">See infra </w:t>
      </w:r>
      <w:r w:rsidR="00787407">
        <w:t>n.34.</w:t>
      </w:r>
    </w:p>
  </w:footnote>
  <w:footnote w:id="57">
    <w:p w:rsidR="00BB6D27" w:rsidRDefault="00BB6D27">
      <w:pPr>
        <w:pStyle w:val="FootnoteText"/>
        <w:ind w:firstLine="0"/>
        <w:jc w:val="left"/>
      </w:pPr>
      <w:r>
        <w:rPr>
          <w:rStyle w:val="FootnoteReference"/>
        </w:rPr>
        <w:footnoteRef/>
      </w:r>
      <w:r>
        <w:rPr>
          <w:szCs w:val="20"/>
        </w:rPr>
        <w:t xml:space="preserve"> 47 U.S.C. §§ 301, 302a(b), 503(b); 47 C.F.R. §§ 0.111, 0.204, 0.311, 0.314, 1.80(f)(4), 15.1(b), 15.1(c).</w:t>
      </w:r>
    </w:p>
  </w:footnote>
  <w:footnote w:id="58">
    <w:p w:rsidR="00BB6D27" w:rsidRDefault="00BB6D27">
      <w:pPr>
        <w:pStyle w:val="FootnoteText"/>
        <w:ind w:firstLine="0"/>
        <w:jc w:val="left"/>
      </w:pPr>
      <w:r>
        <w:rPr>
          <w:rStyle w:val="FootnoteReference"/>
        </w:rPr>
        <w:footnoteRef/>
      </w:r>
      <w:r>
        <w:t xml:space="preserve"> 47 C.F.R. § 1.80.</w:t>
      </w:r>
    </w:p>
  </w:footnote>
  <w:footnote w:id="59">
    <w:p w:rsidR="00BB6D27" w:rsidRDefault="00BB6D27">
      <w:pPr>
        <w:pStyle w:val="FootnoteText"/>
        <w:ind w:firstLine="0"/>
        <w:jc w:val="left"/>
      </w:pPr>
      <w:r>
        <w:rPr>
          <w:rStyle w:val="FootnoteReference"/>
        </w:rPr>
        <w:footnoteRef/>
      </w:r>
      <w:r>
        <w:t xml:space="preserve"> 47 U.S.C. § 504(a).</w:t>
      </w:r>
    </w:p>
  </w:footnote>
  <w:footnote w:id="60">
    <w:p w:rsidR="00BB6D27" w:rsidRDefault="00BB6D27">
      <w:pPr>
        <w:pStyle w:val="FootnoteText"/>
        <w:ind w:firstLine="0"/>
        <w:jc w:val="left"/>
      </w:pPr>
      <w:r>
        <w:rPr>
          <w:rStyle w:val="FootnoteReference"/>
        </w:rPr>
        <w:footnoteRef/>
      </w:r>
      <w:r>
        <w:t xml:space="preserve"> </w:t>
      </w:r>
      <w:r>
        <w:rPr>
          <w:rFonts w:eastAsia="MS Mincho" w:cs="Arial"/>
        </w:rPr>
        <w:t>An FCC Form 159 and detailed instructions for completing the form may be obtained at http://www.fcc.gov/Forms/Form159/159.pdf.</w:t>
      </w:r>
    </w:p>
  </w:footnote>
  <w:footnote w:id="61">
    <w:p w:rsidR="00BB6D27" w:rsidRDefault="00BB6D27">
      <w:pPr>
        <w:pStyle w:val="FootnoteText"/>
        <w:ind w:firstLine="0"/>
        <w:jc w:val="left"/>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4A" w:rsidRDefault="00735B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27" w:rsidRDefault="00BB6D27">
    <w:pPr>
      <w:tabs>
        <w:tab w:val="center" w:pos="4680"/>
        <w:tab w:val="right" w:pos="9360"/>
      </w:tabs>
      <w:suppressAutoHyphens/>
      <w:spacing w:line="227" w:lineRule="auto"/>
      <w:jc w:val="both"/>
      <w:rPr>
        <w:b/>
      </w:rPr>
    </w:pPr>
    <w:r>
      <w:rPr>
        <w:b/>
      </w:rPr>
      <w:tab/>
      <w:t>Federal Communications Commission</w:t>
    </w:r>
    <w:r>
      <w:rPr>
        <w:b/>
      </w:rPr>
      <w:tab/>
      <w:t>DA 14-</w:t>
    </w:r>
    <w:r w:rsidR="00804058">
      <w:rPr>
        <w:b/>
      </w:rPr>
      <w:t>224</w:t>
    </w:r>
  </w:p>
  <w:p w:rsidR="00BB6D27" w:rsidRDefault="00BB6D27">
    <w:pPr>
      <w:pStyle w:val="Header"/>
      <w:jc w:val="both"/>
      <w:rPr>
        <w:b/>
      </w:rPr>
    </w:pPr>
    <w:r>
      <w:rPr>
        <w:b/>
        <w:noProof/>
      </w:rPr>
      <mc:AlternateContent>
        <mc:Choice Requires="wps">
          <w:drawing>
            <wp:anchor distT="0" distB="0" distL="114300" distR="114300" simplePos="0" relativeHeight="251657216" behindDoc="1" locked="0" layoutInCell="0" allowOverlap="1" wp14:anchorId="2EACC17F" wp14:editId="3487F217">
              <wp:simplePos x="0" y="0"/>
              <wp:positionH relativeFrom="margin">
                <wp:posOffset>0</wp:posOffset>
              </wp:positionH>
              <wp:positionV relativeFrom="paragraph">
                <wp:posOffset>-8890</wp:posOffset>
              </wp:positionV>
              <wp:extent cx="5943600" cy="1206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D27" w:rsidRDefault="00BB6D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0;margin-top:-.7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Ue7AIAAD4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" o:allowincell="f" fillcolor="black" stroked="f" strokeweight=".05pt">
              <v:textbox>
                <w:txbxContent>
                  <w:p w:rsidR="00BB6D27" w:rsidRDefault="00BB6D27"/>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27" w:rsidRDefault="00BB6D27">
    <w:pPr>
      <w:tabs>
        <w:tab w:val="center" w:pos="4680"/>
        <w:tab w:val="right" w:pos="9360"/>
      </w:tabs>
      <w:suppressAutoHyphens/>
      <w:spacing w:line="227" w:lineRule="auto"/>
      <w:jc w:val="both"/>
      <w:rPr>
        <w:spacing w:val="-2"/>
      </w:rPr>
    </w:pPr>
    <w:r>
      <w:rPr>
        <w:b/>
        <w:spacing w:val="-2"/>
      </w:rPr>
      <w:tab/>
      <w:t>Federal Communications Commission</w:t>
    </w:r>
    <w:r>
      <w:rPr>
        <w:b/>
        <w:spacing w:val="-2"/>
      </w:rPr>
      <w:tab/>
      <w:t>DA 14-</w:t>
    </w:r>
    <w:r w:rsidR="00804058">
      <w:rPr>
        <w:b/>
        <w:spacing w:val="-2"/>
      </w:rPr>
      <w:t>224</w:t>
    </w:r>
  </w:p>
  <w:p w:rsidR="00BB6D27" w:rsidRDefault="00BB6D27">
    <w:pPr>
      <w:tabs>
        <w:tab w:val="left" w:pos="-1440"/>
        <w:tab w:val="left" w:pos="-720"/>
      </w:tabs>
      <w:suppressAutoHyphens/>
      <w:spacing w:line="19" w:lineRule="exact"/>
      <w:jc w:val="both"/>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D27" w:rsidRDefault="00BB6D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Ua7wIAAEU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BGlKUa7wIAAEUGAAAOAAAA&#10;AAAAAAAAAAAAAC4CAABkcnMvZTJvRG9jLnhtbFBLAQItABQABgAIAAAAIQAiPO7R1wAAAAMBAAAP&#10;AAAAAAAAAAAAAAAAAEkFAABkcnMvZG93bnJldi54bWxQSwUGAAAAAAQABADzAAAATQYAAAAA&#10;" o:allowincell="f" fillcolor="black" stroked="f" strokeweight=".05pt">
              <v:textbox>
                <w:txbxContent>
                  <w:p w:rsidR="00BB6D27" w:rsidRDefault="00BB6D27"/>
                </w:txbxContent>
              </v:textbox>
              <w10:wrap anchorx="margin"/>
            </v:rect>
          </w:pict>
        </mc:Fallback>
      </mc:AlternateContent>
    </w:r>
  </w:p>
  <w:p w:rsidR="00BB6D27" w:rsidRDefault="00BB6D27">
    <w:pPr>
      <w:pStyle w:val="Header"/>
      <w:pBdr>
        <w:between w:val="single" w:sz="4" w:space="1" w:color="auto"/>
      </w:pBdr>
      <w:tabs>
        <w:tab w:val="center" w:pos="4680"/>
        <w:tab w:val="left" w:pos="8434"/>
      </w:tabs>
      <w:rPr>
        <w:b/>
      </w:rPr>
    </w:pPr>
    <w:r>
      <w:rPr>
        <w:b/>
      </w:rPr>
      <w:t xml:space="preserve">      </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59B4"/>
    <w:multiLevelType w:val="hybridMultilevel"/>
    <w:tmpl w:val="3DB6DD78"/>
    <w:lvl w:ilvl="0" w:tplc="36049E4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BB274C"/>
    <w:multiLevelType w:val="hybridMultilevel"/>
    <w:tmpl w:val="92BE03C4"/>
    <w:lvl w:ilvl="0" w:tplc="6D1AE0AA">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CCD7CCE"/>
    <w:multiLevelType w:val="hybridMultilevel"/>
    <w:tmpl w:val="3DB6DD78"/>
    <w:lvl w:ilvl="0" w:tplc="36049E4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BA2AEE"/>
    <w:multiLevelType w:val="hybridMultilevel"/>
    <w:tmpl w:val="331627D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222D9A"/>
    <w:multiLevelType w:val="singleLevel"/>
    <w:tmpl w:val="E0B2BEC6"/>
    <w:lvl w:ilvl="0">
      <w:start w:val="1"/>
      <w:numFmt w:val="decimal"/>
      <w:lvlText w:val="%1."/>
      <w:legacy w:legacy="1" w:legacySpace="0" w:legacyIndent="720"/>
      <w:lvlJc w:val="left"/>
      <w:rPr>
        <w:rFonts w:ascii="Times New Roman" w:hAnsi="Times New Roman" w:cs="Times New Roman" w:hint="default"/>
      </w:rPr>
    </w:lvl>
  </w:abstractNum>
  <w:abstractNum w:abstractNumId="6">
    <w:nsid w:val="3D0F1B3D"/>
    <w:multiLevelType w:val="singleLevel"/>
    <w:tmpl w:val="FBEE92A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EC00A8A"/>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8">
    <w:nsid w:val="41127E7E"/>
    <w:multiLevelType w:val="hybridMultilevel"/>
    <w:tmpl w:val="EDD0E9C6"/>
    <w:lvl w:ilvl="0" w:tplc="FFFFFFFF">
      <w:start w:val="1"/>
      <w:numFmt w:val="bullet"/>
      <w:lvlText w:val=""/>
      <w:lvlJc w:val="left"/>
      <w:pPr>
        <w:tabs>
          <w:tab w:val="num" w:pos="1080"/>
        </w:tabs>
        <w:ind w:left="1080" w:hanging="360"/>
      </w:pPr>
      <w:rPr>
        <w:rFonts w:ascii="Wingdings" w:hAnsi="Wingdings" w:hint="default"/>
        <w:color w:val="auto"/>
        <w:sz w:val="16"/>
      </w:rPr>
    </w:lvl>
    <w:lvl w:ilvl="1" w:tplc="FFFFFFFF">
      <w:start w:val="1"/>
      <w:numFmt w:val="lowerLetter"/>
      <w:lvlText w:val="%2."/>
      <w:lvlJc w:val="left"/>
      <w:pPr>
        <w:tabs>
          <w:tab w:val="num" w:pos="0"/>
        </w:tabs>
        <w:ind w:left="0" w:hanging="360"/>
      </w:pPr>
    </w:lvl>
    <w:lvl w:ilvl="2" w:tplc="FFFFFFFF">
      <w:start w:val="1"/>
      <w:numFmt w:val="lowerRoman"/>
      <w:lvlText w:val="%3."/>
      <w:lvlJc w:val="right"/>
      <w:pPr>
        <w:tabs>
          <w:tab w:val="num" w:pos="720"/>
        </w:tabs>
        <w:ind w:left="720" w:hanging="180"/>
      </w:pPr>
    </w:lvl>
    <w:lvl w:ilvl="3" w:tplc="FFFFFFFF">
      <w:start w:val="1"/>
      <w:numFmt w:val="decimal"/>
      <w:lvlText w:val="%4."/>
      <w:lvlJc w:val="left"/>
      <w:pPr>
        <w:tabs>
          <w:tab w:val="num" w:pos="1440"/>
        </w:tabs>
        <w:ind w:left="1440" w:hanging="360"/>
      </w:pPr>
    </w:lvl>
    <w:lvl w:ilvl="4" w:tplc="FFFFFFFF">
      <w:start w:val="1"/>
      <w:numFmt w:val="lowerLetter"/>
      <w:lvlText w:val="%5."/>
      <w:lvlJc w:val="left"/>
      <w:pPr>
        <w:tabs>
          <w:tab w:val="num" w:pos="2160"/>
        </w:tabs>
        <w:ind w:left="2160" w:hanging="360"/>
      </w:pPr>
    </w:lvl>
    <w:lvl w:ilvl="5" w:tplc="FFFFFFFF">
      <w:start w:val="1"/>
      <w:numFmt w:val="lowerRoman"/>
      <w:lvlText w:val="%6."/>
      <w:lvlJc w:val="right"/>
      <w:pPr>
        <w:tabs>
          <w:tab w:val="num" w:pos="2880"/>
        </w:tabs>
        <w:ind w:left="2880" w:hanging="180"/>
      </w:pPr>
    </w:lvl>
    <w:lvl w:ilvl="6" w:tplc="FFFFFFFF">
      <w:start w:val="1"/>
      <w:numFmt w:val="decimal"/>
      <w:lvlText w:val="%7."/>
      <w:lvlJc w:val="left"/>
      <w:pPr>
        <w:tabs>
          <w:tab w:val="num" w:pos="3600"/>
        </w:tabs>
        <w:ind w:left="3600" w:hanging="360"/>
      </w:pPr>
    </w:lvl>
    <w:lvl w:ilvl="7" w:tplc="FFFFFFFF">
      <w:start w:val="1"/>
      <w:numFmt w:val="lowerLetter"/>
      <w:lvlText w:val="%8."/>
      <w:lvlJc w:val="left"/>
      <w:pPr>
        <w:tabs>
          <w:tab w:val="num" w:pos="4320"/>
        </w:tabs>
        <w:ind w:left="4320" w:hanging="360"/>
      </w:pPr>
    </w:lvl>
    <w:lvl w:ilvl="8" w:tplc="FFFFFFFF">
      <w:start w:val="1"/>
      <w:numFmt w:val="lowerRoman"/>
      <w:lvlText w:val="%9."/>
      <w:lvlJc w:val="right"/>
      <w:pPr>
        <w:tabs>
          <w:tab w:val="num" w:pos="5040"/>
        </w:tabs>
        <w:ind w:left="5040" w:hanging="180"/>
      </w:pPr>
    </w:lvl>
  </w:abstractNum>
  <w:abstractNum w:abstractNumId="9">
    <w:nsid w:val="432817C4"/>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1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61182925"/>
    <w:multiLevelType w:val="singleLevel"/>
    <w:tmpl w:val="D5A8460C"/>
    <w:lvl w:ilvl="0">
      <w:start w:val="1"/>
      <w:numFmt w:val="decimal"/>
      <w:lvlText w:val="%1."/>
      <w:lvlJc w:val="left"/>
      <w:pPr>
        <w:tabs>
          <w:tab w:val="num" w:pos="1080"/>
        </w:tabs>
        <w:ind w:left="0" w:firstLine="720"/>
      </w:pPr>
      <w:rPr>
        <w:b w:val="0"/>
      </w:rPr>
    </w:lvl>
  </w:abstractNum>
  <w:abstractNum w:abstractNumId="1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E5C6F81"/>
    <w:multiLevelType w:val="hybridMultilevel"/>
    <w:tmpl w:val="F0E4DE98"/>
    <w:lvl w:ilvl="0" w:tplc="CABAE556">
      <w:start w:val="1"/>
      <w:numFmt w:val="decimal"/>
      <w:lvlText w:val="%1."/>
      <w:lvlJc w:val="left"/>
      <w:pPr>
        <w:tabs>
          <w:tab w:val="num" w:pos="1080"/>
        </w:tabs>
        <w:ind w:left="0" w:firstLine="720"/>
      </w:pPr>
      <w:rPr>
        <w:rFonts w:ascii="Times New Roman" w:hAnsi="Times New Roman" w:hint="default"/>
        <w:b w:val="0"/>
        <w:i w:val="0"/>
        <w:sz w:val="22"/>
        <w:szCs w:val="22"/>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9"/>
  </w:num>
  <w:num w:numId="2">
    <w:abstractNumId w:val="6"/>
  </w:num>
  <w:num w:numId="3">
    <w:abstractNumId w:val="3"/>
  </w:num>
  <w:num w:numId="4">
    <w:abstractNumId w:val="12"/>
  </w:num>
  <w:num w:numId="5">
    <w:abstractNumId w:val="2"/>
  </w:num>
  <w:num w:numId="6">
    <w:abstractNumId w:val="5"/>
  </w:num>
  <w:num w:numId="7">
    <w:abstractNumId w:val="1"/>
  </w:num>
  <w:num w:numId="8">
    <w:abstractNumId w:val="13"/>
  </w:num>
  <w:num w:numId="9">
    <w:abstractNumId w:val="1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59"/>
    <w:rsid w:val="00006B4C"/>
    <w:rsid w:val="0001040A"/>
    <w:rsid w:val="00011318"/>
    <w:rsid w:val="0006198D"/>
    <w:rsid w:val="00072437"/>
    <w:rsid w:val="0008450B"/>
    <w:rsid w:val="00094428"/>
    <w:rsid w:val="00096300"/>
    <w:rsid w:val="000B3182"/>
    <w:rsid w:val="000C35B0"/>
    <w:rsid w:val="000C6EBA"/>
    <w:rsid w:val="000D3AF0"/>
    <w:rsid w:val="000D6E8D"/>
    <w:rsid w:val="000E1612"/>
    <w:rsid w:val="000F5E73"/>
    <w:rsid w:val="0010073B"/>
    <w:rsid w:val="00115741"/>
    <w:rsid w:val="001277A0"/>
    <w:rsid w:val="00130D31"/>
    <w:rsid w:val="00130F1B"/>
    <w:rsid w:val="00134D89"/>
    <w:rsid w:val="001660FB"/>
    <w:rsid w:val="00167801"/>
    <w:rsid w:val="00182A54"/>
    <w:rsid w:val="00193F2B"/>
    <w:rsid w:val="001B0887"/>
    <w:rsid w:val="001B0EE6"/>
    <w:rsid w:val="001B54D2"/>
    <w:rsid w:val="001F58B5"/>
    <w:rsid w:val="002003AD"/>
    <w:rsid w:val="00207FEF"/>
    <w:rsid w:val="00217D8A"/>
    <w:rsid w:val="002212BB"/>
    <w:rsid w:val="0023023D"/>
    <w:rsid w:val="00243C3B"/>
    <w:rsid w:val="00261803"/>
    <w:rsid w:val="00275AEF"/>
    <w:rsid w:val="00276DF7"/>
    <w:rsid w:val="002834CD"/>
    <w:rsid w:val="00295E6E"/>
    <w:rsid w:val="002A4DF3"/>
    <w:rsid w:val="002D33A6"/>
    <w:rsid w:val="002D7C70"/>
    <w:rsid w:val="002E5956"/>
    <w:rsid w:val="002F13E1"/>
    <w:rsid w:val="002F1CD5"/>
    <w:rsid w:val="00311F6C"/>
    <w:rsid w:val="0031205D"/>
    <w:rsid w:val="00322659"/>
    <w:rsid w:val="003234B6"/>
    <w:rsid w:val="00324078"/>
    <w:rsid w:val="00372012"/>
    <w:rsid w:val="003832F7"/>
    <w:rsid w:val="003A39A6"/>
    <w:rsid w:val="003A7126"/>
    <w:rsid w:val="003B1FC5"/>
    <w:rsid w:val="003B7337"/>
    <w:rsid w:val="003C1A8C"/>
    <w:rsid w:val="003D0F81"/>
    <w:rsid w:val="00401E2B"/>
    <w:rsid w:val="004060C8"/>
    <w:rsid w:val="0042776F"/>
    <w:rsid w:val="00440917"/>
    <w:rsid w:val="00447C04"/>
    <w:rsid w:val="00465BC8"/>
    <w:rsid w:val="004757D9"/>
    <w:rsid w:val="0048447B"/>
    <w:rsid w:val="00484A2F"/>
    <w:rsid w:val="004851E7"/>
    <w:rsid w:val="00486722"/>
    <w:rsid w:val="004957D5"/>
    <w:rsid w:val="004B4E86"/>
    <w:rsid w:val="004C3B5E"/>
    <w:rsid w:val="004C4A99"/>
    <w:rsid w:val="004D263B"/>
    <w:rsid w:val="004D2B5D"/>
    <w:rsid w:val="004D4E99"/>
    <w:rsid w:val="004E2C90"/>
    <w:rsid w:val="004E58AB"/>
    <w:rsid w:val="004E6C6A"/>
    <w:rsid w:val="004E7661"/>
    <w:rsid w:val="00504749"/>
    <w:rsid w:val="00507B65"/>
    <w:rsid w:val="005110A5"/>
    <w:rsid w:val="00511E08"/>
    <w:rsid w:val="00514B9E"/>
    <w:rsid w:val="0053511A"/>
    <w:rsid w:val="005370A8"/>
    <w:rsid w:val="00541E7B"/>
    <w:rsid w:val="0056212D"/>
    <w:rsid w:val="00570F97"/>
    <w:rsid w:val="00575B3E"/>
    <w:rsid w:val="005808CF"/>
    <w:rsid w:val="00581924"/>
    <w:rsid w:val="005940E9"/>
    <w:rsid w:val="005A1A81"/>
    <w:rsid w:val="005C3D95"/>
    <w:rsid w:val="005C3EDB"/>
    <w:rsid w:val="005D4D1A"/>
    <w:rsid w:val="005D75C4"/>
    <w:rsid w:val="005E479B"/>
    <w:rsid w:val="005F4383"/>
    <w:rsid w:val="0061119D"/>
    <w:rsid w:val="006153DD"/>
    <w:rsid w:val="0062008E"/>
    <w:rsid w:val="00634985"/>
    <w:rsid w:val="006403AF"/>
    <w:rsid w:val="0064300B"/>
    <w:rsid w:val="00645DBB"/>
    <w:rsid w:val="0065485B"/>
    <w:rsid w:val="00660947"/>
    <w:rsid w:val="006639FB"/>
    <w:rsid w:val="00680A7E"/>
    <w:rsid w:val="00687B1B"/>
    <w:rsid w:val="0069267E"/>
    <w:rsid w:val="00693986"/>
    <w:rsid w:val="006B5F9C"/>
    <w:rsid w:val="006C0CB3"/>
    <w:rsid w:val="006C2A13"/>
    <w:rsid w:val="006D2574"/>
    <w:rsid w:val="006E60D3"/>
    <w:rsid w:val="0071302F"/>
    <w:rsid w:val="0071753E"/>
    <w:rsid w:val="00735B4A"/>
    <w:rsid w:val="00740837"/>
    <w:rsid w:val="00742C26"/>
    <w:rsid w:val="00755E7D"/>
    <w:rsid w:val="00761F01"/>
    <w:rsid w:val="00764554"/>
    <w:rsid w:val="00780DD6"/>
    <w:rsid w:val="00787407"/>
    <w:rsid w:val="007A2235"/>
    <w:rsid w:val="007C250B"/>
    <w:rsid w:val="007C2754"/>
    <w:rsid w:val="007E57B2"/>
    <w:rsid w:val="00804058"/>
    <w:rsid w:val="008056AB"/>
    <w:rsid w:val="008115A3"/>
    <w:rsid w:val="008125DF"/>
    <w:rsid w:val="00831C40"/>
    <w:rsid w:val="0083389E"/>
    <w:rsid w:val="00837D51"/>
    <w:rsid w:val="00843BC5"/>
    <w:rsid w:val="008477FB"/>
    <w:rsid w:val="008558E1"/>
    <w:rsid w:val="00857151"/>
    <w:rsid w:val="00866C36"/>
    <w:rsid w:val="0087385D"/>
    <w:rsid w:val="0087660F"/>
    <w:rsid w:val="00876DF0"/>
    <w:rsid w:val="0089611C"/>
    <w:rsid w:val="00897528"/>
    <w:rsid w:val="008A39C4"/>
    <w:rsid w:val="008A5003"/>
    <w:rsid w:val="008B360F"/>
    <w:rsid w:val="008B62AB"/>
    <w:rsid w:val="008D32B9"/>
    <w:rsid w:val="008D5796"/>
    <w:rsid w:val="009060D9"/>
    <w:rsid w:val="00911446"/>
    <w:rsid w:val="00911F4B"/>
    <w:rsid w:val="00915497"/>
    <w:rsid w:val="00925967"/>
    <w:rsid w:val="00937D49"/>
    <w:rsid w:val="009546CF"/>
    <w:rsid w:val="009702E7"/>
    <w:rsid w:val="009732BD"/>
    <w:rsid w:val="0098167B"/>
    <w:rsid w:val="00983B58"/>
    <w:rsid w:val="00986A26"/>
    <w:rsid w:val="00992C8C"/>
    <w:rsid w:val="00994B48"/>
    <w:rsid w:val="009A79B1"/>
    <w:rsid w:val="009B5F2B"/>
    <w:rsid w:val="009D4978"/>
    <w:rsid w:val="009E57BE"/>
    <w:rsid w:val="009E5C54"/>
    <w:rsid w:val="00A06208"/>
    <w:rsid w:val="00A07F49"/>
    <w:rsid w:val="00A21399"/>
    <w:rsid w:val="00A37673"/>
    <w:rsid w:val="00A41280"/>
    <w:rsid w:val="00A50C9B"/>
    <w:rsid w:val="00A53CEB"/>
    <w:rsid w:val="00A75DA5"/>
    <w:rsid w:val="00A83560"/>
    <w:rsid w:val="00A8393A"/>
    <w:rsid w:val="00A83E65"/>
    <w:rsid w:val="00A93BE6"/>
    <w:rsid w:val="00AB00CF"/>
    <w:rsid w:val="00AB356A"/>
    <w:rsid w:val="00AB3CCE"/>
    <w:rsid w:val="00AB4A89"/>
    <w:rsid w:val="00AB5A34"/>
    <w:rsid w:val="00AB6F1C"/>
    <w:rsid w:val="00AD2566"/>
    <w:rsid w:val="00AE3EC6"/>
    <w:rsid w:val="00AE68E9"/>
    <w:rsid w:val="00AF64A1"/>
    <w:rsid w:val="00B06BCA"/>
    <w:rsid w:val="00B2626E"/>
    <w:rsid w:val="00B373FD"/>
    <w:rsid w:val="00B66108"/>
    <w:rsid w:val="00B8413E"/>
    <w:rsid w:val="00B9177C"/>
    <w:rsid w:val="00B92212"/>
    <w:rsid w:val="00BA248D"/>
    <w:rsid w:val="00BB6D27"/>
    <w:rsid w:val="00BD7C63"/>
    <w:rsid w:val="00BE09E8"/>
    <w:rsid w:val="00BF355D"/>
    <w:rsid w:val="00BF7215"/>
    <w:rsid w:val="00BF7658"/>
    <w:rsid w:val="00C04776"/>
    <w:rsid w:val="00C40E2C"/>
    <w:rsid w:val="00C62EA6"/>
    <w:rsid w:val="00C83326"/>
    <w:rsid w:val="00C85BE3"/>
    <w:rsid w:val="00C91861"/>
    <w:rsid w:val="00C966D3"/>
    <w:rsid w:val="00C97D2E"/>
    <w:rsid w:val="00CA6915"/>
    <w:rsid w:val="00CC2CD1"/>
    <w:rsid w:val="00CC5570"/>
    <w:rsid w:val="00CF36E3"/>
    <w:rsid w:val="00CF4CE0"/>
    <w:rsid w:val="00D017F9"/>
    <w:rsid w:val="00D05271"/>
    <w:rsid w:val="00D121CF"/>
    <w:rsid w:val="00D16F28"/>
    <w:rsid w:val="00D17414"/>
    <w:rsid w:val="00D200CE"/>
    <w:rsid w:val="00D234F7"/>
    <w:rsid w:val="00D344D9"/>
    <w:rsid w:val="00D35309"/>
    <w:rsid w:val="00D3561D"/>
    <w:rsid w:val="00D359F8"/>
    <w:rsid w:val="00D40D02"/>
    <w:rsid w:val="00D46EFD"/>
    <w:rsid w:val="00D66DD6"/>
    <w:rsid w:val="00D67FDA"/>
    <w:rsid w:val="00D74A84"/>
    <w:rsid w:val="00D75F63"/>
    <w:rsid w:val="00D8051D"/>
    <w:rsid w:val="00D8156B"/>
    <w:rsid w:val="00D901CA"/>
    <w:rsid w:val="00D90638"/>
    <w:rsid w:val="00D91E88"/>
    <w:rsid w:val="00D95D71"/>
    <w:rsid w:val="00DB13F3"/>
    <w:rsid w:val="00DB22A2"/>
    <w:rsid w:val="00DE1979"/>
    <w:rsid w:val="00DE3576"/>
    <w:rsid w:val="00DE4CEB"/>
    <w:rsid w:val="00DF2252"/>
    <w:rsid w:val="00DF62B7"/>
    <w:rsid w:val="00E02EB1"/>
    <w:rsid w:val="00E04C93"/>
    <w:rsid w:val="00E13D4B"/>
    <w:rsid w:val="00E14012"/>
    <w:rsid w:val="00E15AC8"/>
    <w:rsid w:val="00E17E5F"/>
    <w:rsid w:val="00E24143"/>
    <w:rsid w:val="00E25A8B"/>
    <w:rsid w:val="00E3138F"/>
    <w:rsid w:val="00E47893"/>
    <w:rsid w:val="00E81F36"/>
    <w:rsid w:val="00EA2B59"/>
    <w:rsid w:val="00EA3078"/>
    <w:rsid w:val="00EA6054"/>
    <w:rsid w:val="00EA6283"/>
    <w:rsid w:val="00EB1A4F"/>
    <w:rsid w:val="00EC2032"/>
    <w:rsid w:val="00EC28CE"/>
    <w:rsid w:val="00ED51B2"/>
    <w:rsid w:val="00ED7A27"/>
    <w:rsid w:val="00EE36F1"/>
    <w:rsid w:val="00EE6A26"/>
    <w:rsid w:val="00F03BC9"/>
    <w:rsid w:val="00F337AF"/>
    <w:rsid w:val="00F372F4"/>
    <w:rsid w:val="00F42605"/>
    <w:rsid w:val="00F42C28"/>
    <w:rsid w:val="00F51DD3"/>
    <w:rsid w:val="00F52046"/>
    <w:rsid w:val="00F55BA0"/>
    <w:rsid w:val="00F56E7E"/>
    <w:rsid w:val="00F73B8A"/>
    <w:rsid w:val="00F905C4"/>
    <w:rsid w:val="00FC3F72"/>
    <w:rsid w:val="00FC4F7F"/>
    <w:rsid w:val="00FD5832"/>
    <w:rsid w:val="00FE7B67"/>
    <w:rsid w:val="00FF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8CE"/>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uiPriority w:val="99"/>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
    <w:rPr>
      <w:lang w:val="en-US" w:eastAsia="en-US" w:bidi="ar-SA"/>
    </w:rPr>
  </w:style>
  <w:style w:type="character" w:customStyle="1" w:styleId="rrfootnoteCharCharCharCharChar">
    <w:name w:val="rrfootnote Char Char Char Char Char"/>
    <w:aliases w:val="Footnote Text Char Char Char Char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 w:type="character" w:styleId="Strong">
    <w:name w:val="Strong"/>
    <w:qFormat/>
    <w:rsid w:val="00764554"/>
    <w:rPr>
      <w:b/>
      <w:bCs/>
    </w:rPr>
  </w:style>
  <w:style w:type="paragraph" w:customStyle="1" w:styleId="NumberedList">
    <w:name w:val="Numbered List"/>
    <w:basedOn w:val="Normal"/>
    <w:rsid w:val="00CC5570"/>
    <w:pPr>
      <w:widowControl w:val="0"/>
      <w:numPr>
        <w:numId w:val="11"/>
      </w:numPr>
      <w:autoSpaceDE w:val="0"/>
      <w:autoSpaceDN w:val="0"/>
      <w:adjustRightInd w:val="0"/>
      <w:spacing w:after="220"/>
    </w:pPr>
    <w:rPr>
      <w:sz w:val="20"/>
      <w:szCs w:val="20"/>
    </w:rPr>
  </w:style>
  <w:style w:type="character" w:styleId="FollowedHyperlink">
    <w:name w:val="FollowedHyperlink"/>
    <w:basedOn w:val="DefaultParagraphFont"/>
    <w:rsid w:val="00866C36"/>
    <w:rPr>
      <w:color w:val="800080" w:themeColor="followedHyperlink"/>
      <w:u w:val="single"/>
    </w:rPr>
  </w:style>
  <w:style w:type="paragraph" w:styleId="Revision">
    <w:name w:val="Revision"/>
    <w:hidden/>
    <w:uiPriority w:val="99"/>
    <w:semiHidden/>
    <w:rsid w:val="00FE7B6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8CE"/>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uiPriority w:val="99"/>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
    <w:rPr>
      <w:lang w:val="en-US" w:eastAsia="en-US" w:bidi="ar-SA"/>
    </w:rPr>
  </w:style>
  <w:style w:type="character" w:customStyle="1" w:styleId="rrfootnoteCharCharCharCharChar">
    <w:name w:val="rrfootnote Char Char Char Char Char"/>
    <w:aliases w:val="Footnote Text Char Char Char Char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 w:type="character" w:styleId="Strong">
    <w:name w:val="Strong"/>
    <w:qFormat/>
    <w:rsid w:val="00764554"/>
    <w:rPr>
      <w:b/>
      <w:bCs/>
    </w:rPr>
  </w:style>
  <w:style w:type="paragraph" w:customStyle="1" w:styleId="NumberedList">
    <w:name w:val="Numbered List"/>
    <w:basedOn w:val="Normal"/>
    <w:rsid w:val="00CC5570"/>
    <w:pPr>
      <w:widowControl w:val="0"/>
      <w:numPr>
        <w:numId w:val="11"/>
      </w:numPr>
      <w:autoSpaceDE w:val="0"/>
      <w:autoSpaceDN w:val="0"/>
      <w:adjustRightInd w:val="0"/>
      <w:spacing w:after="220"/>
    </w:pPr>
    <w:rPr>
      <w:sz w:val="20"/>
      <w:szCs w:val="20"/>
    </w:rPr>
  </w:style>
  <w:style w:type="character" w:styleId="FollowedHyperlink">
    <w:name w:val="FollowedHyperlink"/>
    <w:basedOn w:val="DefaultParagraphFont"/>
    <w:rsid w:val="00866C36"/>
    <w:rPr>
      <w:color w:val="800080" w:themeColor="followedHyperlink"/>
      <w:u w:val="single"/>
    </w:rPr>
  </w:style>
  <w:style w:type="paragraph" w:styleId="Revision">
    <w:name w:val="Revision"/>
    <w:hidden/>
    <w:uiPriority w:val="99"/>
    <w:semiHidden/>
    <w:rsid w:val="00FE7B6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4311">
      <w:bodyDiv w:val="1"/>
      <w:marLeft w:val="30"/>
      <w:marRight w:val="30"/>
      <w:marTop w:val="30"/>
      <w:marBottom w:val="30"/>
      <w:divBdr>
        <w:top w:val="none" w:sz="0" w:space="0" w:color="auto"/>
        <w:left w:val="none" w:sz="0" w:space="0" w:color="auto"/>
        <w:bottom w:val="none" w:sz="0" w:space="0" w:color="auto"/>
        <w:right w:val="none" w:sz="0" w:space="0" w:color="auto"/>
      </w:divBdr>
      <w:divsChild>
        <w:div w:id="161706626">
          <w:marLeft w:val="0"/>
          <w:marRight w:val="0"/>
          <w:marTop w:val="0"/>
          <w:marBottom w:val="0"/>
          <w:divBdr>
            <w:top w:val="none" w:sz="0" w:space="0" w:color="auto"/>
            <w:left w:val="none" w:sz="0" w:space="0" w:color="auto"/>
            <w:bottom w:val="none" w:sz="0" w:space="0" w:color="auto"/>
            <w:right w:val="none" w:sz="0" w:space="0" w:color="auto"/>
          </w:divBdr>
          <w:divsChild>
            <w:div w:id="906234127">
              <w:marLeft w:val="45"/>
              <w:marRight w:val="45"/>
              <w:marTop w:val="45"/>
              <w:marBottom w:val="45"/>
              <w:divBdr>
                <w:top w:val="none" w:sz="0" w:space="0" w:color="auto"/>
                <w:left w:val="none" w:sz="0" w:space="0" w:color="auto"/>
                <w:bottom w:val="none" w:sz="0" w:space="0" w:color="auto"/>
                <w:right w:val="none" w:sz="0" w:space="0" w:color="auto"/>
              </w:divBdr>
              <w:divsChild>
                <w:div w:id="355813829">
                  <w:marLeft w:val="0"/>
                  <w:marRight w:val="0"/>
                  <w:marTop w:val="0"/>
                  <w:marBottom w:val="0"/>
                  <w:divBdr>
                    <w:top w:val="none" w:sz="0" w:space="0" w:color="auto"/>
                    <w:left w:val="none" w:sz="0" w:space="0" w:color="auto"/>
                    <w:bottom w:val="none" w:sz="0" w:space="0" w:color="auto"/>
                    <w:right w:val="none" w:sz="0" w:space="0" w:color="auto"/>
                  </w:divBdr>
                  <w:divsChild>
                    <w:div w:id="1632007280">
                      <w:marLeft w:val="360"/>
                      <w:marRight w:val="0"/>
                      <w:marTop w:val="0"/>
                      <w:marBottom w:val="0"/>
                      <w:divBdr>
                        <w:top w:val="none" w:sz="0" w:space="0" w:color="auto"/>
                        <w:left w:val="none" w:sz="0" w:space="0" w:color="auto"/>
                        <w:bottom w:val="none" w:sz="0" w:space="0" w:color="auto"/>
                        <w:right w:val="none" w:sz="0" w:space="0" w:color="auto"/>
                      </w:divBdr>
                    </w:div>
                    <w:div w:id="638001218">
                      <w:marLeft w:val="360"/>
                      <w:marRight w:val="0"/>
                      <w:marTop w:val="0"/>
                      <w:marBottom w:val="0"/>
                      <w:divBdr>
                        <w:top w:val="none" w:sz="0" w:space="0" w:color="auto"/>
                        <w:left w:val="none" w:sz="0" w:space="0" w:color="auto"/>
                        <w:bottom w:val="none" w:sz="0" w:space="0" w:color="auto"/>
                        <w:right w:val="none" w:sz="0" w:space="0" w:color="auto"/>
                      </w:divBdr>
                    </w:div>
                    <w:div w:id="408577656">
                      <w:marLeft w:val="360"/>
                      <w:marRight w:val="0"/>
                      <w:marTop w:val="0"/>
                      <w:marBottom w:val="0"/>
                      <w:divBdr>
                        <w:top w:val="none" w:sz="0" w:space="0" w:color="auto"/>
                        <w:left w:val="none" w:sz="0" w:space="0" w:color="auto"/>
                        <w:bottom w:val="none" w:sz="0" w:space="0" w:color="auto"/>
                        <w:right w:val="none" w:sz="0" w:space="0" w:color="auto"/>
                      </w:divBdr>
                    </w:div>
                    <w:div w:id="577204699">
                      <w:marLeft w:val="360"/>
                      <w:marRight w:val="0"/>
                      <w:marTop w:val="0"/>
                      <w:marBottom w:val="0"/>
                      <w:divBdr>
                        <w:top w:val="none" w:sz="0" w:space="0" w:color="auto"/>
                        <w:left w:val="none" w:sz="0" w:space="0" w:color="auto"/>
                        <w:bottom w:val="none" w:sz="0" w:space="0" w:color="auto"/>
                        <w:right w:val="none" w:sz="0" w:space="0" w:color="auto"/>
                      </w:divBdr>
                    </w:div>
                    <w:div w:id="2108966901">
                      <w:marLeft w:val="360"/>
                      <w:marRight w:val="0"/>
                      <w:marTop w:val="0"/>
                      <w:marBottom w:val="0"/>
                      <w:divBdr>
                        <w:top w:val="none" w:sz="0" w:space="0" w:color="auto"/>
                        <w:left w:val="none" w:sz="0" w:space="0" w:color="auto"/>
                        <w:bottom w:val="none" w:sz="0" w:space="0" w:color="auto"/>
                        <w:right w:val="none" w:sz="0" w:space="0" w:color="auto"/>
                      </w:divBdr>
                    </w:div>
                    <w:div w:id="836383616">
                      <w:marLeft w:val="360"/>
                      <w:marRight w:val="0"/>
                      <w:marTop w:val="0"/>
                      <w:marBottom w:val="0"/>
                      <w:divBdr>
                        <w:top w:val="none" w:sz="0" w:space="0" w:color="auto"/>
                        <w:left w:val="none" w:sz="0" w:space="0" w:color="auto"/>
                        <w:bottom w:val="none" w:sz="0" w:space="0" w:color="auto"/>
                        <w:right w:val="none" w:sz="0" w:space="0" w:color="auto"/>
                      </w:divBdr>
                    </w:div>
                    <w:div w:id="11664781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19204">
      <w:bodyDiv w:val="1"/>
      <w:marLeft w:val="0"/>
      <w:marRight w:val="0"/>
      <w:marTop w:val="0"/>
      <w:marBottom w:val="0"/>
      <w:divBdr>
        <w:top w:val="none" w:sz="0" w:space="0" w:color="auto"/>
        <w:left w:val="none" w:sz="0" w:space="0" w:color="auto"/>
        <w:bottom w:val="none" w:sz="0" w:space="0" w:color="auto"/>
        <w:right w:val="none" w:sz="0" w:space="0" w:color="auto"/>
      </w:divBdr>
    </w:div>
    <w:div w:id="313022983">
      <w:bodyDiv w:val="1"/>
      <w:marLeft w:val="0"/>
      <w:marRight w:val="0"/>
      <w:marTop w:val="0"/>
      <w:marBottom w:val="0"/>
      <w:divBdr>
        <w:top w:val="none" w:sz="0" w:space="0" w:color="auto"/>
        <w:left w:val="none" w:sz="0" w:space="0" w:color="auto"/>
        <w:bottom w:val="none" w:sz="0" w:space="0" w:color="auto"/>
        <w:right w:val="none" w:sz="0" w:space="0" w:color="auto"/>
      </w:divBdr>
      <w:divsChild>
        <w:div w:id="170979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669058">
      <w:bodyDiv w:val="1"/>
      <w:marLeft w:val="0"/>
      <w:marRight w:val="0"/>
      <w:marTop w:val="0"/>
      <w:marBottom w:val="0"/>
      <w:divBdr>
        <w:top w:val="none" w:sz="0" w:space="0" w:color="auto"/>
        <w:left w:val="none" w:sz="0" w:space="0" w:color="auto"/>
        <w:bottom w:val="none" w:sz="0" w:space="0" w:color="auto"/>
        <w:right w:val="none" w:sz="0" w:space="0" w:color="auto"/>
      </w:divBdr>
    </w:div>
    <w:div w:id="978337345">
      <w:bodyDiv w:val="1"/>
      <w:marLeft w:val="0"/>
      <w:marRight w:val="0"/>
      <w:marTop w:val="0"/>
      <w:marBottom w:val="0"/>
      <w:divBdr>
        <w:top w:val="none" w:sz="0" w:space="0" w:color="auto"/>
        <w:left w:val="none" w:sz="0" w:space="0" w:color="auto"/>
        <w:bottom w:val="none" w:sz="0" w:space="0" w:color="auto"/>
        <w:right w:val="none" w:sz="0" w:space="0" w:color="auto"/>
      </w:divBdr>
    </w:div>
    <w:div w:id="995301105">
      <w:bodyDiv w:val="1"/>
      <w:marLeft w:val="0"/>
      <w:marRight w:val="0"/>
      <w:marTop w:val="0"/>
      <w:marBottom w:val="0"/>
      <w:divBdr>
        <w:top w:val="none" w:sz="0" w:space="0" w:color="auto"/>
        <w:left w:val="none" w:sz="0" w:space="0" w:color="auto"/>
        <w:bottom w:val="none" w:sz="0" w:space="0" w:color="auto"/>
        <w:right w:val="none" w:sz="0" w:space="0" w:color="auto"/>
      </w:divBdr>
    </w:div>
    <w:div w:id="1040781086">
      <w:bodyDiv w:val="1"/>
      <w:marLeft w:val="0"/>
      <w:marRight w:val="0"/>
      <w:marTop w:val="0"/>
      <w:marBottom w:val="0"/>
      <w:divBdr>
        <w:top w:val="none" w:sz="0" w:space="0" w:color="auto"/>
        <w:left w:val="none" w:sz="0" w:space="0" w:color="auto"/>
        <w:bottom w:val="none" w:sz="0" w:space="0" w:color="auto"/>
        <w:right w:val="none" w:sz="0" w:space="0" w:color="auto"/>
      </w:divBdr>
    </w:div>
    <w:div w:id="1177382411">
      <w:bodyDiv w:val="1"/>
      <w:marLeft w:val="0"/>
      <w:marRight w:val="0"/>
      <w:marTop w:val="0"/>
      <w:marBottom w:val="0"/>
      <w:divBdr>
        <w:top w:val="none" w:sz="0" w:space="0" w:color="auto"/>
        <w:left w:val="none" w:sz="0" w:space="0" w:color="auto"/>
        <w:bottom w:val="none" w:sz="0" w:space="0" w:color="auto"/>
        <w:right w:val="none" w:sz="0" w:space="0" w:color="auto"/>
      </w:divBdr>
    </w:div>
    <w:div w:id="1300377653">
      <w:bodyDiv w:val="1"/>
      <w:marLeft w:val="0"/>
      <w:marRight w:val="0"/>
      <w:marTop w:val="0"/>
      <w:marBottom w:val="0"/>
      <w:divBdr>
        <w:top w:val="none" w:sz="0" w:space="0" w:color="auto"/>
        <w:left w:val="none" w:sz="0" w:space="0" w:color="auto"/>
        <w:bottom w:val="none" w:sz="0" w:space="0" w:color="auto"/>
        <w:right w:val="none" w:sz="0" w:space="0" w:color="auto"/>
      </w:divBdr>
    </w:div>
    <w:div w:id="19307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2420</Words>
  <Characters>13414</Characters>
  <Application>Microsoft Office Word</Application>
  <DocSecurity>0</DocSecurity>
  <Lines>221</Lines>
  <Paragraphs>46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15944</CharactersWithSpaces>
  <SharedDoc>false</SharedDoc>
  <HyperlinkBase> </HyperlinkBase>
  <HLinks>
    <vt:vector size="18" baseType="variant">
      <vt:variant>
        <vt:i4>8126550</vt:i4>
      </vt:variant>
      <vt:variant>
        <vt:i4>3</vt:i4>
      </vt:variant>
      <vt:variant>
        <vt:i4>0</vt:i4>
      </vt:variant>
      <vt:variant>
        <vt:i4>5</vt:i4>
      </vt:variant>
      <vt:variant>
        <vt:lpwstr>mailto:ARINQUIRIES@fcc.gov</vt:lpwstr>
      </vt:variant>
      <vt:variant>
        <vt:lpwstr/>
      </vt:variant>
      <vt:variant>
        <vt:i4>3276871</vt:i4>
      </vt:variant>
      <vt:variant>
        <vt:i4>0</vt:i4>
      </vt:variant>
      <vt:variant>
        <vt:i4>0</vt:i4>
      </vt:variant>
      <vt:variant>
        <vt:i4>5</vt:i4>
      </vt:variant>
      <vt:variant>
        <vt:lpwstr>mailto:WR-Response@fcc.gov</vt:lpwstr>
      </vt:variant>
      <vt:variant>
        <vt:lpwstr/>
      </vt:variant>
      <vt:variant>
        <vt:i4>7536763</vt:i4>
      </vt:variant>
      <vt:variant>
        <vt:i4>0</vt:i4>
      </vt:variant>
      <vt:variant>
        <vt:i4>0</vt:i4>
      </vt:variant>
      <vt:variant>
        <vt:i4>5</vt:i4>
      </vt:variant>
      <vt:variant>
        <vt:lpwstr>http://www.fcc.gov/encyclopedia/weather-radar-interference-enforcement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2013-05-21T21:40:00Z</cp:lastPrinted>
  <dcterms:created xsi:type="dcterms:W3CDTF">2014-02-21T03:08:00Z</dcterms:created>
  <dcterms:modified xsi:type="dcterms:W3CDTF">2014-02-21T03:08:00Z</dcterms:modified>
  <cp:category> </cp:category>
  <cp:contentStatus> </cp:contentStatus>
</cp:coreProperties>
</file>