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68" w:rsidRDefault="00C72965" w:rsidP="004B6A57">
      <w:pPr>
        <w:suppressAutoHyphens/>
        <w:rPr>
          <w:sz w:val="22"/>
          <w:szCs w:val="22"/>
        </w:rPr>
      </w:pPr>
      <w:bookmarkStart w:id="0" w:name="_GoBack"/>
      <w:bookmarkEnd w:id="0"/>
      <w:r>
        <w:rPr>
          <w:sz w:val="22"/>
          <w:szCs w:val="22"/>
        </w:rPr>
        <w:t>Lewis J. Paper, Esq.</w:t>
      </w:r>
    </w:p>
    <w:p w:rsidR="00C72965" w:rsidRDefault="00C72965" w:rsidP="004B6A57">
      <w:pPr>
        <w:suppressAutoHyphens/>
        <w:rPr>
          <w:sz w:val="22"/>
          <w:szCs w:val="22"/>
        </w:rPr>
      </w:pPr>
      <w:r>
        <w:rPr>
          <w:sz w:val="22"/>
          <w:szCs w:val="22"/>
        </w:rPr>
        <w:t>Pillsbury Winthrop Shaw Pittman LLP</w:t>
      </w:r>
    </w:p>
    <w:p w:rsidR="00C72965" w:rsidRDefault="00C72965" w:rsidP="004B6A57">
      <w:pPr>
        <w:suppressAutoHyphens/>
        <w:rPr>
          <w:sz w:val="22"/>
          <w:szCs w:val="22"/>
        </w:rPr>
      </w:pPr>
      <w:r>
        <w:rPr>
          <w:sz w:val="22"/>
          <w:szCs w:val="22"/>
        </w:rPr>
        <w:t>2300 N Street, N.W.</w:t>
      </w:r>
    </w:p>
    <w:p w:rsidR="00C72965" w:rsidRDefault="00C72965" w:rsidP="004B6A57">
      <w:pPr>
        <w:suppressAutoHyphens/>
        <w:rPr>
          <w:sz w:val="22"/>
          <w:szCs w:val="22"/>
        </w:rPr>
      </w:pPr>
      <w:r>
        <w:rPr>
          <w:sz w:val="22"/>
          <w:szCs w:val="22"/>
        </w:rPr>
        <w:t>Washington</w:t>
      </w:r>
      <w:r w:rsidR="004E4188">
        <w:rPr>
          <w:sz w:val="22"/>
          <w:szCs w:val="22"/>
        </w:rPr>
        <w:t>,</w:t>
      </w:r>
      <w:r>
        <w:rPr>
          <w:sz w:val="22"/>
          <w:szCs w:val="22"/>
        </w:rPr>
        <w:t xml:space="preserve"> DC 20037-1122</w:t>
      </w:r>
    </w:p>
    <w:p w:rsidR="00C72965" w:rsidRDefault="00C72965" w:rsidP="004B6A57">
      <w:pPr>
        <w:suppressAutoHyphens/>
        <w:rPr>
          <w:sz w:val="22"/>
          <w:szCs w:val="22"/>
        </w:rPr>
      </w:pPr>
    </w:p>
    <w:p w:rsidR="00557C0E" w:rsidRDefault="00557C0E" w:rsidP="004B6A57">
      <w:pPr>
        <w:suppressAutoHyphens/>
        <w:rPr>
          <w:sz w:val="22"/>
          <w:szCs w:val="22"/>
        </w:rPr>
      </w:pPr>
      <w:r>
        <w:rPr>
          <w:sz w:val="22"/>
          <w:szCs w:val="22"/>
        </w:rPr>
        <w:t>Anne Goodwin Crump, Esq.</w:t>
      </w:r>
    </w:p>
    <w:p w:rsidR="00557C0E" w:rsidRDefault="00557C0E" w:rsidP="004B6A57">
      <w:pPr>
        <w:suppressAutoHyphens/>
        <w:rPr>
          <w:sz w:val="22"/>
          <w:szCs w:val="22"/>
        </w:rPr>
      </w:pPr>
      <w:r>
        <w:rPr>
          <w:sz w:val="22"/>
          <w:szCs w:val="22"/>
        </w:rPr>
        <w:t>Fletcher, Heald &amp; Hildreth, PLC</w:t>
      </w:r>
    </w:p>
    <w:p w:rsidR="00557C0E" w:rsidRDefault="00557C0E" w:rsidP="004B6A57">
      <w:pPr>
        <w:suppressAutoHyphens/>
        <w:rPr>
          <w:sz w:val="22"/>
          <w:szCs w:val="22"/>
        </w:rPr>
      </w:pPr>
      <w:r>
        <w:rPr>
          <w:sz w:val="22"/>
          <w:szCs w:val="22"/>
        </w:rPr>
        <w:t>1300 North 17</w:t>
      </w:r>
      <w:r w:rsidRPr="00557C0E">
        <w:rPr>
          <w:sz w:val="22"/>
          <w:szCs w:val="22"/>
          <w:vertAlign w:val="superscript"/>
        </w:rPr>
        <w:t>th</w:t>
      </w:r>
      <w:r>
        <w:rPr>
          <w:sz w:val="22"/>
          <w:szCs w:val="22"/>
        </w:rPr>
        <w:t xml:space="preserve"> St., 11</w:t>
      </w:r>
      <w:r w:rsidRPr="00557C0E">
        <w:rPr>
          <w:sz w:val="22"/>
          <w:szCs w:val="22"/>
          <w:vertAlign w:val="superscript"/>
        </w:rPr>
        <w:t>th</w:t>
      </w:r>
      <w:r>
        <w:rPr>
          <w:sz w:val="22"/>
          <w:szCs w:val="22"/>
        </w:rPr>
        <w:t xml:space="preserve"> Floor</w:t>
      </w:r>
    </w:p>
    <w:p w:rsidR="00557C0E" w:rsidRDefault="00557C0E" w:rsidP="004B6A57">
      <w:pPr>
        <w:suppressAutoHyphens/>
        <w:rPr>
          <w:sz w:val="22"/>
          <w:szCs w:val="22"/>
        </w:rPr>
      </w:pPr>
      <w:r>
        <w:rPr>
          <w:sz w:val="22"/>
          <w:szCs w:val="22"/>
        </w:rPr>
        <w:t>Arlington, VA 22209</w:t>
      </w:r>
    </w:p>
    <w:p w:rsidR="00557C0E" w:rsidRDefault="00557C0E" w:rsidP="004B6A57">
      <w:pPr>
        <w:suppressAutoHyphens/>
        <w:rPr>
          <w:sz w:val="22"/>
          <w:szCs w:val="22"/>
        </w:rPr>
      </w:pPr>
    </w:p>
    <w:p w:rsidR="00C72965" w:rsidRDefault="00C72965" w:rsidP="004B6A57">
      <w:pPr>
        <w:suppressAutoHyphens/>
        <w:rPr>
          <w:sz w:val="22"/>
          <w:szCs w:val="22"/>
        </w:rPr>
      </w:pPr>
      <w:r>
        <w:rPr>
          <w:sz w:val="22"/>
          <w:szCs w:val="22"/>
        </w:rPr>
        <w:t>Larry Perry, Esq.</w:t>
      </w:r>
    </w:p>
    <w:p w:rsidR="00C72965" w:rsidRDefault="00C72965" w:rsidP="004B6A57">
      <w:pPr>
        <w:suppressAutoHyphens/>
        <w:rPr>
          <w:sz w:val="22"/>
          <w:szCs w:val="22"/>
        </w:rPr>
      </w:pPr>
      <w:r>
        <w:rPr>
          <w:sz w:val="22"/>
          <w:szCs w:val="22"/>
        </w:rPr>
        <w:t>11464 Saga Lane</w:t>
      </w:r>
      <w:r w:rsidR="0072157A">
        <w:rPr>
          <w:sz w:val="22"/>
          <w:szCs w:val="22"/>
        </w:rPr>
        <w:t xml:space="preserve">, </w:t>
      </w:r>
      <w:r>
        <w:rPr>
          <w:sz w:val="22"/>
          <w:szCs w:val="22"/>
        </w:rPr>
        <w:t>Suite 400</w:t>
      </w:r>
    </w:p>
    <w:p w:rsidR="00BB6024" w:rsidRDefault="00C72965" w:rsidP="00BB6024">
      <w:pPr>
        <w:suppressAutoHyphens/>
        <w:rPr>
          <w:sz w:val="22"/>
          <w:szCs w:val="22"/>
        </w:rPr>
      </w:pPr>
      <w:r>
        <w:rPr>
          <w:sz w:val="22"/>
          <w:szCs w:val="22"/>
        </w:rPr>
        <w:t>Knoxville</w:t>
      </w:r>
      <w:r w:rsidR="004E4188">
        <w:rPr>
          <w:sz w:val="22"/>
          <w:szCs w:val="22"/>
        </w:rPr>
        <w:t>,</w:t>
      </w:r>
      <w:r>
        <w:rPr>
          <w:sz w:val="22"/>
          <w:szCs w:val="22"/>
        </w:rPr>
        <w:t xml:space="preserve"> TN 37931-2819</w:t>
      </w:r>
    </w:p>
    <w:p w:rsidR="00CA1D8D" w:rsidRPr="00874AF0" w:rsidRDefault="000F131F">
      <w:pPr>
        <w:rPr>
          <w:b/>
          <w:sz w:val="22"/>
          <w:szCs w:val="22"/>
        </w:rPr>
      </w:pPr>
      <w:r>
        <w:rPr>
          <w:sz w:val="24"/>
          <w:szCs w:val="24"/>
        </w:rPr>
        <w:tab/>
      </w:r>
      <w:r w:rsidR="00CA1D8D">
        <w:rPr>
          <w:sz w:val="24"/>
          <w:szCs w:val="24"/>
        </w:rPr>
        <w:tab/>
      </w:r>
      <w:r w:rsidR="00CA1D8D">
        <w:rPr>
          <w:sz w:val="24"/>
          <w:szCs w:val="24"/>
        </w:rPr>
        <w:tab/>
      </w:r>
      <w:r w:rsidR="00CA1D8D">
        <w:rPr>
          <w:sz w:val="24"/>
          <w:szCs w:val="24"/>
        </w:rPr>
        <w:tab/>
      </w:r>
      <w:r w:rsidR="00CA1D8D">
        <w:rPr>
          <w:sz w:val="24"/>
          <w:szCs w:val="24"/>
        </w:rPr>
        <w:tab/>
      </w:r>
      <w:r w:rsidR="00CA1D8D">
        <w:rPr>
          <w:sz w:val="24"/>
          <w:szCs w:val="24"/>
        </w:rPr>
        <w:tab/>
      </w:r>
      <w:r w:rsidR="00CA1D8D">
        <w:rPr>
          <w:sz w:val="24"/>
          <w:szCs w:val="24"/>
        </w:rPr>
        <w:tab/>
      </w:r>
      <w:r w:rsidR="00CA1D8D" w:rsidRPr="00874AF0">
        <w:rPr>
          <w:sz w:val="22"/>
          <w:szCs w:val="22"/>
        </w:rPr>
        <w:t>In re:</w:t>
      </w:r>
      <w:r w:rsidR="00CA1D8D" w:rsidRPr="00874AF0">
        <w:rPr>
          <w:sz w:val="22"/>
          <w:szCs w:val="22"/>
        </w:rPr>
        <w:tab/>
      </w:r>
      <w:r w:rsidR="00557C0E">
        <w:rPr>
          <w:b/>
          <w:sz w:val="22"/>
          <w:szCs w:val="22"/>
        </w:rPr>
        <w:t>DK</w:t>
      </w:r>
      <w:r w:rsidR="00C72965">
        <w:rPr>
          <w:b/>
          <w:sz w:val="22"/>
          <w:szCs w:val="22"/>
        </w:rPr>
        <w:t>TDK(FM), Sanger, TX</w:t>
      </w:r>
    </w:p>
    <w:p w:rsidR="00CA1D8D" w:rsidRPr="00874AF0" w:rsidRDefault="00CA1D8D">
      <w:pPr>
        <w:rPr>
          <w:sz w:val="22"/>
          <w:szCs w:val="22"/>
        </w:rPr>
      </w:pP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874AF0">
        <w:rPr>
          <w:sz w:val="22"/>
          <w:szCs w:val="22"/>
        </w:rPr>
        <w:t xml:space="preserve">Facility ID No. </w:t>
      </w:r>
      <w:r w:rsidR="00C72965">
        <w:rPr>
          <w:sz w:val="22"/>
          <w:szCs w:val="22"/>
        </w:rPr>
        <w:t>26146</w:t>
      </w:r>
    </w:p>
    <w:p w:rsidR="00CA1D8D" w:rsidRDefault="00CA1D8D">
      <w:pPr>
        <w:rPr>
          <w:sz w:val="22"/>
          <w:szCs w:val="22"/>
        </w:rPr>
      </w:pP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sz w:val="22"/>
          <w:szCs w:val="22"/>
        </w:rPr>
        <w:t>File No. B</w:t>
      </w:r>
      <w:r w:rsidR="00EB1F7C">
        <w:rPr>
          <w:sz w:val="22"/>
          <w:szCs w:val="22"/>
        </w:rPr>
        <w:t>AL</w:t>
      </w:r>
      <w:r w:rsidR="00140E66">
        <w:rPr>
          <w:sz w:val="22"/>
          <w:szCs w:val="22"/>
        </w:rPr>
        <w:t>H</w:t>
      </w:r>
      <w:r w:rsidR="00EB1F7C">
        <w:rPr>
          <w:sz w:val="22"/>
          <w:szCs w:val="22"/>
        </w:rPr>
        <w:t>-20</w:t>
      </w:r>
      <w:r w:rsidR="00C72965">
        <w:rPr>
          <w:sz w:val="22"/>
          <w:szCs w:val="22"/>
        </w:rPr>
        <w:t>130701ADA</w:t>
      </w:r>
    </w:p>
    <w:p w:rsidR="00557C0E" w:rsidRPr="00557C0E" w:rsidRDefault="00557C0E" w:rsidP="00AA31FA">
      <w:pPr>
        <w:ind w:left="5760"/>
        <w:rPr>
          <w:sz w:val="22"/>
          <w:szCs w:val="22"/>
        </w:rPr>
      </w:pPr>
      <w:r w:rsidRPr="00557C0E">
        <w:rPr>
          <w:sz w:val="22"/>
          <w:szCs w:val="22"/>
        </w:rPr>
        <w:t>File No. BLH-20050309AAI</w:t>
      </w:r>
    </w:p>
    <w:p w:rsidR="00557C0E" w:rsidRDefault="00557C0E" w:rsidP="00AA31FA">
      <w:pPr>
        <w:ind w:left="5760"/>
        <w:rPr>
          <w:b/>
          <w:sz w:val="22"/>
          <w:szCs w:val="22"/>
        </w:rPr>
      </w:pPr>
    </w:p>
    <w:p w:rsidR="00CA1D8D" w:rsidRDefault="00CA1D8D" w:rsidP="00AA31FA">
      <w:pPr>
        <w:ind w:left="5760"/>
        <w:rPr>
          <w:b/>
          <w:sz w:val="22"/>
          <w:szCs w:val="22"/>
        </w:rPr>
      </w:pPr>
      <w:r w:rsidRPr="00D658D7">
        <w:rPr>
          <w:b/>
          <w:sz w:val="22"/>
          <w:szCs w:val="22"/>
        </w:rPr>
        <w:t>Application</w:t>
      </w:r>
      <w:r w:rsidR="00CA3B3F">
        <w:rPr>
          <w:b/>
          <w:sz w:val="22"/>
          <w:szCs w:val="22"/>
        </w:rPr>
        <w:t xml:space="preserve"> for </w:t>
      </w:r>
      <w:r w:rsidR="00EB1F7C" w:rsidRPr="00D658D7">
        <w:rPr>
          <w:b/>
          <w:sz w:val="22"/>
          <w:szCs w:val="22"/>
        </w:rPr>
        <w:t>Assignment</w:t>
      </w:r>
      <w:r w:rsidRPr="00D658D7">
        <w:rPr>
          <w:b/>
          <w:sz w:val="22"/>
          <w:szCs w:val="22"/>
        </w:rPr>
        <w:t xml:space="preserve"> of</w:t>
      </w:r>
      <w:r w:rsidR="00047555">
        <w:rPr>
          <w:b/>
          <w:sz w:val="22"/>
          <w:szCs w:val="22"/>
        </w:rPr>
        <w:t xml:space="preserve"> </w:t>
      </w:r>
      <w:r w:rsidRPr="00D658D7">
        <w:rPr>
          <w:b/>
          <w:sz w:val="22"/>
          <w:szCs w:val="22"/>
        </w:rPr>
        <w:t>License</w:t>
      </w:r>
    </w:p>
    <w:p w:rsidR="00E4671A" w:rsidRDefault="00E4671A" w:rsidP="00AA31FA">
      <w:pPr>
        <w:ind w:left="5760"/>
        <w:rPr>
          <w:b/>
          <w:sz w:val="22"/>
          <w:szCs w:val="22"/>
        </w:rPr>
      </w:pPr>
    </w:p>
    <w:p w:rsidR="005214C7" w:rsidRDefault="005214C7" w:rsidP="00AA31FA">
      <w:pPr>
        <w:ind w:left="5760"/>
        <w:rPr>
          <w:b/>
          <w:sz w:val="22"/>
          <w:szCs w:val="22"/>
        </w:rPr>
      </w:pPr>
      <w:r>
        <w:rPr>
          <w:b/>
          <w:sz w:val="22"/>
          <w:szCs w:val="22"/>
        </w:rPr>
        <w:t>Cancellation of License</w:t>
      </w:r>
    </w:p>
    <w:p w:rsidR="00E4671A" w:rsidRDefault="00E4671A" w:rsidP="00AA31FA">
      <w:pPr>
        <w:ind w:left="5760"/>
        <w:rPr>
          <w:b/>
          <w:sz w:val="22"/>
          <w:szCs w:val="22"/>
        </w:rPr>
      </w:pPr>
    </w:p>
    <w:p w:rsidR="00557C0E" w:rsidRDefault="00557C0E" w:rsidP="00AA31FA">
      <w:pPr>
        <w:ind w:left="5760"/>
        <w:rPr>
          <w:sz w:val="24"/>
          <w:szCs w:val="24"/>
        </w:rPr>
      </w:pPr>
      <w:r>
        <w:rPr>
          <w:b/>
          <w:sz w:val="22"/>
          <w:szCs w:val="22"/>
        </w:rPr>
        <w:t>Petitions for Reconsideration</w:t>
      </w:r>
      <w:r>
        <w:rPr>
          <w:b/>
          <w:sz w:val="22"/>
          <w:szCs w:val="22"/>
        </w:rPr>
        <w:tab/>
      </w:r>
      <w:r>
        <w:rPr>
          <w:b/>
          <w:sz w:val="22"/>
          <w:szCs w:val="22"/>
        </w:rPr>
        <w:tab/>
      </w:r>
    </w:p>
    <w:p w:rsidR="00E00065" w:rsidRDefault="00E00065" w:rsidP="00813DB0">
      <w:pPr>
        <w:rPr>
          <w:sz w:val="22"/>
          <w:szCs w:val="22"/>
        </w:rPr>
      </w:pPr>
    </w:p>
    <w:p w:rsidR="00813DB0" w:rsidRDefault="00CA1D8D" w:rsidP="00813DB0">
      <w:pPr>
        <w:rPr>
          <w:sz w:val="22"/>
          <w:szCs w:val="22"/>
        </w:rPr>
      </w:pPr>
      <w:r w:rsidRPr="0026122F">
        <w:rPr>
          <w:sz w:val="22"/>
          <w:szCs w:val="22"/>
        </w:rPr>
        <w:t xml:space="preserve">Dear </w:t>
      </w:r>
      <w:r w:rsidR="00872E50">
        <w:rPr>
          <w:sz w:val="22"/>
          <w:szCs w:val="22"/>
        </w:rPr>
        <w:t>Counsel</w:t>
      </w:r>
      <w:r w:rsidR="00047555">
        <w:rPr>
          <w:sz w:val="22"/>
          <w:szCs w:val="22"/>
        </w:rPr>
        <w:t>:</w:t>
      </w:r>
    </w:p>
    <w:p w:rsidR="00F52AC6" w:rsidRDefault="00F52AC6">
      <w:pPr>
        <w:rPr>
          <w:sz w:val="22"/>
          <w:szCs w:val="22"/>
        </w:rPr>
      </w:pPr>
    </w:p>
    <w:p w:rsidR="005A7DEE" w:rsidRDefault="000F131F" w:rsidP="00FC7085">
      <w:pPr>
        <w:tabs>
          <w:tab w:val="left" w:pos="2610"/>
        </w:tabs>
        <w:ind w:right="-360" w:firstLine="720"/>
        <w:rPr>
          <w:sz w:val="22"/>
          <w:szCs w:val="22"/>
        </w:rPr>
      </w:pPr>
      <w:r w:rsidRPr="000F131F">
        <w:rPr>
          <w:sz w:val="22"/>
          <w:szCs w:val="22"/>
        </w:rPr>
        <w:t>We have before us a</w:t>
      </w:r>
      <w:r>
        <w:rPr>
          <w:sz w:val="22"/>
          <w:szCs w:val="22"/>
        </w:rPr>
        <w:t xml:space="preserve">n October 21, 2013, </w:t>
      </w:r>
      <w:r w:rsidRPr="000F131F">
        <w:rPr>
          <w:sz w:val="22"/>
          <w:szCs w:val="22"/>
        </w:rPr>
        <w:t>Petition for Reconsideration (“</w:t>
      </w:r>
      <w:r w:rsidR="003407DA">
        <w:rPr>
          <w:sz w:val="22"/>
          <w:szCs w:val="22"/>
        </w:rPr>
        <w:t xml:space="preserve">Assignment </w:t>
      </w:r>
      <w:r w:rsidRPr="000F131F">
        <w:rPr>
          <w:sz w:val="22"/>
          <w:szCs w:val="22"/>
        </w:rPr>
        <w:t>Petition”)</w:t>
      </w:r>
      <w:r w:rsidRPr="000F131F">
        <w:rPr>
          <w:sz w:val="22"/>
          <w:szCs w:val="22"/>
          <w:vertAlign w:val="superscript"/>
        </w:rPr>
        <w:footnoteReference w:id="2"/>
      </w:r>
      <w:r w:rsidRPr="000F131F">
        <w:rPr>
          <w:sz w:val="22"/>
          <w:szCs w:val="22"/>
        </w:rPr>
        <w:t xml:space="preserve"> </w:t>
      </w:r>
      <w:r w:rsidR="00680BC6">
        <w:rPr>
          <w:sz w:val="22"/>
          <w:szCs w:val="22"/>
        </w:rPr>
        <w:t xml:space="preserve">jointly </w:t>
      </w:r>
      <w:r w:rsidRPr="000F131F">
        <w:rPr>
          <w:sz w:val="22"/>
          <w:szCs w:val="22"/>
        </w:rPr>
        <w:t xml:space="preserve">filed by </w:t>
      </w:r>
      <w:r>
        <w:rPr>
          <w:sz w:val="22"/>
          <w:szCs w:val="22"/>
        </w:rPr>
        <w:t>Whitley Media, LLC (“Whitley”) and North Texas Radio Group, L.P. (“North Texas”)</w:t>
      </w:r>
      <w:r w:rsidRPr="000F131F">
        <w:rPr>
          <w:sz w:val="22"/>
          <w:szCs w:val="22"/>
        </w:rPr>
        <w:t xml:space="preserve"> </w:t>
      </w:r>
      <w:r>
        <w:rPr>
          <w:sz w:val="22"/>
          <w:szCs w:val="22"/>
        </w:rPr>
        <w:t xml:space="preserve">seeking </w:t>
      </w:r>
      <w:r w:rsidRPr="000F131F">
        <w:rPr>
          <w:sz w:val="22"/>
          <w:szCs w:val="22"/>
        </w:rPr>
        <w:t xml:space="preserve">reconsideration of a </w:t>
      </w:r>
      <w:r>
        <w:rPr>
          <w:sz w:val="22"/>
          <w:szCs w:val="22"/>
        </w:rPr>
        <w:t>September 19, 2013</w:t>
      </w:r>
      <w:r w:rsidRPr="000F131F">
        <w:rPr>
          <w:sz w:val="22"/>
          <w:szCs w:val="22"/>
        </w:rPr>
        <w:t>, staff decision</w:t>
      </w:r>
      <w:r w:rsidR="000D6744">
        <w:rPr>
          <w:rStyle w:val="FootnoteReference"/>
          <w:sz w:val="22"/>
          <w:szCs w:val="22"/>
        </w:rPr>
        <w:footnoteReference w:id="3"/>
      </w:r>
      <w:r w:rsidR="000D6744">
        <w:rPr>
          <w:sz w:val="22"/>
          <w:szCs w:val="22"/>
        </w:rPr>
        <w:t xml:space="preserve"> </w:t>
      </w:r>
      <w:r w:rsidRPr="000D6744">
        <w:rPr>
          <w:sz w:val="22"/>
          <w:szCs w:val="22"/>
        </w:rPr>
        <w:t>dismissing</w:t>
      </w:r>
      <w:r w:rsidR="00F52AC6" w:rsidRPr="00E25D16">
        <w:rPr>
          <w:sz w:val="22"/>
          <w:szCs w:val="22"/>
        </w:rPr>
        <w:t xml:space="preserve"> the </w:t>
      </w:r>
      <w:r>
        <w:rPr>
          <w:sz w:val="22"/>
          <w:szCs w:val="22"/>
        </w:rPr>
        <w:t>referenced</w:t>
      </w:r>
      <w:r w:rsidR="00F52AC6" w:rsidRPr="00E25D16">
        <w:rPr>
          <w:sz w:val="22"/>
          <w:szCs w:val="22"/>
        </w:rPr>
        <w:t xml:space="preserve"> application</w:t>
      </w:r>
      <w:r w:rsidR="00C72965">
        <w:rPr>
          <w:sz w:val="22"/>
          <w:szCs w:val="22"/>
        </w:rPr>
        <w:t xml:space="preserve"> (“Assignment Application”)</w:t>
      </w:r>
      <w:r w:rsidR="00F52AC6" w:rsidRPr="00E25D16">
        <w:rPr>
          <w:sz w:val="22"/>
          <w:szCs w:val="22"/>
        </w:rPr>
        <w:t xml:space="preserve"> </w:t>
      </w:r>
      <w:r w:rsidR="009B0BFC">
        <w:rPr>
          <w:sz w:val="22"/>
          <w:szCs w:val="22"/>
        </w:rPr>
        <w:t>which sought</w:t>
      </w:r>
      <w:r w:rsidR="006E5A44">
        <w:rPr>
          <w:sz w:val="22"/>
          <w:szCs w:val="22"/>
        </w:rPr>
        <w:t xml:space="preserve"> approval for</w:t>
      </w:r>
      <w:r w:rsidR="00B04733">
        <w:rPr>
          <w:sz w:val="22"/>
          <w:szCs w:val="22"/>
        </w:rPr>
        <w:t xml:space="preserve"> </w:t>
      </w:r>
      <w:r w:rsidR="00C72965">
        <w:rPr>
          <w:sz w:val="22"/>
          <w:szCs w:val="22"/>
        </w:rPr>
        <w:t>a</w:t>
      </w:r>
      <w:r w:rsidR="006E5A44">
        <w:rPr>
          <w:sz w:val="22"/>
          <w:szCs w:val="22"/>
        </w:rPr>
        <w:t xml:space="preserve"> proposed assignment of </w:t>
      </w:r>
      <w:r w:rsidR="00F52AC6" w:rsidRPr="00E25D16">
        <w:rPr>
          <w:sz w:val="22"/>
          <w:szCs w:val="22"/>
        </w:rPr>
        <w:t xml:space="preserve">license </w:t>
      </w:r>
      <w:r w:rsidR="006E5A44">
        <w:rPr>
          <w:sz w:val="22"/>
          <w:szCs w:val="22"/>
        </w:rPr>
        <w:t>for</w:t>
      </w:r>
      <w:r w:rsidR="00C72965">
        <w:rPr>
          <w:sz w:val="22"/>
          <w:szCs w:val="22"/>
        </w:rPr>
        <w:t xml:space="preserve"> Station KTDK(FM), Sanger, T</w:t>
      </w:r>
      <w:r w:rsidR="008D2C2F">
        <w:rPr>
          <w:sz w:val="22"/>
          <w:szCs w:val="22"/>
        </w:rPr>
        <w:t>exas</w:t>
      </w:r>
      <w:r w:rsidR="00C72965">
        <w:rPr>
          <w:sz w:val="22"/>
          <w:szCs w:val="22"/>
        </w:rPr>
        <w:t xml:space="preserve"> (“Station”) from Susquehanna Radio Corp.</w:t>
      </w:r>
      <w:r w:rsidR="00716289">
        <w:rPr>
          <w:sz w:val="22"/>
          <w:szCs w:val="22"/>
        </w:rPr>
        <w:t>, a subsidiary of Cumulus Media, Inc.</w:t>
      </w:r>
      <w:r w:rsidR="00C72965">
        <w:rPr>
          <w:sz w:val="22"/>
          <w:szCs w:val="22"/>
        </w:rPr>
        <w:t xml:space="preserve"> (</w:t>
      </w:r>
      <w:r w:rsidR="008A1DAA">
        <w:rPr>
          <w:sz w:val="22"/>
          <w:szCs w:val="22"/>
        </w:rPr>
        <w:t xml:space="preserve">“Susquehanna” or </w:t>
      </w:r>
      <w:r w:rsidR="00C72965">
        <w:rPr>
          <w:sz w:val="22"/>
          <w:szCs w:val="22"/>
        </w:rPr>
        <w:t>“Cumulus”)</w:t>
      </w:r>
      <w:r w:rsidR="00716289">
        <w:rPr>
          <w:sz w:val="22"/>
          <w:szCs w:val="22"/>
        </w:rPr>
        <w:t>, to Whitley.</w:t>
      </w:r>
      <w:r w:rsidR="00F02B9F">
        <w:rPr>
          <w:sz w:val="22"/>
          <w:szCs w:val="22"/>
        </w:rPr>
        <w:t xml:space="preserve">  </w:t>
      </w:r>
      <w:r w:rsidR="000D6744">
        <w:rPr>
          <w:sz w:val="22"/>
          <w:szCs w:val="22"/>
        </w:rPr>
        <w:t>We also have before us a November 22, 2013, Petition for Reconsideration (“License Petition”)</w:t>
      </w:r>
      <w:r w:rsidR="000D6744">
        <w:rPr>
          <w:rStyle w:val="FootnoteReference"/>
          <w:sz w:val="22"/>
          <w:szCs w:val="22"/>
        </w:rPr>
        <w:footnoteReference w:id="4"/>
      </w:r>
      <w:r w:rsidR="0008408F">
        <w:rPr>
          <w:sz w:val="22"/>
          <w:szCs w:val="22"/>
        </w:rPr>
        <w:t xml:space="preserve"> </w:t>
      </w:r>
      <w:r w:rsidR="000D6744">
        <w:rPr>
          <w:sz w:val="22"/>
          <w:szCs w:val="22"/>
        </w:rPr>
        <w:t xml:space="preserve">filed by Whitley and North Texas seeking reconsideration of the </w:t>
      </w:r>
      <w:r w:rsidR="00ED42F2">
        <w:rPr>
          <w:sz w:val="22"/>
          <w:szCs w:val="22"/>
        </w:rPr>
        <w:t>staff’s</w:t>
      </w:r>
      <w:r w:rsidR="000D6744">
        <w:rPr>
          <w:sz w:val="22"/>
          <w:szCs w:val="22"/>
        </w:rPr>
        <w:t xml:space="preserve"> </w:t>
      </w:r>
      <w:r w:rsidR="00E92040">
        <w:rPr>
          <w:sz w:val="22"/>
          <w:szCs w:val="22"/>
        </w:rPr>
        <w:t xml:space="preserve">October </w:t>
      </w:r>
      <w:r w:rsidR="000A64E6">
        <w:rPr>
          <w:sz w:val="22"/>
          <w:szCs w:val="22"/>
        </w:rPr>
        <w:t>18</w:t>
      </w:r>
      <w:r w:rsidR="00E92040">
        <w:rPr>
          <w:sz w:val="22"/>
          <w:szCs w:val="22"/>
        </w:rPr>
        <w:t xml:space="preserve">, </w:t>
      </w:r>
      <w:r w:rsidR="00E92040">
        <w:rPr>
          <w:sz w:val="22"/>
          <w:szCs w:val="22"/>
        </w:rPr>
        <w:lastRenderedPageBreak/>
        <w:t xml:space="preserve">2013, </w:t>
      </w:r>
      <w:r w:rsidR="00ED42F2">
        <w:rPr>
          <w:sz w:val="22"/>
          <w:szCs w:val="22"/>
        </w:rPr>
        <w:t xml:space="preserve">cancellation </w:t>
      </w:r>
      <w:r w:rsidR="00E92040">
        <w:rPr>
          <w:sz w:val="22"/>
          <w:szCs w:val="22"/>
        </w:rPr>
        <w:t xml:space="preserve">of the </w:t>
      </w:r>
      <w:r w:rsidR="00ED42F2">
        <w:rPr>
          <w:sz w:val="22"/>
          <w:szCs w:val="22"/>
        </w:rPr>
        <w:t>Station’s license</w:t>
      </w:r>
      <w:r w:rsidR="00E92040">
        <w:rPr>
          <w:sz w:val="22"/>
          <w:szCs w:val="22"/>
        </w:rPr>
        <w:t xml:space="preserve">, per </w:t>
      </w:r>
      <w:r w:rsidR="00000D45">
        <w:rPr>
          <w:sz w:val="22"/>
          <w:szCs w:val="22"/>
        </w:rPr>
        <w:t>licensee</w:t>
      </w:r>
      <w:r w:rsidR="007123A2">
        <w:rPr>
          <w:sz w:val="22"/>
          <w:szCs w:val="22"/>
        </w:rPr>
        <w:t xml:space="preserve"> Cumulus’</w:t>
      </w:r>
      <w:r w:rsidR="00000D45">
        <w:rPr>
          <w:sz w:val="22"/>
          <w:szCs w:val="22"/>
        </w:rPr>
        <w:t xml:space="preserve"> r</w:t>
      </w:r>
      <w:r w:rsidR="00E92040">
        <w:rPr>
          <w:sz w:val="22"/>
          <w:szCs w:val="22"/>
        </w:rPr>
        <w:t>equest.</w:t>
      </w:r>
      <w:r w:rsidR="00E92040">
        <w:rPr>
          <w:rStyle w:val="FootnoteReference"/>
          <w:sz w:val="22"/>
          <w:szCs w:val="22"/>
        </w:rPr>
        <w:footnoteReference w:id="5"/>
      </w:r>
      <w:r w:rsidR="00ED42F2">
        <w:rPr>
          <w:sz w:val="22"/>
          <w:szCs w:val="22"/>
        </w:rPr>
        <w:t xml:space="preserve">  </w:t>
      </w:r>
      <w:r w:rsidR="002E10FA">
        <w:rPr>
          <w:sz w:val="22"/>
          <w:szCs w:val="22"/>
        </w:rPr>
        <w:t>F</w:t>
      </w:r>
      <w:r w:rsidR="00F52AC6" w:rsidRPr="00E25D16">
        <w:rPr>
          <w:sz w:val="22"/>
          <w:szCs w:val="22"/>
        </w:rPr>
        <w:t>or th</w:t>
      </w:r>
      <w:r w:rsidR="00664C4B">
        <w:rPr>
          <w:sz w:val="22"/>
          <w:szCs w:val="22"/>
        </w:rPr>
        <w:t>e</w:t>
      </w:r>
      <w:r w:rsidR="00F52AC6" w:rsidRPr="00E25D16">
        <w:rPr>
          <w:sz w:val="22"/>
          <w:szCs w:val="22"/>
        </w:rPr>
        <w:t xml:space="preserve"> reasons stated below, </w:t>
      </w:r>
      <w:r w:rsidR="008D2C2F">
        <w:rPr>
          <w:sz w:val="22"/>
          <w:szCs w:val="22"/>
        </w:rPr>
        <w:t>w</w:t>
      </w:r>
      <w:r w:rsidR="00F52AC6" w:rsidRPr="00E25D16">
        <w:rPr>
          <w:sz w:val="22"/>
          <w:szCs w:val="22"/>
        </w:rPr>
        <w:t xml:space="preserve">e </w:t>
      </w:r>
      <w:r w:rsidR="008D2C2F">
        <w:rPr>
          <w:sz w:val="22"/>
          <w:szCs w:val="22"/>
        </w:rPr>
        <w:t>d</w:t>
      </w:r>
      <w:r w:rsidR="00F0490B">
        <w:rPr>
          <w:sz w:val="22"/>
          <w:szCs w:val="22"/>
        </w:rPr>
        <w:t>ismiss</w:t>
      </w:r>
      <w:r w:rsidR="008D2C2F">
        <w:rPr>
          <w:sz w:val="22"/>
          <w:szCs w:val="22"/>
        </w:rPr>
        <w:t xml:space="preserve"> the </w:t>
      </w:r>
      <w:r w:rsidR="004E4211">
        <w:rPr>
          <w:sz w:val="22"/>
          <w:szCs w:val="22"/>
        </w:rPr>
        <w:t>Supplement</w:t>
      </w:r>
      <w:r w:rsidR="00E91AA9">
        <w:rPr>
          <w:sz w:val="22"/>
          <w:szCs w:val="22"/>
        </w:rPr>
        <w:t>s</w:t>
      </w:r>
      <w:r w:rsidR="004E4211">
        <w:rPr>
          <w:sz w:val="22"/>
          <w:szCs w:val="22"/>
        </w:rPr>
        <w:t>,</w:t>
      </w:r>
      <w:r w:rsidR="005F07C1">
        <w:rPr>
          <w:sz w:val="22"/>
          <w:szCs w:val="22"/>
        </w:rPr>
        <w:t xml:space="preserve"> </w:t>
      </w:r>
      <w:r w:rsidR="00BE17A2">
        <w:rPr>
          <w:sz w:val="22"/>
          <w:szCs w:val="22"/>
        </w:rPr>
        <w:t>dismiss</w:t>
      </w:r>
      <w:r w:rsidR="00F0490B">
        <w:rPr>
          <w:sz w:val="22"/>
          <w:szCs w:val="22"/>
        </w:rPr>
        <w:t xml:space="preserve"> the</w:t>
      </w:r>
      <w:r w:rsidR="008D2C2F">
        <w:rPr>
          <w:sz w:val="22"/>
          <w:szCs w:val="22"/>
        </w:rPr>
        <w:t xml:space="preserve"> </w:t>
      </w:r>
      <w:r w:rsidR="004E4211">
        <w:rPr>
          <w:sz w:val="22"/>
          <w:szCs w:val="22"/>
        </w:rPr>
        <w:t>License Petition</w:t>
      </w:r>
      <w:r w:rsidR="007123A2">
        <w:rPr>
          <w:sz w:val="22"/>
          <w:szCs w:val="22"/>
        </w:rPr>
        <w:t>,</w:t>
      </w:r>
      <w:r w:rsidR="005F07C1">
        <w:rPr>
          <w:sz w:val="22"/>
          <w:szCs w:val="22"/>
        </w:rPr>
        <w:t xml:space="preserve"> </w:t>
      </w:r>
      <w:r w:rsidR="007123A2">
        <w:rPr>
          <w:sz w:val="22"/>
          <w:szCs w:val="22"/>
        </w:rPr>
        <w:t>and dismiss the Assignment Petition.</w:t>
      </w:r>
    </w:p>
    <w:p w:rsidR="00E4671A" w:rsidRDefault="00E4671A" w:rsidP="00FC7085">
      <w:pPr>
        <w:tabs>
          <w:tab w:val="left" w:pos="2610"/>
        </w:tabs>
        <w:ind w:right="-360" w:firstLine="720"/>
        <w:rPr>
          <w:sz w:val="22"/>
          <w:szCs w:val="22"/>
        </w:rPr>
      </w:pPr>
    </w:p>
    <w:p w:rsidR="00263615" w:rsidRDefault="00DA79D6" w:rsidP="00D71CAF">
      <w:pPr>
        <w:rPr>
          <w:sz w:val="22"/>
          <w:szCs w:val="22"/>
        </w:rPr>
      </w:pPr>
      <w:r>
        <w:rPr>
          <w:sz w:val="22"/>
          <w:szCs w:val="22"/>
        </w:rPr>
        <w:tab/>
      </w:r>
      <w:r w:rsidRPr="009935B3">
        <w:rPr>
          <w:b/>
          <w:sz w:val="22"/>
          <w:szCs w:val="22"/>
        </w:rPr>
        <w:t>Background.</w:t>
      </w:r>
      <w:r w:rsidRPr="009935B3">
        <w:rPr>
          <w:sz w:val="22"/>
          <w:szCs w:val="22"/>
        </w:rPr>
        <w:t xml:space="preserve"> </w:t>
      </w:r>
      <w:r w:rsidR="006222C0">
        <w:rPr>
          <w:sz w:val="22"/>
          <w:szCs w:val="22"/>
        </w:rPr>
        <w:t xml:space="preserve"> </w:t>
      </w:r>
      <w:r w:rsidR="00F2438B">
        <w:rPr>
          <w:sz w:val="22"/>
          <w:szCs w:val="22"/>
        </w:rPr>
        <w:t>T</w:t>
      </w:r>
      <w:r w:rsidR="00205423">
        <w:rPr>
          <w:sz w:val="22"/>
          <w:szCs w:val="22"/>
        </w:rPr>
        <w:t xml:space="preserve">he Station </w:t>
      </w:r>
      <w:r w:rsidR="00997039">
        <w:rPr>
          <w:sz w:val="22"/>
          <w:szCs w:val="22"/>
        </w:rPr>
        <w:t>was</w:t>
      </w:r>
      <w:r w:rsidR="00205423">
        <w:rPr>
          <w:sz w:val="22"/>
          <w:szCs w:val="22"/>
        </w:rPr>
        <w:t xml:space="preserve"> located</w:t>
      </w:r>
      <w:r w:rsidR="00DB70C6">
        <w:rPr>
          <w:sz w:val="22"/>
          <w:szCs w:val="22"/>
        </w:rPr>
        <w:t xml:space="preserve"> </w:t>
      </w:r>
      <w:r w:rsidR="00263615">
        <w:rPr>
          <w:sz w:val="22"/>
          <w:szCs w:val="22"/>
        </w:rPr>
        <w:t>on the fringe of</w:t>
      </w:r>
      <w:r w:rsidR="00DB70C6">
        <w:rPr>
          <w:sz w:val="22"/>
          <w:szCs w:val="22"/>
        </w:rPr>
        <w:t xml:space="preserve"> the Dallas</w:t>
      </w:r>
      <w:r w:rsidR="008D2C2F" w:rsidRPr="008D2C2F">
        <w:rPr>
          <w:b/>
          <w:sz w:val="22"/>
          <w:szCs w:val="22"/>
        </w:rPr>
        <w:t>-</w:t>
      </w:r>
      <w:r w:rsidR="00DB70C6">
        <w:rPr>
          <w:sz w:val="22"/>
          <w:szCs w:val="22"/>
        </w:rPr>
        <w:t>Ft.</w:t>
      </w:r>
      <w:r w:rsidR="008D2C2F">
        <w:rPr>
          <w:sz w:val="22"/>
          <w:szCs w:val="22"/>
        </w:rPr>
        <w:t xml:space="preserve"> </w:t>
      </w:r>
      <w:r w:rsidR="00DB70C6">
        <w:rPr>
          <w:sz w:val="22"/>
          <w:szCs w:val="22"/>
        </w:rPr>
        <w:t>Worth, T</w:t>
      </w:r>
      <w:r w:rsidR="008D2C2F">
        <w:rPr>
          <w:sz w:val="22"/>
          <w:szCs w:val="22"/>
        </w:rPr>
        <w:t xml:space="preserve">exas, </w:t>
      </w:r>
      <w:r w:rsidR="00DB70C6">
        <w:rPr>
          <w:sz w:val="22"/>
          <w:szCs w:val="22"/>
        </w:rPr>
        <w:t>radio market, the fifth-largest radio market in the country.</w:t>
      </w:r>
      <w:r w:rsidR="00205423">
        <w:rPr>
          <w:rStyle w:val="FootnoteReference"/>
          <w:sz w:val="22"/>
          <w:szCs w:val="22"/>
        </w:rPr>
        <w:footnoteReference w:id="6"/>
      </w:r>
      <w:r w:rsidR="00205423">
        <w:rPr>
          <w:sz w:val="22"/>
          <w:szCs w:val="22"/>
        </w:rPr>
        <w:t xml:space="preserve">  In that market, a party may own or hold attributable interests in up to eight radio stations, no more than five of which may be in the same service.</w:t>
      </w:r>
      <w:r w:rsidR="00205423">
        <w:rPr>
          <w:rStyle w:val="FootnoteReference"/>
          <w:sz w:val="22"/>
          <w:szCs w:val="22"/>
        </w:rPr>
        <w:footnoteReference w:id="7"/>
      </w:r>
      <w:r w:rsidR="00205423">
        <w:rPr>
          <w:sz w:val="22"/>
          <w:szCs w:val="22"/>
        </w:rPr>
        <w:t xml:space="preserve">  Cumulus</w:t>
      </w:r>
      <w:r w:rsidR="00E4082B">
        <w:rPr>
          <w:sz w:val="22"/>
          <w:szCs w:val="22"/>
        </w:rPr>
        <w:t>, through subsidiaries such as Susquehanna,</w:t>
      </w:r>
      <w:r w:rsidR="00323F18">
        <w:rPr>
          <w:sz w:val="22"/>
          <w:szCs w:val="22"/>
        </w:rPr>
        <w:t xml:space="preserve"> </w:t>
      </w:r>
      <w:r w:rsidR="00205423">
        <w:rPr>
          <w:sz w:val="22"/>
          <w:szCs w:val="22"/>
        </w:rPr>
        <w:t>own</w:t>
      </w:r>
      <w:r w:rsidR="00B67A83">
        <w:rPr>
          <w:sz w:val="22"/>
          <w:szCs w:val="22"/>
        </w:rPr>
        <w:t>ed</w:t>
      </w:r>
      <w:r w:rsidR="00205423">
        <w:rPr>
          <w:sz w:val="22"/>
          <w:szCs w:val="22"/>
        </w:rPr>
        <w:t xml:space="preserve"> five FM stations and three AM stations in the market.</w:t>
      </w:r>
      <w:r w:rsidR="00205423">
        <w:rPr>
          <w:rStyle w:val="FootnoteReference"/>
          <w:sz w:val="22"/>
          <w:szCs w:val="22"/>
        </w:rPr>
        <w:footnoteReference w:id="8"/>
      </w:r>
      <w:r w:rsidR="00D7060D">
        <w:rPr>
          <w:sz w:val="22"/>
          <w:szCs w:val="22"/>
        </w:rPr>
        <w:t xml:space="preserve">  </w:t>
      </w:r>
      <w:r w:rsidR="003158B2">
        <w:rPr>
          <w:sz w:val="22"/>
          <w:szCs w:val="22"/>
        </w:rPr>
        <w:t xml:space="preserve">Whitley is wholly owned by </w:t>
      </w:r>
      <w:r w:rsidR="0097135C">
        <w:rPr>
          <w:sz w:val="22"/>
          <w:szCs w:val="22"/>
        </w:rPr>
        <w:t xml:space="preserve">Mr. </w:t>
      </w:r>
      <w:r w:rsidR="003158B2">
        <w:rPr>
          <w:sz w:val="22"/>
          <w:szCs w:val="22"/>
        </w:rPr>
        <w:t>William Whitley</w:t>
      </w:r>
      <w:r w:rsidR="00263615">
        <w:rPr>
          <w:sz w:val="22"/>
          <w:szCs w:val="22"/>
        </w:rPr>
        <w:t xml:space="preserve">, an experienced media broker working for the Media Services Group, a nationally recognized media brokerage firm. </w:t>
      </w:r>
    </w:p>
    <w:p w:rsidR="00540425" w:rsidRDefault="00540425" w:rsidP="00D71CAF">
      <w:pPr>
        <w:rPr>
          <w:sz w:val="22"/>
          <w:szCs w:val="22"/>
        </w:rPr>
      </w:pPr>
    </w:p>
    <w:p w:rsidR="00DB5E43" w:rsidRDefault="00DB5E43" w:rsidP="00503FC5">
      <w:pPr>
        <w:rPr>
          <w:sz w:val="22"/>
          <w:szCs w:val="22"/>
        </w:rPr>
      </w:pPr>
      <w:r>
        <w:rPr>
          <w:sz w:val="22"/>
          <w:szCs w:val="22"/>
        </w:rPr>
        <w:tab/>
      </w:r>
      <w:r w:rsidR="00456720">
        <w:rPr>
          <w:sz w:val="22"/>
          <w:szCs w:val="22"/>
        </w:rPr>
        <w:t xml:space="preserve">On July 1, 2013, Susquehanna filed the Assignment Application proposing to assign the Station to Whitley.  </w:t>
      </w:r>
      <w:r w:rsidRPr="00DB5E43">
        <w:rPr>
          <w:sz w:val="22"/>
          <w:szCs w:val="22"/>
        </w:rPr>
        <w:t>The Assignment Application include</w:t>
      </w:r>
      <w:r>
        <w:rPr>
          <w:sz w:val="22"/>
          <w:szCs w:val="22"/>
        </w:rPr>
        <w:t>d</w:t>
      </w:r>
      <w:r w:rsidRPr="00DB5E43">
        <w:rPr>
          <w:sz w:val="22"/>
          <w:szCs w:val="22"/>
        </w:rPr>
        <w:t xml:space="preserve"> an </w:t>
      </w:r>
      <w:r w:rsidR="00F2438B">
        <w:rPr>
          <w:sz w:val="22"/>
          <w:szCs w:val="22"/>
        </w:rPr>
        <w:t>a</w:t>
      </w:r>
      <w:r w:rsidRPr="00DB5E43">
        <w:rPr>
          <w:sz w:val="22"/>
          <w:szCs w:val="22"/>
        </w:rPr>
        <w:t xml:space="preserve">mended Asset Purchase Agreement (“APA”) submitted by the parties.  </w:t>
      </w:r>
      <w:r w:rsidR="006E7294">
        <w:rPr>
          <w:sz w:val="22"/>
          <w:szCs w:val="22"/>
        </w:rPr>
        <w:t>T</w:t>
      </w:r>
      <w:r w:rsidR="003F6BE5">
        <w:rPr>
          <w:sz w:val="22"/>
          <w:szCs w:val="22"/>
        </w:rPr>
        <w:t>he st</w:t>
      </w:r>
      <w:r>
        <w:rPr>
          <w:sz w:val="22"/>
          <w:szCs w:val="22"/>
        </w:rPr>
        <w:t xml:space="preserve">ated </w:t>
      </w:r>
      <w:r w:rsidR="00E91AA9">
        <w:rPr>
          <w:sz w:val="22"/>
          <w:szCs w:val="22"/>
        </w:rPr>
        <w:t>consideration for the sale was:</w:t>
      </w:r>
      <w:r w:rsidR="00D10DAB">
        <w:rPr>
          <w:sz w:val="22"/>
          <w:szCs w:val="22"/>
        </w:rPr>
        <w:t xml:space="preserve">  </w:t>
      </w:r>
      <w:r w:rsidR="00E91AA9">
        <w:rPr>
          <w:sz w:val="22"/>
          <w:szCs w:val="22"/>
        </w:rPr>
        <w:t>(1) on</w:t>
      </w:r>
      <w:r w:rsidR="00E91AA9" w:rsidRPr="00DB5E43">
        <w:rPr>
          <w:sz w:val="22"/>
          <w:szCs w:val="22"/>
        </w:rPr>
        <w:t xml:space="preserve">e </w:t>
      </w:r>
      <w:r w:rsidR="00E91AA9">
        <w:rPr>
          <w:sz w:val="22"/>
          <w:szCs w:val="22"/>
        </w:rPr>
        <w:t>hundred d</w:t>
      </w:r>
      <w:r w:rsidR="00E91AA9" w:rsidRPr="00DB5E43">
        <w:rPr>
          <w:sz w:val="22"/>
          <w:szCs w:val="22"/>
        </w:rPr>
        <w:t xml:space="preserve">ollars ($100) in cash at Closing </w:t>
      </w:r>
      <w:r w:rsidR="00E91AA9">
        <w:rPr>
          <w:sz w:val="22"/>
          <w:szCs w:val="22"/>
        </w:rPr>
        <w:t>and (2</w:t>
      </w:r>
      <w:r w:rsidR="00E91AA9" w:rsidRPr="00DB5E43">
        <w:rPr>
          <w:sz w:val="22"/>
          <w:szCs w:val="22"/>
        </w:rPr>
        <w:t>) all proceeds which Buyer receives from the subsequ</w:t>
      </w:r>
      <w:r w:rsidR="00E91AA9">
        <w:rPr>
          <w:sz w:val="22"/>
          <w:szCs w:val="22"/>
        </w:rPr>
        <w:t>ent sale of the Station Assets, les</w:t>
      </w:r>
      <w:r w:rsidR="00E91AA9" w:rsidRPr="00DB5E43">
        <w:rPr>
          <w:sz w:val="22"/>
          <w:szCs w:val="22"/>
        </w:rPr>
        <w:t>s (</w:t>
      </w:r>
      <w:r w:rsidR="00E91AA9">
        <w:rPr>
          <w:sz w:val="22"/>
          <w:szCs w:val="22"/>
        </w:rPr>
        <w:t>a</w:t>
      </w:r>
      <w:r w:rsidR="00E91AA9" w:rsidRPr="00DB5E43">
        <w:rPr>
          <w:sz w:val="22"/>
          <w:szCs w:val="22"/>
        </w:rPr>
        <w:t xml:space="preserve">) </w:t>
      </w:r>
      <w:r w:rsidR="00E91AA9">
        <w:rPr>
          <w:sz w:val="22"/>
          <w:szCs w:val="22"/>
        </w:rPr>
        <w:t>f</w:t>
      </w:r>
      <w:r w:rsidR="00E91AA9" w:rsidRPr="00DB5E43">
        <w:rPr>
          <w:sz w:val="22"/>
          <w:szCs w:val="22"/>
        </w:rPr>
        <w:t xml:space="preserve">ifty </w:t>
      </w:r>
      <w:r w:rsidR="00E91AA9">
        <w:rPr>
          <w:sz w:val="22"/>
          <w:szCs w:val="22"/>
        </w:rPr>
        <w:t>t</w:t>
      </w:r>
      <w:r w:rsidR="00E91AA9" w:rsidRPr="00DB5E43">
        <w:rPr>
          <w:sz w:val="22"/>
          <w:szCs w:val="22"/>
        </w:rPr>
        <w:t xml:space="preserve">housand </w:t>
      </w:r>
      <w:r w:rsidR="00E91AA9">
        <w:rPr>
          <w:sz w:val="22"/>
          <w:szCs w:val="22"/>
        </w:rPr>
        <w:t>d</w:t>
      </w:r>
      <w:r w:rsidR="00E91AA9" w:rsidRPr="00DB5E43">
        <w:rPr>
          <w:sz w:val="22"/>
          <w:szCs w:val="22"/>
        </w:rPr>
        <w:t>ollars ($50,000)</w:t>
      </w:r>
      <w:r w:rsidR="00E91AA9">
        <w:rPr>
          <w:sz w:val="22"/>
          <w:szCs w:val="22"/>
        </w:rPr>
        <w:t xml:space="preserve">; (b) </w:t>
      </w:r>
      <w:r w:rsidR="00E91AA9" w:rsidRPr="00DB5E43">
        <w:rPr>
          <w:sz w:val="22"/>
          <w:szCs w:val="22"/>
        </w:rPr>
        <w:t xml:space="preserve">all reasonable expenses incurred by </w:t>
      </w:r>
      <w:r w:rsidR="00E91AA9">
        <w:rPr>
          <w:sz w:val="22"/>
          <w:szCs w:val="22"/>
        </w:rPr>
        <w:t xml:space="preserve">Whitley </w:t>
      </w:r>
      <w:r w:rsidR="00E91AA9" w:rsidRPr="00DB5E43">
        <w:rPr>
          <w:sz w:val="22"/>
          <w:szCs w:val="22"/>
        </w:rPr>
        <w:t>from the operation of the Station and the ownership and holding of the Station Assets after Closing</w:t>
      </w:r>
      <w:r w:rsidR="00E91AA9">
        <w:rPr>
          <w:sz w:val="22"/>
          <w:szCs w:val="22"/>
        </w:rPr>
        <w:t>; and</w:t>
      </w:r>
      <w:r w:rsidR="00CA3B3F">
        <w:rPr>
          <w:sz w:val="22"/>
          <w:szCs w:val="22"/>
        </w:rPr>
        <w:t xml:space="preserve"> </w:t>
      </w:r>
      <w:r w:rsidR="00E91AA9">
        <w:rPr>
          <w:sz w:val="22"/>
          <w:szCs w:val="22"/>
        </w:rPr>
        <w:t xml:space="preserve">(c) </w:t>
      </w:r>
      <w:r w:rsidR="00E91AA9" w:rsidRPr="00DB5E43">
        <w:rPr>
          <w:sz w:val="22"/>
          <w:szCs w:val="22"/>
        </w:rPr>
        <w:t>all reasonable expenses incurred by Buyer in the marketing and subsequent sale of the Station</w:t>
      </w:r>
      <w:r w:rsidR="00E91AA9">
        <w:rPr>
          <w:sz w:val="22"/>
          <w:szCs w:val="22"/>
        </w:rPr>
        <w:t>.  Further, Whitley was to “</w:t>
      </w:r>
      <w:r w:rsidR="00E91AA9" w:rsidRPr="00DB5E43">
        <w:rPr>
          <w:sz w:val="22"/>
          <w:szCs w:val="22"/>
        </w:rPr>
        <w:t>use commercially reasonable efforts to sell the Station Assets for the maximum amount of consideration available in the market.</w:t>
      </w:r>
      <w:r w:rsidR="00E91AA9">
        <w:rPr>
          <w:sz w:val="22"/>
          <w:szCs w:val="22"/>
        </w:rPr>
        <w:t>”</w:t>
      </w:r>
      <w:r w:rsidRPr="00DB5E43">
        <w:rPr>
          <w:sz w:val="22"/>
          <w:szCs w:val="22"/>
          <w:vertAlign w:val="superscript"/>
        </w:rPr>
        <w:footnoteReference w:id="9"/>
      </w:r>
    </w:p>
    <w:p w:rsidR="00491B13" w:rsidRDefault="00491B13" w:rsidP="00DB5E43">
      <w:pPr>
        <w:ind w:left="720" w:right="720"/>
        <w:rPr>
          <w:sz w:val="22"/>
          <w:szCs w:val="22"/>
        </w:rPr>
      </w:pPr>
    </w:p>
    <w:p w:rsidR="00491B13" w:rsidRDefault="00491B13" w:rsidP="00503FC5">
      <w:pPr>
        <w:ind w:firstLine="720"/>
        <w:rPr>
          <w:sz w:val="22"/>
          <w:szCs w:val="22"/>
        </w:rPr>
      </w:pPr>
      <w:r>
        <w:rPr>
          <w:sz w:val="22"/>
          <w:szCs w:val="22"/>
        </w:rPr>
        <w:t xml:space="preserve">On August 7, 2013, Cumulus announced that </w:t>
      </w:r>
      <w:r w:rsidR="00C204F5">
        <w:rPr>
          <w:sz w:val="22"/>
          <w:szCs w:val="22"/>
        </w:rPr>
        <w:t>it</w:t>
      </w:r>
      <w:r>
        <w:rPr>
          <w:sz w:val="22"/>
          <w:szCs w:val="22"/>
        </w:rPr>
        <w:t xml:space="preserve"> had reached a long-term Local Marketing Agreement (“LMA”)</w:t>
      </w:r>
      <w:r w:rsidR="00C204F5">
        <w:rPr>
          <w:sz w:val="22"/>
          <w:szCs w:val="22"/>
        </w:rPr>
        <w:t xml:space="preserve"> for </w:t>
      </w:r>
      <w:r w:rsidR="00BB122D">
        <w:rPr>
          <w:sz w:val="22"/>
          <w:szCs w:val="22"/>
        </w:rPr>
        <w:t>it</w:t>
      </w:r>
      <w:r w:rsidR="00C204F5">
        <w:rPr>
          <w:sz w:val="22"/>
          <w:szCs w:val="22"/>
        </w:rPr>
        <w:t xml:space="preserve"> to program Station KESN(FM),</w:t>
      </w:r>
      <w:r w:rsidR="002F4ABE">
        <w:rPr>
          <w:sz w:val="22"/>
          <w:szCs w:val="22"/>
        </w:rPr>
        <w:t xml:space="preserve"> </w:t>
      </w:r>
      <w:r w:rsidR="00C204F5">
        <w:rPr>
          <w:sz w:val="22"/>
          <w:szCs w:val="22"/>
        </w:rPr>
        <w:t>Dallas, Texas</w:t>
      </w:r>
      <w:r w:rsidR="002F4ABE">
        <w:rPr>
          <w:sz w:val="22"/>
          <w:szCs w:val="22"/>
        </w:rPr>
        <w:t>, effective upon the closing of the Station’s sale.</w:t>
      </w:r>
      <w:r w:rsidR="00BB122D">
        <w:rPr>
          <w:rStyle w:val="FootnoteReference"/>
          <w:sz w:val="22"/>
          <w:szCs w:val="22"/>
        </w:rPr>
        <w:footnoteReference w:id="10"/>
      </w:r>
      <w:r w:rsidR="00E45826">
        <w:rPr>
          <w:sz w:val="22"/>
          <w:szCs w:val="22"/>
        </w:rPr>
        <w:t xml:space="preserve">  </w:t>
      </w:r>
      <w:r w:rsidR="003F6BE5">
        <w:rPr>
          <w:sz w:val="22"/>
          <w:szCs w:val="22"/>
        </w:rPr>
        <w:t>But for consummation of the Assignment Application, the</w:t>
      </w:r>
      <w:r w:rsidR="00CC1199">
        <w:rPr>
          <w:sz w:val="22"/>
          <w:szCs w:val="22"/>
        </w:rPr>
        <w:t xml:space="preserve"> LMA</w:t>
      </w:r>
      <w:r w:rsidR="003F6BE5">
        <w:rPr>
          <w:sz w:val="22"/>
          <w:szCs w:val="22"/>
        </w:rPr>
        <w:t xml:space="preserve"> </w:t>
      </w:r>
      <w:r w:rsidR="00BB122D">
        <w:rPr>
          <w:sz w:val="22"/>
          <w:szCs w:val="22"/>
        </w:rPr>
        <w:t xml:space="preserve">would result in Cumulus having an attributable interest in </w:t>
      </w:r>
      <w:r w:rsidR="006E7294">
        <w:rPr>
          <w:sz w:val="22"/>
          <w:szCs w:val="22"/>
        </w:rPr>
        <w:t xml:space="preserve">nine radio stations, </w:t>
      </w:r>
      <w:r w:rsidR="00BB122D">
        <w:rPr>
          <w:sz w:val="22"/>
          <w:szCs w:val="22"/>
        </w:rPr>
        <w:t>six</w:t>
      </w:r>
      <w:r w:rsidR="006E7294">
        <w:rPr>
          <w:sz w:val="22"/>
          <w:szCs w:val="22"/>
        </w:rPr>
        <w:t xml:space="preserve"> of which were </w:t>
      </w:r>
      <w:r w:rsidR="00BB122D">
        <w:rPr>
          <w:sz w:val="22"/>
          <w:szCs w:val="22"/>
        </w:rPr>
        <w:t xml:space="preserve">FM stations in the Dallas-Ft. Worth market, in violation of </w:t>
      </w:r>
      <w:r w:rsidR="00671208">
        <w:rPr>
          <w:sz w:val="22"/>
          <w:szCs w:val="22"/>
        </w:rPr>
        <w:t xml:space="preserve">the local radio ownership provisions in </w:t>
      </w:r>
      <w:r w:rsidR="00BB122D">
        <w:rPr>
          <w:sz w:val="22"/>
          <w:szCs w:val="22"/>
        </w:rPr>
        <w:t xml:space="preserve">Section 73.3555(a)(1)(i) of the Commission’s Rules (the “Rules”).     </w:t>
      </w:r>
      <w:r w:rsidR="00B20AF7">
        <w:rPr>
          <w:sz w:val="22"/>
          <w:szCs w:val="22"/>
        </w:rPr>
        <w:t xml:space="preserve">  </w:t>
      </w:r>
      <w:r w:rsidR="002F4ABE">
        <w:rPr>
          <w:sz w:val="22"/>
          <w:szCs w:val="22"/>
        </w:rPr>
        <w:t xml:space="preserve">      </w:t>
      </w:r>
      <w:r w:rsidR="00C204F5">
        <w:rPr>
          <w:sz w:val="22"/>
          <w:szCs w:val="22"/>
        </w:rPr>
        <w:t xml:space="preserve">   </w:t>
      </w:r>
      <w:r>
        <w:rPr>
          <w:sz w:val="22"/>
          <w:szCs w:val="22"/>
        </w:rPr>
        <w:t xml:space="preserve">    </w:t>
      </w:r>
    </w:p>
    <w:p w:rsidR="00DB5E43" w:rsidRDefault="00DB5E43" w:rsidP="00DB5E43">
      <w:pPr>
        <w:ind w:left="720" w:right="720"/>
        <w:rPr>
          <w:sz w:val="22"/>
          <w:szCs w:val="22"/>
        </w:rPr>
      </w:pPr>
    </w:p>
    <w:p w:rsidR="00CD736F" w:rsidRDefault="00AA1FA4" w:rsidP="00AA1FA4">
      <w:pPr>
        <w:rPr>
          <w:sz w:val="22"/>
          <w:szCs w:val="22"/>
        </w:rPr>
      </w:pPr>
      <w:r>
        <w:rPr>
          <w:sz w:val="22"/>
          <w:szCs w:val="22"/>
        </w:rPr>
        <w:tab/>
      </w:r>
      <w:r w:rsidR="00E91AA9">
        <w:rPr>
          <w:sz w:val="22"/>
          <w:szCs w:val="22"/>
        </w:rPr>
        <w:t xml:space="preserve">On September 19, 2013, the staff dismissed the Assignment Application, finding that </w:t>
      </w:r>
      <w:r w:rsidRPr="00AA1FA4">
        <w:rPr>
          <w:sz w:val="22"/>
          <w:szCs w:val="22"/>
        </w:rPr>
        <w:t xml:space="preserve"> </w:t>
      </w:r>
      <w:r>
        <w:rPr>
          <w:sz w:val="22"/>
          <w:szCs w:val="22"/>
        </w:rPr>
        <w:t xml:space="preserve">Cumulus’ and Whitley’s </w:t>
      </w:r>
      <w:r w:rsidRPr="00AA1FA4">
        <w:rPr>
          <w:sz w:val="22"/>
          <w:szCs w:val="22"/>
        </w:rPr>
        <w:t xml:space="preserve">characterization of the transaction </w:t>
      </w:r>
      <w:r>
        <w:rPr>
          <w:sz w:val="22"/>
          <w:szCs w:val="22"/>
        </w:rPr>
        <w:t>was</w:t>
      </w:r>
      <w:r w:rsidRPr="00AA1FA4">
        <w:rPr>
          <w:sz w:val="22"/>
          <w:szCs w:val="22"/>
        </w:rPr>
        <w:t xml:space="preserve"> untenable.</w:t>
      </w:r>
      <w:r w:rsidR="00B67A83">
        <w:rPr>
          <w:sz w:val="22"/>
          <w:szCs w:val="22"/>
        </w:rPr>
        <w:t xml:space="preserve">  </w:t>
      </w:r>
      <w:r w:rsidR="007967B7">
        <w:rPr>
          <w:sz w:val="22"/>
          <w:szCs w:val="22"/>
        </w:rPr>
        <w:t>T</w:t>
      </w:r>
      <w:r>
        <w:rPr>
          <w:sz w:val="22"/>
          <w:szCs w:val="22"/>
        </w:rPr>
        <w:t xml:space="preserve">he staff </w:t>
      </w:r>
      <w:r w:rsidR="00B67A83">
        <w:rPr>
          <w:sz w:val="22"/>
          <w:szCs w:val="22"/>
        </w:rPr>
        <w:t>found</w:t>
      </w:r>
      <w:r>
        <w:rPr>
          <w:sz w:val="22"/>
          <w:szCs w:val="22"/>
        </w:rPr>
        <w:t xml:space="preserve"> that, </w:t>
      </w:r>
      <w:r w:rsidRPr="00AA1FA4">
        <w:rPr>
          <w:sz w:val="22"/>
          <w:szCs w:val="22"/>
        </w:rPr>
        <w:t xml:space="preserve">in </w:t>
      </w:r>
      <w:r w:rsidR="009B0BFC">
        <w:rPr>
          <w:sz w:val="22"/>
          <w:szCs w:val="22"/>
        </w:rPr>
        <w:t>fact</w:t>
      </w:r>
      <w:r>
        <w:rPr>
          <w:sz w:val="22"/>
          <w:szCs w:val="22"/>
        </w:rPr>
        <w:t>,</w:t>
      </w:r>
      <w:r w:rsidRPr="00AA1FA4">
        <w:rPr>
          <w:sz w:val="22"/>
          <w:szCs w:val="22"/>
        </w:rPr>
        <w:t xml:space="preserve"> the transaction </w:t>
      </w:r>
      <w:r>
        <w:rPr>
          <w:sz w:val="22"/>
          <w:szCs w:val="22"/>
        </w:rPr>
        <w:t>was</w:t>
      </w:r>
      <w:r w:rsidRPr="00AA1FA4">
        <w:rPr>
          <w:sz w:val="22"/>
          <w:szCs w:val="22"/>
        </w:rPr>
        <w:t xml:space="preserve"> a brokerage agreement in which Whitley </w:t>
      </w:r>
      <w:r>
        <w:rPr>
          <w:sz w:val="22"/>
          <w:szCs w:val="22"/>
        </w:rPr>
        <w:t>wa</w:t>
      </w:r>
      <w:r w:rsidRPr="00AA1FA4">
        <w:rPr>
          <w:sz w:val="22"/>
          <w:szCs w:val="22"/>
        </w:rPr>
        <w:t xml:space="preserve">s tasked with finding a buyer for the Station </w:t>
      </w:r>
      <w:r w:rsidRPr="00AA1FA4">
        <w:rPr>
          <w:sz w:val="22"/>
          <w:szCs w:val="22"/>
        </w:rPr>
        <w:lastRenderedPageBreak/>
        <w:t xml:space="preserve">and </w:t>
      </w:r>
      <w:r>
        <w:rPr>
          <w:sz w:val="22"/>
          <w:szCs w:val="22"/>
        </w:rPr>
        <w:t>was</w:t>
      </w:r>
      <w:r w:rsidRPr="00AA1FA4">
        <w:rPr>
          <w:sz w:val="22"/>
          <w:szCs w:val="22"/>
        </w:rPr>
        <w:t xml:space="preserve"> to be compensated for doing so by the payment of a $50,000 flat fee when that transaction close</w:t>
      </w:r>
      <w:r>
        <w:rPr>
          <w:sz w:val="22"/>
          <w:szCs w:val="22"/>
        </w:rPr>
        <w:t>d</w:t>
      </w:r>
      <w:r w:rsidRPr="00AA1FA4">
        <w:rPr>
          <w:sz w:val="22"/>
          <w:szCs w:val="22"/>
        </w:rPr>
        <w:t>.</w:t>
      </w:r>
      <w:r>
        <w:rPr>
          <w:sz w:val="22"/>
          <w:szCs w:val="22"/>
        </w:rPr>
        <w:t xml:space="preserve">  </w:t>
      </w:r>
    </w:p>
    <w:p w:rsidR="00307A53" w:rsidRDefault="00307A53" w:rsidP="00AA1FA4">
      <w:pPr>
        <w:rPr>
          <w:sz w:val="22"/>
          <w:szCs w:val="22"/>
        </w:rPr>
      </w:pPr>
    </w:p>
    <w:p w:rsidR="000677B1" w:rsidRDefault="00CD736F" w:rsidP="00AA1FA4">
      <w:pPr>
        <w:rPr>
          <w:sz w:val="22"/>
          <w:szCs w:val="22"/>
        </w:rPr>
      </w:pPr>
      <w:r>
        <w:rPr>
          <w:sz w:val="22"/>
          <w:szCs w:val="22"/>
        </w:rPr>
        <w:tab/>
      </w:r>
      <w:r w:rsidR="007424E6">
        <w:rPr>
          <w:sz w:val="22"/>
          <w:szCs w:val="22"/>
        </w:rPr>
        <w:t xml:space="preserve">On September 24, 2013, </w:t>
      </w:r>
      <w:r w:rsidR="008A1DAA">
        <w:rPr>
          <w:sz w:val="22"/>
          <w:szCs w:val="22"/>
        </w:rPr>
        <w:t>Cumulus filed</w:t>
      </w:r>
      <w:r w:rsidR="00703DF2">
        <w:rPr>
          <w:sz w:val="22"/>
          <w:szCs w:val="22"/>
        </w:rPr>
        <w:t xml:space="preserve"> a </w:t>
      </w:r>
      <w:r w:rsidR="007424E6">
        <w:rPr>
          <w:sz w:val="22"/>
          <w:szCs w:val="22"/>
        </w:rPr>
        <w:t>petition</w:t>
      </w:r>
      <w:r w:rsidR="00703DF2">
        <w:rPr>
          <w:sz w:val="22"/>
          <w:szCs w:val="22"/>
        </w:rPr>
        <w:t xml:space="preserve"> for reconsideration of the staff’s dismissal of the Assignment Application</w:t>
      </w:r>
      <w:r>
        <w:rPr>
          <w:sz w:val="22"/>
          <w:szCs w:val="22"/>
        </w:rPr>
        <w:t>.</w:t>
      </w:r>
      <w:r w:rsidR="007A3972">
        <w:rPr>
          <w:sz w:val="22"/>
          <w:szCs w:val="22"/>
        </w:rPr>
        <w:t xml:space="preserve">  O</w:t>
      </w:r>
      <w:r w:rsidR="007A3972" w:rsidRPr="007A3972">
        <w:rPr>
          <w:sz w:val="22"/>
          <w:szCs w:val="22"/>
        </w:rPr>
        <w:t xml:space="preserve">n September 27, 2013, </w:t>
      </w:r>
      <w:r w:rsidR="007A3972">
        <w:rPr>
          <w:sz w:val="22"/>
          <w:szCs w:val="22"/>
        </w:rPr>
        <w:t xml:space="preserve">Cumulus and Whitley further amended the Assignment Application’s APA </w:t>
      </w:r>
      <w:r w:rsidR="007A3972" w:rsidRPr="007A3972">
        <w:rPr>
          <w:sz w:val="22"/>
          <w:szCs w:val="22"/>
        </w:rPr>
        <w:t>to modify the purchase price of the Station to an amount slightly greater than market value and to confirm that Cumulus would no longer have an attributable interest in the Station upon assignment to Whitley.</w:t>
      </w:r>
      <w:r w:rsidR="007A3972">
        <w:rPr>
          <w:sz w:val="22"/>
          <w:szCs w:val="22"/>
        </w:rPr>
        <w:t xml:space="preserve">  </w:t>
      </w:r>
      <w:r w:rsidR="00B91F14">
        <w:rPr>
          <w:sz w:val="22"/>
          <w:szCs w:val="22"/>
        </w:rPr>
        <w:t>However,</w:t>
      </w:r>
      <w:r w:rsidR="00CA3B3F">
        <w:rPr>
          <w:sz w:val="22"/>
          <w:szCs w:val="22"/>
        </w:rPr>
        <w:t xml:space="preserve"> </w:t>
      </w:r>
      <w:r w:rsidR="008749A4">
        <w:rPr>
          <w:sz w:val="22"/>
          <w:szCs w:val="22"/>
        </w:rPr>
        <w:t xml:space="preserve">on </w:t>
      </w:r>
      <w:r w:rsidR="00475A58">
        <w:rPr>
          <w:sz w:val="22"/>
          <w:szCs w:val="22"/>
        </w:rPr>
        <w:t xml:space="preserve">September 30, 2013, </w:t>
      </w:r>
      <w:r w:rsidR="00636694">
        <w:rPr>
          <w:sz w:val="22"/>
          <w:szCs w:val="22"/>
        </w:rPr>
        <w:t xml:space="preserve">Cumulus </w:t>
      </w:r>
      <w:r w:rsidR="00EB2334">
        <w:rPr>
          <w:sz w:val="22"/>
          <w:szCs w:val="22"/>
        </w:rPr>
        <w:t>surrender</w:t>
      </w:r>
      <w:r w:rsidR="005D103B">
        <w:rPr>
          <w:sz w:val="22"/>
          <w:szCs w:val="22"/>
        </w:rPr>
        <w:t>ed</w:t>
      </w:r>
      <w:r w:rsidR="00EB2334">
        <w:rPr>
          <w:sz w:val="22"/>
          <w:szCs w:val="22"/>
        </w:rPr>
        <w:t xml:space="preserve"> the Station’s license</w:t>
      </w:r>
      <w:r w:rsidR="005D103B">
        <w:rPr>
          <w:sz w:val="22"/>
          <w:szCs w:val="22"/>
        </w:rPr>
        <w:t xml:space="preserve"> for cancellation</w:t>
      </w:r>
      <w:r w:rsidR="00475A58">
        <w:rPr>
          <w:sz w:val="22"/>
          <w:szCs w:val="22"/>
        </w:rPr>
        <w:t xml:space="preserve"> and</w:t>
      </w:r>
      <w:r w:rsidR="00671208">
        <w:rPr>
          <w:sz w:val="22"/>
          <w:szCs w:val="22"/>
        </w:rPr>
        <w:t xml:space="preserve"> </w:t>
      </w:r>
      <w:r w:rsidR="007967B7">
        <w:rPr>
          <w:sz w:val="22"/>
          <w:szCs w:val="22"/>
        </w:rPr>
        <w:t>shortly afterward</w:t>
      </w:r>
      <w:r w:rsidR="00475A58">
        <w:rPr>
          <w:sz w:val="22"/>
          <w:szCs w:val="22"/>
        </w:rPr>
        <w:t xml:space="preserve"> requested withdrawal of it</w:t>
      </w:r>
      <w:r w:rsidR="00FD48A1">
        <w:rPr>
          <w:sz w:val="22"/>
          <w:szCs w:val="22"/>
        </w:rPr>
        <w:t>s</w:t>
      </w:r>
      <w:r w:rsidR="00475A58">
        <w:rPr>
          <w:sz w:val="22"/>
          <w:szCs w:val="22"/>
        </w:rPr>
        <w:t xml:space="preserve"> petition for reconsideration</w:t>
      </w:r>
      <w:r w:rsidR="00A26F58">
        <w:rPr>
          <w:sz w:val="22"/>
          <w:szCs w:val="22"/>
        </w:rPr>
        <w:t>.</w:t>
      </w:r>
      <w:r w:rsidR="00A26F58">
        <w:rPr>
          <w:rStyle w:val="FootnoteReference"/>
          <w:sz w:val="22"/>
          <w:szCs w:val="22"/>
        </w:rPr>
        <w:footnoteReference w:id="11"/>
      </w:r>
      <w:r w:rsidR="007A3972">
        <w:rPr>
          <w:sz w:val="22"/>
          <w:szCs w:val="22"/>
        </w:rPr>
        <w:t xml:space="preserve">  </w:t>
      </w:r>
      <w:r w:rsidR="00636694">
        <w:rPr>
          <w:sz w:val="22"/>
          <w:szCs w:val="22"/>
        </w:rPr>
        <w:t xml:space="preserve">On October 21 and November 22, 2013, respectively, Whitley and North Texas </w:t>
      </w:r>
      <w:r w:rsidR="000E6FAC">
        <w:rPr>
          <w:sz w:val="22"/>
          <w:szCs w:val="22"/>
        </w:rPr>
        <w:t xml:space="preserve">timely </w:t>
      </w:r>
      <w:r w:rsidR="00636694">
        <w:rPr>
          <w:sz w:val="22"/>
          <w:szCs w:val="22"/>
        </w:rPr>
        <w:t xml:space="preserve">filed the </w:t>
      </w:r>
      <w:r w:rsidR="005D103B">
        <w:rPr>
          <w:sz w:val="22"/>
          <w:szCs w:val="22"/>
        </w:rPr>
        <w:t xml:space="preserve">Assignment </w:t>
      </w:r>
      <w:r w:rsidR="00636694">
        <w:rPr>
          <w:sz w:val="22"/>
          <w:szCs w:val="22"/>
        </w:rPr>
        <w:t>Petit</w:t>
      </w:r>
      <w:r w:rsidR="00C55711">
        <w:rPr>
          <w:sz w:val="22"/>
          <w:szCs w:val="22"/>
        </w:rPr>
        <w:t>i</w:t>
      </w:r>
      <w:r w:rsidR="00636694">
        <w:rPr>
          <w:sz w:val="22"/>
          <w:szCs w:val="22"/>
        </w:rPr>
        <w:t>on and License Petition.</w:t>
      </w:r>
    </w:p>
    <w:p w:rsidR="004C7C52" w:rsidRDefault="004C7C52" w:rsidP="00AA1FA4">
      <w:pPr>
        <w:rPr>
          <w:sz w:val="22"/>
          <w:szCs w:val="22"/>
        </w:rPr>
      </w:pPr>
    </w:p>
    <w:p w:rsidR="00AD157A" w:rsidRDefault="00A26F58" w:rsidP="00AA1FA4">
      <w:pPr>
        <w:rPr>
          <w:sz w:val="22"/>
          <w:szCs w:val="22"/>
        </w:rPr>
      </w:pPr>
      <w:r>
        <w:rPr>
          <w:sz w:val="22"/>
          <w:szCs w:val="22"/>
        </w:rPr>
        <w:tab/>
        <w:t xml:space="preserve">In </w:t>
      </w:r>
      <w:r w:rsidR="005C3E6F">
        <w:rPr>
          <w:sz w:val="22"/>
          <w:szCs w:val="22"/>
        </w:rPr>
        <w:t>the</w:t>
      </w:r>
      <w:r>
        <w:rPr>
          <w:sz w:val="22"/>
          <w:szCs w:val="22"/>
        </w:rPr>
        <w:t xml:space="preserve"> </w:t>
      </w:r>
      <w:r w:rsidR="005D5AE5">
        <w:rPr>
          <w:sz w:val="22"/>
          <w:szCs w:val="22"/>
        </w:rPr>
        <w:t xml:space="preserve">Assignment </w:t>
      </w:r>
      <w:r>
        <w:rPr>
          <w:sz w:val="22"/>
          <w:szCs w:val="22"/>
        </w:rPr>
        <w:t>Petition, Whitley and North Texas</w:t>
      </w:r>
      <w:r w:rsidR="007424E6">
        <w:rPr>
          <w:sz w:val="22"/>
          <w:szCs w:val="22"/>
        </w:rPr>
        <w:t xml:space="preserve"> </w:t>
      </w:r>
      <w:r w:rsidR="001963F7">
        <w:rPr>
          <w:sz w:val="22"/>
          <w:szCs w:val="22"/>
        </w:rPr>
        <w:t xml:space="preserve">state </w:t>
      </w:r>
      <w:r w:rsidR="007424E6">
        <w:rPr>
          <w:sz w:val="22"/>
          <w:szCs w:val="22"/>
        </w:rPr>
        <w:t xml:space="preserve">that </w:t>
      </w:r>
      <w:r w:rsidR="00703DF2">
        <w:rPr>
          <w:sz w:val="22"/>
          <w:szCs w:val="22"/>
        </w:rPr>
        <w:t>Whitley and North Texas</w:t>
      </w:r>
      <w:r w:rsidR="001963F7">
        <w:rPr>
          <w:sz w:val="22"/>
          <w:szCs w:val="22"/>
        </w:rPr>
        <w:t xml:space="preserve"> had</w:t>
      </w:r>
      <w:r w:rsidR="00703DF2">
        <w:rPr>
          <w:sz w:val="22"/>
          <w:szCs w:val="22"/>
        </w:rPr>
        <w:t xml:space="preserve"> entered into a “letter of intent” </w:t>
      </w:r>
      <w:r w:rsidR="001963F7">
        <w:rPr>
          <w:sz w:val="22"/>
          <w:szCs w:val="22"/>
        </w:rPr>
        <w:t xml:space="preserve">pursuant to which </w:t>
      </w:r>
      <w:r w:rsidR="00703DF2">
        <w:rPr>
          <w:sz w:val="22"/>
          <w:szCs w:val="22"/>
        </w:rPr>
        <w:t>Nor</w:t>
      </w:r>
      <w:r w:rsidR="00A31A83">
        <w:rPr>
          <w:sz w:val="22"/>
          <w:szCs w:val="22"/>
        </w:rPr>
        <w:t>th</w:t>
      </w:r>
      <w:r w:rsidR="00703DF2">
        <w:rPr>
          <w:sz w:val="22"/>
          <w:szCs w:val="22"/>
        </w:rPr>
        <w:t xml:space="preserve"> Texas </w:t>
      </w:r>
      <w:r w:rsidR="00E234DC">
        <w:rPr>
          <w:sz w:val="22"/>
          <w:szCs w:val="22"/>
        </w:rPr>
        <w:t>agree</w:t>
      </w:r>
      <w:r w:rsidR="001963F7">
        <w:rPr>
          <w:sz w:val="22"/>
          <w:szCs w:val="22"/>
        </w:rPr>
        <w:t>d</w:t>
      </w:r>
      <w:r w:rsidR="00703DF2">
        <w:rPr>
          <w:sz w:val="22"/>
          <w:szCs w:val="22"/>
        </w:rPr>
        <w:t xml:space="preserve"> to purchase the Station f</w:t>
      </w:r>
      <w:r w:rsidR="00A31A83">
        <w:rPr>
          <w:sz w:val="22"/>
          <w:szCs w:val="22"/>
        </w:rPr>
        <w:t>ro</w:t>
      </w:r>
      <w:r w:rsidR="00703DF2">
        <w:rPr>
          <w:sz w:val="22"/>
          <w:szCs w:val="22"/>
        </w:rPr>
        <w:t>m Whitley once Whitley acquire</w:t>
      </w:r>
      <w:r w:rsidR="00E234DC">
        <w:rPr>
          <w:sz w:val="22"/>
          <w:szCs w:val="22"/>
        </w:rPr>
        <w:t>d</w:t>
      </w:r>
      <w:r w:rsidR="00703DF2">
        <w:rPr>
          <w:sz w:val="22"/>
          <w:szCs w:val="22"/>
        </w:rPr>
        <w:t xml:space="preserve"> </w:t>
      </w:r>
      <w:r w:rsidR="001963F7">
        <w:rPr>
          <w:sz w:val="22"/>
          <w:szCs w:val="22"/>
        </w:rPr>
        <w:t>it</w:t>
      </w:r>
      <w:r w:rsidR="00A31A83">
        <w:rPr>
          <w:sz w:val="22"/>
          <w:szCs w:val="22"/>
        </w:rPr>
        <w:t xml:space="preserve"> </w:t>
      </w:r>
      <w:r w:rsidR="00E234DC">
        <w:rPr>
          <w:sz w:val="22"/>
          <w:szCs w:val="22"/>
        </w:rPr>
        <w:t>from Cumulus</w:t>
      </w:r>
      <w:r w:rsidR="00A31A83">
        <w:rPr>
          <w:sz w:val="22"/>
          <w:szCs w:val="22"/>
        </w:rPr>
        <w:t>.</w:t>
      </w:r>
      <w:r w:rsidR="00A31A83">
        <w:rPr>
          <w:rStyle w:val="FootnoteReference"/>
          <w:sz w:val="22"/>
          <w:szCs w:val="22"/>
        </w:rPr>
        <w:footnoteReference w:id="12"/>
      </w:r>
      <w:r w:rsidR="00E234DC">
        <w:rPr>
          <w:sz w:val="22"/>
          <w:szCs w:val="22"/>
        </w:rPr>
        <w:t xml:space="preserve">  Whitley and North Texas contend that the Assignment Application, with </w:t>
      </w:r>
      <w:r w:rsidR="00F2438B">
        <w:rPr>
          <w:sz w:val="22"/>
          <w:szCs w:val="22"/>
        </w:rPr>
        <w:t>the September 27, 2013, amendment to the</w:t>
      </w:r>
      <w:r w:rsidR="00E234DC">
        <w:rPr>
          <w:sz w:val="22"/>
          <w:szCs w:val="22"/>
        </w:rPr>
        <w:t xml:space="preserve"> APA</w:t>
      </w:r>
      <w:r w:rsidR="00D10DAB">
        <w:rPr>
          <w:sz w:val="22"/>
          <w:szCs w:val="22"/>
        </w:rPr>
        <w:t>,</w:t>
      </w:r>
      <w:r w:rsidR="00E234DC">
        <w:rPr>
          <w:sz w:val="22"/>
          <w:szCs w:val="22"/>
        </w:rPr>
        <w:t xml:space="preserve"> should be reinstated and </w:t>
      </w:r>
      <w:r w:rsidR="001A5FC3">
        <w:rPr>
          <w:sz w:val="22"/>
          <w:szCs w:val="22"/>
        </w:rPr>
        <w:t xml:space="preserve">immediately </w:t>
      </w:r>
      <w:r w:rsidR="00E234DC">
        <w:rPr>
          <w:sz w:val="22"/>
          <w:szCs w:val="22"/>
        </w:rPr>
        <w:t>granted</w:t>
      </w:r>
      <w:r w:rsidR="00E94FDF">
        <w:rPr>
          <w:sz w:val="22"/>
          <w:szCs w:val="22"/>
        </w:rPr>
        <w:t>, “conditioned upon an immediate consummation of the assignment to Whitley,” so that the Station may be further assigned to North Texas.</w:t>
      </w:r>
      <w:r w:rsidR="00E94FDF">
        <w:rPr>
          <w:rStyle w:val="FootnoteReference"/>
          <w:sz w:val="22"/>
          <w:szCs w:val="22"/>
        </w:rPr>
        <w:footnoteReference w:id="13"/>
      </w:r>
      <w:r w:rsidR="00E94FDF">
        <w:rPr>
          <w:sz w:val="22"/>
          <w:szCs w:val="22"/>
        </w:rPr>
        <w:t xml:space="preserve">  Whitley and North Texas argue that this outcome would be in the public interest because </w:t>
      </w:r>
      <w:r w:rsidR="001A5FC3">
        <w:rPr>
          <w:sz w:val="22"/>
          <w:szCs w:val="22"/>
        </w:rPr>
        <w:t>it would advance the Commission’s goal of localism</w:t>
      </w:r>
      <w:r w:rsidR="00EF5291">
        <w:rPr>
          <w:sz w:val="22"/>
          <w:szCs w:val="22"/>
        </w:rPr>
        <w:t>,</w:t>
      </w:r>
      <w:r w:rsidR="001A5FC3">
        <w:rPr>
          <w:sz w:val="22"/>
          <w:szCs w:val="22"/>
        </w:rPr>
        <w:t xml:space="preserve"> and </w:t>
      </w:r>
      <w:r w:rsidR="00E94FDF">
        <w:rPr>
          <w:sz w:val="22"/>
          <w:szCs w:val="22"/>
        </w:rPr>
        <w:t>the residents of Sanger, Texas, would thus retain a commercial station to serve their needs and interests.</w:t>
      </w:r>
      <w:r w:rsidR="00E94FDF">
        <w:rPr>
          <w:rStyle w:val="FootnoteReference"/>
          <w:sz w:val="22"/>
          <w:szCs w:val="22"/>
        </w:rPr>
        <w:footnoteReference w:id="14"/>
      </w:r>
    </w:p>
    <w:p w:rsidR="008F03B8" w:rsidRDefault="005C3E6F" w:rsidP="00AA1FA4">
      <w:pPr>
        <w:rPr>
          <w:sz w:val="22"/>
          <w:szCs w:val="22"/>
        </w:rPr>
      </w:pPr>
      <w:r>
        <w:rPr>
          <w:sz w:val="22"/>
          <w:szCs w:val="22"/>
        </w:rPr>
        <w:t>In the Supplement, Whitley and North Texas acknowledge that</w:t>
      </w:r>
      <w:r w:rsidR="00022EBF">
        <w:rPr>
          <w:sz w:val="22"/>
          <w:szCs w:val="22"/>
        </w:rPr>
        <w:t>,</w:t>
      </w:r>
      <w:r w:rsidR="007967B7">
        <w:rPr>
          <w:sz w:val="22"/>
          <w:szCs w:val="22"/>
        </w:rPr>
        <w:t xml:space="preserve"> </w:t>
      </w:r>
      <w:r>
        <w:rPr>
          <w:sz w:val="22"/>
          <w:szCs w:val="22"/>
        </w:rPr>
        <w:t xml:space="preserve">due to </w:t>
      </w:r>
      <w:r w:rsidR="00AD157A">
        <w:rPr>
          <w:sz w:val="22"/>
          <w:szCs w:val="22"/>
        </w:rPr>
        <w:t xml:space="preserve">the </w:t>
      </w:r>
      <w:r>
        <w:rPr>
          <w:sz w:val="22"/>
          <w:szCs w:val="22"/>
        </w:rPr>
        <w:t>LMA with</w:t>
      </w:r>
      <w:r w:rsidR="001963F7">
        <w:rPr>
          <w:sz w:val="22"/>
          <w:szCs w:val="22"/>
        </w:rPr>
        <w:t xml:space="preserve"> </w:t>
      </w:r>
      <w:r w:rsidR="003479EA">
        <w:rPr>
          <w:sz w:val="22"/>
          <w:szCs w:val="22"/>
        </w:rPr>
        <w:t xml:space="preserve">Station </w:t>
      </w:r>
      <w:r w:rsidR="001963F7">
        <w:rPr>
          <w:sz w:val="22"/>
          <w:szCs w:val="22"/>
        </w:rPr>
        <w:t>KESN</w:t>
      </w:r>
      <w:r w:rsidR="00D10DAB">
        <w:rPr>
          <w:sz w:val="22"/>
          <w:szCs w:val="22"/>
        </w:rPr>
        <w:t>(FM)</w:t>
      </w:r>
      <w:r w:rsidR="00610CBD">
        <w:rPr>
          <w:sz w:val="22"/>
          <w:szCs w:val="22"/>
        </w:rPr>
        <w:t>,</w:t>
      </w:r>
      <w:r w:rsidR="00D10DAB">
        <w:rPr>
          <w:sz w:val="22"/>
          <w:szCs w:val="22"/>
        </w:rPr>
        <w:t xml:space="preserve"> </w:t>
      </w:r>
      <w:r w:rsidR="007967B7">
        <w:rPr>
          <w:sz w:val="22"/>
          <w:szCs w:val="22"/>
        </w:rPr>
        <w:t xml:space="preserve">grant of the Assignment Petition would cause </w:t>
      </w:r>
      <w:r>
        <w:rPr>
          <w:sz w:val="22"/>
          <w:szCs w:val="22"/>
        </w:rPr>
        <w:t>Cumulus</w:t>
      </w:r>
      <w:r w:rsidR="00EF57EE">
        <w:rPr>
          <w:sz w:val="22"/>
          <w:szCs w:val="22"/>
        </w:rPr>
        <w:t xml:space="preserve"> briefly</w:t>
      </w:r>
      <w:r w:rsidR="005343A3">
        <w:rPr>
          <w:sz w:val="22"/>
          <w:szCs w:val="22"/>
        </w:rPr>
        <w:t xml:space="preserve"> </w:t>
      </w:r>
      <w:r w:rsidR="007967B7">
        <w:rPr>
          <w:sz w:val="22"/>
          <w:szCs w:val="22"/>
        </w:rPr>
        <w:t xml:space="preserve">to </w:t>
      </w:r>
      <w:r>
        <w:rPr>
          <w:sz w:val="22"/>
          <w:szCs w:val="22"/>
        </w:rPr>
        <w:t xml:space="preserve">have attributable interests in excess of the local market caps in Section 73.3555(a) of the </w:t>
      </w:r>
      <w:r w:rsidR="001A65B0">
        <w:rPr>
          <w:sz w:val="22"/>
          <w:szCs w:val="22"/>
        </w:rPr>
        <w:t>Rules</w:t>
      </w:r>
      <w:r w:rsidR="00BB122D">
        <w:rPr>
          <w:sz w:val="22"/>
          <w:szCs w:val="22"/>
        </w:rPr>
        <w:t xml:space="preserve"> </w:t>
      </w:r>
      <w:r w:rsidR="00EF57EE">
        <w:rPr>
          <w:sz w:val="22"/>
          <w:szCs w:val="22"/>
        </w:rPr>
        <w:t>until the Station is assigned to Whitley</w:t>
      </w:r>
      <w:r>
        <w:rPr>
          <w:sz w:val="22"/>
          <w:szCs w:val="22"/>
        </w:rPr>
        <w:t>.</w:t>
      </w:r>
      <w:r>
        <w:rPr>
          <w:rStyle w:val="FootnoteReference"/>
          <w:sz w:val="22"/>
          <w:szCs w:val="22"/>
        </w:rPr>
        <w:footnoteReference w:id="15"/>
      </w:r>
      <w:r w:rsidR="00D56ACE">
        <w:rPr>
          <w:sz w:val="22"/>
          <w:szCs w:val="22"/>
        </w:rPr>
        <w:t xml:space="preserve">  </w:t>
      </w:r>
      <w:r w:rsidR="00B93308">
        <w:rPr>
          <w:sz w:val="22"/>
          <w:szCs w:val="22"/>
        </w:rPr>
        <w:t xml:space="preserve">Therefore, </w:t>
      </w:r>
      <w:r w:rsidR="00A91DAB">
        <w:rPr>
          <w:sz w:val="22"/>
          <w:szCs w:val="22"/>
        </w:rPr>
        <w:t xml:space="preserve">they </w:t>
      </w:r>
      <w:r w:rsidR="00867A22">
        <w:rPr>
          <w:sz w:val="22"/>
          <w:szCs w:val="22"/>
        </w:rPr>
        <w:t xml:space="preserve">request a waiver of </w:t>
      </w:r>
      <w:r w:rsidR="007967B7">
        <w:rPr>
          <w:sz w:val="22"/>
          <w:szCs w:val="22"/>
        </w:rPr>
        <w:t>the</w:t>
      </w:r>
      <w:r w:rsidR="00867A22">
        <w:rPr>
          <w:sz w:val="22"/>
          <w:szCs w:val="22"/>
        </w:rPr>
        <w:t xml:space="preserve"> </w:t>
      </w:r>
      <w:r w:rsidR="00765565">
        <w:rPr>
          <w:sz w:val="22"/>
          <w:szCs w:val="22"/>
        </w:rPr>
        <w:t>R</w:t>
      </w:r>
      <w:r w:rsidR="00867A22">
        <w:rPr>
          <w:sz w:val="22"/>
          <w:szCs w:val="22"/>
        </w:rPr>
        <w:t xml:space="preserve">ules </w:t>
      </w:r>
      <w:r w:rsidR="001E0D18">
        <w:rPr>
          <w:sz w:val="22"/>
          <w:szCs w:val="22"/>
        </w:rPr>
        <w:t xml:space="preserve">so that the </w:t>
      </w:r>
      <w:r w:rsidR="00D63DD1">
        <w:rPr>
          <w:sz w:val="22"/>
          <w:szCs w:val="22"/>
        </w:rPr>
        <w:t xml:space="preserve">silent </w:t>
      </w:r>
      <w:r w:rsidR="001E0D18">
        <w:rPr>
          <w:sz w:val="22"/>
          <w:szCs w:val="22"/>
        </w:rPr>
        <w:t>Station c</w:t>
      </w:r>
      <w:r w:rsidR="00022EBF">
        <w:rPr>
          <w:sz w:val="22"/>
          <w:szCs w:val="22"/>
        </w:rPr>
        <w:t>ould</w:t>
      </w:r>
      <w:r w:rsidR="001E0D18">
        <w:rPr>
          <w:sz w:val="22"/>
          <w:szCs w:val="22"/>
        </w:rPr>
        <w:t xml:space="preserve"> resume providing local service to the residents of Sanger, Texas, rather than allowing the frequency </w:t>
      </w:r>
      <w:r w:rsidR="0016265F">
        <w:rPr>
          <w:sz w:val="22"/>
          <w:szCs w:val="22"/>
        </w:rPr>
        <w:t>to remain vacant for “several years” until an allotment proceeding concludes.</w:t>
      </w:r>
      <w:r w:rsidR="0016265F">
        <w:rPr>
          <w:rStyle w:val="FootnoteReference"/>
          <w:sz w:val="22"/>
          <w:szCs w:val="22"/>
        </w:rPr>
        <w:footnoteReference w:id="16"/>
      </w:r>
      <w:r w:rsidR="001E0D18">
        <w:rPr>
          <w:sz w:val="22"/>
          <w:szCs w:val="22"/>
        </w:rPr>
        <w:t xml:space="preserve">  </w:t>
      </w:r>
      <w:r w:rsidR="00867A22">
        <w:rPr>
          <w:sz w:val="22"/>
          <w:szCs w:val="22"/>
        </w:rPr>
        <w:t xml:space="preserve">   </w:t>
      </w:r>
      <w:r w:rsidR="00B93308">
        <w:rPr>
          <w:sz w:val="22"/>
          <w:szCs w:val="22"/>
        </w:rPr>
        <w:t xml:space="preserve">  </w:t>
      </w:r>
      <w:r w:rsidR="002873CB">
        <w:rPr>
          <w:sz w:val="22"/>
          <w:szCs w:val="22"/>
        </w:rPr>
        <w:t xml:space="preserve">   </w:t>
      </w:r>
    </w:p>
    <w:p w:rsidR="005214C7" w:rsidRDefault="008F03B8" w:rsidP="00D63DD1">
      <w:pPr>
        <w:rPr>
          <w:sz w:val="22"/>
          <w:szCs w:val="22"/>
        </w:rPr>
      </w:pPr>
      <w:r>
        <w:rPr>
          <w:sz w:val="22"/>
          <w:szCs w:val="22"/>
        </w:rPr>
        <w:tab/>
      </w:r>
      <w:r w:rsidR="00FE49B3">
        <w:rPr>
          <w:sz w:val="22"/>
          <w:szCs w:val="22"/>
        </w:rPr>
        <w:tab/>
      </w:r>
    </w:p>
    <w:p w:rsidR="00A7584E" w:rsidRDefault="00E413C1" w:rsidP="00AA1FA4">
      <w:pPr>
        <w:rPr>
          <w:sz w:val="22"/>
          <w:szCs w:val="22"/>
        </w:rPr>
      </w:pPr>
      <w:r>
        <w:rPr>
          <w:sz w:val="22"/>
          <w:szCs w:val="22"/>
        </w:rPr>
        <w:tab/>
        <w:t xml:space="preserve">In the License Petition, Whitley and North Texas </w:t>
      </w:r>
      <w:r w:rsidR="00F574AB">
        <w:rPr>
          <w:sz w:val="22"/>
          <w:szCs w:val="22"/>
        </w:rPr>
        <w:t xml:space="preserve">seek reinstatement of the </w:t>
      </w:r>
      <w:r w:rsidR="00A033F4">
        <w:rPr>
          <w:sz w:val="22"/>
          <w:szCs w:val="22"/>
        </w:rPr>
        <w:t xml:space="preserve">cancellation of the </w:t>
      </w:r>
      <w:r w:rsidR="00F574AB">
        <w:rPr>
          <w:sz w:val="22"/>
          <w:szCs w:val="22"/>
        </w:rPr>
        <w:t>Station’s license.</w:t>
      </w:r>
      <w:r w:rsidR="009538C2">
        <w:rPr>
          <w:sz w:val="22"/>
          <w:szCs w:val="22"/>
        </w:rPr>
        <w:t xml:space="preserve">  They reiterate the argument</w:t>
      </w:r>
      <w:r w:rsidR="001872D4">
        <w:rPr>
          <w:sz w:val="22"/>
          <w:szCs w:val="22"/>
        </w:rPr>
        <w:t>s made</w:t>
      </w:r>
      <w:r w:rsidR="009538C2">
        <w:rPr>
          <w:sz w:val="22"/>
          <w:szCs w:val="22"/>
        </w:rPr>
        <w:t xml:space="preserve"> in the Petition</w:t>
      </w:r>
      <w:r w:rsidR="001872D4">
        <w:rPr>
          <w:sz w:val="22"/>
          <w:szCs w:val="22"/>
        </w:rPr>
        <w:t xml:space="preserve">, stressing </w:t>
      </w:r>
      <w:r w:rsidR="009538C2">
        <w:rPr>
          <w:sz w:val="22"/>
          <w:szCs w:val="22"/>
        </w:rPr>
        <w:t>that a brief, temporary waiver of the local radio ownership caps until Cumulus can assign the Station to Whit</w:t>
      </w:r>
      <w:r w:rsidR="00485A19">
        <w:rPr>
          <w:sz w:val="22"/>
          <w:szCs w:val="22"/>
        </w:rPr>
        <w:t>ley</w:t>
      </w:r>
      <w:r w:rsidR="009538C2">
        <w:rPr>
          <w:sz w:val="22"/>
          <w:szCs w:val="22"/>
        </w:rPr>
        <w:t xml:space="preserve"> would be in the public interest</w:t>
      </w:r>
      <w:r w:rsidR="00F2438B">
        <w:rPr>
          <w:sz w:val="22"/>
          <w:szCs w:val="22"/>
        </w:rPr>
        <w:t xml:space="preserve">.  </w:t>
      </w:r>
      <w:r w:rsidR="008302A5">
        <w:rPr>
          <w:sz w:val="22"/>
          <w:szCs w:val="22"/>
        </w:rPr>
        <w:t xml:space="preserve">In the License Petition Supplement, Whitley and North Texas attach a Declaration made under penalty of perjury </w:t>
      </w:r>
      <w:r w:rsidR="007B5097">
        <w:rPr>
          <w:sz w:val="22"/>
          <w:szCs w:val="22"/>
        </w:rPr>
        <w:t>by Susquehanna’s</w:t>
      </w:r>
      <w:r w:rsidR="001872D4">
        <w:rPr>
          <w:sz w:val="22"/>
          <w:szCs w:val="22"/>
        </w:rPr>
        <w:t xml:space="preserve"> </w:t>
      </w:r>
      <w:r w:rsidR="008302A5">
        <w:rPr>
          <w:sz w:val="22"/>
          <w:szCs w:val="22"/>
        </w:rPr>
        <w:t xml:space="preserve">Senior Vice President and General Counsel Richard S. Denning stating that </w:t>
      </w:r>
      <w:r w:rsidR="00B64B2E">
        <w:rPr>
          <w:sz w:val="22"/>
          <w:szCs w:val="22"/>
        </w:rPr>
        <w:t>Cumulus</w:t>
      </w:r>
      <w:r w:rsidR="00520A65">
        <w:rPr>
          <w:sz w:val="22"/>
          <w:szCs w:val="22"/>
        </w:rPr>
        <w:t>’</w:t>
      </w:r>
      <w:r w:rsidR="00B64B2E">
        <w:rPr>
          <w:sz w:val="22"/>
          <w:szCs w:val="22"/>
        </w:rPr>
        <w:t xml:space="preserve"> subsidiary </w:t>
      </w:r>
      <w:r w:rsidR="008302A5">
        <w:rPr>
          <w:sz w:val="22"/>
          <w:szCs w:val="22"/>
        </w:rPr>
        <w:t>Susquehanna has no objection to the relief sought by Whitley and North Texas “if the grant of such relief will not have any adverse effect on Susquehanna or its affiliates, including any non-compliance with the FCC’s multiple ownership rules which has not been waived.”</w:t>
      </w:r>
      <w:r w:rsidR="008302A5">
        <w:rPr>
          <w:rStyle w:val="FootnoteReference"/>
          <w:sz w:val="22"/>
          <w:szCs w:val="22"/>
        </w:rPr>
        <w:footnoteReference w:id="17"/>
      </w:r>
      <w:r w:rsidR="008302A5">
        <w:rPr>
          <w:sz w:val="22"/>
          <w:szCs w:val="22"/>
        </w:rPr>
        <w:t xml:space="preserve">    </w:t>
      </w:r>
    </w:p>
    <w:p w:rsidR="00C7420F" w:rsidRDefault="008302A5" w:rsidP="00B12CB8">
      <w:pPr>
        <w:rPr>
          <w:sz w:val="22"/>
          <w:szCs w:val="22"/>
        </w:rPr>
      </w:pPr>
      <w:r>
        <w:rPr>
          <w:sz w:val="22"/>
          <w:szCs w:val="22"/>
        </w:rPr>
        <w:t xml:space="preserve">  </w:t>
      </w:r>
      <w:r w:rsidR="009538C2">
        <w:rPr>
          <w:sz w:val="22"/>
          <w:szCs w:val="22"/>
        </w:rPr>
        <w:t xml:space="preserve">  </w:t>
      </w:r>
      <w:r w:rsidR="00F574AB">
        <w:rPr>
          <w:sz w:val="22"/>
          <w:szCs w:val="22"/>
        </w:rPr>
        <w:t xml:space="preserve">  </w:t>
      </w:r>
      <w:r w:rsidR="002C0109">
        <w:rPr>
          <w:sz w:val="22"/>
          <w:szCs w:val="22"/>
        </w:rPr>
        <w:t xml:space="preserve"> </w:t>
      </w:r>
      <w:r w:rsidR="00F574AB">
        <w:rPr>
          <w:sz w:val="22"/>
          <w:szCs w:val="22"/>
        </w:rPr>
        <w:t xml:space="preserve"> </w:t>
      </w:r>
      <w:r w:rsidR="00E413C1">
        <w:rPr>
          <w:sz w:val="22"/>
          <w:szCs w:val="22"/>
        </w:rPr>
        <w:t xml:space="preserve"> </w:t>
      </w:r>
      <w:r w:rsidR="00B12CB8">
        <w:rPr>
          <w:sz w:val="22"/>
          <w:szCs w:val="22"/>
        </w:rPr>
        <w:tab/>
      </w:r>
      <w:r w:rsidR="00C55711">
        <w:rPr>
          <w:b/>
          <w:sz w:val="22"/>
          <w:szCs w:val="22"/>
        </w:rPr>
        <w:t>D</w:t>
      </w:r>
      <w:r w:rsidR="009935B3" w:rsidRPr="009935B3">
        <w:rPr>
          <w:b/>
          <w:sz w:val="22"/>
          <w:szCs w:val="22"/>
        </w:rPr>
        <w:t>iscussion</w:t>
      </w:r>
      <w:r w:rsidR="009935B3" w:rsidRPr="00192C68">
        <w:rPr>
          <w:sz w:val="22"/>
          <w:szCs w:val="22"/>
        </w:rPr>
        <w:t>.</w:t>
      </w:r>
      <w:r w:rsidR="00C7420F">
        <w:rPr>
          <w:sz w:val="22"/>
          <w:szCs w:val="22"/>
        </w:rPr>
        <w:t xml:space="preserve">  </w:t>
      </w:r>
      <w:r w:rsidR="00C7420F" w:rsidRPr="00C7420F">
        <w:rPr>
          <w:sz w:val="22"/>
          <w:szCs w:val="22"/>
        </w:rPr>
        <w:t xml:space="preserve">Section 405(a) of the </w:t>
      </w:r>
      <w:r w:rsidR="00C7420F">
        <w:rPr>
          <w:sz w:val="22"/>
          <w:szCs w:val="22"/>
        </w:rPr>
        <w:t xml:space="preserve">Communications </w:t>
      </w:r>
      <w:r w:rsidR="00C7420F" w:rsidRPr="00C7420F">
        <w:rPr>
          <w:sz w:val="22"/>
          <w:szCs w:val="22"/>
        </w:rPr>
        <w:t xml:space="preserve">Act </w:t>
      </w:r>
      <w:r w:rsidR="00C7420F">
        <w:rPr>
          <w:sz w:val="22"/>
          <w:szCs w:val="22"/>
        </w:rPr>
        <w:t>of 1934, as amended</w:t>
      </w:r>
      <w:r w:rsidR="00735654">
        <w:rPr>
          <w:sz w:val="22"/>
          <w:szCs w:val="22"/>
        </w:rPr>
        <w:t xml:space="preserve"> (the “Act”)</w:t>
      </w:r>
      <w:r w:rsidR="00C7420F">
        <w:rPr>
          <w:sz w:val="22"/>
          <w:szCs w:val="22"/>
        </w:rPr>
        <w:t xml:space="preserve">, </w:t>
      </w:r>
      <w:r w:rsidR="00C7420F" w:rsidRPr="00C7420F">
        <w:rPr>
          <w:sz w:val="22"/>
          <w:szCs w:val="22"/>
        </w:rPr>
        <w:t>states that any party to an order, decision, report, or action, or any other person aggrieved or whose interests are adversely affected, may petition for reconsideration.</w:t>
      </w:r>
      <w:r w:rsidR="00C7420F" w:rsidRPr="00C7420F">
        <w:rPr>
          <w:sz w:val="22"/>
          <w:szCs w:val="22"/>
          <w:vertAlign w:val="superscript"/>
        </w:rPr>
        <w:footnoteReference w:id="18"/>
      </w:r>
      <w:r w:rsidR="00C7420F" w:rsidRPr="00C7420F">
        <w:rPr>
          <w:sz w:val="22"/>
          <w:szCs w:val="22"/>
        </w:rPr>
        <w:t xml:space="preserve">  In order to show standing, a petitioner who is not a party to the proceeding must:  (1) state with particularity the manner in which its interests are adversely affected by the action taken, and (2) show good reason why it was not possible to participate in the earlier stages of the proceeding.</w:t>
      </w:r>
      <w:r w:rsidR="00C7420F" w:rsidRPr="00C7420F">
        <w:rPr>
          <w:sz w:val="22"/>
          <w:szCs w:val="22"/>
          <w:vertAlign w:val="superscript"/>
        </w:rPr>
        <w:footnoteReference w:id="19"/>
      </w:r>
      <w:r w:rsidR="00C7420F" w:rsidRPr="00C7420F">
        <w:rPr>
          <w:sz w:val="22"/>
          <w:szCs w:val="22"/>
        </w:rPr>
        <w:t xml:space="preserve">  To determine if a party's interests have been adversely affected, the Commission frequently relies upon a three-pronged standing test under which a party must establish:  (1) a distinct and palpable injury-in-fact that is (2) traceable to the respondent's conduct and (3) redressable by the relief requested. </w:t>
      </w:r>
    </w:p>
    <w:p w:rsidR="006333EA" w:rsidRPr="00C7420F" w:rsidRDefault="006333EA" w:rsidP="00C7420F">
      <w:pPr>
        <w:ind w:firstLine="720"/>
        <w:rPr>
          <w:sz w:val="22"/>
          <w:szCs w:val="22"/>
        </w:rPr>
      </w:pPr>
    </w:p>
    <w:p w:rsidR="00D63DD1" w:rsidRDefault="00535723" w:rsidP="00950002">
      <w:pPr>
        <w:ind w:firstLine="720"/>
        <w:rPr>
          <w:sz w:val="22"/>
          <w:szCs w:val="22"/>
        </w:rPr>
      </w:pPr>
      <w:bookmarkStart w:id="1" w:name="SR;649"/>
      <w:bookmarkEnd w:id="1"/>
      <w:r>
        <w:rPr>
          <w:sz w:val="22"/>
          <w:szCs w:val="22"/>
        </w:rPr>
        <w:t>Initially, we note that</w:t>
      </w:r>
      <w:r w:rsidR="00950002" w:rsidRPr="00950002">
        <w:rPr>
          <w:sz w:val="22"/>
          <w:szCs w:val="22"/>
        </w:rPr>
        <w:t xml:space="preserve"> </w:t>
      </w:r>
      <w:bookmarkStart w:id="2" w:name="SR;589"/>
      <w:bookmarkStart w:id="3" w:name="SR;597"/>
      <w:bookmarkStart w:id="4" w:name="SR;598"/>
      <w:bookmarkEnd w:id="2"/>
      <w:bookmarkEnd w:id="3"/>
      <w:bookmarkEnd w:id="4"/>
      <w:r w:rsidR="00B11E9F" w:rsidRPr="00950002">
        <w:rPr>
          <w:sz w:val="22"/>
          <w:szCs w:val="22"/>
        </w:rPr>
        <w:t xml:space="preserve">Section </w:t>
      </w:r>
      <w:bookmarkStart w:id="5" w:name="SR;604"/>
      <w:bookmarkEnd w:id="5"/>
      <w:r w:rsidR="00B11E9F" w:rsidRPr="00950002">
        <w:rPr>
          <w:bCs/>
          <w:sz w:val="22"/>
          <w:szCs w:val="22"/>
        </w:rPr>
        <w:t>1</w:t>
      </w:r>
      <w:r w:rsidR="00B11E9F" w:rsidRPr="00950002">
        <w:rPr>
          <w:sz w:val="22"/>
          <w:szCs w:val="22"/>
        </w:rPr>
        <w:t>.</w:t>
      </w:r>
      <w:bookmarkStart w:id="6" w:name="SR;605"/>
      <w:bookmarkEnd w:id="6"/>
      <w:r w:rsidR="00B11E9F" w:rsidRPr="00950002">
        <w:rPr>
          <w:bCs/>
          <w:sz w:val="22"/>
          <w:szCs w:val="22"/>
        </w:rPr>
        <w:t>45</w:t>
      </w:r>
      <w:r w:rsidR="00B11E9F" w:rsidRPr="00950002">
        <w:rPr>
          <w:sz w:val="22"/>
          <w:szCs w:val="22"/>
        </w:rPr>
        <w:t xml:space="preserve"> of the </w:t>
      </w:r>
      <w:bookmarkStart w:id="7" w:name="SR;609"/>
      <w:bookmarkEnd w:id="7"/>
      <w:r w:rsidR="00B11E9F" w:rsidRPr="00950002">
        <w:rPr>
          <w:bCs/>
          <w:sz w:val="22"/>
          <w:szCs w:val="22"/>
        </w:rPr>
        <w:t>Rules</w:t>
      </w:r>
      <w:r w:rsidR="00950002">
        <w:rPr>
          <w:rStyle w:val="FootnoteReference"/>
          <w:bCs/>
          <w:sz w:val="22"/>
          <w:szCs w:val="22"/>
        </w:rPr>
        <w:footnoteReference w:id="20"/>
      </w:r>
      <w:r w:rsidR="00B11E9F" w:rsidRPr="00950002">
        <w:rPr>
          <w:sz w:val="22"/>
          <w:szCs w:val="22"/>
        </w:rPr>
        <w:t xml:space="preserve"> specifies that only a petition, an opposition, and a reply may be filed unless additional pleadings are specifically requested or authorized by the Commission.</w:t>
      </w:r>
      <w:r w:rsidR="00950002">
        <w:rPr>
          <w:sz w:val="22"/>
          <w:szCs w:val="22"/>
        </w:rPr>
        <w:t xml:space="preserve">  </w:t>
      </w:r>
      <w:r w:rsidR="00B11E9F" w:rsidRPr="00950002">
        <w:rPr>
          <w:sz w:val="22"/>
          <w:szCs w:val="22"/>
        </w:rPr>
        <w:t>In this case, the Commission has neither requested nor authorized the filing of additional pleadings</w:t>
      </w:r>
      <w:r w:rsidR="009C5799">
        <w:rPr>
          <w:sz w:val="22"/>
          <w:szCs w:val="22"/>
        </w:rPr>
        <w:t>, and they add no decisionally significant facts to the record here</w:t>
      </w:r>
      <w:r w:rsidR="00B11E9F" w:rsidRPr="00950002">
        <w:rPr>
          <w:sz w:val="22"/>
          <w:szCs w:val="22"/>
        </w:rPr>
        <w:t>.</w:t>
      </w:r>
      <w:r w:rsidR="00950002">
        <w:rPr>
          <w:sz w:val="22"/>
          <w:szCs w:val="22"/>
        </w:rPr>
        <w:t xml:space="preserve">  </w:t>
      </w:r>
      <w:r w:rsidR="009C5799">
        <w:rPr>
          <w:sz w:val="22"/>
          <w:szCs w:val="22"/>
        </w:rPr>
        <w:t>Such u</w:t>
      </w:r>
      <w:r w:rsidR="002D7F4A" w:rsidRPr="002D7F4A">
        <w:rPr>
          <w:sz w:val="22"/>
          <w:szCs w:val="22"/>
        </w:rPr>
        <w:t>nauthorized pleadings are subject to dismissal without consideration</w:t>
      </w:r>
      <w:r w:rsidR="0005172F">
        <w:rPr>
          <w:sz w:val="22"/>
          <w:szCs w:val="22"/>
        </w:rPr>
        <w:t>,</w:t>
      </w:r>
      <w:bookmarkStart w:id="9" w:name="FN[FN32]"/>
      <w:bookmarkEnd w:id="9"/>
      <w:r w:rsidR="002D7F4A">
        <w:rPr>
          <w:rStyle w:val="FootnoteReference"/>
          <w:sz w:val="22"/>
          <w:szCs w:val="22"/>
        </w:rPr>
        <w:footnoteReference w:id="21"/>
      </w:r>
      <w:r w:rsidR="0005172F">
        <w:rPr>
          <w:sz w:val="22"/>
          <w:szCs w:val="22"/>
        </w:rPr>
        <w:t xml:space="preserve"> and we will dismiss </w:t>
      </w:r>
      <w:r w:rsidR="00950002">
        <w:rPr>
          <w:sz w:val="22"/>
          <w:szCs w:val="22"/>
        </w:rPr>
        <w:t xml:space="preserve">Whitley’s and North Texas’ </w:t>
      </w:r>
      <w:r w:rsidR="00B11E9F" w:rsidRPr="00950002">
        <w:rPr>
          <w:sz w:val="22"/>
          <w:szCs w:val="22"/>
        </w:rPr>
        <w:t>supplemental pleadings</w:t>
      </w:r>
      <w:r w:rsidR="002D7F4A">
        <w:rPr>
          <w:sz w:val="22"/>
          <w:szCs w:val="22"/>
        </w:rPr>
        <w:t xml:space="preserve"> </w:t>
      </w:r>
      <w:r w:rsidR="0005172F">
        <w:rPr>
          <w:sz w:val="22"/>
          <w:szCs w:val="22"/>
        </w:rPr>
        <w:t>below</w:t>
      </w:r>
      <w:r w:rsidR="00B11E9F" w:rsidRPr="00950002">
        <w:rPr>
          <w:sz w:val="22"/>
          <w:szCs w:val="22"/>
        </w:rPr>
        <w:t>.</w:t>
      </w:r>
      <w:r w:rsidR="00E86BD1" w:rsidRPr="00E86BD1">
        <w:rPr>
          <w:rStyle w:val="FootnoteReference"/>
          <w:sz w:val="22"/>
          <w:szCs w:val="22"/>
        </w:rPr>
        <w:t xml:space="preserve"> </w:t>
      </w:r>
      <w:r w:rsidR="00E86BD1">
        <w:rPr>
          <w:rStyle w:val="FootnoteReference"/>
          <w:sz w:val="22"/>
          <w:szCs w:val="22"/>
        </w:rPr>
        <w:footnoteReference w:id="22"/>
      </w:r>
      <w:r w:rsidR="00950002">
        <w:rPr>
          <w:sz w:val="22"/>
          <w:szCs w:val="22"/>
        </w:rPr>
        <w:t xml:space="preserve"> </w:t>
      </w:r>
    </w:p>
    <w:p w:rsidR="009C5799" w:rsidRDefault="009C5799" w:rsidP="00950002">
      <w:pPr>
        <w:ind w:firstLine="720"/>
        <w:rPr>
          <w:sz w:val="22"/>
          <w:szCs w:val="22"/>
        </w:rPr>
      </w:pPr>
    </w:p>
    <w:p w:rsidR="00E1656E" w:rsidRDefault="00535723" w:rsidP="00E1656E">
      <w:pPr>
        <w:ind w:firstLine="720"/>
        <w:rPr>
          <w:sz w:val="22"/>
          <w:szCs w:val="22"/>
        </w:rPr>
      </w:pPr>
      <w:r>
        <w:rPr>
          <w:sz w:val="22"/>
          <w:szCs w:val="22"/>
        </w:rPr>
        <w:t>In t</w:t>
      </w:r>
      <w:r w:rsidR="00C6272E" w:rsidRPr="005361EC">
        <w:rPr>
          <w:sz w:val="22"/>
          <w:szCs w:val="22"/>
        </w:rPr>
        <w:t>he License Petition</w:t>
      </w:r>
      <w:r>
        <w:rPr>
          <w:i/>
          <w:sz w:val="22"/>
          <w:szCs w:val="22"/>
        </w:rPr>
        <w:t>,</w:t>
      </w:r>
      <w:r w:rsidR="00C7420F">
        <w:rPr>
          <w:i/>
          <w:sz w:val="22"/>
          <w:szCs w:val="22"/>
        </w:rPr>
        <w:t xml:space="preserve"> </w:t>
      </w:r>
      <w:r w:rsidR="006A6600">
        <w:rPr>
          <w:sz w:val="22"/>
          <w:szCs w:val="22"/>
        </w:rPr>
        <w:t>Whitley and North Texas</w:t>
      </w:r>
      <w:r w:rsidR="006A6600" w:rsidRPr="006A6600">
        <w:rPr>
          <w:sz w:val="22"/>
          <w:szCs w:val="22"/>
        </w:rPr>
        <w:t xml:space="preserve"> assert that </w:t>
      </w:r>
      <w:r w:rsidR="006A6600">
        <w:rPr>
          <w:sz w:val="22"/>
          <w:szCs w:val="22"/>
        </w:rPr>
        <w:t>they have</w:t>
      </w:r>
      <w:r w:rsidR="006A6600" w:rsidRPr="006A6600">
        <w:rPr>
          <w:sz w:val="22"/>
          <w:szCs w:val="22"/>
        </w:rPr>
        <w:t xml:space="preserve"> standing to petition for reconsideration as potential assignee</w:t>
      </w:r>
      <w:r w:rsidR="009B6576">
        <w:rPr>
          <w:sz w:val="22"/>
          <w:szCs w:val="22"/>
        </w:rPr>
        <w:t>s</w:t>
      </w:r>
      <w:r w:rsidR="00B44FCE">
        <w:rPr>
          <w:sz w:val="22"/>
          <w:szCs w:val="22"/>
        </w:rPr>
        <w:t xml:space="preserve"> adversely affected by the cancelled license</w:t>
      </w:r>
      <w:r w:rsidR="006A6600" w:rsidRPr="006A6600">
        <w:rPr>
          <w:sz w:val="22"/>
          <w:szCs w:val="22"/>
        </w:rPr>
        <w:t>.</w:t>
      </w:r>
      <w:bookmarkStart w:id="10" w:name="FN[FN13]"/>
      <w:bookmarkEnd w:id="10"/>
      <w:r w:rsidR="006A6600">
        <w:rPr>
          <w:rStyle w:val="FootnoteReference"/>
          <w:sz w:val="22"/>
          <w:szCs w:val="22"/>
        </w:rPr>
        <w:footnoteReference w:id="23"/>
      </w:r>
      <w:r w:rsidR="006A6600">
        <w:rPr>
          <w:sz w:val="22"/>
          <w:szCs w:val="22"/>
        </w:rPr>
        <w:t xml:space="preserve">  </w:t>
      </w:r>
      <w:r w:rsidR="006A6600" w:rsidRPr="006A6600">
        <w:rPr>
          <w:sz w:val="22"/>
          <w:szCs w:val="22"/>
        </w:rPr>
        <w:t>We disagree.</w:t>
      </w:r>
      <w:r w:rsidR="006A6600">
        <w:rPr>
          <w:sz w:val="22"/>
          <w:szCs w:val="22"/>
        </w:rPr>
        <w:t xml:space="preserve">  </w:t>
      </w:r>
      <w:r w:rsidR="00A7584E" w:rsidRPr="00A7584E">
        <w:rPr>
          <w:sz w:val="22"/>
          <w:szCs w:val="22"/>
        </w:rPr>
        <w:t xml:space="preserve">Whitley and North Texas have no rights with regard to the Station’s license and therefore no interest which could be adversely affected by </w:t>
      </w:r>
      <w:r w:rsidR="009B0BFC">
        <w:rPr>
          <w:sz w:val="22"/>
          <w:szCs w:val="22"/>
        </w:rPr>
        <w:t>the</w:t>
      </w:r>
      <w:r w:rsidR="00A7584E" w:rsidRPr="00A7584E">
        <w:rPr>
          <w:sz w:val="22"/>
          <w:szCs w:val="22"/>
        </w:rPr>
        <w:t xml:space="preserve"> </w:t>
      </w:r>
      <w:r w:rsidR="00A91DAB">
        <w:rPr>
          <w:sz w:val="22"/>
          <w:szCs w:val="22"/>
        </w:rPr>
        <w:t xml:space="preserve">surrender and </w:t>
      </w:r>
      <w:r w:rsidR="00A7584E" w:rsidRPr="00A7584E">
        <w:rPr>
          <w:sz w:val="22"/>
          <w:szCs w:val="22"/>
        </w:rPr>
        <w:t>cancellation</w:t>
      </w:r>
      <w:r w:rsidR="009B0BFC">
        <w:rPr>
          <w:sz w:val="22"/>
          <w:szCs w:val="22"/>
        </w:rPr>
        <w:t xml:space="preserve"> of the Station license</w:t>
      </w:r>
      <w:r w:rsidR="00A7584E" w:rsidRPr="00A7584E">
        <w:rPr>
          <w:sz w:val="22"/>
          <w:szCs w:val="22"/>
        </w:rPr>
        <w:t>.</w:t>
      </w:r>
      <w:r w:rsidR="00A7584E" w:rsidRPr="00A7584E">
        <w:rPr>
          <w:sz w:val="22"/>
          <w:szCs w:val="22"/>
          <w:vertAlign w:val="superscript"/>
        </w:rPr>
        <w:footnoteReference w:id="24"/>
      </w:r>
      <w:r w:rsidR="00A7584E" w:rsidRPr="00A7584E">
        <w:rPr>
          <w:sz w:val="22"/>
          <w:szCs w:val="22"/>
        </w:rPr>
        <w:t xml:space="preserve">  </w:t>
      </w:r>
      <w:r w:rsidR="00A7584E">
        <w:rPr>
          <w:sz w:val="22"/>
          <w:szCs w:val="22"/>
        </w:rPr>
        <w:t>Also, a</w:t>
      </w:r>
      <w:r w:rsidR="006A6600">
        <w:rPr>
          <w:sz w:val="22"/>
          <w:szCs w:val="22"/>
        </w:rPr>
        <w:t xml:space="preserve">s </w:t>
      </w:r>
      <w:r w:rsidR="00A7584E">
        <w:rPr>
          <w:sz w:val="22"/>
          <w:szCs w:val="22"/>
        </w:rPr>
        <w:t xml:space="preserve">a mere applicant and </w:t>
      </w:r>
      <w:r w:rsidR="006A6600">
        <w:rPr>
          <w:sz w:val="22"/>
          <w:szCs w:val="22"/>
        </w:rPr>
        <w:t xml:space="preserve">potential </w:t>
      </w:r>
      <w:r w:rsidR="00A7584E">
        <w:rPr>
          <w:sz w:val="22"/>
          <w:szCs w:val="22"/>
        </w:rPr>
        <w:t>licensee</w:t>
      </w:r>
      <w:r w:rsidR="006A6600" w:rsidRPr="006A6600">
        <w:rPr>
          <w:sz w:val="22"/>
          <w:szCs w:val="22"/>
        </w:rPr>
        <w:t xml:space="preserve">, </w:t>
      </w:r>
      <w:r w:rsidR="006A6600">
        <w:rPr>
          <w:sz w:val="22"/>
          <w:szCs w:val="22"/>
        </w:rPr>
        <w:t xml:space="preserve">Whitley and North Texas </w:t>
      </w:r>
      <w:r w:rsidR="006A6600" w:rsidRPr="006A6600">
        <w:rPr>
          <w:sz w:val="22"/>
          <w:szCs w:val="22"/>
        </w:rPr>
        <w:t xml:space="preserve">fail </w:t>
      </w:r>
      <w:r w:rsidR="00FB7918">
        <w:rPr>
          <w:sz w:val="22"/>
          <w:szCs w:val="22"/>
        </w:rPr>
        <w:t>to demonstrate</w:t>
      </w:r>
      <w:r w:rsidR="006A6600" w:rsidRPr="006A6600">
        <w:rPr>
          <w:sz w:val="22"/>
          <w:szCs w:val="22"/>
        </w:rPr>
        <w:t xml:space="preserve"> that </w:t>
      </w:r>
      <w:r w:rsidR="006A6600">
        <w:rPr>
          <w:sz w:val="22"/>
          <w:szCs w:val="22"/>
        </w:rPr>
        <w:t>their</w:t>
      </w:r>
      <w:r w:rsidR="006A6600" w:rsidRPr="006A6600">
        <w:rPr>
          <w:sz w:val="22"/>
          <w:szCs w:val="22"/>
        </w:rPr>
        <w:t xml:space="preserve"> </w:t>
      </w:r>
      <w:r w:rsidR="002748B4">
        <w:rPr>
          <w:sz w:val="22"/>
          <w:szCs w:val="22"/>
        </w:rPr>
        <w:t>i</w:t>
      </w:r>
      <w:r w:rsidR="006A6600" w:rsidRPr="006A6600">
        <w:rPr>
          <w:sz w:val="22"/>
          <w:szCs w:val="22"/>
        </w:rPr>
        <w:t>nterests have been “adversely affected” by the voluntary cancellation of the Station</w:t>
      </w:r>
      <w:r w:rsidR="00B54A60">
        <w:rPr>
          <w:sz w:val="22"/>
          <w:szCs w:val="22"/>
        </w:rPr>
        <w:t>’s</w:t>
      </w:r>
      <w:r w:rsidR="006A6600" w:rsidRPr="006A6600">
        <w:rPr>
          <w:sz w:val="22"/>
          <w:szCs w:val="22"/>
        </w:rPr>
        <w:t xml:space="preserve"> license.</w:t>
      </w:r>
      <w:r w:rsidR="00073880">
        <w:rPr>
          <w:rStyle w:val="FootnoteReference"/>
          <w:sz w:val="22"/>
          <w:szCs w:val="22"/>
        </w:rPr>
        <w:footnoteReference w:id="25"/>
      </w:r>
      <w:r w:rsidR="006A6600">
        <w:rPr>
          <w:sz w:val="22"/>
          <w:szCs w:val="22"/>
        </w:rPr>
        <w:t xml:space="preserve">  </w:t>
      </w:r>
      <w:r w:rsidR="001D5BAD">
        <w:rPr>
          <w:sz w:val="22"/>
          <w:szCs w:val="22"/>
        </w:rPr>
        <w:t xml:space="preserve">Accordingly, </w:t>
      </w:r>
      <w:r w:rsidR="000A64E6">
        <w:rPr>
          <w:sz w:val="22"/>
          <w:szCs w:val="22"/>
        </w:rPr>
        <w:t xml:space="preserve">we will dismiss </w:t>
      </w:r>
      <w:r w:rsidR="001D5BAD">
        <w:rPr>
          <w:sz w:val="22"/>
          <w:szCs w:val="22"/>
        </w:rPr>
        <w:t>the License Petition.</w:t>
      </w:r>
      <w:r w:rsidR="001D5BAD" w:rsidRPr="001D5BAD">
        <w:rPr>
          <w:sz w:val="22"/>
          <w:szCs w:val="22"/>
          <w:vertAlign w:val="superscript"/>
        </w:rPr>
        <w:footnoteReference w:id="26"/>
      </w:r>
      <w:r w:rsidR="00DC4AA1">
        <w:rPr>
          <w:sz w:val="22"/>
          <w:szCs w:val="22"/>
        </w:rPr>
        <w:tab/>
      </w:r>
    </w:p>
    <w:p w:rsidR="00FB7918" w:rsidRDefault="00FB7918" w:rsidP="00E1656E">
      <w:pPr>
        <w:ind w:firstLine="720"/>
        <w:rPr>
          <w:sz w:val="22"/>
          <w:szCs w:val="22"/>
        </w:rPr>
      </w:pPr>
    </w:p>
    <w:p w:rsidR="00073880" w:rsidRDefault="00535723" w:rsidP="00E1656E">
      <w:pPr>
        <w:ind w:firstLine="720"/>
        <w:rPr>
          <w:sz w:val="22"/>
          <w:szCs w:val="22"/>
        </w:rPr>
      </w:pPr>
      <w:r>
        <w:rPr>
          <w:sz w:val="22"/>
          <w:szCs w:val="22"/>
        </w:rPr>
        <w:t xml:space="preserve">Assuming </w:t>
      </w:r>
      <w:r>
        <w:rPr>
          <w:i/>
          <w:sz w:val="22"/>
          <w:szCs w:val="22"/>
        </w:rPr>
        <w:t>arguendo</w:t>
      </w:r>
      <w:r w:rsidR="00073880" w:rsidRPr="00073880">
        <w:rPr>
          <w:sz w:val="22"/>
          <w:szCs w:val="22"/>
        </w:rPr>
        <w:t xml:space="preserve"> that Whitley and North Texas had standing to file the License Petition, we are unable to provide the relief requested, namely, reinstatement of the Station’s license to Cumulus and subsequent waiver of the Commission’s radio ownership rules.  The Commission has no authority to require any party to </w:t>
      </w:r>
      <w:r w:rsidR="009B0BFC">
        <w:rPr>
          <w:sz w:val="22"/>
          <w:szCs w:val="22"/>
        </w:rPr>
        <w:t xml:space="preserve">hold or, as is the case here, to </w:t>
      </w:r>
      <w:r w:rsidR="003031E8">
        <w:rPr>
          <w:sz w:val="22"/>
          <w:szCs w:val="22"/>
        </w:rPr>
        <w:t>reacquire</w:t>
      </w:r>
      <w:r w:rsidR="009B0BFC">
        <w:rPr>
          <w:sz w:val="22"/>
          <w:szCs w:val="22"/>
        </w:rPr>
        <w:t xml:space="preserve"> </w:t>
      </w:r>
      <w:r w:rsidR="00073880" w:rsidRPr="00073880">
        <w:rPr>
          <w:sz w:val="22"/>
          <w:szCs w:val="22"/>
        </w:rPr>
        <w:t xml:space="preserve">a license and </w:t>
      </w:r>
      <w:r w:rsidR="009B0BFC">
        <w:rPr>
          <w:sz w:val="22"/>
          <w:szCs w:val="22"/>
        </w:rPr>
        <w:t xml:space="preserve">to accept </w:t>
      </w:r>
      <w:r w:rsidR="00073880" w:rsidRPr="00073880">
        <w:rPr>
          <w:sz w:val="22"/>
          <w:szCs w:val="22"/>
        </w:rPr>
        <w:t>the corresponding duties and responsibilities of a licensee.</w:t>
      </w:r>
      <w:bookmarkStart w:id="15" w:name="FN[FN14]"/>
      <w:bookmarkEnd w:id="15"/>
      <w:r w:rsidR="00073880" w:rsidRPr="00073880">
        <w:rPr>
          <w:sz w:val="22"/>
          <w:szCs w:val="22"/>
          <w:vertAlign w:val="superscript"/>
        </w:rPr>
        <w:footnoteReference w:id="27"/>
      </w:r>
      <w:r w:rsidR="00073880" w:rsidRPr="00073880">
        <w:rPr>
          <w:sz w:val="22"/>
          <w:szCs w:val="22"/>
        </w:rPr>
        <w:t xml:space="preserve">  </w:t>
      </w:r>
      <w:r w:rsidR="00DE272B">
        <w:rPr>
          <w:sz w:val="22"/>
          <w:szCs w:val="22"/>
        </w:rPr>
        <w:t>Moreover, i</w:t>
      </w:r>
      <w:r w:rsidR="00073880" w:rsidRPr="00073880">
        <w:rPr>
          <w:sz w:val="22"/>
          <w:szCs w:val="22"/>
        </w:rPr>
        <w:t>n order to affect the potential assignment Whitley and North Texas seek, we would be required to return the Station license to Cumulus</w:t>
      </w:r>
      <w:r w:rsidR="00DE272B">
        <w:rPr>
          <w:sz w:val="22"/>
          <w:szCs w:val="22"/>
        </w:rPr>
        <w:t>,</w:t>
      </w:r>
      <w:r w:rsidR="00073880">
        <w:rPr>
          <w:sz w:val="22"/>
          <w:szCs w:val="22"/>
        </w:rPr>
        <w:t xml:space="preserve"> which would cause Cumulus to be in violation of the local radio ownership rules</w:t>
      </w:r>
      <w:r w:rsidR="00073880" w:rsidRPr="00073880">
        <w:rPr>
          <w:sz w:val="22"/>
          <w:szCs w:val="22"/>
        </w:rPr>
        <w:t xml:space="preserve">.  </w:t>
      </w:r>
    </w:p>
    <w:p w:rsidR="00E1656E" w:rsidRDefault="00E1656E" w:rsidP="00DC4AA1">
      <w:pPr>
        <w:rPr>
          <w:sz w:val="22"/>
          <w:szCs w:val="22"/>
        </w:rPr>
      </w:pPr>
    </w:p>
    <w:p w:rsidR="005A10FC" w:rsidRDefault="005A10FC" w:rsidP="00DC4AA1">
      <w:pPr>
        <w:rPr>
          <w:sz w:val="22"/>
          <w:szCs w:val="22"/>
        </w:rPr>
      </w:pPr>
      <w:r>
        <w:rPr>
          <w:sz w:val="22"/>
          <w:szCs w:val="22"/>
        </w:rPr>
        <w:tab/>
      </w:r>
      <w:r w:rsidR="009B0BFC">
        <w:rPr>
          <w:sz w:val="22"/>
          <w:szCs w:val="22"/>
        </w:rPr>
        <w:t>W</w:t>
      </w:r>
      <w:r w:rsidR="007376E2">
        <w:rPr>
          <w:sz w:val="22"/>
          <w:szCs w:val="22"/>
        </w:rPr>
        <w:t>ith the dismissal of the License Petition, the cancellation of the Station’s license remains in effect</w:t>
      </w:r>
      <w:r w:rsidR="005361EC">
        <w:rPr>
          <w:sz w:val="22"/>
          <w:szCs w:val="22"/>
        </w:rPr>
        <w:t xml:space="preserve">.  </w:t>
      </w:r>
      <w:r w:rsidR="00535723">
        <w:rPr>
          <w:sz w:val="22"/>
          <w:szCs w:val="22"/>
        </w:rPr>
        <w:t>T</w:t>
      </w:r>
      <w:r w:rsidR="007376E2">
        <w:rPr>
          <w:sz w:val="22"/>
          <w:szCs w:val="22"/>
        </w:rPr>
        <w:t>herefore, there is nothing to assign.</w:t>
      </w:r>
      <w:r w:rsidR="007376E2">
        <w:rPr>
          <w:rStyle w:val="FootnoteReference"/>
          <w:sz w:val="22"/>
          <w:szCs w:val="22"/>
        </w:rPr>
        <w:footnoteReference w:id="28"/>
      </w:r>
      <w:r w:rsidR="007376E2">
        <w:rPr>
          <w:sz w:val="22"/>
          <w:szCs w:val="22"/>
        </w:rPr>
        <w:t xml:space="preserve">  </w:t>
      </w:r>
      <w:r w:rsidRPr="005A10FC">
        <w:rPr>
          <w:sz w:val="22"/>
          <w:szCs w:val="22"/>
        </w:rPr>
        <w:t xml:space="preserve">Accordingly the </w:t>
      </w:r>
      <w:r w:rsidR="0005172F">
        <w:rPr>
          <w:sz w:val="22"/>
          <w:szCs w:val="22"/>
        </w:rPr>
        <w:t xml:space="preserve">Assignment </w:t>
      </w:r>
      <w:r w:rsidRPr="005A10FC">
        <w:rPr>
          <w:sz w:val="22"/>
          <w:szCs w:val="22"/>
        </w:rPr>
        <w:t xml:space="preserve">Petition </w:t>
      </w:r>
      <w:r w:rsidR="00535723">
        <w:rPr>
          <w:sz w:val="22"/>
          <w:szCs w:val="22"/>
        </w:rPr>
        <w:t xml:space="preserve">also </w:t>
      </w:r>
      <w:r w:rsidR="0005172F">
        <w:rPr>
          <w:sz w:val="22"/>
          <w:szCs w:val="22"/>
        </w:rPr>
        <w:t>will be</w:t>
      </w:r>
      <w:r w:rsidRPr="005A10FC">
        <w:rPr>
          <w:sz w:val="22"/>
          <w:szCs w:val="22"/>
        </w:rPr>
        <w:t xml:space="preserve"> dismissed</w:t>
      </w:r>
      <w:r w:rsidR="009B0BFC">
        <w:rPr>
          <w:sz w:val="22"/>
          <w:szCs w:val="22"/>
        </w:rPr>
        <w:t xml:space="preserve"> as moot</w:t>
      </w:r>
      <w:r w:rsidRPr="005A10FC">
        <w:rPr>
          <w:sz w:val="22"/>
          <w:szCs w:val="22"/>
        </w:rPr>
        <w:t xml:space="preserve">. </w:t>
      </w:r>
    </w:p>
    <w:p w:rsidR="002F6906" w:rsidRDefault="002F6906" w:rsidP="00DC4AA1">
      <w:pPr>
        <w:rPr>
          <w:sz w:val="22"/>
          <w:szCs w:val="22"/>
        </w:rPr>
      </w:pPr>
    </w:p>
    <w:p w:rsidR="006359A7" w:rsidRDefault="00C7420F" w:rsidP="00725936">
      <w:pPr>
        <w:rPr>
          <w:sz w:val="22"/>
          <w:szCs w:val="22"/>
        </w:rPr>
      </w:pPr>
      <w:r>
        <w:rPr>
          <w:sz w:val="22"/>
          <w:szCs w:val="22"/>
        </w:rPr>
        <w:tab/>
      </w:r>
      <w:r w:rsidR="00E72341" w:rsidRPr="00E72341">
        <w:rPr>
          <w:b/>
          <w:sz w:val="22"/>
          <w:szCs w:val="22"/>
        </w:rPr>
        <w:t>Conclusion/Actions</w:t>
      </w:r>
      <w:r w:rsidR="00E72341" w:rsidRPr="00E72341">
        <w:rPr>
          <w:sz w:val="22"/>
          <w:szCs w:val="22"/>
        </w:rPr>
        <w:t>.</w:t>
      </w:r>
      <w:r w:rsidR="00E72341">
        <w:rPr>
          <w:sz w:val="22"/>
          <w:szCs w:val="22"/>
        </w:rPr>
        <w:t xml:space="preserve"> </w:t>
      </w:r>
      <w:r w:rsidR="00D027BB" w:rsidRPr="00D027BB">
        <w:rPr>
          <w:sz w:val="22"/>
          <w:szCs w:val="22"/>
        </w:rPr>
        <w:t>Accordingly, IT IS ORDERED, that the Supplements filed on November 12 and 25, 2013, by Whitley Media, LLC, and North Texas Radio Group, L.P., ARE DISMISSED.</w:t>
      </w:r>
      <w:r w:rsidR="00E72341">
        <w:rPr>
          <w:sz w:val="22"/>
          <w:szCs w:val="22"/>
        </w:rPr>
        <w:t xml:space="preserve"> </w:t>
      </w:r>
    </w:p>
    <w:p w:rsidR="00073880" w:rsidRDefault="00073880" w:rsidP="00725936">
      <w:pPr>
        <w:rPr>
          <w:sz w:val="22"/>
          <w:szCs w:val="22"/>
        </w:rPr>
      </w:pPr>
    </w:p>
    <w:p w:rsidR="00FB7918" w:rsidRDefault="00D027BB" w:rsidP="005F07C1">
      <w:pPr>
        <w:ind w:right="-360" w:firstLine="720"/>
        <w:rPr>
          <w:sz w:val="22"/>
          <w:szCs w:val="22"/>
        </w:rPr>
      </w:pPr>
      <w:r w:rsidRPr="00D027BB">
        <w:rPr>
          <w:sz w:val="22"/>
          <w:szCs w:val="22"/>
        </w:rPr>
        <w:t>IT IS FURTHER ORDERED, that the October 21, 2013, and November 22, 2013, Petitions for Reconsideration filed by Whitley Media, LLC, and North Texas Radio Group, L.P., ARE DISMISSED.</w:t>
      </w:r>
    </w:p>
    <w:p w:rsidR="0076244D" w:rsidRDefault="00510F0C" w:rsidP="004E4F7E">
      <w:pPr>
        <w:ind w:right="-360" w:firstLine="720"/>
        <w:rPr>
          <w:sz w:val="24"/>
          <w:szCs w:val="24"/>
        </w:rPr>
      </w:pPr>
      <w:r>
        <w:rPr>
          <w:sz w:val="22"/>
          <w:szCs w:val="22"/>
        </w:rPr>
        <w:t xml:space="preserve">         </w:t>
      </w:r>
      <w:r w:rsidR="00D35002">
        <w:rPr>
          <w:sz w:val="24"/>
          <w:szCs w:val="24"/>
        </w:rPr>
        <w:tab/>
      </w:r>
      <w:r w:rsidR="00D35002">
        <w:rPr>
          <w:sz w:val="24"/>
          <w:szCs w:val="24"/>
        </w:rPr>
        <w:tab/>
      </w:r>
      <w:r w:rsidR="00D35002">
        <w:rPr>
          <w:sz w:val="24"/>
          <w:szCs w:val="24"/>
        </w:rPr>
        <w:tab/>
      </w:r>
      <w:r w:rsidR="00D35002">
        <w:rPr>
          <w:sz w:val="24"/>
          <w:szCs w:val="24"/>
        </w:rPr>
        <w:tab/>
      </w:r>
      <w:r w:rsidR="00D35002">
        <w:rPr>
          <w:sz w:val="24"/>
          <w:szCs w:val="24"/>
        </w:rPr>
        <w:tab/>
      </w:r>
      <w:r w:rsidR="00D35002">
        <w:rPr>
          <w:sz w:val="24"/>
          <w:szCs w:val="24"/>
        </w:rPr>
        <w:tab/>
      </w:r>
    </w:p>
    <w:p w:rsidR="00574B51" w:rsidRDefault="0076244D" w:rsidP="004E4F7E">
      <w:pPr>
        <w:ind w:right="-360" w:firstLine="720"/>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5002" w:rsidRPr="0026122F">
        <w:rPr>
          <w:sz w:val="22"/>
          <w:szCs w:val="22"/>
        </w:rPr>
        <w:t>Sincerely,</w:t>
      </w:r>
    </w:p>
    <w:p w:rsidR="0095082D" w:rsidRDefault="00D35002">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6122F">
        <w:rPr>
          <w:sz w:val="22"/>
          <w:szCs w:val="22"/>
        </w:rPr>
        <w:tab/>
      </w:r>
    </w:p>
    <w:p w:rsidR="005361EC" w:rsidRDefault="005361EC">
      <w:pPr>
        <w:rPr>
          <w:sz w:val="22"/>
          <w:szCs w:val="22"/>
        </w:rPr>
      </w:pPr>
    </w:p>
    <w:p w:rsidR="003479EA" w:rsidRDefault="003479EA" w:rsidP="00E4671A">
      <w:pPr>
        <w:tabs>
          <w:tab w:val="left" w:pos="2610"/>
        </w:tabs>
        <w:rPr>
          <w:sz w:val="22"/>
          <w:szCs w:val="22"/>
        </w:rPr>
      </w:pPr>
    </w:p>
    <w:p w:rsidR="00D35002" w:rsidRPr="0026122F" w:rsidRDefault="0095082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35002" w:rsidRPr="0026122F">
        <w:rPr>
          <w:sz w:val="22"/>
          <w:szCs w:val="22"/>
        </w:rPr>
        <w:t>Peter H. Doyle</w:t>
      </w:r>
    </w:p>
    <w:p w:rsidR="00D35002" w:rsidRPr="0026122F" w:rsidRDefault="00D35002">
      <w:pPr>
        <w:rPr>
          <w:sz w:val="22"/>
          <w:szCs w:val="22"/>
        </w:rPr>
      </w:pP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000C5935">
        <w:rPr>
          <w:sz w:val="22"/>
          <w:szCs w:val="22"/>
        </w:rPr>
        <w:t xml:space="preserve">Chief, </w:t>
      </w:r>
      <w:r w:rsidRPr="0026122F">
        <w:rPr>
          <w:sz w:val="22"/>
          <w:szCs w:val="22"/>
        </w:rPr>
        <w:t>Audio Division</w:t>
      </w:r>
    </w:p>
    <w:p w:rsidR="00927F4B" w:rsidRDefault="00D35002">
      <w:pPr>
        <w:rPr>
          <w:sz w:val="22"/>
          <w:szCs w:val="22"/>
        </w:rPr>
      </w:pP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t>Media Bureau</w:t>
      </w:r>
    </w:p>
    <w:sectPr w:rsidR="00927F4B" w:rsidSect="008544EB">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BC" w:rsidRDefault="00524FBC">
      <w:r>
        <w:separator/>
      </w:r>
    </w:p>
  </w:endnote>
  <w:endnote w:type="continuationSeparator" w:id="0">
    <w:p w:rsidR="00524FBC" w:rsidRDefault="0052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9" w:rsidRDefault="00716289" w:rsidP="00A9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6289" w:rsidRDefault="00716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9" w:rsidRDefault="00716289" w:rsidP="00A9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1A2E">
      <w:rPr>
        <w:rStyle w:val="PageNumber"/>
        <w:noProof/>
      </w:rPr>
      <w:t>2</w:t>
    </w:r>
    <w:r>
      <w:rPr>
        <w:rStyle w:val="PageNumber"/>
      </w:rPr>
      <w:fldChar w:fldCharType="end"/>
    </w:r>
  </w:p>
  <w:p w:rsidR="00716289" w:rsidRDefault="007162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66" w:rsidRDefault="00814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BC" w:rsidRDefault="00524FBC">
      <w:r>
        <w:separator/>
      </w:r>
    </w:p>
  </w:footnote>
  <w:footnote w:type="continuationSeparator" w:id="0">
    <w:p w:rsidR="00524FBC" w:rsidRDefault="00524FBC">
      <w:r>
        <w:continuationSeparator/>
      </w:r>
    </w:p>
    <w:p w:rsidR="00524FBC" w:rsidRDefault="00524FBC">
      <w:r>
        <w:t>(Continued from previous page)</w:t>
      </w:r>
    </w:p>
  </w:footnote>
  <w:footnote w:type="continuationNotice" w:id="1">
    <w:p w:rsidR="00524FBC" w:rsidRDefault="00524FBC">
      <w:r>
        <w:t>(continued . . .)</w:t>
      </w:r>
    </w:p>
  </w:footnote>
  <w:footnote w:id="2">
    <w:p w:rsidR="000F131F" w:rsidRDefault="000F131F" w:rsidP="000D6744">
      <w:pPr>
        <w:pStyle w:val="FootnoteText"/>
        <w:spacing w:after="120"/>
      </w:pPr>
      <w:r w:rsidRPr="0089692D">
        <w:rPr>
          <w:rStyle w:val="FootnoteReference"/>
        </w:rPr>
        <w:footnoteRef/>
      </w:r>
      <w:r w:rsidRPr="0089692D">
        <w:t xml:space="preserve"> </w:t>
      </w:r>
      <w:r w:rsidR="007123A2">
        <w:t>Whitley and North Texas filed a Supplement to the Assignment Petition (“Supplement”) on November 12, 2013.  We note that o</w:t>
      </w:r>
      <w:r w:rsidR="00B44539">
        <w:t xml:space="preserve">n October 31, 2013, First IV Media, Inc. (“First IV”), licensee of </w:t>
      </w:r>
      <w:r w:rsidR="00ED41F1">
        <w:t>S</w:t>
      </w:r>
      <w:r w:rsidR="00B44539">
        <w:t>tation KGAF(AM), Gainesville, Texas,</w:t>
      </w:r>
      <w:r w:rsidR="008D2C2F">
        <w:t xml:space="preserve"> </w:t>
      </w:r>
      <w:r w:rsidR="00B44539">
        <w:t>filed a Motion to Dismiss the Petition</w:t>
      </w:r>
      <w:r w:rsidR="003D773A">
        <w:t xml:space="preserve"> (“Motion”)</w:t>
      </w:r>
      <w:r w:rsidR="00B44539">
        <w:t>, which</w:t>
      </w:r>
      <w:r w:rsidR="008D2C2F">
        <w:t xml:space="preserve">, on November 13, 2013, </w:t>
      </w:r>
      <w:r w:rsidR="00B44539">
        <w:t>Whitley and North Texas opposed (“Opposition</w:t>
      </w:r>
      <w:r w:rsidR="00FB572E">
        <w:t xml:space="preserve"> to Motion</w:t>
      </w:r>
      <w:r w:rsidR="00B44539">
        <w:t xml:space="preserve">”).  On November 25, 2013, First IV </w:t>
      </w:r>
      <w:r w:rsidR="00EF5291">
        <w:t>replied</w:t>
      </w:r>
      <w:r w:rsidR="00E92040">
        <w:t xml:space="preserve"> </w:t>
      </w:r>
      <w:r w:rsidR="00B44539">
        <w:t>(“Reply”) to the Opposition</w:t>
      </w:r>
      <w:r w:rsidR="0072157A">
        <w:t xml:space="preserve"> to Motion</w:t>
      </w:r>
      <w:r w:rsidR="00B44539">
        <w:t xml:space="preserve">. </w:t>
      </w:r>
      <w:r w:rsidRPr="0089692D">
        <w:t xml:space="preserve">   </w:t>
      </w:r>
    </w:p>
  </w:footnote>
  <w:footnote w:id="3">
    <w:p w:rsidR="000D6744" w:rsidRPr="00E92040" w:rsidRDefault="000D6744" w:rsidP="000D6744">
      <w:pPr>
        <w:pStyle w:val="FootnoteText"/>
        <w:spacing w:after="120"/>
        <w:rPr>
          <w:i/>
        </w:rPr>
      </w:pPr>
      <w:r>
        <w:rPr>
          <w:rStyle w:val="FootnoteReference"/>
        </w:rPr>
        <w:footnoteRef/>
      </w:r>
      <w:r>
        <w:t xml:space="preserve"> </w:t>
      </w:r>
      <w:r w:rsidR="00E92040">
        <w:rPr>
          <w:i/>
        </w:rPr>
        <w:t xml:space="preserve">See Lewis J. Paper, Esq., and Larry Perry, Esq., </w:t>
      </w:r>
      <w:r w:rsidR="00E92040">
        <w:t>Letter, DA 13-1938 (MB rel. Sep. 19, 2013) (“</w:t>
      </w:r>
      <w:r w:rsidR="00E92040">
        <w:rPr>
          <w:i/>
        </w:rPr>
        <w:t>Staff Decision</w:t>
      </w:r>
      <w:r w:rsidR="00E92040">
        <w:t xml:space="preserve">”). </w:t>
      </w:r>
      <w:r w:rsidR="00E92040">
        <w:rPr>
          <w:i/>
        </w:rPr>
        <w:t xml:space="preserve"> </w:t>
      </w:r>
    </w:p>
  </w:footnote>
  <w:footnote w:id="4">
    <w:p w:rsidR="000D6744" w:rsidRDefault="000D6744" w:rsidP="000D6744">
      <w:pPr>
        <w:pStyle w:val="FootnoteText"/>
        <w:spacing w:after="120"/>
      </w:pPr>
      <w:r>
        <w:rPr>
          <w:rStyle w:val="FootnoteReference"/>
        </w:rPr>
        <w:footnoteRef/>
      </w:r>
      <w:r>
        <w:t xml:space="preserve"> On November 25, 2013, Whitley and North Texas filed a Supplement to the License Petition</w:t>
      </w:r>
      <w:r w:rsidR="008302A5">
        <w:t xml:space="preserve"> (“License Petition Supplement”)</w:t>
      </w:r>
      <w:r>
        <w:t xml:space="preserve">. </w:t>
      </w:r>
    </w:p>
  </w:footnote>
  <w:footnote w:id="5">
    <w:p w:rsidR="00E92040" w:rsidRPr="00E92040" w:rsidRDefault="00E92040" w:rsidP="003954F8">
      <w:pPr>
        <w:pStyle w:val="FootnoteText"/>
        <w:spacing w:after="120"/>
        <w:rPr>
          <w:i/>
        </w:rPr>
      </w:pPr>
      <w:r>
        <w:rPr>
          <w:rStyle w:val="FootnoteReference"/>
        </w:rPr>
        <w:footnoteRef/>
      </w:r>
      <w:r>
        <w:t xml:space="preserve"> </w:t>
      </w:r>
      <w:r w:rsidRPr="005D103B">
        <w:rPr>
          <w:i/>
        </w:rPr>
        <w:t xml:space="preserve">See Letter to Marlene H. Dortch, Secretary, FCC, </w:t>
      </w:r>
      <w:r w:rsidRPr="005D103B">
        <w:t xml:space="preserve">filed </w:t>
      </w:r>
      <w:r w:rsidR="0007056E" w:rsidRPr="005D103B">
        <w:t>September 30</w:t>
      </w:r>
      <w:r w:rsidRPr="005D103B">
        <w:t xml:space="preserve">, 2013, by </w:t>
      </w:r>
      <w:r w:rsidR="002F36CE" w:rsidRPr="005D103B">
        <w:t>Susquehanna</w:t>
      </w:r>
      <w:r w:rsidR="005D103B" w:rsidRPr="005D103B">
        <w:t>,</w:t>
      </w:r>
      <w:r w:rsidR="003954F8">
        <w:t xml:space="preserve"> </w:t>
      </w:r>
      <w:r w:rsidR="005D103B" w:rsidRPr="005D103B">
        <w:t xml:space="preserve">giving notice that the Station </w:t>
      </w:r>
      <w:r w:rsidR="003954F8">
        <w:t>would</w:t>
      </w:r>
      <w:r w:rsidR="005D103B" w:rsidRPr="005D103B">
        <w:t xml:space="preserve"> permanently discontinue operations as of </w:t>
      </w:r>
      <w:r w:rsidR="005D103B" w:rsidRPr="003954F8">
        <w:rPr>
          <w:iCs/>
        </w:rPr>
        <w:t>11:59</w:t>
      </w:r>
      <w:r w:rsidR="005D103B" w:rsidRPr="005D103B">
        <w:rPr>
          <w:i/>
          <w:iCs/>
        </w:rPr>
        <w:t xml:space="preserve"> </w:t>
      </w:r>
      <w:r w:rsidR="005D103B" w:rsidRPr="005D103B">
        <w:rPr>
          <w:bCs/>
        </w:rPr>
        <w:t xml:space="preserve">p.m. </w:t>
      </w:r>
      <w:r w:rsidR="005D103B" w:rsidRPr="005D103B">
        <w:t>on Sunday</w:t>
      </w:r>
      <w:r w:rsidR="003954F8">
        <w:t xml:space="preserve">, </w:t>
      </w:r>
      <w:r w:rsidR="005D103B" w:rsidRPr="005D103B">
        <w:t>October 6, 2013</w:t>
      </w:r>
      <w:r w:rsidR="003954F8">
        <w:t>, i</w:t>
      </w:r>
      <w:r w:rsidR="005D103B" w:rsidRPr="005D103B">
        <w:t xml:space="preserve">n accordance with </w:t>
      </w:r>
      <w:r w:rsidR="003954F8">
        <w:t xml:space="preserve">47 C.F.R. § </w:t>
      </w:r>
      <w:r w:rsidR="005D103B" w:rsidRPr="005D103B">
        <w:t>73.1750</w:t>
      </w:r>
      <w:r w:rsidR="003954F8">
        <w:t xml:space="preserve"> and that</w:t>
      </w:r>
      <w:r w:rsidR="005D103B" w:rsidRPr="005D103B">
        <w:t xml:space="preserve"> the license and all other</w:t>
      </w:r>
      <w:r w:rsidR="003954F8">
        <w:t xml:space="preserve"> </w:t>
      </w:r>
      <w:r w:rsidR="005D103B" w:rsidRPr="005D103B">
        <w:t>instruments of authorization w</w:t>
      </w:r>
      <w:r w:rsidR="003954F8">
        <w:t>ould</w:t>
      </w:r>
      <w:r w:rsidR="005D103B" w:rsidRPr="005D103B">
        <w:t xml:space="preserve"> be forwarded to the </w:t>
      </w:r>
      <w:r w:rsidR="003954F8">
        <w:t xml:space="preserve">Commission </w:t>
      </w:r>
      <w:r w:rsidR="005D103B" w:rsidRPr="005D103B">
        <w:t>on Monday</w:t>
      </w:r>
      <w:r w:rsidR="003954F8">
        <w:t xml:space="preserve">, </w:t>
      </w:r>
      <w:r w:rsidR="005D103B" w:rsidRPr="005D103B">
        <w:t>October 7, 2013.</w:t>
      </w:r>
      <w:r w:rsidR="000A64E6">
        <w:t xml:space="preserve">  </w:t>
      </w:r>
      <w:r w:rsidR="000A64E6">
        <w:rPr>
          <w:i/>
        </w:rPr>
        <w:t xml:space="preserve">See Broadcast Actions, </w:t>
      </w:r>
      <w:r w:rsidR="000A64E6">
        <w:t>Public Notice, Report No. 48100 (rel. Oct. 23, 2013).</w:t>
      </w:r>
      <w:r w:rsidR="005E0DE0">
        <w:t xml:space="preserve">  </w:t>
      </w:r>
      <w:r w:rsidR="005E0DE0" w:rsidRPr="005E0DE0">
        <w:t xml:space="preserve"> </w:t>
      </w:r>
      <w:r w:rsidR="005E0DE0">
        <w:t xml:space="preserve">   </w:t>
      </w:r>
      <w:r w:rsidR="002F36CE">
        <w:t xml:space="preserve"> </w:t>
      </w:r>
      <w:r>
        <w:t xml:space="preserve"> </w:t>
      </w:r>
      <w:r>
        <w:rPr>
          <w:i/>
        </w:rPr>
        <w:t xml:space="preserve"> </w:t>
      </w:r>
    </w:p>
  </w:footnote>
  <w:footnote w:id="6">
    <w:p w:rsidR="00205423" w:rsidRDefault="00205423" w:rsidP="003954F8">
      <w:pPr>
        <w:pStyle w:val="FootnoteText"/>
        <w:spacing w:after="120"/>
      </w:pPr>
      <w:r>
        <w:rPr>
          <w:rStyle w:val="FootnoteReference"/>
        </w:rPr>
        <w:footnoteRef/>
      </w:r>
      <w:r>
        <w:t xml:space="preserve"> </w:t>
      </w:r>
      <w:r w:rsidRPr="00205423">
        <w:rPr>
          <w:i/>
        </w:rPr>
        <w:t>See</w:t>
      </w:r>
      <w:r>
        <w:t xml:space="preserve"> Arbitron </w:t>
      </w:r>
      <w:r w:rsidR="003954F8" w:rsidRPr="005D103B">
        <w:t>Commission</w:t>
      </w:r>
      <w:r w:rsidR="003954F8">
        <w:t xml:space="preserve"> </w:t>
      </w:r>
      <w:r>
        <w:t>Radio Market Rankings:  Spring</w:t>
      </w:r>
      <w:r w:rsidR="003D773A">
        <w:t xml:space="preserve"> </w:t>
      </w:r>
      <w:r>
        <w:t>2013.</w:t>
      </w:r>
    </w:p>
  </w:footnote>
  <w:footnote w:id="7">
    <w:p w:rsidR="00205423" w:rsidRDefault="00205423" w:rsidP="003954F8">
      <w:pPr>
        <w:pStyle w:val="FootnoteText"/>
        <w:spacing w:after="120"/>
      </w:pPr>
      <w:r>
        <w:rPr>
          <w:rStyle w:val="FootnoteReference"/>
        </w:rPr>
        <w:footnoteRef/>
      </w:r>
      <w:r>
        <w:t xml:space="preserve"> 47 C.F.R. § 73.3555(a)(1</w:t>
      </w:r>
      <w:r w:rsidR="00765565">
        <w:t>)(i)</w:t>
      </w:r>
      <w:r>
        <w:t xml:space="preserve">. </w:t>
      </w:r>
    </w:p>
  </w:footnote>
  <w:footnote w:id="8">
    <w:p w:rsidR="00205423" w:rsidRDefault="00205423" w:rsidP="00E92040">
      <w:pPr>
        <w:pStyle w:val="FootnoteText"/>
        <w:spacing w:after="120"/>
      </w:pPr>
      <w:r>
        <w:rPr>
          <w:rStyle w:val="FootnoteReference"/>
        </w:rPr>
        <w:footnoteRef/>
      </w:r>
      <w:r>
        <w:t xml:space="preserve"> WBAP(AM), </w:t>
      </w:r>
      <w:r w:rsidR="00F81037">
        <w:t>Fort</w:t>
      </w:r>
      <w:r>
        <w:t xml:space="preserve"> Worth</w:t>
      </w:r>
      <w:r w:rsidR="00A26F58">
        <w:t xml:space="preserve"> </w:t>
      </w:r>
      <w:r>
        <w:t>(Fac. ID No. 71200); WBAP-FM, Flower Mound</w:t>
      </w:r>
      <w:r w:rsidR="00A26F58">
        <w:t xml:space="preserve"> </w:t>
      </w:r>
      <w:r>
        <w:t xml:space="preserve">(Fac. ID No. 26468); </w:t>
      </w:r>
      <w:r w:rsidR="003158B2">
        <w:t>KSCS(FM), Fort Worth</w:t>
      </w:r>
      <w:r w:rsidR="00A26F58">
        <w:t xml:space="preserve"> </w:t>
      </w:r>
      <w:r w:rsidR="003158B2">
        <w:t>(Fac. ID No. 71201); KLIF(AM), Dallas</w:t>
      </w:r>
      <w:r w:rsidR="00A26F58">
        <w:t xml:space="preserve"> </w:t>
      </w:r>
      <w:r w:rsidR="003158B2">
        <w:t>(Fac. ID No. 35061); KPLX(FM), Fort Worth</w:t>
      </w:r>
      <w:r w:rsidR="00A26F58">
        <w:t xml:space="preserve"> </w:t>
      </w:r>
      <w:r w:rsidR="003158B2">
        <w:t>(Fac. ID No. 54675); KLIF-FM, Haltom</w:t>
      </w:r>
      <w:r w:rsidR="00A26F58">
        <w:t xml:space="preserve"> </w:t>
      </w:r>
      <w:r w:rsidR="003158B2">
        <w:t xml:space="preserve">(Fac. ID No. 27299); </w:t>
      </w:r>
      <w:r w:rsidR="00A26F58">
        <w:t xml:space="preserve">and </w:t>
      </w:r>
      <w:r w:rsidR="003158B2">
        <w:t>KTCK(AM), Dallas (Fac. ID No. 8773)</w:t>
      </w:r>
      <w:r w:rsidR="003D773A">
        <w:t xml:space="preserve">.    </w:t>
      </w:r>
    </w:p>
  </w:footnote>
  <w:footnote w:id="9">
    <w:p w:rsidR="00DB5E43" w:rsidRDefault="00DB5E43" w:rsidP="00BB122D">
      <w:pPr>
        <w:pStyle w:val="FootnoteText"/>
        <w:spacing w:after="120"/>
      </w:pPr>
      <w:r>
        <w:rPr>
          <w:rStyle w:val="FootnoteReference"/>
        </w:rPr>
        <w:footnoteRef/>
      </w:r>
      <w:r>
        <w:t xml:space="preserve"> </w:t>
      </w:r>
      <w:r w:rsidRPr="00F36E59">
        <w:rPr>
          <w:i/>
        </w:rPr>
        <w:t>See</w:t>
      </w:r>
      <w:r>
        <w:t xml:space="preserve"> Assignment Application, Exhibit 5 and Attachment 5 (emphasis in original).</w:t>
      </w:r>
    </w:p>
  </w:footnote>
  <w:footnote w:id="10">
    <w:p w:rsidR="00BB122D" w:rsidRPr="00503FC5" w:rsidRDefault="00BB122D" w:rsidP="00DF4387">
      <w:pPr>
        <w:pStyle w:val="FootnoteText"/>
        <w:tabs>
          <w:tab w:val="left" w:pos="2610"/>
        </w:tabs>
        <w:spacing w:after="120"/>
        <w:rPr>
          <w:b/>
        </w:rPr>
      </w:pPr>
      <w:r>
        <w:rPr>
          <w:rStyle w:val="FootnoteReference"/>
        </w:rPr>
        <w:footnoteRef/>
      </w:r>
      <w:r>
        <w:t xml:space="preserve"> </w:t>
      </w:r>
      <w:r>
        <w:rPr>
          <w:i/>
        </w:rPr>
        <w:t xml:space="preserve">See </w:t>
      </w:r>
      <w:r w:rsidR="00DE40D5">
        <w:t>M</w:t>
      </w:r>
      <w:r>
        <w:t>otion at Attachment</w:t>
      </w:r>
      <w:r w:rsidR="00E4671A">
        <w:t>s</w:t>
      </w:r>
      <w:r>
        <w:t xml:space="preserve"> </w:t>
      </w:r>
      <w:r w:rsidR="005F1A72">
        <w:t>1</w:t>
      </w:r>
      <w:r w:rsidR="00E4671A">
        <w:t xml:space="preserve"> and 2</w:t>
      </w:r>
      <w:r w:rsidR="005F1A72">
        <w:t xml:space="preserve"> </w:t>
      </w:r>
      <w:r>
        <w:t>(</w:t>
      </w:r>
      <w:r w:rsidRPr="004918AB">
        <w:rPr>
          <w:i/>
        </w:rPr>
        <w:t>ESPN Audio Restructures Operations in the Dallas Market</w:t>
      </w:r>
      <w:r w:rsidR="004918AB">
        <w:t>, ESPN Media Zone, Aug. 7, 2013</w:t>
      </w:r>
      <w:r w:rsidR="00E4671A" w:rsidRPr="00E4671A">
        <w:t xml:space="preserve"> and </w:t>
      </w:r>
      <w:r w:rsidR="00E4671A" w:rsidRPr="00E4671A">
        <w:rPr>
          <w:i/>
        </w:rPr>
        <w:t>Cumulus to LMA ESPN 103.3 Dallas</w:t>
      </w:r>
      <w:r w:rsidR="00E4671A" w:rsidRPr="00E4671A">
        <w:t>, Radio Insight, Oct. 4, 2013</w:t>
      </w:r>
      <w:r w:rsidR="00E4671A">
        <w:t>)</w:t>
      </w:r>
      <w:r w:rsidR="00202B34">
        <w:t>;</w:t>
      </w:r>
      <w:r w:rsidR="00202B34">
        <w:rPr>
          <w:i/>
        </w:rPr>
        <w:t xml:space="preserve"> see also </w:t>
      </w:r>
      <w:r w:rsidR="00202B34" w:rsidRPr="00202B34">
        <w:t xml:space="preserve">LMA </w:t>
      </w:r>
      <w:r w:rsidR="00BA0E9D">
        <w:t xml:space="preserve">executed October 8, 2013, and </w:t>
      </w:r>
      <w:r w:rsidR="00202B34" w:rsidRPr="00202B34">
        <w:t xml:space="preserve">filed by Cumulus and </w:t>
      </w:r>
      <w:r w:rsidR="00B12CB8">
        <w:t xml:space="preserve">KESN Assets, LLC, an </w:t>
      </w:r>
      <w:r w:rsidR="00202B34" w:rsidRPr="00202B34">
        <w:t>ESPN</w:t>
      </w:r>
      <w:r w:rsidR="00B12CB8">
        <w:t xml:space="preserve"> affiliate,</w:t>
      </w:r>
      <w:r w:rsidR="00202B34" w:rsidRPr="00202B34">
        <w:t xml:space="preserve"> on</w:t>
      </w:r>
      <w:r w:rsidR="001B1C08">
        <w:t xml:space="preserve"> January</w:t>
      </w:r>
      <w:r w:rsidR="005C388A">
        <w:t xml:space="preserve"> 28</w:t>
      </w:r>
      <w:r w:rsidR="001B1C08">
        <w:t xml:space="preserve">, 2014. </w:t>
      </w:r>
      <w:r w:rsidR="001963F7">
        <w:t xml:space="preserve">  </w:t>
      </w:r>
    </w:p>
  </w:footnote>
  <w:footnote w:id="11">
    <w:p w:rsidR="00A26F58" w:rsidRPr="00610CBD" w:rsidRDefault="00A26F58" w:rsidP="00BB122D">
      <w:pPr>
        <w:pStyle w:val="FootnoteText"/>
        <w:spacing w:after="120"/>
      </w:pPr>
      <w:r w:rsidRPr="00610CBD">
        <w:rPr>
          <w:rStyle w:val="FootnoteReference"/>
        </w:rPr>
        <w:footnoteRef/>
      </w:r>
      <w:r w:rsidRPr="00610CBD">
        <w:t xml:space="preserve"> </w:t>
      </w:r>
      <w:r w:rsidR="003954F8" w:rsidRPr="00610CBD">
        <w:rPr>
          <w:i/>
        </w:rPr>
        <w:t xml:space="preserve">See </w:t>
      </w:r>
      <w:r w:rsidR="009572F8" w:rsidRPr="00610CBD">
        <w:t>Notice of Withdrawal of Petition for Reconsideration</w:t>
      </w:r>
      <w:r w:rsidR="009572F8" w:rsidRPr="00610CBD">
        <w:rPr>
          <w:i/>
        </w:rPr>
        <w:t xml:space="preserve"> </w:t>
      </w:r>
      <w:r w:rsidR="009572F8" w:rsidRPr="00610CBD">
        <w:t>filed October 17, 2013</w:t>
      </w:r>
      <w:r w:rsidR="001963F7" w:rsidRPr="00610CBD">
        <w:t>.</w:t>
      </w:r>
      <w:r w:rsidR="009572F8" w:rsidRPr="00610CBD">
        <w:t xml:space="preserve"> </w:t>
      </w:r>
      <w:r w:rsidR="00B91F14" w:rsidRPr="00610CBD">
        <w:rPr>
          <w:i/>
        </w:rPr>
        <w:t>S</w:t>
      </w:r>
      <w:r w:rsidR="009572F8" w:rsidRPr="00610CBD">
        <w:rPr>
          <w:i/>
        </w:rPr>
        <w:t xml:space="preserve">ee also </w:t>
      </w:r>
      <w:r w:rsidR="003954F8" w:rsidRPr="00610CBD">
        <w:t xml:space="preserve">n.4, </w:t>
      </w:r>
      <w:r w:rsidR="003954F8" w:rsidRPr="00610CBD">
        <w:rPr>
          <w:i/>
        </w:rPr>
        <w:t>supra.</w:t>
      </w:r>
      <w:r w:rsidR="00401BEC" w:rsidRPr="00610CBD">
        <w:t xml:space="preserve">  Cumulus’ long-term LMA with Station KESN(FM), Dallas, took effect on October 8, 2013.</w:t>
      </w:r>
      <w:r w:rsidR="00B15603" w:rsidRPr="00610CBD">
        <w:rPr>
          <w:i/>
        </w:rPr>
        <w:t xml:space="preserve">  </w:t>
      </w:r>
      <w:r w:rsidR="003954F8" w:rsidRPr="00610CBD">
        <w:rPr>
          <w:i/>
        </w:rPr>
        <w:t xml:space="preserve">  </w:t>
      </w:r>
      <w:r w:rsidR="002B3FC6" w:rsidRPr="00610CBD">
        <w:t xml:space="preserve">   </w:t>
      </w:r>
    </w:p>
  </w:footnote>
  <w:footnote w:id="12">
    <w:p w:rsidR="00A31A83" w:rsidRDefault="00A31A83" w:rsidP="000E6FAC">
      <w:pPr>
        <w:pStyle w:val="FootnoteText"/>
        <w:spacing w:after="120"/>
      </w:pPr>
      <w:r>
        <w:rPr>
          <w:rStyle w:val="FootnoteReference"/>
        </w:rPr>
        <w:footnoteRef/>
      </w:r>
      <w:r>
        <w:t xml:space="preserve"> </w:t>
      </w:r>
      <w:r w:rsidR="005D5AE5">
        <w:t xml:space="preserve">Assignment </w:t>
      </w:r>
      <w:r>
        <w:t>Petition at 2.</w:t>
      </w:r>
    </w:p>
  </w:footnote>
  <w:footnote w:id="13">
    <w:p w:rsidR="00E94FDF" w:rsidRPr="00E94FDF" w:rsidRDefault="00E94FDF" w:rsidP="005C3E6F">
      <w:pPr>
        <w:pStyle w:val="FootnoteText"/>
        <w:spacing w:after="120"/>
      </w:pPr>
      <w:r>
        <w:rPr>
          <w:rStyle w:val="FootnoteReference"/>
        </w:rPr>
        <w:footnoteRef/>
      </w:r>
      <w:r>
        <w:t xml:space="preserve"> </w:t>
      </w:r>
      <w:r>
        <w:rPr>
          <w:i/>
        </w:rPr>
        <w:t xml:space="preserve">Id. </w:t>
      </w:r>
      <w:r>
        <w:t>at 2 and 5.</w:t>
      </w:r>
      <w:r w:rsidR="003B560E">
        <w:t xml:space="preserve">  </w:t>
      </w:r>
      <w:r w:rsidR="00022EBF">
        <w:t>Commission</w:t>
      </w:r>
      <w:r w:rsidR="0096254C">
        <w:t xml:space="preserve"> records indicate</w:t>
      </w:r>
      <w:r w:rsidR="003B560E">
        <w:t xml:space="preserve"> that Whitley and North Texas never filed an application for consent to the assignment of the Station from Whitley to North Texas.</w:t>
      </w:r>
    </w:p>
  </w:footnote>
  <w:footnote w:id="14">
    <w:p w:rsidR="00E94FDF" w:rsidRDefault="00E94FDF" w:rsidP="005C3E6F">
      <w:pPr>
        <w:pStyle w:val="FootnoteText"/>
        <w:spacing w:after="120"/>
      </w:pPr>
      <w:r>
        <w:rPr>
          <w:rStyle w:val="FootnoteReference"/>
        </w:rPr>
        <w:footnoteRef/>
      </w:r>
      <w:r>
        <w:t xml:space="preserve"> </w:t>
      </w:r>
      <w:r>
        <w:rPr>
          <w:i/>
        </w:rPr>
        <w:t xml:space="preserve">Id. </w:t>
      </w:r>
      <w:r>
        <w:t xml:space="preserve">at </w:t>
      </w:r>
      <w:r w:rsidR="001A5FC3">
        <w:t xml:space="preserve">5, </w:t>
      </w:r>
      <w:r>
        <w:t xml:space="preserve">6. </w:t>
      </w:r>
    </w:p>
  </w:footnote>
  <w:footnote w:id="15">
    <w:p w:rsidR="005C3E6F" w:rsidRDefault="005C3E6F" w:rsidP="007E39EB">
      <w:pPr>
        <w:pStyle w:val="FootnoteText"/>
        <w:spacing w:after="120"/>
      </w:pPr>
      <w:r>
        <w:rPr>
          <w:rStyle w:val="FootnoteReference"/>
        </w:rPr>
        <w:footnoteRef/>
      </w:r>
      <w:r>
        <w:t xml:space="preserve"> Supplement at 2. </w:t>
      </w:r>
    </w:p>
  </w:footnote>
  <w:footnote w:id="16">
    <w:p w:rsidR="0016265F" w:rsidRPr="0016265F" w:rsidRDefault="0016265F" w:rsidP="007E39EB">
      <w:pPr>
        <w:pStyle w:val="FootnoteText"/>
        <w:spacing w:after="120"/>
      </w:pPr>
      <w:r>
        <w:rPr>
          <w:rStyle w:val="FootnoteReference"/>
        </w:rPr>
        <w:footnoteRef/>
      </w:r>
      <w:r>
        <w:t xml:space="preserve"> </w:t>
      </w:r>
      <w:r>
        <w:rPr>
          <w:i/>
        </w:rPr>
        <w:t xml:space="preserve">Id. </w:t>
      </w:r>
      <w:r>
        <w:t>at 6.</w:t>
      </w:r>
    </w:p>
  </w:footnote>
  <w:footnote w:id="17">
    <w:p w:rsidR="008302A5" w:rsidRPr="008302A5" w:rsidRDefault="008302A5" w:rsidP="007E39EB">
      <w:pPr>
        <w:pStyle w:val="FootnoteText"/>
        <w:spacing w:after="120"/>
      </w:pPr>
      <w:r>
        <w:rPr>
          <w:rStyle w:val="FootnoteReference"/>
        </w:rPr>
        <w:footnoteRef/>
      </w:r>
      <w:r>
        <w:t xml:space="preserve"> </w:t>
      </w:r>
      <w:r>
        <w:rPr>
          <w:i/>
        </w:rPr>
        <w:t xml:space="preserve">See </w:t>
      </w:r>
      <w:r>
        <w:t xml:space="preserve">License Petition </w:t>
      </w:r>
      <w:r w:rsidR="0035209F">
        <w:t xml:space="preserve">Supplement </w:t>
      </w:r>
      <w:r>
        <w:t>at Attachment</w:t>
      </w:r>
      <w:r w:rsidR="00D72436">
        <w:t xml:space="preserve"> (“Declaration</w:t>
      </w:r>
      <w:r w:rsidR="005214C7">
        <w:t xml:space="preserve"> of Richard S. Denning”</w:t>
      </w:r>
      <w:r w:rsidR="00D72436">
        <w:t>)</w:t>
      </w:r>
      <w:r>
        <w:t xml:space="preserve">.  </w:t>
      </w:r>
    </w:p>
  </w:footnote>
  <w:footnote w:id="18">
    <w:p w:rsidR="00C7420F" w:rsidRPr="006734F6" w:rsidRDefault="00C7420F" w:rsidP="007E39EB">
      <w:pPr>
        <w:pStyle w:val="FootnoteText"/>
        <w:spacing w:after="120"/>
      </w:pPr>
      <w:r w:rsidRPr="006734F6">
        <w:rPr>
          <w:rStyle w:val="FootnoteReference"/>
        </w:rPr>
        <w:footnoteRef/>
      </w:r>
      <w:r w:rsidRPr="006734F6">
        <w:t xml:space="preserve"> </w:t>
      </w:r>
      <w:hyperlink r:id="rId1" w:tgtFrame="_top" w:history="1">
        <w:r w:rsidRPr="006734F6">
          <w:rPr>
            <w:rStyle w:val="Hyperlink"/>
            <w:color w:val="auto"/>
            <w:u w:val="none"/>
          </w:rPr>
          <w:t xml:space="preserve">47 C.F.R. § </w:t>
        </w:r>
        <w:r>
          <w:rPr>
            <w:rStyle w:val="Hyperlink"/>
            <w:color w:val="auto"/>
            <w:u w:val="none"/>
          </w:rPr>
          <w:t>405(a)</w:t>
        </w:r>
      </w:hyperlink>
      <w:r w:rsidRPr="006734F6">
        <w:t>.</w:t>
      </w:r>
    </w:p>
  </w:footnote>
  <w:footnote w:id="19">
    <w:p w:rsidR="00C7420F" w:rsidRPr="006734F6" w:rsidRDefault="00C7420F" w:rsidP="007E39EB">
      <w:pPr>
        <w:pStyle w:val="FootnoteText"/>
        <w:spacing w:after="120"/>
      </w:pPr>
      <w:r>
        <w:rPr>
          <w:rStyle w:val="FootnoteReference"/>
        </w:rPr>
        <w:footnoteRef/>
      </w:r>
      <w:r>
        <w:t xml:space="preserve"> </w:t>
      </w:r>
      <w:hyperlink r:id="rId2" w:tgtFrame="_top" w:history="1">
        <w:r w:rsidRPr="006734F6">
          <w:rPr>
            <w:rStyle w:val="Hyperlink"/>
            <w:color w:val="auto"/>
            <w:u w:val="none"/>
          </w:rPr>
          <w:t>47 C.F.R. § 1.106(b)(1)</w:t>
        </w:r>
      </w:hyperlink>
      <w:r w:rsidRPr="006734F6">
        <w:t>.</w:t>
      </w:r>
    </w:p>
  </w:footnote>
  <w:footnote w:id="20">
    <w:p w:rsidR="00950002" w:rsidRPr="002D7F4A" w:rsidRDefault="00950002" w:rsidP="007E39EB">
      <w:pPr>
        <w:pStyle w:val="FootnoteText"/>
        <w:spacing w:after="120"/>
      </w:pPr>
      <w:r w:rsidRPr="002D7F4A">
        <w:rPr>
          <w:rStyle w:val="FootnoteReference"/>
        </w:rPr>
        <w:footnoteRef/>
      </w:r>
      <w:r w:rsidRPr="002D7F4A">
        <w:t xml:space="preserve"> </w:t>
      </w:r>
      <w:bookmarkStart w:id="8" w:name="SR;613"/>
      <w:bookmarkEnd w:id="8"/>
      <w:r w:rsidRPr="002D7F4A">
        <w:fldChar w:fldCharType="begin"/>
      </w:r>
      <w:r w:rsidR="00671A2E">
        <w:instrText>HYPERLINK "http://web2.westlaw.com/find/default.wl?mt=Westlaw&amp;db=1000547&amp;docname=47CFRS1.45&amp;rp=%2ffind%2fdefault.wl&amp;findtype=L&amp;ordoc=1982034209&amp;tc=-1&amp;vr=2.0&amp;fn=_top&amp;sv=Split&amp;tf=-1&amp;pbc=ACC83087&amp;rs=WLW13.10" \t "_top"</w:instrText>
      </w:r>
      <w:r w:rsidRPr="002D7F4A">
        <w:fldChar w:fldCharType="separate"/>
      </w:r>
      <w:r w:rsidRPr="002D7F4A">
        <w:rPr>
          <w:rStyle w:val="Hyperlink"/>
          <w:color w:val="auto"/>
          <w:u w:val="none"/>
        </w:rPr>
        <w:t xml:space="preserve">47 C.F.R. § </w:t>
      </w:r>
      <w:r w:rsidRPr="002D7F4A">
        <w:rPr>
          <w:rStyle w:val="Hyperlink"/>
          <w:bCs/>
          <w:color w:val="auto"/>
          <w:u w:val="none"/>
        </w:rPr>
        <w:t>1</w:t>
      </w:r>
      <w:r w:rsidRPr="002D7F4A">
        <w:rPr>
          <w:rStyle w:val="Hyperlink"/>
          <w:color w:val="auto"/>
          <w:u w:val="none"/>
        </w:rPr>
        <w:t>.</w:t>
      </w:r>
      <w:r w:rsidRPr="002D7F4A">
        <w:rPr>
          <w:rStyle w:val="Hyperlink"/>
          <w:bCs/>
          <w:color w:val="auto"/>
          <w:u w:val="none"/>
        </w:rPr>
        <w:t>45</w:t>
      </w:r>
      <w:r w:rsidRPr="002D7F4A">
        <w:fldChar w:fldCharType="end"/>
      </w:r>
      <w:r w:rsidRPr="002D7F4A">
        <w:t>.</w:t>
      </w:r>
    </w:p>
  </w:footnote>
  <w:footnote w:id="21">
    <w:p w:rsidR="002D7F4A" w:rsidRPr="002D7F4A" w:rsidRDefault="002D7F4A" w:rsidP="007E39EB">
      <w:pPr>
        <w:pStyle w:val="FootnoteText"/>
        <w:spacing w:after="120"/>
      </w:pPr>
      <w:r w:rsidRPr="002D7F4A">
        <w:rPr>
          <w:rStyle w:val="FootnoteReference"/>
        </w:rPr>
        <w:footnoteRef/>
      </w:r>
      <w:r w:rsidRPr="002D7F4A">
        <w:t xml:space="preserve"> </w:t>
      </w:r>
      <w:r w:rsidRPr="002D7F4A">
        <w:rPr>
          <w:i/>
          <w:iCs/>
        </w:rPr>
        <w:t xml:space="preserve">See, e.g., </w:t>
      </w:r>
      <w:hyperlink r:id="rId3" w:tgtFrame="_top" w:history="1">
        <w:r w:rsidRPr="002D7F4A">
          <w:rPr>
            <w:rStyle w:val="Hyperlink"/>
            <w:i/>
            <w:iCs/>
            <w:color w:val="auto"/>
            <w:u w:val="none"/>
          </w:rPr>
          <w:t>Lee. G. Petro, Esq.</w:t>
        </w:r>
        <w:r w:rsidRPr="002D7F4A">
          <w:rPr>
            <w:rStyle w:val="Hyperlink"/>
            <w:color w:val="auto"/>
            <w:u w:val="none"/>
          </w:rPr>
          <w:t>, Letter, 25 FCC Rcd 4486, 4488 (MB 2010)</w:t>
        </w:r>
      </w:hyperlink>
      <w:r w:rsidRPr="002D7F4A">
        <w:t xml:space="preserve"> (dismissing pleadings not authorized by </w:t>
      </w:r>
      <w:r w:rsidR="00725936">
        <w:t>Section 1.45)</w:t>
      </w:r>
      <w:r w:rsidR="0005172F" w:rsidRPr="0005172F">
        <w:t xml:space="preserve">.  </w:t>
      </w:r>
      <w:r w:rsidR="0005172F" w:rsidRPr="0005172F">
        <w:rPr>
          <w:i/>
        </w:rPr>
        <w:t xml:space="preserve"> </w:t>
      </w:r>
    </w:p>
  </w:footnote>
  <w:footnote w:id="22">
    <w:p w:rsidR="00E86BD1" w:rsidRPr="000F4EE2" w:rsidRDefault="00E86BD1" w:rsidP="00E86BD1">
      <w:pPr>
        <w:pStyle w:val="FootnoteText"/>
        <w:spacing w:after="120"/>
      </w:pPr>
      <w:r w:rsidRPr="000F4EE2">
        <w:rPr>
          <w:rStyle w:val="FootnoteReference"/>
        </w:rPr>
        <w:footnoteRef/>
      </w:r>
      <w:r w:rsidRPr="000F4EE2">
        <w:t xml:space="preserve"> </w:t>
      </w:r>
      <w:r w:rsidRPr="000F4EE2">
        <w:rPr>
          <w:i/>
        </w:rPr>
        <w:t>See</w:t>
      </w:r>
      <w:r>
        <w:rPr>
          <w:i/>
        </w:rPr>
        <w:t>, e.g.,</w:t>
      </w:r>
      <w:r w:rsidRPr="000F4EE2">
        <w:rPr>
          <w:i/>
        </w:rPr>
        <w:t xml:space="preserve"> John Garziglia, Esq., Peter Guttman, Esq.,</w:t>
      </w:r>
      <w:r>
        <w:rPr>
          <w:i/>
        </w:rPr>
        <w:t xml:space="preserve"> John S. </w:t>
      </w:r>
      <w:r w:rsidRPr="000F4EE2">
        <w:rPr>
          <w:i/>
        </w:rPr>
        <w:t xml:space="preserve">Neely, Esq., </w:t>
      </w:r>
      <w:r w:rsidRPr="000F4EE2">
        <w:t>Letter, 20 FCC Rcd 12105, 12107 (MB 2005) (</w:t>
      </w:r>
      <w:r>
        <w:t xml:space="preserve">unauthorized </w:t>
      </w:r>
      <w:r w:rsidRPr="000F4EE2">
        <w:rPr>
          <w:bCs/>
        </w:rPr>
        <w:t>pleadings</w:t>
      </w:r>
      <w:r w:rsidRPr="000F4EE2">
        <w:t xml:space="preserve"> provide </w:t>
      </w:r>
      <w:r>
        <w:t xml:space="preserve">the record </w:t>
      </w:r>
      <w:r w:rsidRPr="000F4EE2">
        <w:t xml:space="preserve">no decisionally significant facts </w:t>
      </w:r>
      <w:r>
        <w:t xml:space="preserve">that </w:t>
      </w:r>
      <w:r w:rsidRPr="000F4EE2">
        <w:t>are required to be considered in our determination of the public interest</w:t>
      </w:r>
      <w:r>
        <w:t>).</w:t>
      </w:r>
      <w:r w:rsidRPr="000F4EE2">
        <w:t xml:space="preserve"> </w:t>
      </w:r>
      <w:r w:rsidRPr="000F4EE2">
        <w:rPr>
          <w:i/>
        </w:rPr>
        <w:t xml:space="preserve">  </w:t>
      </w:r>
      <w:r w:rsidRPr="000F4EE2">
        <w:t xml:space="preserve"> </w:t>
      </w:r>
    </w:p>
  </w:footnote>
  <w:footnote w:id="23">
    <w:p w:rsidR="006A6600" w:rsidRPr="002D7F4A" w:rsidRDefault="006A6600" w:rsidP="002D7F4A">
      <w:pPr>
        <w:pStyle w:val="FootnoteText"/>
        <w:spacing w:after="120"/>
      </w:pPr>
      <w:r w:rsidRPr="002D7F4A">
        <w:rPr>
          <w:rStyle w:val="FootnoteReference"/>
        </w:rPr>
        <w:footnoteRef/>
      </w:r>
      <w:r w:rsidRPr="002D7F4A">
        <w:t xml:space="preserve"> </w:t>
      </w:r>
      <w:r w:rsidR="009B6576" w:rsidRPr="002D7F4A">
        <w:t>License Petition at 1</w:t>
      </w:r>
      <w:r w:rsidRPr="002D7F4A">
        <w:t>.</w:t>
      </w:r>
    </w:p>
  </w:footnote>
  <w:footnote w:id="24">
    <w:p w:rsidR="00A7584E" w:rsidRDefault="00A7584E" w:rsidP="00073880">
      <w:pPr>
        <w:pStyle w:val="FootnoteText"/>
        <w:spacing w:after="120"/>
      </w:pPr>
      <w:r>
        <w:rPr>
          <w:rStyle w:val="FootnoteReference"/>
        </w:rPr>
        <w:footnoteRef/>
      </w:r>
      <w:r>
        <w:t xml:space="preserve"> </w:t>
      </w:r>
      <w:r>
        <w:rPr>
          <w:i/>
        </w:rPr>
        <w:t xml:space="preserve">See Scott R. Flick, Esq., </w:t>
      </w:r>
      <w:r>
        <w:t>Letter, 24 FCC Rcd 9064, 9065 (MB 2009)</w:t>
      </w:r>
      <w:r w:rsidR="00DC4C12">
        <w:t xml:space="preserve"> </w:t>
      </w:r>
      <w:r w:rsidR="00DC4C12" w:rsidRPr="00DC4C12">
        <w:rPr>
          <w:i/>
          <w:iCs/>
        </w:rPr>
        <w:t>recon. denied</w:t>
      </w:r>
      <w:r w:rsidR="00DC4C12" w:rsidRPr="00DC4C12">
        <w:t>, 25 FCC Rcd 13725 (MB 2010)</w:t>
      </w:r>
      <w:r w:rsidR="00DC4C12">
        <w:t xml:space="preserve">  </w:t>
      </w:r>
      <w:r>
        <w:t xml:space="preserve"> (“</w:t>
      </w:r>
      <w:r w:rsidRPr="00A23117">
        <w:rPr>
          <w:i/>
        </w:rPr>
        <w:t>Flick</w:t>
      </w:r>
      <w:r>
        <w:t xml:space="preserve">”) (“[P]otential licensee . . . </w:t>
      </w:r>
      <w:r w:rsidRPr="00A23117">
        <w:t>has no rights with regard to assignment or disposal of this license and therefore no interest which could be adversely affected by its cancellation.</w:t>
      </w:r>
      <w:r>
        <w:t>”).</w:t>
      </w:r>
    </w:p>
  </w:footnote>
  <w:footnote w:id="25">
    <w:p w:rsidR="00073880" w:rsidRPr="006E316D" w:rsidRDefault="00073880" w:rsidP="00300610">
      <w:pPr>
        <w:pStyle w:val="FootnoteText"/>
        <w:tabs>
          <w:tab w:val="left" w:pos="2070"/>
          <w:tab w:val="left" w:pos="2520"/>
        </w:tabs>
        <w:spacing w:after="120"/>
      </w:pPr>
      <w:r>
        <w:rPr>
          <w:rStyle w:val="FootnoteReference"/>
        </w:rPr>
        <w:footnoteRef/>
      </w:r>
      <w:r w:rsidR="006E316D" w:rsidRPr="006E316D">
        <w:t xml:space="preserve"> </w:t>
      </w:r>
      <w:r w:rsidR="006E316D" w:rsidRPr="006E316D">
        <w:rPr>
          <w:i/>
        </w:rPr>
        <w:t>See</w:t>
      </w:r>
      <w:r w:rsidR="00E4671A">
        <w:rPr>
          <w:i/>
        </w:rPr>
        <w:t>, e.g.,</w:t>
      </w:r>
      <w:r w:rsidR="006E316D" w:rsidRPr="006E316D">
        <w:rPr>
          <w:i/>
        </w:rPr>
        <w:t xml:space="preserve"> Jose A. Ortiz Lozada, </w:t>
      </w:r>
      <w:r w:rsidR="006E316D" w:rsidRPr="006E316D">
        <w:t>Hearing Designation Order, 3 FCC Rcd 3943 n.2 (MMB 1988) (in a short-spacing proceeding, a “mere applicant” for a channel is not a party to the proceeding and lacks standing)</w:t>
      </w:r>
      <w:r w:rsidR="006E316D">
        <w:t>.</w:t>
      </w:r>
      <w:r w:rsidR="006E316D" w:rsidRPr="006E316D">
        <w:t xml:space="preserve">    </w:t>
      </w:r>
      <w:r w:rsidRPr="006E316D">
        <w:t xml:space="preserve"> </w:t>
      </w:r>
      <w:r w:rsidR="00300610" w:rsidRPr="006E316D">
        <w:t xml:space="preserve">   </w:t>
      </w:r>
      <w:r w:rsidR="00854A62" w:rsidRPr="006E316D">
        <w:rPr>
          <w:i/>
        </w:rPr>
        <w:t xml:space="preserve"> </w:t>
      </w:r>
      <w:r w:rsidR="00854A62" w:rsidRPr="006E316D">
        <w:t xml:space="preserve">  </w:t>
      </w:r>
    </w:p>
  </w:footnote>
  <w:footnote w:id="26">
    <w:p w:rsidR="001D5BAD" w:rsidRPr="0000096A" w:rsidRDefault="001D5BAD" w:rsidP="00073880">
      <w:pPr>
        <w:pStyle w:val="FootnoteText"/>
        <w:spacing w:after="120"/>
      </w:pPr>
      <w:r w:rsidRPr="0000096A">
        <w:rPr>
          <w:rStyle w:val="FootnoteReference"/>
        </w:rPr>
        <w:footnoteRef/>
      </w:r>
      <w:r w:rsidRPr="0000096A">
        <w:t xml:space="preserve"> </w:t>
      </w:r>
      <w:r w:rsidRPr="0000096A">
        <w:rPr>
          <w:i/>
        </w:rPr>
        <w:t>See</w:t>
      </w:r>
      <w:r w:rsidR="00141537">
        <w:rPr>
          <w:i/>
        </w:rPr>
        <w:t>, e.g.,</w:t>
      </w:r>
      <w:r w:rsidRPr="0000096A">
        <w:rPr>
          <w:i/>
        </w:rPr>
        <w:t xml:space="preserve"> Benedek Broadcasting of the Virgin Island</w:t>
      </w:r>
      <w:r>
        <w:rPr>
          <w:i/>
        </w:rPr>
        <w:t>s</w:t>
      </w:r>
      <w:r w:rsidRPr="0000096A">
        <w:rPr>
          <w:i/>
        </w:rPr>
        <w:t xml:space="preserve">, Inc., </w:t>
      </w:r>
      <w:r w:rsidRPr="0000096A">
        <w:t>Letter, 14 FCC Rcd 13554, 13555 (MMB 1999)</w:t>
      </w:r>
      <w:r>
        <w:t xml:space="preserve"> (“</w:t>
      </w:r>
      <w:r w:rsidRPr="001D5BAD">
        <w:rPr>
          <w:i/>
        </w:rPr>
        <w:t>Benedek</w:t>
      </w:r>
      <w:r>
        <w:t>”)</w:t>
      </w:r>
      <w:r w:rsidRPr="0000096A">
        <w:t xml:space="preserve"> (</w:t>
      </w:r>
      <w:r>
        <w:t>petition for reconsideration</w:t>
      </w:r>
      <w:r w:rsidR="003E6772">
        <w:t>,</w:t>
      </w:r>
      <w:r>
        <w:t xml:space="preserve"> </w:t>
      </w:r>
      <w:r w:rsidR="00B21188">
        <w:t xml:space="preserve">seeking review of staff decision cancelling </w:t>
      </w:r>
      <w:r>
        <w:t xml:space="preserve">station’s license, </w:t>
      </w:r>
      <w:r w:rsidR="00B21188">
        <w:t xml:space="preserve">deleting </w:t>
      </w:r>
      <w:r>
        <w:t xml:space="preserve">call letters and </w:t>
      </w:r>
      <w:r w:rsidR="00B21188">
        <w:t xml:space="preserve">dismissing </w:t>
      </w:r>
      <w:r w:rsidRPr="0000096A">
        <w:rPr>
          <w:bCs/>
        </w:rPr>
        <w:t>application</w:t>
      </w:r>
      <w:r w:rsidRPr="0000096A">
        <w:t xml:space="preserve"> for </w:t>
      </w:r>
      <w:bookmarkStart w:id="11" w:name="SR;258"/>
      <w:bookmarkEnd w:id="11"/>
      <w:r w:rsidRPr="0000096A">
        <w:rPr>
          <w:bCs/>
        </w:rPr>
        <w:t>assignment</w:t>
      </w:r>
      <w:r w:rsidRPr="0000096A">
        <w:t xml:space="preserve"> of license</w:t>
      </w:r>
      <w:r w:rsidR="00B21188">
        <w:t>,</w:t>
      </w:r>
      <w:r w:rsidRPr="0000096A">
        <w:t xml:space="preserve"> </w:t>
      </w:r>
      <w:r>
        <w:t>dismissed</w:t>
      </w:r>
      <w:bookmarkStart w:id="12" w:name="SR;287"/>
      <w:bookmarkStart w:id="13" w:name="SR;289"/>
      <w:bookmarkStart w:id="14" w:name="SR;290"/>
      <w:bookmarkEnd w:id="12"/>
      <w:bookmarkEnd w:id="13"/>
      <w:bookmarkEnd w:id="14"/>
      <w:r>
        <w:t>).</w:t>
      </w:r>
    </w:p>
  </w:footnote>
  <w:footnote w:id="27">
    <w:p w:rsidR="00073880" w:rsidRPr="00DC4AA1" w:rsidRDefault="00073880" w:rsidP="00073880">
      <w:pPr>
        <w:pStyle w:val="FootnoteText"/>
        <w:spacing w:after="120"/>
      </w:pPr>
      <w:r w:rsidRPr="004212D5">
        <w:rPr>
          <w:rStyle w:val="FootnoteReference"/>
        </w:rPr>
        <w:footnoteRef/>
      </w:r>
      <w:r w:rsidRPr="004212D5">
        <w:t xml:space="preserve"> </w:t>
      </w:r>
      <w:r w:rsidR="00FB7918">
        <w:rPr>
          <w:i/>
        </w:rPr>
        <w:t xml:space="preserve">See Flick, </w:t>
      </w:r>
      <w:r w:rsidR="00FB7918">
        <w:t>24 FCC Rcd at 9066 (</w:t>
      </w:r>
      <w:r w:rsidR="00FB7918" w:rsidRPr="00DC4AA1">
        <w:t>Commission cannot force a license upon a party</w:t>
      </w:r>
      <w:r w:rsidR="00FB7918">
        <w:t xml:space="preserve">).  </w:t>
      </w:r>
    </w:p>
  </w:footnote>
  <w:footnote w:id="28">
    <w:p w:rsidR="007376E2" w:rsidRPr="0083131F" w:rsidRDefault="007376E2" w:rsidP="007376E2">
      <w:pPr>
        <w:pStyle w:val="FootnoteText"/>
        <w:spacing w:after="120"/>
      </w:pPr>
      <w:r>
        <w:rPr>
          <w:rStyle w:val="FootnoteReference"/>
        </w:rPr>
        <w:footnoteRef/>
      </w:r>
      <w:r>
        <w:t xml:space="preserve"> </w:t>
      </w:r>
      <w:r w:rsidRPr="0083131F">
        <w:rPr>
          <w:i/>
        </w:rPr>
        <w:t xml:space="preserve">See </w:t>
      </w:r>
      <w:bookmarkStart w:id="16" w:name="SR;71170"/>
      <w:bookmarkEnd w:id="16"/>
      <w:r w:rsidR="004007EF" w:rsidRPr="0083131F">
        <w:fldChar w:fldCharType="begin"/>
      </w:r>
      <w:r w:rsidR="00671A2E">
        <w:instrText>HYPERLINK "http://web2.westlaw.com/find/default.wl?mt=Westlaw&amp;db=350&amp;tc=-1&amp;rp=%2ffind%2fdefault.wl&amp;findtype=Y&amp;ordoc=2028774811&amp;serialnum=1964116274&amp;vr=2.0&amp;fn=_top&amp;sv=Split&amp;tf=-1&amp;referencepositiontype=S&amp;pbc=1B46B9D8&amp;referenceposition=783&amp;rs=WLW14.01" \t "_top"</w:instrText>
      </w:r>
      <w:r w:rsidR="004007EF" w:rsidRPr="0083131F">
        <w:fldChar w:fldCharType="separate"/>
      </w:r>
      <w:r w:rsidR="004007EF" w:rsidRPr="0083131F">
        <w:rPr>
          <w:rStyle w:val="Hyperlink"/>
          <w:bCs/>
          <w:i/>
          <w:iCs/>
          <w:color w:val="auto"/>
          <w:u w:val="none"/>
        </w:rPr>
        <w:t>Jefferson</w:t>
      </w:r>
      <w:r w:rsidR="004007EF" w:rsidRPr="0083131F">
        <w:rPr>
          <w:rStyle w:val="Hyperlink"/>
          <w:i/>
          <w:iCs/>
          <w:color w:val="auto"/>
          <w:u w:val="none"/>
        </w:rPr>
        <w:t xml:space="preserve"> </w:t>
      </w:r>
      <w:r w:rsidR="004007EF" w:rsidRPr="0083131F">
        <w:rPr>
          <w:rStyle w:val="Hyperlink"/>
          <w:bCs/>
          <w:i/>
          <w:iCs/>
          <w:color w:val="auto"/>
          <w:u w:val="none"/>
        </w:rPr>
        <w:t>Radio</w:t>
      </w:r>
      <w:r w:rsidR="004007EF" w:rsidRPr="0083131F">
        <w:rPr>
          <w:rStyle w:val="Hyperlink"/>
          <w:i/>
          <w:iCs/>
          <w:color w:val="auto"/>
          <w:u w:val="none"/>
        </w:rPr>
        <w:t xml:space="preserve"> </w:t>
      </w:r>
      <w:r w:rsidR="004007EF" w:rsidRPr="0083131F">
        <w:rPr>
          <w:rStyle w:val="Hyperlink"/>
          <w:bCs/>
          <w:i/>
          <w:iCs/>
          <w:color w:val="auto"/>
          <w:u w:val="none"/>
        </w:rPr>
        <w:t>Corp</w:t>
      </w:r>
      <w:r w:rsidR="004007EF" w:rsidRPr="0083131F">
        <w:rPr>
          <w:rStyle w:val="Hyperlink"/>
          <w:i/>
          <w:iCs/>
          <w:color w:val="auto"/>
          <w:u w:val="none"/>
        </w:rPr>
        <w:t xml:space="preserve">. </w:t>
      </w:r>
      <w:r w:rsidR="004007EF" w:rsidRPr="0083131F">
        <w:rPr>
          <w:rStyle w:val="Hyperlink"/>
          <w:bCs/>
          <w:i/>
          <w:iCs/>
          <w:color w:val="auto"/>
          <w:u w:val="none"/>
        </w:rPr>
        <w:t>v</w:t>
      </w:r>
      <w:r w:rsidR="004007EF" w:rsidRPr="0083131F">
        <w:rPr>
          <w:rStyle w:val="Hyperlink"/>
          <w:i/>
          <w:iCs/>
          <w:color w:val="auto"/>
          <w:u w:val="none"/>
        </w:rPr>
        <w:t xml:space="preserve">. </w:t>
      </w:r>
      <w:r w:rsidR="004007EF" w:rsidRPr="0083131F">
        <w:rPr>
          <w:rStyle w:val="Hyperlink"/>
          <w:bCs/>
          <w:i/>
          <w:iCs/>
          <w:color w:val="auto"/>
          <w:u w:val="none"/>
        </w:rPr>
        <w:t>FCC</w:t>
      </w:r>
      <w:r w:rsidR="004007EF" w:rsidRPr="0083131F">
        <w:rPr>
          <w:rStyle w:val="Hyperlink"/>
          <w:color w:val="auto"/>
          <w:u w:val="none"/>
        </w:rPr>
        <w:t xml:space="preserve">, </w:t>
      </w:r>
      <w:r w:rsidR="004007EF" w:rsidRPr="0083131F">
        <w:rPr>
          <w:rStyle w:val="Hyperlink"/>
          <w:bCs/>
          <w:color w:val="auto"/>
          <w:u w:val="none"/>
        </w:rPr>
        <w:t>340</w:t>
      </w:r>
      <w:r w:rsidR="004007EF" w:rsidRPr="0083131F">
        <w:rPr>
          <w:rStyle w:val="Hyperlink"/>
          <w:color w:val="auto"/>
          <w:u w:val="none"/>
        </w:rPr>
        <w:t xml:space="preserve"> </w:t>
      </w:r>
      <w:r w:rsidR="004007EF" w:rsidRPr="0083131F">
        <w:rPr>
          <w:rStyle w:val="Hyperlink"/>
          <w:bCs/>
          <w:color w:val="auto"/>
          <w:u w:val="none"/>
        </w:rPr>
        <w:t>F</w:t>
      </w:r>
      <w:r w:rsidR="004007EF" w:rsidRPr="0083131F">
        <w:rPr>
          <w:rStyle w:val="Hyperlink"/>
          <w:color w:val="auto"/>
          <w:u w:val="none"/>
        </w:rPr>
        <w:t>.</w:t>
      </w:r>
      <w:r w:rsidR="004007EF" w:rsidRPr="0083131F">
        <w:rPr>
          <w:rStyle w:val="Hyperlink"/>
          <w:bCs/>
          <w:color w:val="auto"/>
          <w:u w:val="none"/>
        </w:rPr>
        <w:t>2d</w:t>
      </w:r>
      <w:r w:rsidR="004007EF" w:rsidRPr="0083131F">
        <w:rPr>
          <w:rStyle w:val="Hyperlink"/>
          <w:color w:val="auto"/>
          <w:u w:val="none"/>
        </w:rPr>
        <w:t xml:space="preserve"> </w:t>
      </w:r>
      <w:r w:rsidR="004007EF" w:rsidRPr="0083131F">
        <w:rPr>
          <w:rStyle w:val="Hyperlink"/>
          <w:bCs/>
          <w:color w:val="auto"/>
          <w:u w:val="none"/>
        </w:rPr>
        <w:t>781</w:t>
      </w:r>
      <w:r w:rsidR="004007EF" w:rsidRPr="0083131F">
        <w:rPr>
          <w:rStyle w:val="Hyperlink"/>
          <w:color w:val="auto"/>
          <w:u w:val="none"/>
        </w:rPr>
        <w:t xml:space="preserve">, </w:t>
      </w:r>
      <w:r w:rsidR="004007EF" w:rsidRPr="0083131F">
        <w:rPr>
          <w:rStyle w:val="Hyperlink"/>
          <w:bCs/>
          <w:color w:val="auto"/>
          <w:u w:val="none"/>
        </w:rPr>
        <w:t>783 (D.C</w:t>
      </w:r>
      <w:r w:rsidR="004007EF" w:rsidRPr="0083131F">
        <w:rPr>
          <w:rStyle w:val="Hyperlink"/>
          <w:color w:val="auto"/>
          <w:u w:val="none"/>
        </w:rPr>
        <w:t xml:space="preserve">. </w:t>
      </w:r>
      <w:r w:rsidR="004007EF" w:rsidRPr="0083131F">
        <w:rPr>
          <w:rStyle w:val="Hyperlink"/>
          <w:bCs/>
          <w:color w:val="auto"/>
          <w:u w:val="none"/>
        </w:rPr>
        <w:t>Cir</w:t>
      </w:r>
      <w:r w:rsidR="004007EF" w:rsidRPr="0083131F">
        <w:rPr>
          <w:rStyle w:val="Hyperlink"/>
          <w:color w:val="auto"/>
          <w:u w:val="none"/>
        </w:rPr>
        <w:t xml:space="preserve">. </w:t>
      </w:r>
      <w:r w:rsidR="004007EF" w:rsidRPr="0083131F">
        <w:rPr>
          <w:rStyle w:val="Hyperlink"/>
          <w:bCs/>
          <w:color w:val="auto"/>
          <w:u w:val="none"/>
        </w:rPr>
        <w:t>1964</w:t>
      </w:r>
      <w:r w:rsidR="004007EF" w:rsidRPr="0083131F">
        <w:rPr>
          <w:rStyle w:val="Hyperlink"/>
          <w:color w:val="auto"/>
          <w:u w:val="none"/>
        </w:rPr>
        <w:t>)</w:t>
      </w:r>
      <w:r w:rsidR="004007EF" w:rsidRPr="0083131F">
        <w:fldChar w:fldCharType="end"/>
      </w:r>
      <w:r w:rsidR="004007EF" w:rsidRPr="0083131F">
        <w:t xml:space="preserve"> (“</w:t>
      </w:r>
      <w:bookmarkStart w:id="17" w:name="SR;71183"/>
      <w:bookmarkEnd w:id="17"/>
      <w:r w:rsidR="004007EF" w:rsidRPr="0083131F">
        <w:rPr>
          <w:bCs/>
        </w:rPr>
        <w:t>It</w:t>
      </w:r>
      <w:r w:rsidR="004007EF" w:rsidRPr="0083131F">
        <w:t xml:space="preserve"> </w:t>
      </w:r>
      <w:bookmarkStart w:id="18" w:name="SR;71184"/>
      <w:bookmarkEnd w:id="18"/>
      <w:r w:rsidR="004007EF" w:rsidRPr="0083131F">
        <w:rPr>
          <w:bCs/>
        </w:rPr>
        <w:t>is</w:t>
      </w:r>
      <w:r w:rsidR="004007EF" w:rsidRPr="0083131F">
        <w:t xml:space="preserve"> </w:t>
      </w:r>
      <w:bookmarkStart w:id="19" w:name="SR;71185"/>
      <w:bookmarkEnd w:id="19"/>
      <w:r w:rsidR="004007EF" w:rsidRPr="0083131F">
        <w:rPr>
          <w:bCs/>
        </w:rPr>
        <w:t>the</w:t>
      </w:r>
      <w:r w:rsidR="004007EF" w:rsidRPr="0083131F">
        <w:t xml:space="preserve"> </w:t>
      </w:r>
      <w:bookmarkStart w:id="20" w:name="SR;71186"/>
      <w:bookmarkEnd w:id="20"/>
      <w:r w:rsidR="004007EF" w:rsidRPr="0083131F">
        <w:rPr>
          <w:bCs/>
        </w:rPr>
        <w:t>recognized</w:t>
      </w:r>
      <w:r w:rsidR="004007EF" w:rsidRPr="0083131F">
        <w:t xml:space="preserve"> </w:t>
      </w:r>
      <w:bookmarkStart w:id="21" w:name="SR;71187"/>
      <w:bookmarkEnd w:id="21"/>
      <w:r w:rsidR="004007EF" w:rsidRPr="0083131F">
        <w:rPr>
          <w:bCs/>
        </w:rPr>
        <w:t>policy</w:t>
      </w:r>
      <w:r w:rsidR="004007EF" w:rsidRPr="0083131F">
        <w:t xml:space="preserve"> </w:t>
      </w:r>
      <w:bookmarkStart w:id="22" w:name="SR;71188"/>
      <w:bookmarkEnd w:id="22"/>
      <w:r w:rsidR="004007EF" w:rsidRPr="0083131F">
        <w:rPr>
          <w:bCs/>
        </w:rPr>
        <w:t>of</w:t>
      </w:r>
      <w:r w:rsidR="004007EF" w:rsidRPr="0083131F">
        <w:t xml:space="preserve"> </w:t>
      </w:r>
      <w:bookmarkStart w:id="23" w:name="SR;71189"/>
      <w:bookmarkEnd w:id="23"/>
      <w:r w:rsidR="004007EF" w:rsidRPr="0083131F">
        <w:rPr>
          <w:bCs/>
        </w:rPr>
        <w:t>the</w:t>
      </w:r>
      <w:r w:rsidR="004007EF" w:rsidRPr="0083131F">
        <w:t xml:space="preserve"> </w:t>
      </w:r>
      <w:bookmarkStart w:id="24" w:name="SR;71190"/>
      <w:bookmarkEnd w:id="24"/>
      <w:r w:rsidR="004007EF" w:rsidRPr="0083131F">
        <w:rPr>
          <w:bCs/>
        </w:rPr>
        <w:t>Commission</w:t>
      </w:r>
      <w:r w:rsidR="004007EF" w:rsidRPr="0083131F">
        <w:t xml:space="preserve"> </w:t>
      </w:r>
      <w:bookmarkStart w:id="25" w:name="SR;71191"/>
      <w:bookmarkEnd w:id="25"/>
      <w:r w:rsidR="004007EF" w:rsidRPr="0083131F">
        <w:rPr>
          <w:bCs/>
        </w:rPr>
        <w:t>that</w:t>
      </w:r>
      <w:r w:rsidR="004007EF" w:rsidRPr="0083131F">
        <w:t xml:space="preserve"> </w:t>
      </w:r>
      <w:bookmarkStart w:id="26" w:name="SR;71192"/>
      <w:bookmarkEnd w:id="26"/>
      <w:r w:rsidR="004007EF" w:rsidRPr="0083131F">
        <w:rPr>
          <w:bCs/>
        </w:rPr>
        <w:t>assignment</w:t>
      </w:r>
      <w:r w:rsidR="004007EF" w:rsidRPr="0083131F">
        <w:t xml:space="preserve"> </w:t>
      </w:r>
      <w:bookmarkStart w:id="27" w:name="SR;71193"/>
      <w:bookmarkEnd w:id="27"/>
      <w:r w:rsidR="004007EF" w:rsidRPr="0083131F">
        <w:rPr>
          <w:bCs/>
        </w:rPr>
        <w:t>of</w:t>
      </w:r>
      <w:r w:rsidR="004007EF" w:rsidRPr="0083131F">
        <w:t xml:space="preserve"> </w:t>
      </w:r>
      <w:bookmarkStart w:id="28" w:name="SR;71194"/>
      <w:bookmarkEnd w:id="28"/>
      <w:r w:rsidR="004007EF" w:rsidRPr="0083131F">
        <w:rPr>
          <w:bCs/>
        </w:rPr>
        <w:t>broadcast</w:t>
      </w:r>
      <w:r w:rsidR="004007EF" w:rsidRPr="0083131F">
        <w:t xml:space="preserve"> </w:t>
      </w:r>
      <w:bookmarkStart w:id="29" w:name="SR;71195"/>
      <w:bookmarkEnd w:id="29"/>
      <w:r w:rsidR="004007EF" w:rsidRPr="0083131F">
        <w:rPr>
          <w:bCs/>
        </w:rPr>
        <w:t>authorization</w:t>
      </w:r>
      <w:r w:rsidR="004007EF" w:rsidRPr="0083131F">
        <w:t xml:space="preserve"> </w:t>
      </w:r>
      <w:bookmarkStart w:id="30" w:name="SR;71196"/>
      <w:bookmarkEnd w:id="30"/>
      <w:r w:rsidR="004007EF" w:rsidRPr="0083131F">
        <w:rPr>
          <w:bCs/>
        </w:rPr>
        <w:t>will</w:t>
      </w:r>
      <w:r w:rsidR="004007EF" w:rsidRPr="0083131F">
        <w:t xml:space="preserve"> </w:t>
      </w:r>
      <w:bookmarkStart w:id="31" w:name="SR;71197"/>
      <w:bookmarkEnd w:id="31"/>
      <w:r w:rsidR="004007EF" w:rsidRPr="0083131F">
        <w:rPr>
          <w:bCs/>
        </w:rPr>
        <w:t>not</w:t>
      </w:r>
      <w:r w:rsidR="004007EF" w:rsidRPr="0083131F">
        <w:t xml:space="preserve"> </w:t>
      </w:r>
      <w:bookmarkStart w:id="32" w:name="SR;71198"/>
      <w:bookmarkEnd w:id="32"/>
      <w:r w:rsidR="004007EF" w:rsidRPr="0083131F">
        <w:rPr>
          <w:bCs/>
        </w:rPr>
        <w:t>be</w:t>
      </w:r>
      <w:r w:rsidR="004007EF" w:rsidRPr="0083131F">
        <w:t xml:space="preserve"> </w:t>
      </w:r>
      <w:bookmarkStart w:id="33" w:name="SR;71199"/>
      <w:bookmarkEnd w:id="33"/>
      <w:r w:rsidR="004007EF" w:rsidRPr="0083131F">
        <w:rPr>
          <w:bCs/>
        </w:rPr>
        <w:t>considered</w:t>
      </w:r>
      <w:r w:rsidR="004007EF" w:rsidRPr="0083131F">
        <w:t xml:space="preserve"> </w:t>
      </w:r>
      <w:bookmarkStart w:id="34" w:name="SR;71200"/>
      <w:bookmarkEnd w:id="34"/>
      <w:r w:rsidR="004007EF" w:rsidRPr="0083131F">
        <w:rPr>
          <w:bCs/>
        </w:rPr>
        <w:t>until</w:t>
      </w:r>
      <w:r w:rsidR="004007EF" w:rsidRPr="0083131F">
        <w:t xml:space="preserve"> </w:t>
      </w:r>
      <w:bookmarkStart w:id="35" w:name="SR;71201"/>
      <w:bookmarkEnd w:id="35"/>
      <w:r w:rsidR="004007EF" w:rsidRPr="0083131F">
        <w:rPr>
          <w:bCs/>
        </w:rPr>
        <w:t>the</w:t>
      </w:r>
      <w:r w:rsidR="004007EF" w:rsidRPr="0083131F">
        <w:t xml:space="preserve"> </w:t>
      </w:r>
      <w:bookmarkStart w:id="36" w:name="SR;71202"/>
      <w:bookmarkEnd w:id="36"/>
      <w:r w:rsidR="004007EF" w:rsidRPr="0083131F">
        <w:rPr>
          <w:bCs/>
        </w:rPr>
        <w:t>Commission</w:t>
      </w:r>
      <w:r w:rsidR="004007EF" w:rsidRPr="0083131F">
        <w:t xml:space="preserve"> </w:t>
      </w:r>
      <w:bookmarkStart w:id="37" w:name="SR;71203"/>
      <w:bookmarkEnd w:id="37"/>
      <w:r w:rsidR="004007EF" w:rsidRPr="0083131F">
        <w:rPr>
          <w:bCs/>
        </w:rPr>
        <w:t>has</w:t>
      </w:r>
      <w:r w:rsidR="004007EF" w:rsidRPr="0083131F">
        <w:t xml:space="preserve"> </w:t>
      </w:r>
      <w:bookmarkStart w:id="38" w:name="SR;71204"/>
      <w:bookmarkEnd w:id="38"/>
      <w:r w:rsidR="004007EF" w:rsidRPr="0083131F">
        <w:rPr>
          <w:bCs/>
        </w:rPr>
        <w:t>determined</w:t>
      </w:r>
      <w:r w:rsidR="004007EF" w:rsidRPr="0083131F">
        <w:t xml:space="preserve"> </w:t>
      </w:r>
      <w:bookmarkStart w:id="39" w:name="SR;71205"/>
      <w:bookmarkEnd w:id="39"/>
      <w:r w:rsidR="004007EF" w:rsidRPr="0083131F">
        <w:rPr>
          <w:bCs/>
        </w:rPr>
        <w:t>that</w:t>
      </w:r>
      <w:r w:rsidR="004007EF" w:rsidRPr="0083131F">
        <w:t xml:space="preserve"> </w:t>
      </w:r>
      <w:bookmarkStart w:id="40" w:name="SR;71206"/>
      <w:bookmarkEnd w:id="40"/>
      <w:r w:rsidR="004007EF" w:rsidRPr="0083131F">
        <w:rPr>
          <w:bCs/>
        </w:rPr>
        <w:t>the</w:t>
      </w:r>
      <w:r w:rsidR="004007EF" w:rsidRPr="0083131F">
        <w:t xml:space="preserve"> </w:t>
      </w:r>
      <w:bookmarkStart w:id="41" w:name="SR;71207"/>
      <w:bookmarkEnd w:id="41"/>
      <w:r w:rsidR="004007EF" w:rsidRPr="0083131F">
        <w:rPr>
          <w:bCs/>
        </w:rPr>
        <w:t>assignor</w:t>
      </w:r>
      <w:r w:rsidR="004007EF" w:rsidRPr="0083131F">
        <w:t xml:space="preserve"> </w:t>
      </w:r>
      <w:bookmarkStart w:id="42" w:name="SR;71208"/>
      <w:bookmarkEnd w:id="42"/>
      <w:r w:rsidR="004007EF" w:rsidRPr="0083131F">
        <w:rPr>
          <w:bCs/>
        </w:rPr>
        <w:t>has</w:t>
      </w:r>
      <w:r w:rsidR="004007EF" w:rsidRPr="0083131F">
        <w:t xml:space="preserve"> </w:t>
      </w:r>
      <w:bookmarkStart w:id="43" w:name="SR;71209"/>
      <w:bookmarkEnd w:id="43"/>
      <w:r w:rsidR="004007EF" w:rsidRPr="0083131F">
        <w:rPr>
          <w:bCs/>
        </w:rPr>
        <w:t>not</w:t>
      </w:r>
      <w:r w:rsidR="004007EF" w:rsidRPr="0083131F">
        <w:t xml:space="preserve"> </w:t>
      </w:r>
      <w:bookmarkStart w:id="44" w:name="SR;71210"/>
      <w:bookmarkEnd w:id="44"/>
      <w:r w:rsidR="004007EF" w:rsidRPr="0083131F">
        <w:rPr>
          <w:bCs/>
        </w:rPr>
        <w:t>forfeited</w:t>
      </w:r>
      <w:r w:rsidR="004007EF" w:rsidRPr="0083131F">
        <w:t xml:space="preserve"> </w:t>
      </w:r>
      <w:bookmarkStart w:id="45" w:name="SR;71211"/>
      <w:bookmarkEnd w:id="45"/>
      <w:r w:rsidR="004007EF" w:rsidRPr="0083131F">
        <w:rPr>
          <w:bCs/>
        </w:rPr>
        <w:t>the</w:t>
      </w:r>
      <w:r w:rsidR="004007EF" w:rsidRPr="0083131F">
        <w:t xml:space="preserve"> </w:t>
      </w:r>
      <w:bookmarkStart w:id="46" w:name="SR;71212"/>
      <w:bookmarkEnd w:id="46"/>
      <w:r w:rsidR="004007EF" w:rsidRPr="0083131F">
        <w:rPr>
          <w:bCs/>
        </w:rPr>
        <w:t>authorization</w:t>
      </w:r>
      <w:r w:rsidR="004007EF" w:rsidRPr="0083131F">
        <w:t>.”)</w:t>
      </w:r>
      <w:r w:rsidR="0083131F" w:rsidRPr="0083131F">
        <w:t xml:space="preserve">; </w:t>
      </w:r>
      <w:r w:rsidR="0083131F" w:rsidRPr="0083131F">
        <w:rPr>
          <w:i/>
        </w:rPr>
        <w:t>see also A-1-A Repeater Company</w:t>
      </w:r>
      <w:r w:rsidR="0083131F" w:rsidRPr="0083131F">
        <w:t xml:space="preserve">, </w:t>
      </w:r>
      <w:hyperlink r:id="rId4" w:tgtFrame="_top" w:history="1">
        <w:r w:rsidR="0083131F" w:rsidRPr="0083131F">
          <w:rPr>
            <w:rStyle w:val="Hyperlink"/>
            <w:iCs/>
            <w:color w:val="auto"/>
            <w:u w:val="none"/>
          </w:rPr>
          <w:t>Memorandum Opinion and Order</w:t>
        </w:r>
        <w:r w:rsidR="0083131F" w:rsidRPr="0083131F">
          <w:rPr>
            <w:rStyle w:val="Hyperlink"/>
            <w:color w:val="auto"/>
            <w:u w:val="none"/>
          </w:rPr>
          <w:t>, 16 FCC Rcd 9748 ¶ 7 (2001)</w:t>
        </w:r>
      </w:hyperlink>
      <w:r w:rsidR="0083131F" w:rsidRPr="0083131F">
        <w:t xml:space="preserve"> (grant of assignment application set aside; Commission holds there was no authorization to </w:t>
      </w:r>
      <w:bookmarkStart w:id="47" w:name="SR;2684"/>
      <w:bookmarkEnd w:id="47"/>
      <w:r w:rsidR="0083131F" w:rsidRPr="0083131F">
        <w:rPr>
          <w:bCs/>
        </w:rPr>
        <w:t>assign</w:t>
      </w:r>
      <w:r w:rsidR="0083131F" w:rsidRPr="0083131F">
        <w:t xml:space="preserve"> because </w:t>
      </w:r>
      <w:bookmarkStart w:id="48" w:name="SR;2686"/>
      <w:bookmarkEnd w:id="48"/>
      <w:r w:rsidR="0083131F" w:rsidRPr="0083131F">
        <w:rPr>
          <w:bCs/>
        </w:rPr>
        <w:t>license</w:t>
      </w:r>
      <w:r w:rsidR="0083131F" w:rsidRPr="0083131F">
        <w:t xml:space="preserve"> had automatically </w:t>
      </w:r>
      <w:bookmarkStart w:id="49" w:name="SR;2689"/>
      <w:bookmarkEnd w:id="49"/>
      <w:r w:rsidR="0083131F" w:rsidRPr="0083131F">
        <w:rPr>
          <w:bCs/>
        </w:rPr>
        <w:t>cancelled</w:t>
      </w:r>
      <w:r w:rsidR="0083131F" w:rsidRPr="0083131F">
        <w:t>)</w:t>
      </w:r>
      <w:r w:rsidR="0083131F">
        <w:t>.</w:t>
      </w:r>
      <w:r w:rsidR="0083131F" w:rsidRPr="0083131F">
        <w:t xml:space="preserve">  </w:t>
      </w:r>
      <w:r w:rsidR="0083131F" w:rsidRPr="0083131F">
        <w:rPr>
          <w:i/>
        </w:rPr>
        <w:t xml:space="preserve"> </w:t>
      </w:r>
      <w:r w:rsidRPr="0083131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66" w:rsidRDefault="00814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66" w:rsidRDefault="00814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9" w:rsidRPr="007D2B0D" w:rsidRDefault="00671A2E" w:rsidP="00CA1D8D">
    <w:pPr>
      <w:pStyle w:val="Header"/>
      <w:tabs>
        <w:tab w:val="clear" w:pos="4320"/>
        <w:tab w:val="clear" w:pos="8640"/>
      </w:tabs>
      <w:spacing w:before="360"/>
      <w:jc w:val="center"/>
      <w:rPr>
        <w:b/>
        <w:sz w:val="22"/>
        <w:szCs w:val="22"/>
      </w:rPr>
    </w:pPr>
    <w:r>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54734705" r:id="rId2"/>
      </w:pict>
    </w:r>
    <w:r w:rsidR="00716289" w:rsidRPr="007D2B0D">
      <w:rPr>
        <w:b/>
        <w:sz w:val="22"/>
        <w:szCs w:val="22"/>
      </w:rPr>
      <w:t>Federal Communications Commission</w:t>
    </w:r>
  </w:p>
  <w:p w:rsidR="00716289" w:rsidRPr="007D2B0D" w:rsidRDefault="00716289">
    <w:pPr>
      <w:jc w:val="center"/>
      <w:rPr>
        <w:b/>
        <w:sz w:val="22"/>
        <w:szCs w:val="22"/>
      </w:rPr>
    </w:pPr>
    <w:smartTag w:uri="urn:schemas-microsoft-com:office:smarttags" w:element="place">
      <w:smartTag w:uri="urn:schemas-microsoft-com:office:smarttags" w:element="City">
        <w:r w:rsidRPr="007D2B0D">
          <w:rPr>
            <w:b/>
            <w:sz w:val="22"/>
            <w:szCs w:val="22"/>
          </w:rPr>
          <w:t>Washington</w:t>
        </w:r>
      </w:smartTag>
      <w:r w:rsidRPr="007D2B0D">
        <w:rPr>
          <w:b/>
          <w:sz w:val="22"/>
          <w:szCs w:val="22"/>
        </w:rPr>
        <w:t xml:space="preserve">, </w:t>
      </w:r>
      <w:smartTag w:uri="urn:schemas-microsoft-com:office:smarttags" w:element="State">
        <w:r w:rsidRPr="007D2B0D">
          <w:rPr>
            <w:b/>
            <w:sz w:val="22"/>
            <w:szCs w:val="22"/>
          </w:rPr>
          <w:t>D.C.</w:t>
        </w:r>
      </w:smartTag>
      <w:r w:rsidRPr="007D2B0D">
        <w:rPr>
          <w:b/>
          <w:sz w:val="22"/>
          <w:szCs w:val="22"/>
        </w:rPr>
        <w:t xml:space="preserve"> </w:t>
      </w:r>
      <w:smartTag w:uri="urn:schemas-microsoft-com:office:smarttags" w:element="PostalCode">
        <w:r w:rsidRPr="007D2B0D">
          <w:rPr>
            <w:b/>
            <w:sz w:val="22"/>
            <w:szCs w:val="22"/>
          </w:rPr>
          <w:t>20554</w:t>
        </w:r>
      </w:smartTag>
    </w:smartTag>
  </w:p>
  <w:p w:rsidR="00716289" w:rsidRDefault="00716289">
    <w:pPr>
      <w:jc w:val="center"/>
      <w:rPr>
        <w:rFonts w:ascii="CG Times (W1)" w:hAnsi="CG Times (W1)"/>
        <w:sz w:val="28"/>
      </w:rPr>
    </w:pPr>
  </w:p>
  <w:p w:rsidR="00716289" w:rsidRPr="006814EA" w:rsidRDefault="006814EA" w:rsidP="00F072A6">
    <w:pPr>
      <w:jc w:val="center"/>
      <w:rPr>
        <w:b/>
      </w:rPr>
    </w:pPr>
    <w:r>
      <w:rPr>
        <w:b/>
      </w:rPr>
      <w:t>February 24, 2014</w:t>
    </w:r>
  </w:p>
  <w:p w:rsidR="00E4671A" w:rsidRDefault="00716289" w:rsidP="00DD1F29">
    <w:pPr>
      <w:pStyle w:val="Header"/>
      <w:tabs>
        <w:tab w:val="clear" w:pos="4320"/>
        <w:tab w:val="left" w:pos="5580"/>
        <w:tab w:val="left" w:pos="5760"/>
        <w:tab w:val="left" w:pos="6480"/>
        <w:tab w:val="left" w:pos="6570"/>
        <w:tab w:val="left" w:pos="6660"/>
      </w:tabs>
      <w:rPr>
        <w:b/>
        <w:sz w:val="22"/>
      </w:rPr>
    </w:pPr>
    <w:r w:rsidRPr="007D2B0D">
      <w:rPr>
        <w:b/>
        <w:sz w:val="22"/>
      </w:rPr>
      <w:t xml:space="preserve">                                                                                                     </w:t>
    </w:r>
    <w:r>
      <w:rPr>
        <w:b/>
        <w:sz w:val="22"/>
      </w:rPr>
      <w:t xml:space="preserve">                  </w:t>
    </w:r>
  </w:p>
  <w:p w:rsidR="00716289" w:rsidRPr="007D2B0D" w:rsidRDefault="00E4671A" w:rsidP="00DD1F29">
    <w:pPr>
      <w:pStyle w:val="Header"/>
      <w:tabs>
        <w:tab w:val="clear" w:pos="4320"/>
        <w:tab w:val="left" w:pos="5580"/>
        <w:tab w:val="left" w:pos="5760"/>
        <w:tab w:val="left" w:pos="6480"/>
        <w:tab w:val="left" w:pos="6570"/>
        <w:tab w:val="left" w:pos="6660"/>
      </w:tabs>
      <w:rPr>
        <w:b/>
        <w:sz w:val="22"/>
      </w:rPr>
    </w:pPr>
    <w:r>
      <w:rPr>
        <w:b/>
        <w:sz w:val="22"/>
      </w:rPr>
      <w:tab/>
    </w:r>
    <w:r>
      <w:rPr>
        <w:b/>
        <w:sz w:val="22"/>
      </w:rPr>
      <w:tab/>
    </w:r>
    <w:r>
      <w:rPr>
        <w:b/>
        <w:sz w:val="22"/>
      </w:rPr>
      <w:tab/>
      <w:t xml:space="preserve">  </w:t>
    </w:r>
    <w:r w:rsidR="00716289" w:rsidRPr="007D2B0D">
      <w:rPr>
        <w:b/>
      </w:rPr>
      <w:t xml:space="preserve">DA </w:t>
    </w:r>
    <w:r w:rsidR="001F4999" w:rsidRPr="001F4999">
      <w:rPr>
        <w:b/>
      </w:rPr>
      <w:t>14-245</w:t>
    </w:r>
    <w:r w:rsidR="00716289" w:rsidRPr="007D2B0D">
      <w:rPr>
        <w:b/>
        <w:sz w:val="22"/>
      </w:rPr>
      <w:tab/>
    </w:r>
  </w:p>
  <w:p w:rsidR="00716289" w:rsidRPr="000A02CB" w:rsidRDefault="00716289" w:rsidP="001E0BC3">
    <w:pPr>
      <w:pStyle w:val="Header"/>
      <w:tabs>
        <w:tab w:val="clear" w:pos="4320"/>
      </w:tabs>
      <w:rPr>
        <w:i/>
      </w:rPr>
    </w:pPr>
    <w:r>
      <w:rPr>
        <w:sz w:val="22"/>
      </w:rPr>
      <w:t xml:space="preserve">                                                                                                                        </w:t>
    </w:r>
    <w:r w:rsidRPr="000A02CB">
      <w:rPr>
        <w:i/>
      </w:rPr>
      <w:t xml:space="preserve">In Reply Refer to:  </w:t>
    </w:r>
  </w:p>
  <w:p w:rsidR="00716289" w:rsidRDefault="00716289" w:rsidP="001E0BC3">
    <w:pPr>
      <w:pStyle w:val="Header"/>
      <w:tabs>
        <w:tab w:val="clear" w:pos="4320"/>
      </w:tabs>
    </w:pPr>
    <w:r>
      <w:t xml:space="preserve">                                                                                                                                    1</w:t>
    </w:r>
    <w:r w:rsidRPr="0071656B">
      <w:t>800B3-</w:t>
    </w:r>
    <w:r w:rsidR="00557C0E">
      <w:t>SS</w:t>
    </w:r>
    <w:r>
      <w:t xml:space="preserve">       </w:t>
    </w:r>
  </w:p>
  <w:p w:rsidR="00716289" w:rsidRPr="0071656B" w:rsidRDefault="00716289" w:rsidP="001E0BC3">
    <w:pPr>
      <w:pStyle w:val="Header"/>
      <w:tabs>
        <w:tab w:val="clear" w:pos="4320"/>
      </w:tabs>
    </w:pPr>
    <w:r>
      <w:t xml:space="preserve">                                                                                                                                    Released: </w:t>
    </w:r>
    <w:r w:rsidR="006814EA">
      <w:t>February 24, 2014</w:t>
    </w: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8D"/>
    <w:rsid w:val="0000096A"/>
    <w:rsid w:val="00000A73"/>
    <w:rsid w:val="00000D45"/>
    <w:rsid w:val="00001499"/>
    <w:rsid w:val="00002026"/>
    <w:rsid w:val="00002304"/>
    <w:rsid w:val="000030D1"/>
    <w:rsid w:val="000040A2"/>
    <w:rsid w:val="0000660B"/>
    <w:rsid w:val="00010318"/>
    <w:rsid w:val="000107DD"/>
    <w:rsid w:val="00010808"/>
    <w:rsid w:val="000113EF"/>
    <w:rsid w:val="00011F35"/>
    <w:rsid w:val="00014EF4"/>
    <w:rsid w:val="00015A9E"/>
    <w:rsid w:val="00017E4A"/>
    <w:rsid w:val="00021F84"/>
    <w:rsid w:val="00022851"/>
    <w:rsid w:val="00022EBF"/>
    <w:rsid w:val="000244A5"/>
    <w:rsid w:val="00024F3A"/>
    <w:rsid w:val="00025F11"/>
    <w:rsid w:val="0002757C"/>
    <w:rsid w:val="0003084B"/>
    <w:rsid w:val="0003110D"/>
    <w:rsid w:val="0003505E"/>
    <w:rsid w:val="00036C3A"/>
    <w:rsid w:val="000401CE"/>
    <w:rsid w:val="000402DD"/>
    <w:rsid w:val="00040372"/>
    <w:rsid w:val="0004067C"/>
    <w:rsid w:val="00042975"/>
    <w:rsid w:val="00042F38"/>
    <w:rsid w:val="000434B6"/>
    <w:rsid w:val="00044999"/>
    <w:rsid w:val="00047555"/>
    <w:rsid w:val="0005172F"/>
    <w:rsid w:val="0005347A"/>
    <w:rsid w:val="0005501E"/>
    <w:rsid w:val="000568A2"/>
    <w:rsid w:val="00056E80"/>
    <w:rsid w:val="00060606"/>
    <w:rsid w:val="00060717"/>
    <w:rsid w:val="000628DD"/>
    <w:rsid w:val="00062DBE"/>
    <w:rsid w:val="000634FE"/>
    <w:rsid w:val="00063529"/>
    <w:rsid w:val="00063AEB"/>
    <w:rsid w:val="000647E6"/>
    <w:rsid w:val="00064F14"/>
    <w:rsid w:val="00065144"/>
    <w:rsid w:val="000677B1"/>
    <w:rsid w:val="0007056E"/>
    <w:rsid w:val="00070595"/>
    <w:rsid w:val="00071FAD"/>
    <w:rsid w:val="00072CE4"/>
    <w:rsid w:val="00073880"/>
    <w:rsid w:val="000751EA"/>
    <w:rsid w:val="0008076A"/>
    <w:rsid w:val="0008190B"/>
    <w:rsid w:val="00081D13"/>
    <w:rsid w:val="00081E36"/>
    <w:rsid w:val="00082C62"/>
    <w:rsid w:val="0008351B"/>
    <w:rsid w:val="00083ED2"/>
    <w:rsid w:val="0008408F"/>
    <w:rsid w:val="000842D4"/>
    <w:rsid w:val="00084E7B"/>
    <w:rsid w:val="00084EEA"/>
    <w:rsid w:val="000867AF"/>
    <w:rsid w:val="00086C73"/>
    <w:rsid w:val="00087B6F"/>
    <w:rsid w:val="00090293"/>
    <w:rsid w:val="00090A30"/>
    <w:rsid w:val="000924F9"/>
    <w:rsid w:val="00093962"/>
    <w:rsid w:val="00094173"/>
    <w:rsid w:val="000943C0"/>
    <w:rsid w:val="00094FB6"/>
    <w:rsid w:val="000959AA"/>
    <w:rsid w:val="0009646A"/>
    <w:rsid w:val="000A02CB"/>
    <w:rsid w:val="000A084C"/>
    <w:rsid w:val="000A10F4"/>
    <w:rsid w:val="000A270A"/>
    <w:rsid w:val="000A6203"/>
    <w:rsid w:val="000A64E6"/>
    <w:rsid w:val="000A734C"/>
    <w:rsid w:val="000A7428"/>
    <w:rsid w:val="000B1049"/>
    <w:rsid w:val="000B2D69"/>
    <w:rsid w:val="000B3932"/>
    <w:rsid w:val="000B5B98"/>
    <w:rsid w:val="000B6691"/>
    <w:rsid w:val="000B6AF1"/>
    <w:rsid w:val="000C1BCB"/>
    <w:rsid w:val="000C38DE"/>
    <w:rsid w:val="000C4B37"/>
    <w:rsid w:val="000C5935"/>
    <w:rsid w:val="000D0A43"/>
    <w:rsid w:val="000D1AC3"/>
    <w:rsid w:val="000D25C6"/>
    <w:rsid w:val="000D632E"/>
    <w:rsid w:val="000D6744"/>
    <w:rsid w:val="000D7058"/>
    <w:rsid w:val="000E01C7"/>
    <w:rsid w:val="000E19E9"/>
    <w:rsid w:val="000E3C4F"/>
    <w:rsid w:val="000E51B9"/>
    <w:rsid w:val="000E58CE"/>
    <w:rsid w:val="000E6FAC"/>
    <w:rsid w:val="000F131F"/>
    <w:rsid w:val="000F4C1F"/>
    <w:rsid w:val="000F4EE2"/>
    <w:rsid w:val="000F4F59"/>
    <w:rsid w:val="000F579F"/>
    <w:rsid w:val="000F6D99"/>
    <w:rsid w:val="000F7EE6"/>
    <w:rsid w:val="001000D9"/>
    <w:rsid w:val="001017B9"/>
    <w:rsid w:val="00101E3D"/>
    <w:rsid w:val="00104E2C"/>
    <w:rsid w:val="00105A37"/>
    <w:rsid w:val="00106F9F"/>
    <w:rsid w:val="00111F76"/>
    <w:rsid w:val="00112F1B"/>
    <w:rsid w:val="001144D0"/>
    <w:rsid w:val="001167FD"/>
    <w:rsid w:val="00117AC8"/>
    <w:rsid w:val="00120806"/>
    <w:rsid w:val="00120E42"/>
    <w:rsid w:val="00121BB7"/>
    <w:rsid w:val="0012272E"/>
    <w:rsid w:val="00123DEC"/>
    <w:rsid w:val="00126C81"/>
    <w:rsid w:val="001329D1"/>
    <w:rsid w:val="00134FA9"/>
    <w:rsid w:val="001361CA"/>
    <w:rsid w:val="00137D17"/>
    <w:rsid w:val="00140B4E"/>
    <w:rsid w:val="00140E66"/>
    <w:rsid w:val="00141537"/>
    <w:rsid w:val="00142F3C"/>
    <w:rsid w:val="00143758"/>
    <w:rsid w:val="00143DE3"/>
    <w:rsid w:val="00143E7C"/>
    <w:rsid w:val="001444DE"/>
    <w:rsid w:val="0014481C"/>
    <w:rsid w:val="0014521B"/>
    <w:rsid w:val="001452AC"/>
    <w:rsid w:val="0014585A"/>
    <w:rsid w:val="00146767"/>
    <w:rsid w:val="00146C95"/>
    <w:rsid w:val="00152CCF"/>
    <w:rsid w:val="00152F97"/>
    <w:rsid w:val="00153271"/>
    <w:rsid w:val="0015335C"/>
    <w:rsid w:val="001537AE"/>
    <w:rsid w:val="00154394"/>
    <w:rsid w:val="00154992"/>
    <w:rsid w:val="00156019"/>
    <w:rsid w:val="00160F61"/>
    <w:rsid w:val="0016265F"/>
    <w:rsid w:val="001649B5"/>
    <w:rsid w:val="0016553F"/>
    <w:rsid w:val="00167793"/>
    <w:rsid w:val="0017047F"/>
    <w:rsid w:val="0017075F"/>
    <w:rsid w:val="0017217E"/>
    <w:rsid w:val="0017293A"/>
    <w:rsid w:val="00172E4B"/>
    <w:rsid w:val="00173CF5"/>
    <w:rsid w:val="00173F10"/>
    <w:rsid w:val="001745FC"/>
    <w:rsid w:val="00174FA2"/>
    <w:rsid w:val="00176350"/>
    <w:rsid w:val="00176912"/>
    <w:rsid w:val="00176C21"/>
    <w:rsid w:val="001772DF"/>
    <w:rsid w:val="00180070"/>
    <w:rsid w:val="00180563"/>
    <w:rsid w:val="0018130B"/>
    <w:rsid w:val="001818EE"/>
    <w:rsid w:val="00182654"/>
    <w:rsid w:val="00183B23"/>
    <w:rsid w:val="0018403E"/>
    <w:rsid w:val="00184DCD"/>
    <w:rsid w:val="001854BD"/>
    <w:rsid w:val="001872D4"/>
    <w:rsid w:val="001873D4"/>
    <w:rsid w:val="00187737"/>
    <w:rsid w:val="00187CB0"/>
    <w:rsid w:val="00190EBB"/>
    <w:rsid w:val="00191EF5"/>
    <w:rsid w:val="00192C68"/>
    <w:rsid w:val="001933C9"/>
    <w:rsid w:val="00195BC5"/>
    <w:rsid w:val="00195E7A"/>
    <w:rsid w:val="001963F7"/>
    <w:rsid w:val="00196870"/>
    <w:rsid w:val="001A10E3"/>
    <w:rsid w:val="001A2AB9"/>
    <w:rsid w:val="001A3DD3"/>
    <w:rsid w:val="001A4B51"/>
    <w:rsid w:val="001A5FC3"/>
    <w:rsid w:val="001A61A5"/>
    <w:rsid w:val="001A625F"/>
    <w:rsid w:val="001A65B0"/>
    <w:rsid w:val="001A7561"/>
    <w:rsid w:val="001A798D"/>
    <w:rsid w:val="001B1C08"/>
    <w:rsid w:val="001B242A"/>
    <w:rsid w:val="001B2CF6"/>
    <w:rsid w:val="001B42B3"/>
    <w:rsid w:val="001B505A"/>
    <w:rsid w:val="001B50EE"/>
    <w:rsid w:val="001B55B7"/>
    <w:rsid w:val="001B55DF"/>
    <w:rsid w:val="001B55E2"/>
    <w:rsid w:val="001B591E"/>
    <w:rsid w:val="001B600D"/>
    <w:rsid w:val="001C00C5"/>
    <w:rsid w:val="001C0440"/>
    <w:rsid w:val="001C26FE"/>
    <w:rsid w:val="001C3509"/>
    <w:rsid w:val="001C5099"/>
    <w:rsid w:val="001C60DB"/>
    <w:rsid w:val="001D10C7"/>
    <w:rsid w:val="001D21C9"/>
    <w:rsid w:val="001D2314"/>
    <w:rsid w:val="001D5198"/>
    <w:rsid w:val="001D5BAD"/>
    <w:rsid w:val="001D5F55"/>
    <w:rsid w:val="001D6117"/>
    <w:rsid w:val="001D735D"/>
    <w:rsid w:val="001E0BC3"/>
    <w:rsid w:val="001E0D18"/>
    <w:rsid w:val="001E0FCF"/>
    <w:rsid w:val="001E2457"/>
    <w:rsid w:val="001E25FD"/>
    <w:rsid w:val="001E3104"/>
    <w:rsid w:val="001E73A0"/>
    <w:rsid w:val="001F004C"/>
    <w:rsid w:val="001F076C"/>
    <w:rsid w:val="001F0E0E"/>
    <w:rsid w:val="001F2293"/>
    <w:rsid w:val="001F3169"/>
    <w:rsid w:val="001F3F26"/>
    <w:rsid w:val="001F4999"/>
    <w:rsid w:val="001F4E47"/>
    <w:rsid w:val="001F7962"/>
    <w:rsid w:val="00200697"/>
    <w:rsid w:val="00201323"/>
    <w:rsid w:val="00202B34"/>
    <w:rsid w:val="00203716"/>
    <w:rsid w:val="00205423"/>
    <w:rsid w:val="00206BCE"/>
    <w:rsid w:val="00210809"/>
    <w:rsid w:val="00211129"/>
    <w:rsid w:val="002129EE"/>
    <w:rsid w:val="0021337A"/>
    <w:rsid w:val="00217B8E"/>
    <w:rsid w:val="00220963"/>
    <w:rsid w:val="002260A2"/>
    <w:rsid w:val="002271BD"/>
    <w:rsid w:val="00227602"/>
    <w:rsid w:val="00230437"/>
    <w:rsid w:val="00232459"/>
    <w:rsid w:val="0023602E"/>
    <w:rsid w:val="00237662"/>
    <w:rsid w:val="00237BCB"/>
    <w:rsid w:val="00240E07"/>
    <w:rsid w:val="00242F8F"/>
    <w:rsid w:val="00243870"/>
    <w:rsid w:val="00244DEA"/>
    <w:rsid w:val="002454B7"/>
    <w:rsid w:val="00250AEC"/>
    <w:rsid w:val="00252DEC"/>
    <w:rsid w:val="0025482E"/>
    <w:rsid w:val="00255973"/>
    <w:rsid w:val="00260C79"/>
    <w:rsid w:val="00260F53"/>
    <w:rsid w:val="0026122F"/>
    <w:rsid w:val="00261FEB"/>
    <w:rsid w:val="0026215B"/>
    <w:rsid w:val="00263080"/>
    <w:rsid w:val="00263615"/>
    <w:rsid w:val="00264140"/>
    <w:rsid w:val="002647AA"/>
    <w:rsid w:val="00266259"/>
    <w:rsid w:val="00267272"/>
    <w:rsid w:val="002723C3"/>
    <w:rsid w:val="00272D49"/>
    <w:rsid w:val="002748B4"/>
    <w:rsid w:val="00274971"/>
    <w:rsid w:val="002758BF"/>
    <w:rsid w:val="00277075"/>
    <w:rsid w:val="00280900"/>
    <w:rsid w:val="0028295C"/>
    <w:rsid w:val="002832E7"/>
    <w:rsid w:val="0028350D"/>
    <w:rsid w:val="002873CB"/>
    <w:rsid w:val="0029245B"/>
    <w:rsid w:val="00292688"/>
    <w:rsid w:val="0029776A"/>
    <w:rsid w:val="002A0422"/>
    <w:rsid w:val="002A10BB"/>
    <w:rsid w:val="002A1C56"/>
    <w:rsid w:val="002A2183"/>
    <w:rsid w:val="002A3D0A"/>
    <w:rsid w:val="002A410A"/>
    <w:rsid w:val="002A52A3"/>
    <w:rsid w:val="002A68DB"/>
    <w:rsid w:val="002A72FF"/>
    <w:rsid w:val="002A7652"/>
    <w:rsid w:val="002B2250"/>
    <w:rsid w:val="002B2C13"/>
    <w:rsid w:val="002B2CAF"/>
    <w:rsid w:val="002B3FC6"/>
    <w:rsid w:val="002B47D9"/>
    <w:rsid w:val="002B5226"/>
    <w:rsid w:val="002B6881"/>
    <w:rsid w:val="002B6966"/>
    <w:rsid w:val="002C0109"/>
    <w:rsid w:val="002C09EC"/>
    <w:rsid w:val="002C590C"/>
    <w:rsid w:val="002C63F7"/>
    <w:rsid w:val="002C6A72"/>
    <w:rsid w:val="002C6DCB"/>
    <w:rsid w:val="002C7B6F"/>
    <w:rsid w:val="002D0C64"/>
    <w:rsid w:val="002D253C"/>
    <w:rsid w:val="002D2AD4"/>
    <w:rsid w:val="002D43CB"/>
    <w:rsid w:val="002D7CF7"/>
    <w:rsid w:val="002D7F4A"/>
    <w:rsid w:val="002E10FA"/>
    <w:rsid w:val="002E1B2B"/>
    <w:rsid w:val="002E3511"/>
    <w:rsid w:val="002E39EA"/>
    <w:rsid w:val="002E6D06"/>
    <w:rsid w:val="002F08E3"/>
    <w:rsid w:val="002F176E"/>
    <w:rsid w:val="002F1BF1"/>
    <w:rsid w:val="002F36CE"/>
    <w:rsid w:val="002F3B56"/>
    <w:rsid w:val="002F4ABE"/>
    <w:rsid w:val="002F4D6E"/>
    <w:rsid w:val="002F6436"/>
    <w:rsid w:val="002F6906"/>
    <w:rsid w:val="002F717D"/>
    <w:rsid w:val="002F772F"/>
    <w:rsid w:val="00300610"/>
    <w:rsid w:val="0030135C"/>
    <w:rsid w:val="00302076"/>
    <w:rsid w:val="003021C8"/>
    <w:rsid w:val="0030307E"/>
    <w:rsid w:val="003031E8"/>
    <w:rsid w:val="003057DC"/>
    <w:rsid w:val="00307A53"/>
    <w:rsid w:val="00310BB3"/>
    <w:rsid w:val="00311961"/>
    <w:rsid w:val="003155DD"/>
    <w:rsid w:val="003158B2"/>
    <w:rsid w:val="00316BBB"/>
    <w:rsid w:val="00316C5F"/>
    <w:rsid w:val="00322BCF"/>
    <w:rsid w:val="00323273"/>
    <w:rsid w:val="00323F18"/>
    <w:rsid w:val="00324049"/>
    <w:rsid w:val="00324A49"/>
    <w:rsid w:val="003324E5"/>
    <w:rsid w:val="00337657"/>
    <w:rsid w:val="00337F55"/>
    <w:rsid w:val="003407DA"/>
    <w:rsid w:val="00343F45"/>
    <w:rsid w:val="0034407C"/>
    <w:rsid w:val="003455A0"/>
    <w:rsid w:val="003466F4"/>
    <w:rsid w:val="003479EA"/>
    <w:rsid w:val="00351A4B"/>
    <w:rsid w:val="0035209F"/>
    <w:rsid w:val="00353381"/>
    <w:rsid w:val="00354BBE"/>
    <w:rsid w:val="00355730"/>
    <w:rsid w:val="00355C1E"/>
    <w:rsid w:val="00361373"/>
    <w:rsid w:val="003623EF"/>
    <w:rsid w:val="00364AAA"/>
    <w:rsid w:val="00365FCF"/>
    <w:rsid w:val="0036709F"/>
    <w:rsid w:val="00367EFF"/>
    <w:rsid w:val="00371419"/>
    <w:rsid w:val="00371803"/>
    <w:rsid w:val="00374296"/>
    <w:rsid w:val="00377179"/>
    <w:rsid w:val="00380C41"/>
    <w:rsid w:val="00380E3B"/>
    <w:rsid w:val="0038253B"/>
    <w:rsid w:val="00382BEF"/>
    <w:rsid w:val="00382D8D"/>
    <w:rsid w:val="0038466B"/>
    <w:rsid w:val="00384BB4"/>
    <w:rsid w:val="00385485"/>
    <w:rsid w:val="003856B0"/>
    <w:rsid w:val="00385731"/>
    <w:rsid w:val="00385F8F"/>
    <w:rsid w:val="00387DE0"/>
    <w:rsid w:val="00391366"/>
    <w:rsid w:val="003914B0"/>
    <w:rsid w:val="00392E19"/>
    <w:rsid w:val="00394D8D"/>
    <w:rsid w:val="003954F8"/>
    <w:rsid w:val="003A203E"/>
    <w:rsid w:val="003A2D79"/>
    <w:rsid w:val="003A7097"/>
    <w:rsid w:val="003A7215"/>
    <w:rsid w:val="003B0BD8"/>
    <w:rsid w:val="003B0E94"/>
    <w:rsid w:val="003B10A8"/>
    <w:rsid w:val="003B2EC3"/>
    <w:rsid w:val="003B35AC"/>
    <w:rsid w:val="003B377A"/>
    <w:rsid w:val="003B560E"/>
    <w:rsid w:val="003B5C75"/>
    <w:rsid w:val="003B78DF"/>
    <w:rsid w:val="003C1C3F"/>
    <w:rsid w:val="003C25C5"/>
    <w:rsid w:val="003C2DBC"/>
    <w:rsid w:val="003C2FE4"/>
    <w:rsid w:val="003C3C10"/>
    <w:rsid w:val="003C4333"/>
    <w:rsid w:val="003C586C"/>
    <w:rsid w:val="003D0574"/>
    <w:rsid w:val="003D2248"/>
    <w:rsid w:val="003D3D2A"/>
    <w:rsid w:val="003D40BA"/>
    <w:rsid w:val="003D4E16"/>
    <w:rsid w:val="003D4E18"/>
    <w:rsid w:val="003D773A"/>
    <w:rsid w:val="003E0066"/>
    <w:rsid w:val="003E370F"/>
    <w:rsid w:val="003E3F0E"/>
    <w:rsid w:val="003E42C8"/>
    <w:rsid w:val="003E629B"/>
    <w:rsid w:val="003E62AA"/>
    <w:rsid w:val="003E63B7"/>
    <w:rsid w:val="003E6772"/>
    <w:rsid w:val="003F4FE3"/>
    <w:rsid w:val="003F60E5"/>
    <w:rsid w:val="003F6B6A"/>
    <w:rsid w:val="003F6BE5"/>
    <w:rsid w:val="004004B0"/>
    <w:rsid w:val="004007EF"/>
    <w:rsid w:val="00401BEC"/>
    <w:rsid w:val="00403484"/>
    <w:rsid w:val="00404359"/>
    <w:rsid w:val="0040489F"/>
    <w:rsid w:val="00404EF5"/>
    <w:rsid w:val="0040646C"/>
    <w:rsid w:val="00407791"/>
    <w:rsid w:val="0041122D"/>
    <w:rsid w:val="00412048"/>
    <w:rsid w:val="00412ECE"/>
    <w:rsid w:val="004139BB"/>
    <w:rsid w:val="004165CD"/>
    <w:rsid w:val="00416FB9"/>
    <w:rsid w:val="00417E46"/>
    <w:rsid w:val="00420091"/>
    <w:rsid w:val="004203DD"/>
    <w:rsid w:val="004212D5"/>
    <w:rsid w:val="00424D89"/>
    <w:rsid w:val="004300F8"/>
    <w:rsid w:val="0043303B"/>
    <w:rsid w:val="00433B4C"/>
    <w:rsid w:val="004412C7"/>
    <w:rsid w:val="0044135C"/>
    <w:rsid w:val="00442C46"/>
    <w:rsid w:val="00442E52"/>
    <w:rsid w:val="004440F8"/>
    <w:rsid w:val="004441E2"/>
    <w:rsid w:val="0044435E"/>
    <w:rsid w:val="0044572C"/>
    <w:rsid w:val="00450119"/>
    <w:rsid w:val="004509D3"/>
    <w:rsid w:val="004518E9"/>
    <w:rsid w:val="00452C4A"/>
    <w:rsid w:val="0045514A"/>
    <w:rsid w:val="00456720"/>
    <w:rsid w:val="00456D7A"/>
    <w:rsid w:val="004577BB"/>
    <w:rsid w:val="00461037"/>
    <w:rsid w:val="004613B5"/>
    <w:rsid w:val="0046236E"/>
    <w:rsid w:val="00462C72"/>
    <w:rsid w:val="0046479A"/>
    <w:rsid w:val="00465986"/>
    <w:rsid w:val="00465A31"/>
    <w:rsid w:val="0046723F"/>
    <w:rsid w:val="004674B5"/>
    <w:rsid w:val="00473381"/>
    <w:rsid w:val="00474A94"/>
    <w:rsid w:val="0047556D"/>
    <w:rsid w:val="00475A58"/>
    <w:rsid w:val="00480086"/>
    <w:rsid w:val="004808EB"/>
    <w:rsid w:val="0048130C"/>
    <w:rsid w:val="0048167E"/>
    <w:rsid w:val="004818FC"/>
    <w:rsid w:val="004830F6"/>
    <w:rsid w:val="00483263"/>
    <w:rsid w:val="004840F5"/>
    <w:rsid w:val="0048422B"/>
    <w:rsid w:val="004842CF"/>
    <w:rsid w:val="00484FD9"/>
    <w:rsid w:val="00485A19"/>
    <w:rsid w:val="00487945"/>
    <w:rsid w:val="004904B8"/>
    <w:rsid w:val="004918AB"/>
    <w:rsid w:val="00491B13"/>
    <w:rsid w:val="0049216A"/>
    <w:rsid w:val="00493F3B"/>
    <w:rsid w:val="004942CE"/>
    <w:rsid w:val="0049491A"/>
    <w:rsid w:val="00494A43"/>
    <w:rsid w:val="004954A1"/>
    <w:rsid w:val="00495F45"/>
    <w:rsid w:val="004A06B1"/>
    <w:rsid w:val="004A1A2D"/>
    <w:rsid w:val="004A2068"/>
    <w:rsid w:val="004A280B"/>
    <w:rsid w:val="004A4A5B"/>
    <w:rsid w:val="004A7158"/>
    <w:rsid w:val="004B0529"/>
    <w:rsid w:val="004B0DF4"/>
    <w:rsid w:val="004B1BDF"/>
    <w:rsid w:val="004B3134"/>
    <w:rsid w:val="004B31F7"/>
    <w:rsid w:val="004B5479"/>
    <w:rsid w:val="004B57E5"/>
    <w:rsid w:val="004B5F34"/>
    <w:rsid w:val="004B6A3E"/>
    <w:rsid w:val="004B6A57"/>
    <w:rsid w:val="004B7668"/>
    <w:rsid w:val="004C0267"/>
    <w:rsid w:val="004C38E1"/>
    <w:rsid w:val="004C4FE4"/>
    <w:rsid w:val="004C5247"/>
    <w:rsid w:val="004C5D2C"/>
    <w:rsid w:val="004C6487"/>
    <w:rsid w:val="004C65DB"/>
    <w:rsid w:val="004C721F"/>
    <w:rsid w:val="004C7C52"/>
    <w:rsid w:val="004D123D"/>
    <w:rsid w:val="004D12C6"/>
    <w:rsid w:val="004D24AB"/>
    <w:rsid w:val="004E09EE"/>
    <w:rsid w:val="004E4188"/>
    <w:rsid w:val="004E4211"/>
    <w:rsid w:val="004E4F7E"/>
    <w:rsid w:val="004E5052"/>
    <w:rsid w:val="004E59AE"/>
    <w:rsid w:val="004E5B78"/>
    <w:rsid w:val="004F0AAC"/>
    <w:rsid w:val="004F4A73"/>
    <w:rsid w:val="004F5DA9"/>
    <w:rsid w:val="004F5FBF"/>
    <w:rsid w:val="004F717C"/>
    <w:rsid w:val="005006AC"/>
    <w:rsid w:val="00501094"/>
    <w:rsid w:val="005022B9"/>
    <w:rsid w:val="0050359B"/>
    <w:rsid w:val="00503FC5"/>
    <w:rsid w:val="00504785"/>
    <w:rsid w:val="00507C40"/>
    <w:rsid w:val="00507F63"/>
    <w:rsid w:val="0051051F"/>
    <w:rsid w:val="005108B6"/>
    <w:rsid w:val="00510CC4"/>
    <w:rsid w:val="00510D03"/>
    <w:rsid w:val="00510F0C"/>
    <w:rsid w:val="00511DD0"/>
    <w:rsid w:val="00511FDB"/>
    <w:rsid w:val="005122C8"/>
    <w:rsid w:val="005128D2"/>
    <w:rsid w:val="005153B8"/>
    <w:rsid w:val="0051747B"/>
    <w:rsid w:val="00520A65"/>
    <w:rsid w:val="005214C7"/>
    <w:rsid w:val="00522C9F"/>
    <w:rsid w:val="00523206"/>
    <w:rsid w:val="00524FBC"/>
    <w:rsid w:val="005274FC"/>
    <w:rsid w:val="00527BC8"/>
    <w:rsid w:val="00530DC7"/>
    <w:rsid w:val="00532CAA"/>
    <w:rsid w:val="00532DDF"/>
    <w:rsid w:val="005343A3"/>
    <w:rsid w:val="0053532B"/>
    <w:rsid w:val="0053550A"/>
    <w:rsid w:val="00535723"/>
    <w:rsid w:val="005361EC"/>
    <w:rsid w:val="005363CF"/>
    <w:rsid w:val="00536E43"/>
    <w:rsid w:val="00540425"/>
    <w:rsid w:val="005414D8"/>
    <w:rsid w:val="0054208D"/>
    <w:rsid w:val="00545E14"/>
    <w:rsid w:val="00546DD0"/>
    <w:rsid w:val="00547C04"/>
    <w:rsid w:val="00547E2F"/>
    <w:rsid w:val="00552414"/>
    <w:rsid w:val="00553676"/>
    <w:rsid w:val="00553F82"/>
    <w:rsid w:val="00554D44"/>
    <w:rsid w:val="00554F4A"/>
    <w:rsid w:val="00555142"/>
    <w:rsid w:val="00555CB7"/>
    <w:rsid w:val="005567FF"/>
    <w:rsid w:val="0055686A"/>
    <w:rsid w:val="005568D6"/>
    <w:rsid w:val="00557C0E"/>
    <w:rsid w:val="00561298"/>
    <w:rsid w:val="005636E3"/>
    <w:rsid w:val="0056508E"/>
    <w:rsid w:val="005659F0"/>
    <w:rsid w:val="0056634F"/>
    <w:rsid w:val="005669D2"/>
    <w:rsid w:val="00570630"/>
    <w:rsid w:val="00570F82"/>
    <w:rsid w:val="0057165D"/>
    <w:rsid w:val="0057202D"/>
    <w:rsid w:val="0057210B"/>
    <w:rsid w:val="00572614"/>
    <w:rsid w:val="0057269B"/>
    <w:rsid w:val="00574A49"/>
    <w:rsid w:val="00574B51"/>
    <w:rsid w:val="00574BF0"/>
    <w:rsid w:val="00580458"/>
    <w:rsid w:val="005835FC"/>
    <w:rsid w:val="00583700"/>
    <w:rsid w:val="00583FFC"/>
    <w:rsid w:val="00584DB7"/>
    <w:rsid w:val="00584E0C"/>
    <w:rsid w:val="005852C7"/>
    <w:rsid w:val="00585423"/>
    <w:rsid w:val="00585B28"/>
    <w:rsid w:val="00590EA7"/>
    <w:rsid w:val="00595D11"/>
    <w:rsid w:val="0059662C"/>
    <w:rsid w:val="005A0FD7"/>
    <w:rsid w:val="005A10FC"/>
    <w:rsid w:val="005A1E7B"/>
    <w:rsid w:val="005A2887"/>
    <w:rsid w:val="005A3A72"/>
    <w:rsid w:val="005A430F"/>
    <w:rsid w:val="005A4722"/>
    <w:rsid w:val="005A5B5A"/>
    <w:rsid w:val="005A7DEE"/>
    <w:rsid w:val="005A7F62"/>
    <w:rsid w:val="005B13C3"/>
    <w:rsid w:val="005B5195"/>
    <w:rsid w:val="005B6ABD"/>
    <w:rsid w:val="005B71BF"/>
    <w:rsid w:val="005C05DC"/>
    <w:rsid w:val="005C18B9"/>
    <w:rsid w:val="005C1CBA"/>
    <w:rsid w:val="005C2ED8"/>
    <w:rsid w:val="005C388A"/>
    <w:rsid w:val="005C3E6F"/>
    <w:rsid w:val="005C3FF7"/>
    <w:rsid w:val="005C53B8"/>
    <w:rsid w:val="005D0326"/>
    <w:rsid w:val="005D0E61"/>
    <w:rsid w:val="005D103B"/>
    <w:rsid w:val="005D1ABE"/>
    <w:rsid w:val="005D5AE5"/>
    <w:rsid w:val="005D643B"/>
    <w:rsid w:val="005D7E0E"/>
    <w:rsid w:val="005E0A87"/>
    <w:rsid w:val="005E0DE0"/>
    <w:rsid w:val="005E1547"/>
    <w:rsid w:val="005E1904"/>
    <w:rsid w:val="005E1A1E"/>
    <w:rsid w:val="005E3064"/>
    <w:rsid w:val="005E4C20"/>
    <w:rsid w:val="005E5367"/>
    <w:rsid w:val="005E5EB4"/>
    <w:rsid w:val="005E737A"/>
    <w:rsid w:val="005F061D"/>
    <w:rsid w:val="005F0769"/>
    <w:rsid w:val="005F07C1"/>
    <w:rsid w:val="005F0E6F"/>
    <w:rsid w:val="005F1A72"/>
    <w:rsid w:val="005F4189"/>
    <w:rsid w:val="0060033D"/>
    <w:rsid w:val="0060038A"/>
    <w:rsid w:val="00603FB9"/>
    <w:rsid w:val="006048FA"/>
    <w:rsid w:val="00605DBF"/>
    <w:rsid w:val="00605E9A"/>
    <w:rsid w:val="00607B45"/>
    <w:rsid w:val="00607DEF"/>
    <w:rsid w:val="00610088"/>
    <w:rsid w:val="00610CBD"/>
    <w:rsid w:val="00610E50"/>
    <w:rsid w:val="006111B7"/>
    <w:rsid w:val="006129AB"/>
    <w:rsid w:val="00612DBA"/>
    <w:rsid w:val="00613099"/>
    <w:rsid w:val="00613544"/>
    <w:rsid w:val="00614FC4"/>
    <w:rsid w:val="006152AA"/>
    <w:rsid w:val="00617010"/>
    <w:rsid w:val="00621872"/>
    <w:rsid w:val="006222C0"/>
    <w:rsid w:val="00622662"/>
    <w:rsid w:val="00623406"/>
    <w:rsid w:val="00623414"/>
    <w:rsid w:val="006246FE"/>
    <w:rsid w:val="00624D97"/>
    <w:rsid w:val="006275AB"/>
    <w:rsid w:val="00627821"/>
    <w:rsid w:val="00627CD8"/>
    <w:rsid w:val="00630A8A"/>
    <w:rsid w:val="006333EA"/>
    <w:rsid w:val="00634066"/>
    <w:rsid w:val="00634B77"/>
    <w:rsid w:val="00634EA3"/>
    <w:rsid w:val="006359A7"/>
    <w:rsid w:val="00636359"/>
    <w:rsid w:val="00636694"/>
    <w:rsid w:val="006367DC"/>
    <w:rsid w:val="00636C74"/>
    <w:rsid w:val="00636D5A"/>
    <w:rsid w:val="00637FE7"/>
    <w:rsid w:val="00640705"/>
    <w:rsid w:val="00642E24"/>
    <w:rsid w:val="00643CE8"/>
    <w:rsid w:val="00645164"/>
    <w:rsid w:val="006455C0"/>
    <w:rsid w:val="00645BA6"/>
    <w:rsid w:val="006501CC"/>
    <w:rsid w:val="00651456"/>
    <w:rsid w:val="00652315"/>
    <w:rsid w:val="00653376"/>
    <w:rsid w:val="0065451E"/>
    <w:rsid w:val="00654CE2"/>
    <w:rsid w:val="00656094"/>
    <w:rsid w:val="00656B5C"/>
    <w:rsid w:val="00657502"/>
    <w:rsid w:val="00664C4B"/>
    <w:rsid w:val="00665258"/>
    <w:rsid w:val="00667A0C"/>
    <w:rsid w:val="006704A7"/>
    <w:rsid w:val="00671208"/>
    <w:rsid w:val="00671269"/>
    <w:rsid w:val="00671A2E"/>
    <w:rsid w:val="00672EA2"/>
    <w:rsid w:val="006734F6"/>
    <w:rsid w:val="0067367F"/>
    <w:rsid w:val="006736D5"/>
    <w:rsid w:val="00673744"/>
    <w:rsid w:val="006753FF"/>
    <w:rsid w:val="0067553D"/>
    <w:rsid w:val="006775E8"/>
    <w:rsid w:val="0067790E"/>
    <w:rsid w:val="006800C1"/>
    <w:rsid w:val="00680BC6"/>
    <w:rsid w:val="006814EA"/>
    <w:rsid w:val="006818BA"/>
    <w:rsid w:val="006819F0"/>
    <w:rsid w:val="00684943"/>
    <w:rsid w:val="006849F0"/>
    <w:rsid w:val="00691730"/>
    <w:rsid w:val="00692602"/>
    <w:rsid w:val="006931BE"/>
    <w:rsid w:val="0069704E"/>
    <w:rsid w:val="006A01A0"/>
    <w:rsid w:val="006A0560"/>
    <w:rsid w:val="006A21FA"/>
    <w:rsid w:val="006A6600"/>
    <w:rsid w:val="006A660B"/>
    <w:rsid w:val="006A6B03"/>
    <w:rsid w:val="006B1A18"/>
    <w:rsid w:val="006B1AB1"/>
    <w:rsid w:val="006B209B"/>
    <w:rsid w:val="006B3AAC"/>
    <w:rsid w:val="006B472A"/>
    <w:rsid w:val="006B6B3D"/>
    <w:rsid w:val="006C282F"/>
    <w:rsid w:val="006C2863"/>
    <w:rsid w:val="006C44F4"/>
    <w:rsid w:val="006C4BDB"/>
    <w:rsid w:val="006C4EA3"/>
    <w:rsid w:val="006D00BC"/>
    <w:rsid w:val="006D1CFE"/>
    <w:rsid w:val="006D1E44"/>
    <w:rsid w:val="006D2B6A"/>
    <w:rsid w:val="006D4F31"/>
    <w:rsid w:val="006D5DB9"/>
    <w:rsid w:val="006D5E19"/>
    <w:rsid w:val="006D7FDC"/>
    <w:rsid w:val="006E0AB8"/>
    <w:rsid w:val="006E1735"/>
    <w:rsid w:val="006E316D"/>
    <w:rsid w:val="006E4001"/>
    <w:rsid w:val="006E44C6"/>
    <w:rsid w:val="006E5A44"/>
    <w:rsid w:val="006E7294"/>
    <w:rsid w:val="006F1578"/>
    <w:rsid w:val="006F1CF9"/>
    <w:rsid w:val="00700544"/>
    <w:rsid w:val="0070184F"/>
    <w:rsid w:val="0070223E"/>
    <w:rsid w:val="00702652"/>
    <w:rsid w:val="0070354F"/>
    <w:rsid w:val="007036B4"/>
    <w:rsid w:val="00703DF2"/>
    <w:rsid w:val="00707554"/>
    <w:rsid w:val="00707901"/>
    <w:rsid w:val="00707A34"/>
    <w:rsid w:val="007123A2"/>
    <w:rsid w:val="00712C3B"/>
    <w:rsid w:val="00713EB2"/>
    <w:rsid w:val="007145E1"/>
    <w:rsid w:val="00715509"/>
    <w:rsid w:val="00716289"/>
    <w:rsid w:val="0071656B"/>
    <w:rsid w:val="00716961"/>
    <w:rsid w:val="00716B10"/>
    <w:rsid w:val="0071755B"/>
    <w:rsid w:val="007175A6"/>
    <w:rsid w:val="00720E2A"/>
    <w:rsid w:val="0072157A"/>
    <w:rsid w:val="00721823"/>
    <w:rsid w:val="00721B01"/>
    <w:rsid w:val="007240DC"/>
    <w:rsid w:val="007242AC"/>
    <w:rsid w:val="00725936"/>
    <w:rsid w:val="007273DA"/>
    <w:rsid w:val="007323FB"/>
    <w:rsid w:val="00732E31"/>
    <w:rsid w:val="0073374E"/>
    <w:rsid w:val="00734BF3"/>
    <w:rsid w:val="00734E6A"/>
    <w:rsid w:val="00735654"/>
    <w:rsid w:val="007376E2"/>
    <w:rsid w:val="00737802"/>
    <w:rsid w:val="007409EB"/>
    <w:rsid w:val="00740EE1"/>
    <w:rsid w:val="00740FCE"/>
    <w:rsid w:val="007424E6"/>
    <w:rsid w:val="00744820"/>
    <w:rsid w:val="007459C3"/>
    <w:rsid w:val="0074639E"/>
    <w:rsid w:val="00747AFF"/>
    <w:rsid w:val="007501B3"/>
    <w:rsid w:val="00751666"/>
    <w:rsid w:val="00752205"/>
    <w:rsid w:val="00752538"/>
    <w:rsid w:val="00752FCA"/>
    <w:rsid w:val="00753928"/>
    <w:rsid w:val="00754131"/>
    <w:rsid w:val="00754AC1"/>
    <w:rsid w:val="0076244D"/>
    <w:rsid w:val="00764C55"/>
    <w:rsid w:val="00765565"/>
    <w:rsid w:val="007673F2"/>
    <w:rsid w:val="00767BD3"/>
    <w:rsid w:val="00770783"/>
    <w:rsid w:val="00771659"/>
    <w:rsid w:val="00773812"/>
    <w:rsid w:val="0077561B"/>
    <w:rsid w:val="00776B60"/>
    <w:rsid w:val="007777D4"/>
    <w:rsid w:val="0078053E"/>
    <w:rsid w:val="007816B4"/>
    <w:rsid w:val="00782871"/>
    <w:rsid w:val="00782C57"/>
    <w:rsid w:val="0078320C"/>
    <w:rsid w:val="00784C93"/>
    <w:rsid w:val="007853F8"/>
    <w:rsid w:val="0078797E"/>
    <w:rsid w:val="00790B58"/>
    <w:rsid w:val="00790EB6"/>
    <w:rsid w:val="007922C6"/>
    <w:rsid w:val="00794136"/>
    <w:rsid w:val="0079453D"/>
    <w:rsid w:val="007946B1"/>
    <w:rsid w:val="0079492D"/>
    <w:rsid w:val="0079581D"/>
    <w:rsid w:val="007967B7"/>
    <w:rsid w:val="00797132"/>
    <w:rsid w:val="0079724E"/>
    <w:rsid w:val="007A0B1C"/>
    <w:rsid w:val="007A306E"/>
    <w:rsid w:val="007A3972"/>
    <w:rsid w:val="007A4D0E"/>
    <w:rsid w:val="007A63E2"/>
    <w:rsid w:val="007A7F03"/>
    <w:rsid w:val="007B281E"/>
    <w:rsid w:val="007B4001"/>
    <w:rsid w:val="007B4A64"/>
    <w:rsid w:val="007B5097"/>
    <w:rsid w:val="007B51BE"/>
    <w:rsid w:val="007B6B6B"/>
    <w:rsid w:val="007B71A0"/>
    <w:rsid w:val="007C794B"/>
    <w:rsid w:val="007D1201"/>
    <w:rsid w:val="007D2396"/>
    <w:rsid w:val="007D2B0D"/>
    <w:rsid w:val="007D3E04"/>
    <w:rsid w:val="007D6EB7"/>
    <w:rsid w:val="007E0F6B"/>
    <w:rsid w:val="007E39EB"/>
    <w:rsid w:val="007E3A99"/>
    <w:rsid w:val="007E4E46"/>
    <w:rsid w:val="007E5ED7"/>
    <w:rsid w:val="007E7500"/>
    <w:rsid w:val="007F0402"/>
    <w:rsid w:val="007F1FCD"/>
    <w:rsid w:val="007F32FC"/>
    <w:rsid w:val="007F390B"/>
    <w:rsid w:val="007F3E86"/>
    <w:rsid w:val="007F415B"/>
    <w:rsid w:val="008006C7"/>
    <w:rsid w:val="00800810"/>
    <w:rsid w:val="00800DB6"/>
    <w:rsid w:val="00804D55"/>
    <w:rsid w:val="0080538F"/>
    <w:rsid w:val="00810675"/>
    <w:rsid w:val="0081217A"/>
    <w:rsid w:val="0081325F"/>
    <w:rsid w:val="00813DB0"/>
    <w:rsid w:val="00813DFD"/>
    <w:rsid w:val="00814B66"/>
    <w:rsid w:val="00817A50"/>
    <w:rsid w:val="00817E77"/>
    <w:rsid w:val="00821890"/>
    <w:rsid w:val="00823B11"/>
    <w:rsid w:val="00823B34"/>
    <w:rsid w:val="008246AD"/>
    <w:rsid w:val="0082719D"/>
    <w:rsid w:val="00827652"/>
    <w:rsid w:val="008302A5"/>
    <w:rsid w:val="00830CB4"/>
    <w:rsid w:val="00830EBA"/>
    <w:rsid w:val="00831061"/>
    <w:rsid w:val="0083131F"/>
    <w:rsid w:val="00833F48"/>
    <w:rsid w:val="008348E2"/>
    <w:rsid w:val="00834EF4"/>
    <w:rsid w:val="0083549A"/>
    <w:rsid w:val="008368CE"/>
    <w:rsid w:val="00836C14"/>
    <w:rsid w:val="00836ECE"/>
    <w:rsid w:val="0084000F"/>
    <w:rsid w:val="008405CE"/>
    <w:rsid w:val="00842992"/>
    <w:rsid w:val="0084329D"/>
    <w:rsid w:val="00844833"/>
    <w:rsid w:val="008475D2"/>
    <w:rsid w:val="00851AB8"/>
    <w:rsid w:val="008536ED"/>
    <w:rsid w:val="00853F38"/>
    <w:rsid w:val="008544EB"/>
    <w:rsid w:val="00854A62"/>
    <w:rsid w:val="008552C4"/>
    <w:rsid w:val="00855F03"/>
    <w:rsid w:val="0086141E"/>
    <w:rsid w:val="00861B24"/>
    <w:rsid w:val="008626E5"/>
    <w:rsid w:val="00862F83"/>
    <w:rsid w:val="0086602E"/>
    <w:rsid w:val="00866986"/>
    <w:rsid w:val="00867A22"/>
    <w:rsid w:val="00870C2C"/>
    <w:rsid w:val="00872E50"/>
    <w:rsid w:val="008731E8"/>
    <w:rsid w:val="00873312"/>
    <w:rsid w:val="008740AE"/>
    <w:rsid w:val="008744B0"/>
    <w:rsid w:val="0087468A"/>
    <w:rsid w:val="008749A4"/>
    <w:rsid w:val="00874AF0"/>
    <w:rsid w:val="008779F9"/>
    <w:rsid w:val="00880DE0"/>
    <w:rsid w:val="00881BF8"/>
    <w:rsid w:val="00881C51"/>
    <w:rsid w:val="00881FC8"/>
    <w:rsid w:val="008829A1"/>
    <w:rsid w:val="00882A7D"/>
    <w:rsid w:val="008844EF"/>
    <w:rsid w:val="008847CF"/>
    <w:rsid w:val="00885B30"/>
    <w:rsid w:val="00885F59"/>
    <w:rsid w:val="00887599"/>
    <w:rsid w:val="008876C1"/>
    <w:rsid w:val="008919B2"/>
    <w:rsid w:val="00892B4B"/>
    <w:rsid w:val="0089316D"/>
    <w:rsid w:val="008959CE"/>
    <w:rsid w:val="00895FAD"/>
    <w:rsid w:val="008A01E2"/>
    <w:rsid w:val="008A1DAA"/>
    <w:rsid w:val="008A2350"/>
    <w:rsid w:val="008A402D"/>
    <w:rsid w:val="008A45F5"/>
    <w:rsid w:val="008A574A"/>
    <w:rsid w:val="008B02F3"/>
    <w:rsid w:val="008B2AF7"/>
    <w:rsid w:val="008B5725"/>
    <w:rsid w:val="008B5F86"/>
    <w:rsid w:val="008B7FBA"/>
    <w:rsid w:val="008C32D9"/>
    <w:rsid w:val="008C3B43"/>
    <w:rsid w:val="008C3C44"/>
    <w:rsid w:val="008C4768"/>
    <w:rsid w:val="008C79F1"/>
    <w:rsid w:val="008D1486"/>
    <w:rsid w:val="008D176E"/>
    <w:rsid w:val="008D2C2F"/>
    <w:rsid w:val="008D2E46"/>
    <w:rsid w:val="008D3F51"/>
    <w:rsid w:val="008D4EAF"/>
    <w:rsid w:val="008D5714"/>
    <w:rsid w:val="008E052D"/>
    <w:rsid w:val="008E18B3"/>
    <w:rsid w:val="008E2EC7"/>
    <w:rsid w:val="008E36CF"/>
    <w:rsid w:val="008E3F87"/>
    <w:rsid w:val="008E4DAA"/>
    <w:rsid w:val="008E6A32"/>
    <w:rsid w:val="008E7C2E"/>
    <w:rsid w:val="008F03B8"/>
    <w:rsid w:val="008F0AFB"/>
    <w:rsid w:val="008F13EB"/>
    <w:rsid w:val="008F2938"/>
    <w:rsid w:val="008F4290"/>
    <w:rsid w:val="008F4810"/>
    <w:rsid w:val="008F4819"/>
    <w:rsid w:val="008F49F3"/>
    <w:rsid w:val="008F50D7"/>
    <w:rsid w:val="008F5145"/>
    <w:rsid w:val="008F6A39"/>
    <w:rsid w:val="008F7D79"/>
    <w:rsid w:val="0090056D"/>
    <w:rsid w:val="0090079F"/>
    <w:rsid w:val="0090100F"/>
    <w:rsid w:val="00901F51"/>
    <w:rsid w:val="00902EF5"/>
    <w:rsid w:val="009044E5"/>
    <w:rsid w:val="00905088"/>
    <w:rsid w:val="009064D8"/>
    <w:rsid w:val="009065EF"/>
    <w:rsid w:val="009075BF"/>
    <w:rsid w:val="0090767C"/>
    <w:rsid w:val="009121A1"/>
    <w:rsid w:val="009130AE"/>
    <w:rsid w:val="00915AE2"/>
    <w:rsid w:val="009176D2"/>
    <w:rsid w:val="00920AB2"/>
    <w:rsid w:val="00920D51"/>
    <w:rsid w:val="00920E94"/>
    <w:rsid w:val="00921275"/>
    <w:rsid w:val="009214F8"/>
    <w:rsid w:val="00921DFB"/>
    <w:rsid w:val="0092582C"/>
    <w:rsid w:val="00927F4B"/>
    <w:rsid w:val="00930634"/>
    <w:rsid w:val="00931A67"/>
    <w:rsid w:val="009348CE"/>
    <w:rsid w:val="009412CC"/>
    <w:rsid w:val="00942510"/>
    <w:rsid w:val="009436D4"/>
    <w:rsid w:val="00945CCA"/>
    <w:rsid w:val="009469B8"/>
    <w:rsid w:val="00950002"/>
    <w:rsid w:val="0095082D"/>
    <w:rsid w:val="00951290"/>
    <w:rsid w:val="00951D77"/>
    <w:rsid w:val="009526E3"/>
    <w:rsid w:val="00952E39"/>
    <w:rsid w:val="00953831"/>
    <w:rsid w:val="009538C2"/>
    <w:rsid w:val="00953AE4"/>
    <w:rsid w:val="00954D4A"/>
    <w:rsid w:val="00954F4A"/>
    <w:rsid w:val="00955256"/>
    <w:rsid w:val="00955ACA"/>
    <w:rsid w:val="009567C5"/>
    <w:rsid w:val="00956EC7"/>
    <w:rsid w:val="00956F32"/>
    <w:rsid w:val="009572F8"/>
    <w:rsid w:val="00961490"/>
    <w:rsid w:val="0096254C"/>
    <w:rsid w:val="0096269A"/>
    <w:rsid w:val="00962B1A"/>
    <w:rsid w:val="00963F18"/>
    <w:rsid w:val="00964008"/>
    <w:rsid w:val="009647D8"/>
    <w:rsid w:val="00965F57"/>
    <w:rsid w:val="00971245"/>
    <w:rsid w:val="0097135C"/>
    <w:rsid w:val="0097175F"/>
    <w:rsid w:val="00971F29"/>
    <w:rsid w:val="00973A18"/>
    <w:rsid w:val="0097495E"/>
    <w:rsid w:val="00974F95"/>
    <w:rsid w:val="009754D8"/>
    <w:rsid w:val="00980C5E"/>
    <w:rsid w:val="00982748"/>
    <w:rsid w:val="00986C32"/>
    <w:rsid w:val="009871A3"/>
    <w:rsid w:val="00990B85"/>
    <w:rsid w:val="009935B3"/>
    <w:rsid w:val="00993DC2"/>
    <w:rsid w:val="0099431B"/>
    <w:rsid w:val="00997039"/>
    <w:rsid w:val="009A261F"/>
    <w:rsid w:val="009A3A2F"/>
    <w:rsid w:val="009A4AD0"/>
    <w:rsid w:val="009A4FDF"/>
    <w:rsid w:val="009A5213"/>
    <w:rsid w:val="009B0BFC"/>
    <w:rsid w:val="009B1027"/>
    <w:rsid w:val="009B1055"/>
    <w:rsid w:val="009B2D9A"/>
    <w:rsid w:val="009B40AD"/>
    <w:rsid w:val="009B5164"/>
    <w:rsid w:val="009B5E76"/>
    <w:rsid w:val="009B6576"/>
    <w:rsid w:val="009B739E"/>
    <w:rsid w:val="009C0D33"/>
    <w:rsid w:val="009C110C"/>
    <w:rsid w:val="009C112D"/>
    <w:rsid w:val="009C36FF"/>
    <w:rsid w:val="009C5799"/>
    <w:rsid w:val="009C606B"/>
    <w:rsid w:val="009C6311"/>
    <w:rsid w:val="009D124E"/>
    <w:rsid w:val="009D2802"/>
    <w:rsid w:val="009D2FA4"/>
    <w:rsid w:val="009D4110"/>
    <w:rsid w:val="009D572C"/>
    <w:rsid w:val="009D6A1D"/>
    <w:rsid w:val="009D6B4A"/>
    <w:rsid w:val="009D6B9D"/>
    <w:rsid w:val="009D748F"/>
    <w:rsid w:val="009E0EF9"/>
    <w:rsid w:val="009E159E"/>
    <w:rsid w:val="009E18D5"/>
    <w:rsid w:val="009E2C46"/>
    <w:rsid w:val="009E2EB3"/>
    <w:rsid w:val="009E3604"/>
    <w:rsid w:val="009E4790"/>
    <w:rsid w:val="009E66B2"/>
    <w:rsid w:val="009E67FA"/>
    <w:rsid w:val="009E7D6D"/>
    <w:rsid w:val="009F03D9"/>
    <w:rsid w:val="009F1643"/>
    <w:rsid w:val="009F4E49"/>
    <w:rsid w:val="009F5AF7"/>
    <w:rsid w:val="009F5E21"/>
    <w:rsid w:val="00A01237"/>
    <w:rsid w:val="00A013F1"/>
    <w:rsid w:val="00A033F4"/>
    <w:rsid w:val="00A0356D"/>
    <w:rsid w:val="00A057EC"/>
    <w:rsid w:val="00A05FBA"/>
    <w:rsid w:val="00A07B46"/>
    <w:rsid w:val="00A12763"/>
    <w:rsid w:val="00A1466D"/>
    <w:rsid w:val="00A14B9E"/>
    <w:rsid w:val="00A162DA"/>
    <w:rsid w:val="00A17230"/>
    <w:rsid w:val="00A17C04"/>
    <w:rsid w:val="00A17F86"/>
    <w:rsid w:val="00A2219B"/>
    <w:rsid w:val="00A23117"/>
    <w:rsid w:val="00A234B0"/>
    <w:rsid w:val="00A26F58"/>
    <w:rsid w:val="00A31A45"/>
    <w:rsid w:val="00A31A83"/>
    <w:rsid w:val="00A31C44"/>
    <w:rsid w:val="00A31EAD"/>
    <w:rsid w:val="00A31FA9"/>
    <w:rsid w:val="00A34B1B"/>
    <w:rsid w:val="00A35FEC"/>
    <w:rsid w:val="00A36CBF"/>
    <w:rsid w:val="00A36E6F"/>
    <w:rsid w:val="00A40417"/>
    <w:rsid w:val="00A4078A"/>
    <w:rsid w:val="00A44433"/>
    <w:rsid w:val="00A45875"/>
    <w:rsid w:val="00A45FA1"/>
    <w:rsid w:val="00A50C28"/>
    <w:rsid w:val="00A51DC6"/>
    <w:rsid w:val="00A52616"/>
    <w:rsid w:val="00A52B0E"/>
    <w:rsid w:val="00A57968"/>
    <w:rsid w:val="00A60993"/>
    <w:rsid w:val="00A60D64"/>
    <w:rsid w:val="00A63AF4"/>
    <w:rsid w:val="00A659FA"/>
    <w:rsid w:val="00A67E08"/>
    <w:rsid w:val="00A7273B"/>
    <w:rsid w:val="00A72A12"/>
    <w:rsid w:val="00A74470"/>
    <w:rsid w:val="00A7584E"/>
    <w:rsid w:val="00A7714C"/>
    <w:rsid w:val="00A77697"/>
    <w:rsid w:val="00A77D3E"/>
    <w:rsid w:val="00A80D18"/>
    <w:rsid w:val="00A825BF"/>
    <w:rsid w:val="00A830A8"/>
    <w:rsid w:val="00A838A3"/>
    <w:rsid w:val="00A84604"/>
    <w:rsid w:val="00A84829"/>
    <w:rsid w:val="00A848D6"/>
    <w:rsid w:val="00A861B3"/>
    <w:rsid w:val="00A86C43"/>
    <w:rsid w:val="00A91DAB"/>
    <w:rsid w:val="00A921AE"/>
    <w:rsid w:val="00A927C5"/>
    <w:rsid w:val="00A94ADC"/>
    <w:rsid w:val="00A967A1"/>
    <w:rsid w:val="00A96F71"/>
    <w:rsid w:val="00AA1203"/>
    <w:rsid w:val="00AA13B8"/>
    <w:rsid w:val="00AA1FA4"/>
    <w:rsid w:val="00AA3138"/>
    <w:rsid w:val="00AA31FA"/>
    <w:rsid w:val="00AA696E"/>
    <w:rsid w:val="00AA6A43"/>
    <w:rsid w:val="00AB1B53"/>
    <w:rsid w:val="00AB4708"/>
    <w:rsid w:val="00AB7B57"/>
    <w:rsid w:val="00AC0194"/>
    <w:rsid w:val="00AC0CA7"/>
    <w:rsid w:val="00AC39C4"/>
    <w:rsid w:val="00AC4974"/>
    <w:rsid w:val="00AC4CFB"/>
    <w:rsid w:val="00AD0141"/>
    <w:rsid w:val="00AD157A"/>
    <w:rsid w:val="00AD1ED4"/>
    <w:rsid w:val="00AD29BC"/>
    <w:rsid w:val="00AD327A"/>
    <w:rsid w:val="00AD33D1"/>
    <w:rsid w:val="00AD3469"/>
    <w:rsid w:val="00AD36DF"/>
    <w:rsid w:val="00AD3D2A"/>
    <w:rsid w:val="00AD4F41"/>
    <w:rsid w:val="00AD78B6"/>
    <w:rsid w:val="00AE1509"/>
    <w:rsid w:val="00AE2950"/>
    <w:rsid w:val="00AE2C61"/>
    <w:rsid w:val="00AE36E6"/>
    <w:rsid w:val="00AE43A0"/>
    <w:rsid w:val="00AE4AC6"/>
    <w:rsid w:val="00AE5408"/>
    <w:rsid w:val="00AE7251"/>
    <w:rsid w:val="00AF1CC2"/>
    <w:rsid w:val="00AF25DB"/>
    <w:rsid w:val="00AF3963"/>
    <w:rsid w:val="00AF41E6"/>
    <w:rsid w:val="00AF4B6C"/>
    <w:rsid w:val="00AF666D"/>
    <w:rsid w:val="00AF67FE"/>
    <w:rsid w:val="00AF7643"/>
    <w:rsid w:val="00B02489"/>
    <w:rsid w:val="00B02837"/>
    <w:rsid w:val="00B0296C"/>
    <w:rsid w:val="00B04733"/>
    <w:rsid w:val="00B04B3D"/>
    <w:rsid w:val="00B04D23"/>
    <w:rsid w:val="00B053C2"/>
    <w:rsid w:val="00B059E0"/>
    <w:rsid w:val="00B07E12"/>
    <w:rsid w:val="00B102CD"/>
    <w:rsid w:val="00B10322"/>
    <w:rsid w:val="00B11E9F"/>
    <w:rsid w:val="00B12981"/>
    <w:rsid w:val="00B12CB8"/>
    <w:rsid w:val="00B138BC"/>
    <w:rsid w:val="00B1448C"/>
    <w:rsid w:val="00B1452A"/>
    <w:rsid w:val="00B15603"/>
    <w:rsid w:val="00B15E48"/>
    <w:rsid w:val="00B20AF7"/>
    <w:rsid w:val="00B20F92"/>
    <w:rsid w:val="00B21188"/>
    <w:rsid w:val="00B23310"/>
    <w:rsid w:val="00B23B3B"/>
    <w:rsid w:val="00B23E4B"/>
    <w:rsid w:val="00B24120"/>
    <w:rsid w:val="00B244BD"/>
    <w:rsid w:val="00B26683"/>
    <w:rsid w:val="00B2736D"/>
    <w:rsid w:val="00B2750A"/>
    <w:rsid w:val="00B27554"/>
    <w:rsid w:val="00B27C28"/>
    <w:rsid w:val="00B27D4F"/>
    <w:rsid w:val="00B302AF"/>
    <w:rsid w:val="00B3166F"/>
    <w:rsid w:val="00B3642B"/>
    <w:rsid w:val="00B37553"/>
    <w:rsid w:val="00B403F5"/>
    <w:rsid w:val="00B4091C"/>
    <w:rsid w:val="00B41132"/>
    <w:rsid w:val="00B4180F"/>
    <w:rsid w:val="00B43107"/>
    <w:rsid w:val="00B44539"/>
    <w:rsid w:val="00B44DB0"/>
    <w:rsid w:val="00B44FCE"/>
    <w:rsid w:val="00B45043"/>
    <w:rsid w:val="00B450A3"/>
    <w:rsid w:val="00B45231"/>
    <w:rsid w:val="00B4581C"/>
    <w:rsid w:val="00B47054"/>
    <w:rsid w:val="00B47B43"/>
    <w:rsid w:val="00B50A43"/>
    <w:rsid w:val="00B51195"/>
    <w:rsid w:val="00B520FC"/>
    <w:rsid w:val="00B526A2"/>
    <w:rsid w:val="00B538E8"/>
    <w:rsid w:val="00B5396D"/>
    <w:rsid w:val="00B5410D"/>
    <w:rsid w:val="00B54A60"/>
    <w:rsid w:val="00B54FEA"/>
    <w:rsid w:val="00B608D1"/>
    <w:rsid w:val="00B620AC"/>
    <w:rsid w:val="00B62F12"/>
    <w:rsid w:val="00B632C3"/>
    <w:rsid w:val="00B63DE3"/>
    <w:rsid w:val="00B6435C"/>
    <w:rsid w:val="00B64B2E"/>
    <w:rsid w:val="00B65B79"/>
    <w:rsid w:val="00B66933"/>
    <w:rsid w:val="00B66B5E"/>
    <w:rsid w:val="00B674E3"/>
    <w:rsid w:val="00B67A83"/>
    <w:rsid w:val="00B67F6A"/>
    <w:rsid w:val="00B726E0"/>
    <w:rsid w:val="00B72707"/>
    <w:rsid w:val="00B73EA1"/>
    <w:rsid w:val="00B75EEF"/>
    <w:rsid w:val="00B81BFF"/>
    <w:rsid w:val="00B82024"/>
    <w:rsid w:val="00B82B5E"/>
    <w:rsid w:val="00B8300D"/>
    <w:rsid w:val="00B83222"/>
    <w:rsid w:val="00B83E38"/>
    <w:rsid w:val="00B83FDF"/>
    <w:rsid w:val="00B8454E"/>
    <w:rsid w:val="00B84DE8"/>
    <w:rsid w:val="00B87843"/>
    <w:rsid w:val="00B91F14"/>
    <w:rsid w:val="00B92099"/>
    <w:rsid w:val="00B93308"/>
    <w:rsid w:val="00B937BA"/>
    <w:rsid w:val="00B9394D"/>
    <w:rsid w:val="00B94025"/>
    <w:rsid w:val="00BA058A"/>
    <w:rsid w:val="00BA0E9D"/>
    <w:rsid w:val="00BA2CAC"/>
    <w:rsid w:val="00BA3047"/>
    <w:rsid w:val="00BA6DE8"/>
    <w:rsid w:val="00BB0521"/>
    <w:rsid w:val="00BB0CF8"/>
    <w:rsid w:val="00BB122D"/>
    <w:rsid w:val="00BB30D1"/>
    <w:rsid w:val="00BB402F"/>
    <w:rsid w:val="00BB4513"/>
    <w:rsid w:val="00BB5095"/>
    <w:rsid w:val="00BB6024"/>
    <w:rsid w:val="00BB6674"/>
    <w:rsid w:val="00BB7F08"/>
    <w:rsid w:val="00BC0412"/>
    <w:rsid w:val="00BC0B4B"/>
    <w:rsid w:val="00BC0F96"/>
    <w:rsid w:val="00BC2833"/>
    <w:rsid w:val="00BC2E4A"/>
    <w:rsid w:val="00BC464B"/>
    <w:rsid w:val="00BC47C6"/>
    <w:rsid w:val="00BC4B41"/>
    <w:rsid w:val="00BC4E3F"/>
    <w:rsid w:val="00BC5457"/>
    <w:rsid w:val="00BC55E5"/>
    <w:rsid w:val="00BC5F26"/>
    <w:rsid w:val="00BC624B"/>
    <w:rsid w:val="00BC6C2E"/>
    <w:rsid w:val="00BD0E90"/>
    <w:rsid w:val="00BD31F3"/>
    <w:rsid w:val="00BD355F"/>
    <w:rsid w:val="00BD4B67"/>
    <w:rsid w:val="00BD4D67"/>
    <w:rsid w:val="00BD6835"/>
    <w:rsid w:val="00BD6CF7"/>
    <w:rsid w:val="00BE0E53"/>
    <w:rsid w:val="00BE17A2"/>
    <w:rsid w:val="00BE238F"/>
    <w:rsid w:val="00BE2CBC"/>
    <w:rsid w:val="00BE2E27"/>
    <w:rsid w:val="00BE37B6"/>
    <w:rsid w:val="00BE7CA9"/>
    <w:rsid w:val="00BF0C03"/>
    <w:rsid w:val="00BF2174"/>
    <w:rsid w:val="00BF65BB"/>
    <w:rsid w:val="00C01EC9"/>
    <w:rsid w:val="00C035AF"/>
    <w:rsid w:val="00C03EEE"/>
    <w:rsid w:val="00C0416E"/>
    <w:rsid w:val="00C04918"/>
    <w:rsid w:val="00C11820"/>
    <w:rsid w:val="00C123C5"/>
    <w:rsid w:val="00C1442A"/>
    <w:rsid w:val="00C1491D"/>
    <w:rsid w:val="00C14B7C"/>
    <w:rsid w:val="00C162E7"/>
    <w:rsid w:val="00C16C41"/>
    <w:rsid w:val="00C204F5"/>
    <w:rsid w:val="00C2249A"/>
    <w:rsid w:val="00C23267"/>
    <w:rsid w:val="00C27331"/>
    <w:rsid w:val="00C27934"/>
    <w:rsid w:val="00C31ACB"/>
    <w:rsid w:val="00C3228D"/>
    <w:rsid w:val="00C3324E"/>
    <w:rsid w:val="00C361F7"/>
    <w:rsid w:val="00C36B0F"/>
    <w:rsid w:val="00C3763A"/>
    <w:rsid w:val="00C37B32"/>
    <w:rsid w:val="00C43C45"/>
    <w:rsid w:val="00C43CF4"/>
    <w:rsid w:val="00C442B7"/>
    <w:rsid w:val="00C47D86"/>
    <w:rsid w:val="00C51F24"/>
    <w:rsid w:val="00C539EF"/>
    <w:rsid w:val="00C55711"/>
    <w:rsid w:val="00C57756"/>
    <w:rsid w:val="00C577A0"/>
    <w:rsid w:val="00C60EC4"/>
    <w:rsid w:val="00C62034"/>
    <w:rsid w:val="00C62120"/>
    <w:rsid w:val="00C6272E"/>
    <w:rsid w:val="00C62901"/>
    <w:rsid w:val="00C6407C"/>
    <w:rsid w:val="00C65ED0"/>
    <w:rsid w:val="00C70B6C"/>
    <w:rsid w:val="00C72736"/>
    <w:rsid w:val="00C72965"/>
    <w:rsid w:val="00C730DE"/>
    <w:rsid w:val="00C736A1"/>
    <w:rsid w:val="00C7420F"/>
    <w:rsid w:val="00C74727"/>
    <w:rsid w:val="00C74C02"/>
    <w:rsid w:val="00C7506D"/>
    <w:rsid w:val="00C82FD7"/>
    <w:rsid w:val="00C83495"/>
    <w:rsid w:val="00C8440E"/>
    <w:rsid w:val="00C859E9"/>
    <w:rsid w:val="00C8654E"/>
    <w:rsid w:val="00C86C02"/>
    <w:rsid w:val="00C91F2F"/>
    <w:rsid w:val="00C9434C"/>
    <w:rsid w:val="00C948C6"/>
    <w:rsid w:val="00C9630D"/>
    <w:rsid w:val="00C978AB"/>
    <w:rsid w:val="00CA14F6"/>
    <w:rsid w:val="00CA1D8D"/>
    <w:rsid w:val="00CA2809"/>
    <w:rsid w:val="00CA3128"/>
    <w:rsid w:val="00CA3B3F"/>
    <w:rsid w:val="00CA6636"/>
    <w:rsid w:val="00CB13EC"/>
    <w:rsid w:val="00CB6270"/>
    <w:rsid w:val="00CC0C43"/>
    <w:rsid w:val="00CC1199"/>
    <w:rsid w:val="00CC3157"/>
    <w:rsid w:val="00CC31AE"/>
    <w:rsid w:val="00CC3F76"/>
    <w:rsid w:val="00CC5AE8"/>
    <w:rsid w:val="00CD41C8"/>
    <w:rsid w:val="00CD42CC"/>
    <w:rsid w:val="00CD546F"/>
    <w:rsid w:val="00CD736F"/>
    <w:rsid w:val="00CD7F5F"/>
    <w:rsid w:val="00CE06BA"/>
    <w:rsid w:val="00CE2B95"/>
    <w:rsid w:val="00CE47E9"/>
    <w:rsid w:val="00CE4859"/>
    <w:rsid w:val="00CE7033"/>
    <w:rsid w:val="00CE7D6A"/>
    <w:rsid w:val="00CE7ECF"/>
    <w:rsid w:val="00CF13C8"/>
    <w:rsid w:val="00CF1524"/>
    <w:rsid w:val="00CF3B8E"/>
    <w:rsid w:val="00CF537F"/>
    <w:rsid w:val="00CF5701"/>
    <w:rsid w:val="00CF5B37"/>
    <w:rsid w:val="00CF688E"/>
    <w:rsid w:val="00CF700A"/>
    <w:rsid w:val="00CF751F"/>
    <w:rsid w:val="00D0117C"/>
    <w:rsid w:val="00D023EE"/>
    <w:rsid w:val="00D02747"/>
    <w:rsid w:val="00D027BB"/>
    <w:rsid w:val="00D033B0"/>
    <w:rsid w:val="00D059E4"/>
    <w:rsid w:val="00D07E17"/>
    <w:rsid w:val="00D107A3"/>
    <w:rsid w:val="00D10DAB"/>
    <w:rsid w:val="00D11593"/>
    <w:rsid w:val="00D11A80"/>
    <w:rsid w:val="00D13B29"/>
    <w:rsid w:val="00D14DF9"/>
    <w:rsid w:val="00D177D9"/>
    <w:rsid w:val="00D2082D"/>
    <w:rsid w:val="00D233E6"/>
    <w:rsid w:val="00D30352"/>
    <w:rsid w:val="00D31B4D"/>
    <w:rsid w:val="00D3281F"/>
    <w:rsid w:val="00D35002"/>
    <w:rsid w:val="00D35011"/>
    <w:rsid w:val="00D375F3"/>
    <w:rsid w:val="00D41A75"/>
    <w:rsid w:val="00D42D49"/>
    <w:rsid w:val="00D4471C"/>
    <w:rsid w:val="00D4473A"/>
    <w:rsid w:val="00D44965"/>
    <w:rsid w:val="00D44A3D"/>
    <w:rsid w:val="00D4512D"/>
    <w:rsid w:val="00D45D6F"/>
    <w:rsid w:val="00D469D7"/>
    <w:rsid w:val="00D46F7F"/>
    <w:rsid w:val="00D51F48"/>
    <w:rsid w:val="00D56ACE"/>
    <w:rsid w:val="00D60286"/>
    <w:rsid w:val="00D63212"/>
    <w:rsid w:val="00D6328A"/>
    <w:rsid w:val="00D63DD1"/>
    <w:rsid w:val="00D63F58"/>
    <w:rsid w:val="00D6503C"/>
    <w:rsid w:val="00D658D7"/>
    <w:rsid w:val="00D66145"/>
    <w:rsid w:val="00D66D1D"/>
    <w:rsid w:val="00D67C81"/>
    <w:rsid w:val="00D7060D"/>
    <w:rsid w:val="00D71120"/>
    <w:rsid w:val="00D71CAF"/>
    <w:rsid w:val="00D72436"/>
    <w:rsid w:val="00D72EB0"/>
    <w:rsid w:val="00D73A64"/>
    <w:rsid w:val="00D73B14"/>
    <w:rsid w:val="00D73F7C"/>
    <w:rsid w:val="00D74550"/>
    <w:rsid w:val="00D81E8A"/>
    <w:rsid w:val="00D81FC2"/>
    <w:rsid w:val="00D82103"/>
    <w:rsid w:val="00D82900"/>
    <w:rsid w:val="00D82AAB"/>
    <w:rsid w:val="00D82DFC"/>
    <w:rsid w:val="00D82F27"/>
    <w:rsid w:val="00D85F5A"/>
    <w:rsid w:val="00D8675F"/>
    <w:rsid w:val="00D90035"/>
    <w:rsid w:val="00D917ED"/>
    <w:rsid w:val="00D91B08"/>
    <w:rsid w:val="00D9373B"/>
    <w:rsid w:val="00D94691"/>
    <w:rsid w:val="00D94B79"/>
    <w:rsid w:val="00D95CFE"/>
    <w:rsid w:val="00D962B3"/>
    <w:rsid w:val="00DA254F"/>
    <w:rsid w:val="00DA3DA7"/>
    <w:rsid w:val="00DA79D2"/>
    <w:rsid w:val="00DA79D6"/>
    <w:rsid w:val="00DB08FE"/>
    <w:rsid w:val="00DB10B4"/>
    <w:rsid w:val="00DB29E2"/>
    <w:rsid w:val="00DB4E70"/>
    <w:rsid w:val="00DB5E43"/>
    <w:rsid w:val="00DB70C6"/>
    <w:rsid w:val="00DB7AF1"/>
    <w:rsid w:val="00DC06A9"/>
    <w:rsid w:val="00DC07F4"/>
    <w:rsid w:val="00DC102B"/>
    <w:rsid w:val="00DC3575"/>
    <w:rsid w:val="00DC393B"/>
    <w:rsid w:val="00DC3C20"/>
    <w:rsid w:val="00DC4AA1"/>
    <w:rsid w:val="00DC4C12"/>
    <w:rsid w:val="00DC4DA9"/>
    <w:rsid w:val="00DD1F29"/>
    <w:rsid w:val="00DD4B2D"/>
    <w:rsid w:val="00DD4B41"/>
    <w:rsid w:val="00DD6799"/>
    <w:rsid w:val="00DD6969"/>
    <w:rsid w:val="00DD71F7"/>
    <w:rsid w:val="00DD78B2"/>
    <w:rsid w:val="00DD7DF0"/>
    <w:rsid w:val="00DE272B"/>
    <w:rsid w:val="00DE3B40"/>
    <w:rsid w:val="00DE40D5"/>
    <w:rsid w:val="00DE4C24"/>
    <w:rsid w:val="00DE7312"/>
    <w:rsid w:val="00DE7A0B"/>
    <w:rsid w:val="00DF0E67"/>
    <w:rsid w:val="00DF30DE"/>
    <w:rsid w:val="00DF425E"/>
    <w:rsid w:val="00DF4387"/>
    <w:rsid w:val="00DF6AD7"/>
    <w:rsid w:val="00E00065"/>
    <w:rsid w:val="00E00710"/>
    <w:rsid w:val="00E01509"/>
    <w:rsid w:val="00E01DAB"/>
    <w:rsid w:val="00E02647"/>
    <w:rsid w:val="00E06B90"/>
    <w:rsid w:val="00E07D90"/>
    <w:rsid w:val="00E11A02"/>
    <w:rsid w:val="00E12014"/>
    <w:rsid w:val="00E12C6A"/>
    <w:rsid w:val="00E14295"/>
    <w:rsid w:val="00E14E33"/>
    <w:rsid w:val="00E153AB"/>
    <w:rsid w:val="00E1656E"/>
    <w:rsid w:val="00E16B97"/>
    <w:rsid w:val="00E17950"/>
    <w:rsid w:val="00E21160"/>
    <w:rsid w:val="00E22616"/>
    <w:rsid w:val="00E234DC"/>
    <w:rsid w:val="00E24543"/>
    <w:rsid w:val="00E25525"/>
    <w:rsid w:val="00E2674A"/>
    <w:rsid w:val="00E279C2"/>
    <w:rsid w:val="00E304FD"/>
    <w:rsid w:val="00E30877"/>
    <w:rsid w:val="00E314E6"/>
    <w:rsid w:val="00E323FF"/>
    <w:rsid w:val="00E32E96"/>
    <w:rsid w:val="00E33EC8"/>
    <w:rsid w:val="00E3524D"/>
    <w:rsid w:val="00E357DB"/>
    <w:rsid w:val="00E35D7B"/>
    <w:rsid w:val="00E36CDB"/>
    <w:rsid w:val="00E379BE"/>
    <w:rsid w:val="00E40076"/>
    <w:rsid w:val="00E4082B"/>
    <w:rsid w:val="00E40B43"/>
    <w:rsid w:val="00E413C1"/>
    <w:rsid w:val="00E41F84"/>
    <w:rsid w:val="00E43F2A"/>
    <w:rsid w:val="00E451ED"/>
    <w:rsid w:val="00E45826"/>
    <w:rsid w:val="00E45B5A"/>
    <w:rsid w:val="00E45D2C"/>
    <w:rsid w:val="00E466F6"/>
    <w:rsid w:val="00E4671A"/>
    <w:rsid w:val="00E4707A"/>
    <w:rsid w:val="00E47D67"/>
    <w:rsid w:val="00E518B3"/>
    <w:rsid w:val="00E5245C"/>
    <w:rsid w:val="00E54EFC"/>
    <w:rsid w:val="00E5550C"/>
    <w:rsid w:val="00E55E49"/>
    <w:rsid w:val="00E57671"/>
    <w:rsid w:val="00E602B9"/>
    <w:rsid w:val="00E60DCB"/>
    <w:rsid w:val="00E61DC2"/>
    <w:rsid w:val="00E62177"/>
    <w:rsid w:val="00E6235B"/>
    <w:rsid w:val="00E6505E"/>
    <w:rsid w:val="00E65ECC"/>
    <w:rsid w:val="00E66632"/>
    <w:rsid w:val="00E71EB9"/>
    <w:rsid w:val="00E72341"/>
    <w:rsid w:val="00E72C66"/>
    <w:rsid w:val="00E731D3"/>
    <w:rsid w:val="00E738DA"/>
    <w:rsid w:val="00E74399"/>
    <w:rsid w:val="00E77B62"/>
    <w:rsid w:val="00E81CBC"/>
    <w:rsid w:val="00E8222B"/>
    <w:rsid w:val="00E82DE1"/>
    <w:rsid w:val="00E86014"/>
    <w:rsid w:val="00E86BD1"/>
    <w:rsid w:val="00E87F4A"/>
    <w:rsid w:val="00E9002B"/>
    <w:rsid w:val="00E905FF"/>
    <w:rsid w:val="00E91AA9"/>
    <w:rsid w:val="00E92040"/>
    <w:rsid w:val="00E9268C"/>
    <w:rsid w:val="00E93522"/>
    <w:rsid w:val="00E93A00"/>
    <w:rsid w:val="00E94FDF"/>
    <w:rsid w:val="00E95622"/>
    <w:rsid w:val="00E960FD"/>
    <w:rsid w:val="00E96DAF"/>
    <w:rsid w:val="00EA08A3"/>
    <w:rsid w:val="00EA2A00"/>
    <w:rsid w:val="00EA444C"/>
    <w:rsid w:val="00EA4D3E"/>
    <w:rsid w:val="00EA7394"/>
    <w:rsid w:val="00EB1094"/>
    <w:rsid w:val="00EB1F7C"/>
    <w:rsid w:val="00EB2334"/>
    <w:rsid w:val="00EB4131"/>
    <w:rsid w:val="00EB5158"/>
    <w:rsid w:val="00EB6D23"/>
    <w:rsid w:val="00EC1F01"/>
    <w:rsid w:val="00EC2565"/>
    <w:rsid w:val="00EC2B46"/>
    <w:rsid w:val="00EC2C89"/>
    <w:rsid w:val="00EC53BF"/>
    <w:rsid w:val="00EC56A0"/>
    <w:rsid w:val="00EC58C1"/>
    <w:rsid w:val="00EC5925"/>
    <w:rsid w:val="00EC5996"/>
    <w:rsid w:val="00EC6F20"/>
    <w:rsid w:val="00EC720A"/>
    <w:rsid w:val="00ED3896"/>
    <w:rsid w:val="00ED41F1"/>
    <w:rsid w:val="00ED42F2"/>
    <w:rsid w:val="00ED722E"/>
    <w:rsid w:val="00ED7DCE"/>
    <w:rsid w:val="00EE28CE"/>
    <w:rsid w:val="00EE2E80"/>
    <w:rsid w:val="00EE361A"/>
    <w:rsid w:val="00EE4558"/>
    <w:rsid w:val="00EE50AC"/>
    <w:rsid w:val="00EE5277"/>
    <w:rsid w:val="00EE614E"/>
    <w:rsid w:val="00EE6A6F"/>
    <w:rsid w:val="00EE6E8E"/>
    <w:rsid w:val="00EE7581"/>
    <w:rsid w:val="00EE79C6"/>
    <w:rsid w:val="00EF03AC"/>
    <w:rsid w:val="00EF1311"/>
    <w:rsid w:val="00EF1D7F"/>
    <w:rsid w:val="00EF407B"/>
    <w:rsid w:val="00EF4CA0"/>
    <w:rsid w:val="00EF5291"/>
    <w:rsid w:val="00EF57EE"/>
    <w:rsid w:val="00EF7583"/>
    <w:rsid w:val="00EF7781"/>
    <w:rsid w:val="00EF7ED1"/>
    <w:rsid w:val="00F000DF"/>
    <w:rsid w:val="00F0055A"/>
    <w:rsid w:val="00F00A1F"/>
    <w:rsid w:val="00F010CD"/>
    <w:rsid w:val="00F02B9F"/>
    <w:rsid w:val="00F03DCB"/>
    <w:rsid w:val="00F04737"/>
    <w:rsid w:val="00F0490B"/>
    <w:rsid w:val="00F070B3"/>
    <w:rsid w:val="00F072A6"/>
    <w:rsid w:val="00F07795"/>
    <w:rsid w:val="00F124A0"/>
    <w:rsid w:val="00F124F0"/>
    <w:rsid w:val="00F12D5A"/>
    <w:rsid w:val="00F15046"/>
    <w:rsid w:val="00F16C22"/>
    <w:rsid w:val="00F16CF1"/>
    <w:rsid w:val="00F16E5B"/>
    <w:rsid w:val="00F16E6F"/>
    <w:rsid w:val="00F17DDA"/>
    <w:rsid w:val="00F2438B"/>
    <w:rsid w:val="00F243C7"/>
    <w:rsid w:val="00F2452C"/>
    <w:rsid w:val="00F24981"/>
    <w:rsid w:val="00F260E5"/>
    <w:rsid w:val="00F309F9"/>
    <w:rsid w:val="00F317CC"/>
    <w:rsid w:val="00F3326F"/>
    <w:rsid w:val="00F3332C"/>
    <w:rsid w:val="00F3435E"/>
    <w:rsid w:val="00F36E59"/>
    <w:rsid w:val="00F37ACF"/>
    <w:rsid w:val="00F41C09"/>
    <w:rsid w:val="00F41FC7"/>
    <w:rsid w:val="00F4369B"/>
    <w:rsid w:val="00F50D10"/>
    <w:rsid w:val="00F52AC6"/>
    <w:rsid w:val="00F5440C"/>
    <w:rsid w:val="00F55572"/>
    <w:rsid w:val="00F56215"/>
    <w:rsid w:val="00F568F2"/>
    <w:rsid w:val="00F574AB"/>
    <w:rsid w:val="00F57DFD"/>
    <w:rsid w:val="00F62477"/>
    <w:rsid w:val="00F63383"/>
    <w:rsid w:val="00F64F6F"/>
    <w:rsid w:val="00F66D35"/>
    <w:rsid w:val="00F71427"/>
    <w:rsid w:val="00F71C69"/>
    <w:rsid w:val="00F73857"/>
    <w:rsid w:val="00F74AA5"/>
    <w:rsid w:val="00F74D9C"/>
    <w:rsid w:val="00F74FA2"/>
    <w:rsid w:val="00F7591A"/>
    <w:rsid w:val="00F75990"/>
    <w:rsid w:val="00F76D76"/>
    <w:rsid w:val="00F77025"/>
    <w:rsid w:val="00F81037"/>
    <w:rsid w:val="00F81AF1"/>
    <w:rsid w:val="00F8383E"/>
    <w:rsid w:val="00F85232"/>
    <w:rsid w:val="00F86638"/>
    <w:rsid w:val="00F86ADA"/>
    <w:rsid w:val="00F86CFF"/>
    <w:rsid w:val="00F875D8"/>
    <w:rsid w:val="00F93725"/>
    <w:rsid w:val="00F94B8A"/>
    <w:rsid w:val="00F96391"/>
    <w:rsid w:val="00F9677E"/>
    <w:rsid w:val="00F97684"/>
    <w:rsid w:val="00FA7860"/>
    <w:rsid w:val="00FB127F"/>
    <w:rsid w:val="00FB38C7"/>
    <w:rsid w:val="00FB572E"/>
    <w:rsid w:val="00FB5FAB"/>
    <w:rsid w:val="00FB6FB4"/>
    <w:rsid w:val="00FB71A6"/>
    <w:rsid w:val="00FB7918"/>
    <w:rsid w:val="00FC0D59"/>
    <w:rsid w:val="00FC17F4"/>
    <w:rsid w:val="00FC18C4"/>
    <w:rsid w:val="00FC1A77"/>
    <w:rsid w:val="00FC3498"/>
    <w:rsid w:val="00FC422F"/>
    <w:rsid w:val="00FC4CA4"/>
    <w:rsid w:val="00FC4F3D"/>
    <w:rsid w:val="00FC5C8E"/>
    <w:rsid w:val="00FC7085"/>
    <w:rsid w:val="00FC7E69"/>
    <w:rsid w:val="00FD0C1F"/>
    <w:rsid w:val="00FD1D07"/>
    <w:rsid w:val="00FD30AB"/>
    <w:rsid w:val="00FD3ED3"/>
    <w:rsid w:val="00FD45CC"/>
    <w:rsid w:val="00FD48A1"/>
    <w:rsid w:val="00FD592E"/>
    <w:rsid w:val="00FD5A80"/>
    <w:rsid w:val="00FD5A82"/>
    <w:rsid w:val="00FD60FC"/>
    <w:rsid w:val="00FE0124"/>
    <w:rsid w:val="00FE1F62"/>
    <w:rsid w:val="00FE2B85"/>
    <w:rsid w:val="00FE3993"/>
    <w:rsid w:val="00FE3BCF"/>
    <w:rsid w:val="00FE3C92"/>
    <w:rsid w:val="00FE3FD0"/>
    <w:rsid w:val="00FE49B3"/>
    <w:rsid w:val="00FE6920"/>
    <w:rsid w:val="00FF0251"/>
    <w:rsid w:val="00FF1301"/>
    <w:rsid w:val="00FF5198"/>
    <w:rsid w:val="00FF60E2"/>
    <w:rsid w:val="00FF6BB5"/>
    <w:rsid w:val="00FF702D"/>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
    <w:basedOn w:val="Normal"/>
    <w:link w:val="FootnoteTextChar1"/>
    <w:semiHidden/>
    <w:rsid w:val="00F81AF1"/>
  </w:style>
  <w:style w:type="character" w:styleId="FootnoteReference">
    <w:name w:val="footnote reference"/>
    <w:basedOn w:val="DefaultParagraphFont"/>
    <w:semiHidden/>
    <w:rsid w:val="00F81AF1"/>
    <w:rPr>
      <w:vertAlign w:val="superscript"/>
    </w:rPr>
  </w:style>
  <w:style w:type="paragraph" w:styleId="BalloonText">
    <w:name w:val="Balloon Text"/>
    <w:basedOn w:val="Normal"/>
    <w:semiHidden/>
    <w:rsid w:val="00EE7581"/>
    <w:rPr>
      <w:rFonts w:ascii="Tahoma" w:hAnsi="Tahoma" w:cs="Tahoma"/>
      <w:sz w:val="16"/>
      <w:szCs w:val="16"/>
    </w:rPr>
  </w:style>
  <w:style w:type="character" w:customStyle="1" w:styleId="documentbody1">
    <w:name w:val="documentbody1"/>
    <w:basedOn w:val="DefaultParagraphFont"/>
    <w:rsid w:val="00F94B8A"/>
    <w:rPr>
      <w:rFonts w:ascii="Verdana" w:hAnsi="Verdana" w:hint="default"/>
      <w:sz w:val="19"/>
      <w:szCs w:val="19"/>
      <w:shd w:val="clear" w:color="auto" w:fill="FFFFFF"/>
    </w:rPr>
  </w:style>
  <w:style w:type="character" w:styleId="PageNumber">
    <w:name w:val="page number"/>
    <w:basedOn w:val="DefaultParagraphFont"/>
    <w:rsid w:val="002B5226"/>
  </w:style>
  <w:style w:type="character" w:styleId="Hyperlink">
    <w:name w:val="Hyperlink"/>
    <w:basedOn w:val="DefaultParagraphFont"/>
    <w:rsid w:val="0090100F"/>
    <w:rPr>
      <w:color w:val="0000FF"/>
      <w:u w:val="single"/>
    </w:rPr>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basedOn w:val="DefaultParagraphFont"/>
    <w:link w:val="FootnoteText"/>
    <w:rsid w:val="00613544"/>
    <w:rPr>
      <w:lang w:val="en-US" w:eastAsia="en-US" w:bidi="ar-SA"/>
    </w:rPr>
  </w:style>
  <w:style w:type="character" w:styleId="CommentReference">
    <w:name w:val="annotation reference"/>
    <w:basedOn w:val="DefaultParagraphFont"/>
    <w:rsid w:val="00CF688E"/>
    <w:rPr>
      <w:sz w:val="16"/>
      <w:szCs w:val="16"/>
    </w:rPr>
  </w:style>
  <w:style w:type="paragraph" w:styleId="CommentText">
    <w:name w:val="annotation text"/>
    <w:basedOn w:val="Normal"/>
    <w:link w:val="CommentTextChar"/>
    <w:rsid w:val="00CF688E"/>
  </w:style>
  <w:style w:type="character" w:customStyle="1" w:styleId="CommentTextChar">
    <w:name w:val="Comment Text Char"/>
    <w:basedOn w:val="DefaultParagraphFont"/>
    <w:link w:val="CommentText"/>
    <w:rsid w:val="00CF688E"/>
  </w:style>
  <w:style w:type="paragraph" w:styleId="CommentSubject">
    <w:name w:val="annotation subject"/>
    <w:basedOn w:val="CommentText"/>
    <w:next w:val="CommentText"/>
    <w:link w:val="CommentSubjectChar"/>
    <w:rsid w:val="00CF688E"/>
    <w:rPr>
      <w:b/>
      <w:bCs/>
    </w:rPr>
  </w:style>
  <w:style w:type="character" w:customStyle="1" w:styleId="CommentSubjectChar">
    <w:name w:val="Comment Subject Char"/>
    <w:basedOn w:val="CommentTextChar"/>
    <w:link w:val="CommentSubject"/>
    <w:rsid w:val="00CF6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
    <w:basedOn w:val="Normal"/>
    <w:link w:val="FootnoteTextChar1"/>
    <w:semiHidden/>
    <w:rsid w:val="00F81AF1"/>
  </w:style>
  <w:style w:type="character" w:styleId="FootnoteReference">
    <w:name w:val="footnote reference"/>
    <w:basedOn w:val="DefaultParagraphFont"/>
    <w:semiHidden/>
    <w:rsid w:val="00F81AF1"/>
    <w:rPr>
      <w:vertAlign w:val="superscript"/>
    </w:rPr>
  </w:style>
  <w:style w:type="paragraph" w:styleId="BalloonText">
    <w:name w:val="Balloon Text"/>
    <w:basedOn w:val="Normal"/>
    <w:semiHidden/>
    <w:rsid w:val="00EE7581"/>
    <w:rPr>
      <w:rFonts w:ascii="Tahoma" w:hAnsi="Tahoma" w:cs="Tahoma"/>
      <w:sz w:val="16"/>
      <w:szCs w:val="16"/>
    </w:rPr>
  </w:style>
  <w:style w:type="character" w:customStyle="1" w:styleId="documentbody1">
    <w:name w:val="documentbody1"/>
    <w:basedOn w:val="DefaultParagraphFont"/>
    <w:rsid w:val="00F94B8A"/>
    <w:rPr>
      <w:rFonts w:ascii="Verdana" w:hAnsi="Verdana" w:hint="default"/>
      <w:sz w:val="19"/>
      <w:szCs w:val="19"/>
      <w:shd w:val="clear" w:color="auto" w:fill="FFFFFF"/>
    </w:rPr>
  </w:style>
  <w:style w:type="character" w:styleId="PageNumber">
    <w:name w:val="page number"/>
    <w:basedOn w:val="DefaultParagraphFont"/>
    <w:rsid w:val="002B5226"/>
  </w:style>
  <w:style w:type="character" w:styleId="Hyperlink">
    <w:name w:val="Hyperlink"/>
    <w:basedOn w:val="DefaultParagraphFont"/>
    <w:rsid w:val="0090100F"/>
    <w:rPr>
      <w:color w:val="0000FF"/>
      <w:u w:val="single"/>
    </w:rPr>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basedOn w:val="DefaultParagraphFont"/>
    <w:link w:val="FootnoteText"/>
    <w:rsid w:val="00613544"/>
    <w:rPr>
      <w:lang w:val="en-US" w:eastAsia="en-US" w:bidi="ar-SA"/>
    </w:rPr>
  </w:style>
  <w:style w:type="character" w:styleId="CommentReference">
    <w:name w:val="annotation reference"/>
    <w:basedOn w:val="DefaultParagraphFont"/>
    <w:rsid w:val="00CF688E"/>
    <w:rPr>
      <w:sz w:val="16"/>
      <w:szCs w:val="16"/>
    </w:rPr>
  </w:style>
  <w:style w:type="paragraph" w:styleId="CommentText">
    <w:name w:val="annotation text"/>
    <w:basedOn w:val="Normal"/>
    <w:link w:val="CommentTextChar"/>
    <w:rsid w:val="00CF688E"/>
  </w:style>
  <w:style w:type="character" w:customStyle="1" w:styleId="CommentTextChar">
    <w:name w:val="Comment Text Char"/>
    <w:basedOn w:val="DefaultParagraphFont"/>
    <w:link w:val="CommentText"/>
    <w:rsid w:val="00CF688E"/>
  </w:style>
  <w:style w:type="paragraph" w:styleId="CommentSubject">
    <w:name w:val="annotation subject"/>
    <w:basedOn w:val="CommentText"/>
    <w:next w:val="CommentText"/>
    <w:link w:val="CommentSubjectChar"/>
    <w:rsid w:val="00CF688E"/>
    <w:rPr>
      <w:b/>
      <w:bCs/>
    </w:rPr>
  </w:style>
  <w:style w:type="character" w:customStyle="1" w:styleId="CommentSubjectChar">
    <w:name w:val="Comment Subject Char"/>
    <w:basedOn w:val="CommentTextChar"/>
    <w:link w:val="CommentSubject"/>
    <w:rsid w:val="00CF6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Westlaw&amp;db=0004493&amp;tc=-1&amp;rp=%2ffind%2fdefault.wl&amp;findtype=Y&amp;ordoc=2026607876&amp;serialnum=2021863415&amp;vr=2.0&amp;fn=_top&amp;sv=Split&amp;tf=-1&amp;referencepositiontype=S&amp;pbc=9F6779F4&amp;referenceposition=4488&amp;rs=WLW13.10" TargetMode="External"/><Relationship Id="rId2" Type="http://schemas.openxmlformats.org/officeDocument/2006/relationships/hyperlink" Target="http://web2.westlaw.com/find/default.wl?mt=Westlaw&amp;db=1000547&amp;docname=47CFRS1.106&amp;rp=%2ffind%2fdefault.wl&amp;findtype=L&amp;ordoc=2019366160&amp;tc=-1&amp;vr=2.0&amp;fn=_top&amp;sv=Split&amp;tf=-1&amp;referencepositiontype=T&amp;pbc=7364A96B&amp;referenceposition=SP%3b3fed000053a85&amp;rs=WLW13.10" TargetMode="External"/><Relationship Id="rId1" Type="http://schemas.openxmlformats.org/officeDocument/2006/relationships/hyperlink" Target="http://web2.westlaw.com/find/default.wl?mt=Westlaw&amp;db=1000547&amp;docname=47CFRS1.106&amp;rp=%2ffind%2fdefault.wl&amp;findtype=L&amp;ordoc=2019366160&amp;tc=-1&amp;vr=2.0&amp;fn=_top&amp;sv=Split&amp;tf=-1&amp;referencepositiontype=T&amp;pbc=7364A96B&amp;referenceposition=SP%3b3fed000053a85&amp;rs=WLW13.10" TargetMode="External"/><Relationship Id="rId4" Type="http://schemas.openxmlformats.org/officeDocument/2006/relationships/hyperlink" Target="http://web2.westlaw.com/find/default.wl?mt=Westlaw&amp;db=4493&amp;tc=-1&amp;rp=%2ffind%2fdefault.wl&amp;findtype=Y&amp;ordoc=2003581453&amp;serialnum=2001370253&amp;vr=2.0&amp;fn=_top&amp;sv=Split&amp;tf=-1&amp;pbc=1754796B&amp;rs=WLW14.01"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8456</Characters>
  <Application>Microsoft Office Word</Application>
  <DocSecurity>0</DocSecurity>
  <Lines>149</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10129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2014-02-24T13:12:00Z</dcterms:created>
  <dcterms:modified xsi:type="dcterms:W3CDTF">2014-02-24T13:12:00Z</dcterms:modified>
  <cp:category> </cp:category>
  <cp:contentStatus> </cp:contentStatus>
</cp:coreProperties>
</file>