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A1AE" w14:textId="77777777" w:rsidR="004B0D16" w:rsidRPr="003B5A7B" w:rsidRDefault="004B0D16">
      <w:pPr>
        <w:pStyle w:val="Header"/>
        <w:tabs>
          <w:tab w:val="clear" w:pos="4320"/>
          <w:tab w:val="clear" w:pos="8640"/>
        </w:tabs>
        <w:rPr>
          <w:szCs w:val="22"/>
        </w:rPr>
        <w:sectPr w:rsidR="004B0D16" w:rsidRPr="003B5A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4BAA3B1" w14:textId="7DF79244" w:rsidR="00DC48EC" w:rsidRDefault="00DC48EC" w:rsidP="00DC48EC">
      <w:pPr>
        <w:jc w:val="right"/>
        <w:rPr>
          <w:b/>
        </w:rPr>
      </w:pPr>
      <w:r>
        <w:rPr>
          <w:b/>
        </w:rPr>
        <w:lastRenderedPageBreak/>
        <w:t>DA 14-</w:t>
      </w:r>
      <w:r w:rsidR="00E85CD8">
        <w:rPr>
          <w:b/>
        </w:rPr>
        <w:t>254</w:t>
      </w:r>
      <w:r>
        <w:rPr>
          <w:b/>
        </w:rPr>
        <w:t xml:space="preserve"> </w:t>
      </w:r>
    </w:p>
    <w:p w14:paraId="43466684" w14:textId="3B691D00" w:rsidR="004B0D16" w:rsidRDefault="001E6DB2">
      <w:pPr>
        <w:jc w:val="right"/>
        <w:rPr>
          <w:b/>
          <w:szCs w:val="22"/>
        </w:rPr>
      </w:pPr>
      <w:r>
        <w:rPr>
          <w:b/>
          <w:szCs w:val="22"/>
        </w:rPr>
        <w:t>February 2</w:t>
      </w:r>
      <w:r w:rsidR="008E4E4A">
        <w:rPr>
          <w:b/>
          <w:szCs w:val="22"/>
        </w:rPr>
        <w:t>6</w:t>
      </w:r>
      <w:r>
        <w:rPr>
          <w:b/>
          <w:szCs w:val="22"/>
        </w:rPr>
        <w:t>, 2014</w:t>
      </w:r>
    </w:p>
    <w:p w14:paraId="3D920B42" w14:textId="77777777" w:rsidR="001E6DB2" w:rsidRPr="003B5A7B" w:rsidRDefault="001E6DB2">
      <w:pPr>
        <w:jc w:val="right"/>
        <w:rPr>
          <w:szCs w:val="22"/>
        </w:rPr>
      </w:pPr>
    </w:p>
    <w:p w14:paraId="7ED7A41A" w14:textId="77269AF5" w:rsidR="004B0D16" w:rsidRDefault="00550B77" w:rsidP="001E6DB2">
      <w:pPr>
        <w:spacing w:after="240"/>
        <w:jc w:val="center"/>
        <w:rPr>
          <w:b/>
          <w:szCs w:val="22"/>
        </w:rPr>
      </w:pPr>
      <w:r>
        <w:rPr>
          <w:b/>
          <w:szCs w:val="22"/>
        </w:rPr>
        <w:t>OFFICE OF ENGINEERING AND TECHNOLOGY</w:t>
      </w:r>
      <w:r w:rsidR="0007552C" w:rsidRPr="003B5A7B">
        <w:rPr>
          <w:b/>
          <w:szCs w:val="22"/>
        </w:rPr>
        <w:t xml:space="preserve"> </w:t>
      </w:r>
      <w:r w:rsidR="001B03ED">
        <w:rPr>
          <w:b/>
          <w:szCs w:val="22"/>
        </w:rPr>
        <w:t>EXTENDS COMMENT PERIOD FOR</w:t>
      </w:r>
      <w:r w:rsidR="00DC48EC">
        <w:rPr>
          <w:b/>
          <w:szCs w:val="22"/>
        </w:rPr>
        <w:t xml:space="preserve"> METHODOLOGY FOR PREDICTING</w:t>
      </w:r>
      <w:r w:rsidR="0007552C" w:rsidRPr="003B5A7B">
        <w:rPr>
          <w:b/>
          <w:szCs w:val="22"/>
        </w:rPr>
        <w:t xml:space="preserve"> </w:t>
      </w:r>
      <w:r w:rsidR="001E6DB2">
        <w:rPr>
          <w:b/>
          <w:szCs w:val="22"/>
        </w:rPr>
        <w:t xml:space="preserve">POTENTIAL INTERFERENCE BETWEEN </w:t>
      </w:r>
      <w:r w:rsidR="001E6DB2" w:rsidRPr="001E6DB2">
        <w:rPr>
          <w:b/>
          <w:szCs w:val="22"/>
        </w:rPr>
        <w:t>BROADCAST TELEVISION AND WIRELESS SERVICES</w:t>
      </w:r>
      <w:r>
        <w:rPr>
          <w:b/>
          <w:szCs w:val="22"/>
        </w:rPr>
        <w:t xml:space="preserve"> </w:t>
      </w:r>
    </w:p>
    <w:p w14:paraId="3EE1C035" w14:textId="77777777" w:rsidR="001E6DB2" w:rsidRPr="001E6DB2" w:rsidRDefault="001E6DB2" w:rsidP="001E6DB2">
      <w:pPr>
        <w:jc w:val="center"/>
        <w:rPr>
          <w:b/>
          <w:szCs w:val="22"/>
        </w:rPr>
      </w:pPr>
      <w:r w:rsidRPr="001E6DB2">
        <w:rPr>
          <w:b/>
          <w:szCs w:val="22"/>
        </w:rPr>
        <w:t>ET Docket No. 14-14</w:t>
      </w:r>
    </w:p>
    <w:p w14:paraId="31BF6498" w14:textId="2E0B4FE0" w:rsidR="00F27694" w:rsidRPr="003B5A7B" w:rsidRDefault="001E6DB2" w:rsidP="001E6DB2">
      <w:pPr>
        <w:spacing w:after="240"/>
        <w:jc w:val="center"/>
        <w:rPr>
          <w:b/>
          <w:i/>
          <w:szCs w:val="22"/>
        </w:rPr>
      </w:pPr>
      <w:r w:rsidRPr="001E6DB2">
        <w:rPr>
          <w:b/>
          <w:szCs w:val="22"/>
        </w:rPr>
        <w:t>GN Docket No. 12-268</w:t>
      </w:r>
    </w:p>
    <w:p w14:paraId="26E44983" w14:textId="660AAE22" w:rsidR="009526F5" w:rsidRPr="009526F5" w:rsidRDefault="009526F5" w:rsidP="009526F5">
      <w:pPr>
        <w:rPr>
          <w:b/>
          <w:szCs w:val="22"/>
        </w:rPr>
      </w:pPr>
      <w:r>
        <w:rPr>
          <w:b/>
          <w:szCs w:val="22"/>
        </w:rPr>
        <w:t xml:space="preserve">Comment Date: </w:t>
      </w:r>
      <w:r w:rsidR="00324DD8">
        <w:rPr>
          <w:b/>
          <w:szCs w:val="22"/>
        </w:rPr>
        <w:t>March 17</w:t>
      </w:r>
      <w:r w:rsidR="00DC48EC">
        <w:rPr>
          <w:b/>
          <w:szCs w:val="22"/>
        </w:rPr>
        <w:t>, 2014</w:t>
      </w:r>
    </w:p>
    <w:p w14:paraId="23A78D2A" w14:textId="77777777" w:rsidR="009526F5" w:rsidRDefault="009526F5" w:rsidP="00F83412">
      <w:pPr>
        <w:rPr>
          <w:b/>
          <w:szCs w:val="22"/>
        </w:rPr>
      </w:pPr>
    </w:p>
    <w:p w14:paraId="3F386D9D" w14:textId="4EBCB6C3" w:rsidR="001B03ED" w:rsidRPr="001E6DB2" w:rsidRDefault="001B03ED" w:rsidP="005F32AD">
      <w:pPr>
        <w:ind w:firstLine="720"/>
        <w:rPr>
          <w:color w:val="000000"/>
          <w:szCs w:val="24"/>
        </w:rPr>
      </w:pPr>
      <w:r w:rsidRPr="001B03ED">
        <w:t xml:space="preserve">On </w:t>
      </w:r>
      <w:r w:rsidR="001E6DB2">
        <w:t>January 29, 2014,</w:t>
      </w:r>
      <w:r w:rsidRPr="001B03ED">
        <w:t xml:space="preserve"> the </w:t>
      </w:r>
      <w:r>
        <w:t>Office of Engineering &amp; Technology (“OET”)</w:t>
      </w:r>
      <w:r w:rsidRPr="001B03ED">
        <w:t xml:space="preserve"> released a </w:t>
      </w:r>
      <w:r w:rsidRPr="001B03ED">
        <w:rPr>
          <w:i/>
          <w:iCs/>
        </w:rPr>
        <w:t>Public Notice</w:t>
      </w:r>
      <w:r w:rsidR="001E6DB2">
        <w:t xml:space="preserve"> in this docket </w:t>
      </w:r>
      <w:r w:rsidRPr="001B03ED">
        <w:t xml:space="preserve">seeking comment </w:t>
      </w:r>
      <w:r w:rsidR="001E6DB2" w:rsidRPr="001E6DB2">
        <w:t>on a methodology for predicting potential interference between broadcast television and licensed wireless services</w:t>
      </w:r>
      <w:r w:rsidR="00B15DC8">
        <w:t xml:space="preserve">.  </w:t>
      </w:r>
      <w:r w:rsidRPr="001B03ED">
        <w:rPr>
          <w:color w:val="000000"/>
          <w:szCs w:val="24"/>
        </w:rPr>
        <w:t>In a jointly filed “</w:t>
      </w:r>
      <w:r w:rsidR="00B15DC8">
        <w:rPr>
          <w:color w:val="000000"/>
          <w:szCs w:val="24"/>
        </w:rPr>
        <w:t xml:space="preserve">Motion </w:t>
      </w:r>
      <w:r w:rsidRPr="001B03ED">
        <w:rPr>
          <w:color w:val="000000"/>
          <w:szCs w:val="24"/>
        </w:rPr>
        <w:t xml:space="preserve">for Extension of Time,” </w:t>
      </w:r>
      <w:r w:rsidR="003C4CFD">
        <w:rPr>
          <w:color w:val="000000"/>
          <w:szCs w:val="24"/>
        </w:rPr>
        <w:t>t</w:t>
      </w:r>
      <w:r w:rsidR="00B15DC8" w:rsidRPr="00B15DC8">
        <w:rPr>
          <w:color w:val="000000"/>
          <w:szCs w:val="24"/>
        </w:rPr>
        <w:t xml:space="preserve">he National Association of Broadcasters (“NAB”), </w:t>
      </w:r>
      <w:r w:rsidR="001E6DB2" w:rsidRPr="001E6DB2">
        <w:rPr>
          <w:color w:val="000000"/>
          <w:szCs w:val="24"/>
        </w:rPr>
        <w:t>ABC Television Affiliates</w:t>
      </w:r>
      <w:r w:rsidR="001E6DB2">
        <w:rPr>
          <w:color w:val="000000"/>
          <w:szCs w:val="24"/>
        </w:rPr>
        <w:t xml:space="preserve"> </w:t>
      </w:r>
      <w:r w:rsidR="001E6DB2" w:rsidRPr="001E6DB2">
        <w:rPr>
          <w:color w:val="000000"/>
          <w:szCs w:val="24"/>
        </w:rPr>
        <w:t>Association, CBS Television Network Affiliates Association, FBC Television Affiliates</w:t>
      </w:r>
      <w:r w:rsidR="001E6DB2">
        <w:rPr>
          <w:color w:val="000000"/>
          <w:szCs w:val="24"/>
        </w:rPr>
        <w:t xml:space="preserve"> </w:t>
      </w:r>
      <w:r w:rsidR="001E6DB2" w:rsidRPr="001E6DB2">
        <w:rPr>
          <w:color w:val="000000"/>
          <w:szCs w:val="24"/>
        </w:rPr>
        <w:t>Association, NBC Television Affiliates, The Walt Disney Company, 21st Century Fox, Inc.,</w:t>
      </w:r>
      <w:r w:rsidR="001E6DB2">
        <w:rPr>
          <w:color w:val="000000"/>
          <w:szCs w:val="24"/>
        </w:rPr>
        <w:t xml:space="preserve"> </w:t>
      </w:r>
      <w:r w:rsidR="001E6DB2" w:rsidRPr="001E6DB2">
        <w:rPr>
          <w:color w:val="000000"/>
          <w:szCs w:val="24"/>
        </w:rPr>
        <w:t>NBCUniversal Media, LLC, CBS Corporation, Univision Television Group Inc.,</w:t>
      </w:r>
      <w:r w:rsidR="001E6DB2" w:rsidRPr="001E6DB2">
        <w:t xml:space="preserve"> </w:t>
      </w:r>
      <w:r w:rsidR="001E6DB2" w:rsidRPr="001E6DB2">
        <w:rPr>
          <w:color w:val="000000"/>
          <w:szCs w:val="24"/>
        </w:rPr>
        <w:t>Association of Public Television Stations</w:t>
      </w:r>
      <w:r w:rsidR="001E6DB2">
        <w:rPr>
          <w:color w:val="000000"/>
          <w:szCs w:val="24"/>
        </w:rPr>
        <w:t xml:space="preserve"> (“APTS”)</w:t>
      </w:r>
      <w:r w:rsidR="001E6DB2" w:rsidRPr="001E6DB2">
        <w:rPr>
          <w:color w:val="000000"/>
          <w:szCs w:val="24"/>
        </w:rPr>
        <w:t>, and Public Broadcasting Service</w:t>
      </w:r>
      <w:r w:rsidR="001E6DB2">
        <w:rPr>
          <w:color w:val="000000"/>
          <w:szCs w:val="24"/>
        </w:rPr>
        <w:t xml:space="preserve"> (“PBS”) </w:t>
      </w:r>
      <w:r w:rsidRPr="001B03ED">
        <w:rPr>
          <w:color w:val="000000"/>
          <w:szCs w:val="24"/>
        </w:rPr>
        <w:t>ask pursuant to section 1.46 of the Commission’s Rules</w:t>
      </w:r>
      <w:r w:rsidRPr="001B03ED">
        <w:rPr>
          <w:color w:val="000000"/>
          <w:szCs w:val="24"/>
          <w:vertAlign w:val="superscript"/>
        </w:rPr>
        <w:footnoteReference w:id="1"/>
      </w:r>
      <w:r w:rsidRPr="001B03ED">
        <w:rPr>
          <w:color w:val="000000"/>
          <w:szCs w:val="24"/>
        </w:rPr>
        <w:t xml:space="preserve"> that the comment deadline be extended by 30 days</w:t>
      </w:r>
      <w:r w:rsidR="00333C4D">
        <w:rPr>
          <w:color w:val="000000"/>
          <w:szCs w:val="24"/>
        </w:rPr>
        <w:t xml:space="preserve"> from the original deadline of February 28, 2014</w:t>
      </w:r>
      <w:r w:rsidRPr="001B03ED">
        <w:rPr>
          <w:color w:val="000000"/>
          <w:szCs w:val="24"/>
        </w:rPr>
        <w:t>.</w:t>
      </w:r>
      <w:r w:rsidRPr="001B03ED">
        <w:rPr>
          <w:color w:val="000000"/>
          <w:szCs w:val="24"/>
          <w:vertAlign w:val="superscript"/>
        </w:rPr>
        <w:footnoteReference w:id="2"/>
      </w:r>
      <w:r w:rsidRPr="001B03ED">
        <w:rPr>
          <w:color w:val="000000"/>
          <w:szCs w:val="24"/>
        </w:rPr>
        <w:t xml:space="preserve">  </w:t>
      </w:r>
      <w:r w:rsidR="005F32AD">
        <w:rPr>
          <w:color w:val="000000"/>
          <w:szCs w:val="24"/>
        </w:rPr>
        <w:t>As described below</w:t>
      </w:r>
      <w:r w:rsidRPr="001B03ED">
        <w:rPr>
          <w:color w:val="000000"/>
          <w:szCs w:val="24"/>
        </w:rPr>
        <w:t xml:space="preserve">, </w:t>
      </w:r>
      <w:r w:rsidRPr="001B03ED">
        <w:t xml:space="preserve">we </w:t>
      </w:r>
      <w:r w:rsidR="005F32AD">
        <w:t xml:space="preserve">grant in part the joint </w:t>
      </w:r>
      <w:r w:rsidR="005F32AD" w:rsidRPr="001B03ED">
        <w:t xml:space="preserve">request </w:t>
      </w:r>
      <w:r w:rsidR="005F32AD">
        <w:t xml:space="preserve">to </w:t>
      </w:r>
      <w:r w:rsidRPr="001B03ED">
        <w:t xml:space="preserve">extend the comment </w:t>
      </w:r>
      <w:r w:rsidR="00045CDC">
        <w:t>filing deadline</w:t>
      </w:r>
      <w:r w:rsidRPr="001B03ED">
        <w:t xml:space="preserve"> with regard to </w:t>
      </w:r>
      <w:r w:rsidR="00B15DC8">
        <w:t xml:space="preserve">comments to the </w:t>
      </w:r>
      <w:r w:rsidR="008F48F6" w:rsidRPr="008F48F6">
        <w:rPr>
          <w:i/>
        </w:rPr>
        <w:t>Public Notice</w:t>
      </w:r>
      <w:r w:rsidR="008F48F6">
        <w:t xml:space="preserve"> of </w:t>
      </w:r>
      <w:r w:rsidR="00143D7D">
        <w:t>the inter-service interference methodology</w:t>
      </w:r>
      <w:r w:rsidR="00B15DC8">
        <w:t>.</w:t>
      </w:r>
    </w:p>
    <w:p w14:paraId="72D1F1B4" w14:textId="77777777" w:rsidR="001B03ED" w:rsidRPr="001B03ED" w:rsidRDefault="001B03ED" w:rsidP="005F32AD">
      <w:pPr>
        <w:ind w:firstLine="720"/>
      </w:pPr>
    </w:p>
    <w:p w14:paraId="7B328624" w14:textId="545EBF13" w:rsidR="001B03ED" w:rsidRDefault="001B03ED" w:rsidP="00AD158E">
      <w:pPr>
        <w:ind w:firstLine="720"/>
        <w:rPr>
          <w:color w:val="000000"/>
          <w:szCs w:val="19"/>
        </w:rPr>
      </w:pPr>
      <w:r w:rsidRPr="001B03ED">
        <w:t xml:space="preserve">It is the Commission's policy under Section 1.46(a) that extensions of time are not routinely granted.  In the instant case, however, we find that extending the comment period for </w:t>
      </w:r>
      <w:r w:rsidR="00B15DC8">
        <w:t>remarks on</w:t>
      </w:r>
      <w:r w:rsidRPr="001B03ED">
        <w:t xml:space="preserve"> </w:t>
      </w:r>
      <w:r w:rsidR="00143D7D">
        <w:t>the inter</w:t>
      </w:r>
      <w:r w:rsidR="002B3073">
        <w:t>-</w:t>
      </w:r>
      <w:r w:rsidR="00143D7D">
        <w:t>service interference methodology</w:t>
      </w:r>
      <w:r w:rsidR="00045CDC">
        <w:t xml:space="preserve"> </w:t>
      </w:r>
      <w:r w:rsidR="008F48F6">
        <w:t xml:space="preserve">and questions posed in the Public Notice </w:t>
      </w:r>
      <w:r w:rsidRPr="001B03ED">
        <w:t xml:space="preserve">will serve the public interest by allowing </w:t>
      </w:r>
      <w:r w:rsidR="00B15DC8">
        <w:t xml:space="preserve">commenters </w:t>
      </w:r>
      <w:r w:rsidRPr="001B03ED">
        <w:t>additional time</w:t>
      </w:r>
      <w:r w:rsidR="00B15DC8">
        <w:t xml:space="preserve"> </w:t>
      </w:r>
      <w:r w:rsidR="003C4CFD">
        <w:t xml:space="preserve">to review the technical contents </w:t>
      </w:r>
      <w:r w:rsidR="00143D7D">
        <w:t>of the PN and its appendix</w:t>
      </w:r>
      <w:r w:rsidRPr="001B03ED">
        <w:t xml:space="preserve">.  Accordingly, we hereby extend the deadline for filing comments to </w:t>
      </w:r>
      <w:r w:rsidR="00324DD8">
        <w:t>March 17</w:t>
      </w:r>
      <w:r w:rsidR="00143D7D">
        <w:t>, 2014</w:t>
      </w:r>
      <w:r w:rsidRPr="001B03ED">
        <w:t xml:space="preserve">.  </w:t>
      </w:r>
      <w:r w:rsidR="006C28B4" w:rsidRPr="001B03ED">
        <w:rPr>
          <w:color w:val="000000"/>
          <w:szCs w:val="19"/>
        </w:rPr>
        <w:t xml:space="preserve">This action is taken pursuant to authority found in Section 4(i) of the Communications Act of 1934, as amended, </w:t>
      </w:r>
      <w:hyperlink r:id="rId14" w:tgtFrame="_top" w:history="1">
        <w:r w:rsidR="006C28B4" w:rsidRPr="001B03ED">
          <w:rPr>
            <w:color w:val="000000"/>
            <w:szCs w:val="19"/>
          </w:rPr>
          <w:t>47 U.S.C. § 154(i)</w:t>
        </w:r>
      </w:hyperlink>
      <w:r w:rsidR="006C28B4" w:rsidRPr="001B03ED">
        <w:rPr>
          <w:color w:val="000000"/>
          <w:szCs w:val="19"/>
        </w:rPr>
        <w:t xml:space="preserve">, and </w:t>
      </w:r>
      <w:r w:rsidR="00126A8A">
        <w:rPr>
          <w:color w:val="000000"/>
          <w:szCs w:val="19"/>
        </w:rPr>
        <w:t>in</w:t>
      </w:r>
      <w:r w:rsidR="006C28B4" w:rsidRPr="001B03ED">
        <w:rPr>
          <w:color w:val="000000"/>
          <w:szCs w:val="19"/>
        </w:rPr>
        <w:t xml:space="preserve"> the Commission's rules, </w:t>
      </w:r>
      <w:hyperlink r:id="rId15" w:tgtFrame="_top" w:history="1">
        <w:r w:rsidR="006C28B4" w:rsidRPr="001B03ED">
          <w:rPr>
            <w:color w:val="000000"/>
            <w:szCs w:val="19"/>
          </w:rPr>
          <w:t xml:space="preserve">47 C.F.R. </w:t>
        </w:r>
        <w:r w:rsidR="003D4958">
          <w:rPr>
            <w:color w:val="000000"/>
            <w:szCs w:val="19"/>
          </w:rPr>
          <w:t xml:space="preserve">§§ </w:t>
        </w:r>
        <w:r w:rsidR="006C28B4" w:rsidRPr="001B03ED">
          <w:rPr>
            <w:color w:val="000000"/>
            <w:szCs w:val="19"/>
          </w:rPr>
          <w:t>0.31</w:t>
        </w:r>
      </w:hyperlink>
      <w:r w:rsidR="006C28B4" w:rsidRPr="001B03ED">
        <w:rPr>
          <w:color w:val="000000"/>
          <w:szCs w:val="19"/>
        </w:rPr>
        <w:t xml:space="preserve">, </w:t>
      </w:r>
      <w:hyperlink r:id="rId16" w:tgtFrame="_top" w:history="1">
        <w:r w:rsidR="006C28B4" w:rsidRPr="001B03ED">
          <w:rPr>
            <w:color w:val="000000"/>
            <w:szCs w:val="19"/>
          </w:rPr>
          <w:t>0.</w:t>
        </w:r>
        <w:r w:rsidR="006C28B4">
          <w:rPr>
            <w:color w:val="000000"/>
            <w:szCs w:val="19"/>
          </w:rPr>
          <w:t>24</w:t>
        </w:r>
        <w:r w:rsidR="006C28B4" w:rsidRPr="001B03ED">
          <w:rPr>
            <w:color w:val="000000"/>
            <w:szCs w:val="19"/>
          </w:rPr>
          <w:t>1</w:t>
        </w:r>
      </w:hyperlink>
      <w:r w:rsidR="006C28B4" w:rsidRPr="001B03ED">
        <w:rPr>
          <w:color w:val="000000"/>
          <w:szCs w:val="19"/>
        </w:rPr>
        <w:t xml:space="preserve">, and </w:t>
      </w:r>
      <w:hyperlink r:id="rId17" w:tgtFrame="_top" w:history="1">
        <w:r w:rsidR="006C28B4" w:rsidRPr="001B03ED">
          <w:rPr>
            <w:color w:val="000000"/>
            <w:szCs w:val="19"/>
          </w:rPr>
          <w:t>1.46</w:t>
        </w:r>
      </w:hyperlink>
      <w:r w:rsidR="00126A8A">
        <w:rPr>
          <w:color w:val="000000"/>
          <w:szCs w:val="19"/>
        </w:rPr>
        <w:t>.</w:t>
      </w:r>
    </w:p>
    <w:p w14:paraId="2B228010" w14:textId="77777777" w:rsidR="003C4CFD" w:rsidRPr="001B03ED" w:rsidRDefault="003C4CFD" w:rsidP="001B03ED">
      <w:pPr>
        <w:ind w:firstLine="720"/>
        <w:rPr>
          <w:color w:val="000000"/>
          <w:szCs w:val="24"/>
        </w:rPr>
      </w:pPr>
    </w:p>
    <w:p w14:paraId="2BA2D6D2" w14:textId="76F2B2EA" w:rsidR="001B03ED" w:rsidRDefault="003C4CFD" w:rsidP="003C4CFD">
      <w:pPr>
        <w:autoSpaceDE w:val="0"/>
        <w:autoSpaceDN w:val="0"/>
        <w:adjustRightInd w:val="0"/>
        <w:ind w:firstLine="720"/>
        <w:rPr>
          <w:rFonts w:eastAsia="MS Mincho"/>
          <w:szCs w:val="24"/>
        </w:rPr>
      </w:pPr>
      <w:r w:rsidRPr="003C4CFD">
        <w:rPr>
          <w:rFonts w:eastAsia="MS Mincho"/>
          <w:szCs w:val="24"/>
        </w:rPr>
        <w:lastRenderedPageBreak/>
        <w:t xml:space="preserve">For further information contact: </w:t>
      </w:r>
      <w:r w:rsidR="00143D7D">
        <w:rPr>
          <w:rFonts w:eastAsia="MS Mincho"/>
          <w:szCs w:val="24"/>
        </w:rPr>
        <w:t>Matthew Hussey</w:t>
      </w:r>
      <w:r w:rsidRPr="003C4CFD">
        <w:rPr>
          <w:rFonts w:eastAsia="MS Mincho"/>
          <w:szCs w:val="24"/>
        </w:rPr>
        <w:t xml:space="preserve"> at 202-418-</w:t>
      </w:r>
      <w:r w:rsidR="00143D7D">
        <w:rPr>
          <w:rFonts w:eastAsia="MS Mincho"/>
          <w:szCs w:val="24"/>
        </w:rPr>
        <w:t>3619</w:t>
      </w:r>
      <w:r w:rsidRPr="003C4CFD">
        <w:rPr>
          <w:rFonts w:eastAsia="MS Mincho"/>
          <w:szCs w:val="24"/>
        </w:rPr>
        <w:t xml:space="preserve"> or via email at </w:t>
      </w:r>
      <w:hyperlink r:id="rId18" w:history="1">
        <w:r w:rsidR="00143D7D" w:rsidRPr="00EA3749">
          <w:rPr>
            <w:rStyle w:val="Hyperlink"/>
            <w:rFonts w:eastAsia="MS Mincho"/>
            <w:szCs w:val="24"/>
          </w:rPr>
          <w:t>matthew.hussey@fcc.gov</w:t>
        </w:r>
      </w:hyperlink>
      <w:r>
        <w:rPr>
          <w:rFonts w:eastAsia="MS Mincho"/>
          <w:szCs w:val="24"/>
        </w:rPr>
        <w:t>.</w:t>
      </w:r>
    </w:p>
    <w:p w14:paraId="78918CF4" w14:textId="77777777" w:rsidR="003C4CFD" w:rsidRPr="001B03ED" w:rsidRDefault="003C4CFD" w:rsidP="003C4CFD">
      <w:pPr>
        <w:autoSpaceDE w:val="0"/>
        <w:autoSpaceDN w:val="0"/>
        <w:adjustRightInd w:val="0"/>
        <w:rPr>
          <w:color w:val="000000"/>
          <w:szCs w:val="24"/>
        </w:rPr>
      </w:pPr>
    </w:p>
    <w:p w14:paraId="2118051E" w14:textId="633BD563" w:rsidR="001B03ED" w:rsidRDefault="001B03ED" w:rsidP="001B03ED">
      <w:pPr>
        <w:ind w:firstLine="720"/>
        <w:rPr>
          <w:szCs w:val="24"/>
        </w:rPr>
      </w:pPr>
      <w:r w:rsidRPr="001B03ED">
        <w:rPr>
          <w:szCs w:val="24"/>
        </w:rPr>
        <w:t xml:space="preserve">Action by the Chief, </w:t>
      </w:r>
      <w:r w:rsidR="00B15DC8">
        <w:rPr>
          <w:szCs w:val="24"/>
        </w:rPr>
        <w:t>Office of Engineering &amp; Technology</w:t>
      </w:r>
      <w:r w:rsidRPr="001B03ED">
        <w:rPr>
          <w:szCs w:val="24"/>
        </w:rPr>
        <w:t>.</w:t>
      </w:r>
    </w:p>
    <w:p w14:paraId="7C961C5F" w14:textId="77777777" w:rsidR="00B15DC8" w:rsidRDefault="00B15DC8" w:rsidP="001B03ED">
      <w:pPr>
        <w:ind w:firstLine="720"/>
        <w:rPr>
          <w:szCs w:val="24"/>
        </w:rPr>
      </w:pPr>
    </w:p>
    <w:p w14:paraId="25CB69C4" w14:textId="77777777" w:rsidR="00B15DC8" w:rsidRDefault="00B15DC8" w:rsidP="001B03ED">
      <w:pPr>
        <w:ind w:firstLine="720"/>
        <w:rPr>
          <w:szCs w:val="24"/>
        </w:rPr>
      </w:pPr>
    </w:p>
    <w:p w14:paraId="07A5446C" w14:textId="77777777" w:rsidR="00B15DC8" w:rsidRPr="001B03ED" w:rsidRDefault="00B15DC8" w:rsidP="001B03ED">
      <w:pPr>
        <w:ind w:firstLine="720"/>
        <w:rPr>
          <w:szCs w:val="24"/>
        </w:rPr>
      </w:pPr>
    </w:p>
    <w:p w14:paraId="6A3E89E5" w14:textId="77777777" w:rsidR="00B15DC8" w:rsidRDefault="00B15DC8" w:rsidP="00B15DC8">
      <w:pPr>
        <w:jc w:val="center"/>
        <w:rPr>
          <w:szCs w:val="24"/>
        </w:rPr>
      </w:pPr>
      <w:r>
        <w:rPr>
          <w:szCs w:val="24"/>
        </w:rPr>
        <w:t>- FCC -</w:t>
      </w:r>
    </w:p>
    <w:p w14:paraId="4F6F7F71" w14:textId="77777777" w:rsidR="001B03ED" w:rsidRPr="00851114" w:rsidRDefault="001B03ED" w:rsidP="00F83412">
      <w:pPr>
        <w:rPr>
          <w:b/>
          <w:szCs w:val="22"/>
        </w:rPr>
      </w:pPr>
    </w:p>
    <w:sectPr w:rsidR="001B03ED" w:rsidRPr="00851114" w:rsidSect="00153157">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1A3BF" w14:textId="77777777" w:rsidR="00B73BC0" w:rsidRDefault="00B73BC0">
      <w:r>
        <w:separator/>
      </w:r>
    </w:p>
  </w:endnote>
  <w:endnote w:type="continuationSeparator" w:id="0">
    <w:p w14:paraId="73CBBA4C" w14:textId="77777777" w:rsidR="00B73BC0" w:rsidRDefault="00B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C99E" w14:textId="77777777" w:rsidR="00CC54BC" w:rsidRDefault="00CC5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8618"/>
      <w:docPartObj>
        <w:docPartGallery w:val="Page Numbers (Bottom of Page)"/>
        <w:docPartUnique/>
      </w:docPartObj>
    </w:sdtPr>
    <w:sdtEndPr>
      <w:rPr>
        <w:noProof/>
      </w:rPr>
    </w:sdtEndPr>
    <w:sdtContent>
      <w:p w14:paraId="302216FA" w14:textId="5293A379" w:rsidR="00B15DC8" w:rsidRDefault="00B15DC8">
        <w:pPr>
          <w:pStyle w:val="Footer"/>
          <w:jc w:val="center"/>
        </w:pPr>
        <w:r>
          <w:fldChar w:fldCharType="begin"/>
        </w:r>
        <w:r>
          <w:instrText xml:space="preserve"> PAGE   \* MERGEFORMAT </w:instrText>
        </w:r>
        <w:r>
          <w:fldChar w:fldCharType="separate"/>
        </w:r>
        <w:r w:rsidR="0051478B">
          <w:rPr>
            <w:noProof/>
          </w:rPr>
          <w:t>2</w:t>
        </w:r>
        <w:r>
          <w:rPr>
            <w:noProof/>
          </w:rPr>
          <w:fldChar w:fldCharType="end"/>
        </w:r>
      </w:p>
    </w:sdtContent>
  </w:sdt>
  <w:p w14:paraId="64C7B850" w14:textId="77777777" w:rsidR="00B15DC8" w:rsidRDefault="00B15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B389" w14:textId="23132293" w:rsidR="00B15DC8" w:rsidRDefault="00B15DC8">
    <w:pPr>
      <w:pStyle w:val="Footer"/>
      <w:jc w:val="center"/>
    </w:pPr>
  </w:p>
  <w:p w14:paraId="0388CD14" w14:textId="77777777" w:rsidR="00B15DC8" w:rsidRDefault="00B1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7F9A" w14:textId="77777777" w:rsidR="00B73BC0" w:rsidRDefault="00B73BC0">
      <w:r>
        <w:separator/>
      </w:r>
    </w:p>
  </w:footnote>
  <w:footnote w:type="continuationSeparator" w:id="0">
    <w:p w14:paraId="4BC17A48" w14:textId="77777777" w:rsidR="00B73BC0" w:rsidRDefault="00B73BC0">
      <w:r>
        <w:continuationSeparator/>
      </w:r>
    </w:p>
  </w:footnote>
  <w:footnote w:id="1">
    <w:p w14:paraId="3AA04670" w14:textId="77777777" w:rsidR="00B15DC8" w:rsidRDefault="00B15DC8" w:rsidP="001B03ED">
      <w:pPr>
        <w:pStyle w:val="FootnoteText"/>
        <w:spacing w:after="120"/>
        <w:rPr>
          <w:sz w:val="20"/>
        </w:rPr>
      </w:pPr>
      <w:r>
        <w:rPr>
          <w:rStyle w:val="FootnoteReference"/>
          <w:sz w:val="20"/>
        </w:rPr>
        <w:footnoteRef/>
      </w:r>
      <w:r>
        <w:rPr>
          <w:sz w:val="20"/>
        </w:rPr>
        <w:t xml:space="preserve"> 47 C.F.R. § 1.46.</w:t>
      </w:r>
    </w:p>
  </w:footnote>
  <w:footnote w:id="2">
    <w:p w14:paraId="31BB1579" w14:textId="602C8938" w:rsidR="00B15DC8" w:rsidRPr="00143D7D" w:rsidRDefault="00B15DC8" w:rsidP="001B03ED">
      <w:pPr>
        <w:pStyle w:val="FootnoteText"/>
        <w:spacing w:after="120"/>
        <w:rPr>
          <w:color w:val="000000"/>
          <w:sz w:val="20"/>
          <w:szCs w:val="24"/>
        </w:rPr>
      </w:pPr>
      <w:r>
        <w:rPr>
          <w:rStyle w:val="FootnoteReference"/>
          <w:sz w:val="20"/>
        </w:rPr>
        <w:footnoteRef/>
      </w:r>
      <w:r>
        <w:rPr>
          <w:sz w:val="20"/>
        </w:rPr>
        <w:t xml:space="preserve"> </w:t>
      </w:r>
      <w:r>
        <w:rPr>
          <w:i/>
          <w:sz w:val="20"/>
        </w:rPr>
        <w:t xml:space="preserve">See </w:t>
      </w:r>
      <w:r>
        <w:rPr>
          <w:color w:val="000000"/>
          <w:sz w:val="20"/>
          <w:szCs w:val="24"/>
        </w:rPr>
        <w:t xml:space="preserve">“Motion for Extension of Time” dated </w:t>
      </w:r>
      <w:r w:rsidR="00143D7D">
        <w:rPr>
          <w:color w:val="000000"/>
          <w:sz w:val="20"/>
          <w:szCs w:val="24"/>
        </w:rPr>
        <w:t>February 20, 2014</w:t>
      </w:r>
      <w:r>
        <w:rPr>
          <w:color w:val="000000"/>
          <w:sz w:val="20"/>
          <w:szCs w:val="24"/>
        </w:rPr>
        <w:t xml:space="preserve">, jointly filed by </w:t>
      </w:r>
      <w:r w:rsidR="00143D7D" w:rsidRPr="00143D7D">
        <w:rPr>
          <w:color w:val="000000"/>
          <w:sz w:val="20"/>
          <w:szCs w:val="24"/>
        </w:rPr>
        <w:t>National Association of Broadcasters (“NAB”), ABC Television Affiliates Association, CBS Television Network Affiliates Association, FBC Television Affiliates Association, NBC Television Affiliates, The Walt Disney Company, 21st Century Fox, Inc., NBCUniversal Media, LLC, CBS Corporation, Univision Television Group Inc., Association of Public Television Stations (“APTS”), and Public Broadcasting Service (“PBS”)</w:t>
      </w:r>
      <w:r>
        <w:rPr>
          <w:color w:val="000000"/>
          <w:sz w:val="20"/>
          <w:szCs w:val="24"/>
        </w:rPr>
        <w:t xml:space="preserve">, as filed in </w:t>
      </w:r>
      <w:r w:rsidR="00CA1B75">
        <w:rPr>
          <w:color w:val="000000"/>
          <w:sz w:val="20"/>
          <w:szCs w:val="24"/>
        </w:rPr>
        <w:t>ET</w:t>
      </w:r>
      <w:r>
        <w:rPr>
          <w:color w:val="000000"/>
          <w:sz w:val="20"/>
          <w:szCs w:val="24"/>
        </w:rPr>
        <w:t xml:space="preserve"> Docket No. </w:t>
      </w:r>
      <w:r w:rsidR="00143D7D">
        <w:rPr>
          <w:color w:val="000000"/>
          <w:sz w:val="20"/>
          <w:szCs w:val="24"/>
        </w:rPr>
        <w:t>14-14</w:t>
      </w:r>
      <w:r>
        <w:rPr>
          <w:color w:val="000000"/>
          <w:sz w:val="20"/>
          <w:szCs w:val="24"/>
        </w:rPr>
        <w:t xml:space="preserve"> (“</w:t>
      </w:r>
      <w:r w:rsidR="00143D7D" w:rsidRPr="00143D7D">
        <w:rPr>
          <w:color w:val="000000"/>
          <w:sz w:val="20"/>
          <w:szCs w:val="24"/>
        </w:rPr>
        <w:t xml:space="preserve">NAB and the Broadcast Parties </w:t>
      </w:r>
      <w:r>
        <w:rPr>
          <w:color w:val="000000"/>
          <w:sz w:val="20"/>
          <w:szCs w:val="24"/>
        </w:rPr>
        <w:t>Comment Period Extension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D93E" w14:textId="77777777" w:rsidR="00CC54BC" w:rsidRDefault="00CC5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A69D" w14:textId="77777777" w:rsidR="00CC54BC" w:rsidRDefault="00CC5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7909" w14:textId="30C57549" w:rsidR="00B15DC8" w:rsidRPr="00153157" w:rsidRDefault="00B15DC8">
    <w:pPr>
      <w:pStyle w:val="Header"/>
      <w:tabs>
        <w:tab w:val="clear" w:pos="4320"/>
        <w:tab w:val="clear" w:pos="8640"/>
      </w:tabs>
      <w:spacing w:before="40"/>
      <w:ind w:firstLine="1080"/>
      <w:rPr>
        <w:rFonts w:ascii="Arial" w:hAnsi="Arial" w:cs="Arial"/>
        <w:b/>
        <w:kern w:val="28"/>
        <w:sz w:val="96"/>
      </w:rPr>
    </w:pPr>
    <w:r w:rsidRPr="00153157">
      <w:rPr>
        <w:rFonts w:ascii="Arial" w:hAnsi="Arial" w:cs="Arial"/>
        <w:b/>
        <w:noProof/>
        <w:sz w:val="24"/>
      </w:rPr>
      <w:drawing>
        <wp:anchor distT="0" distB="0" distL="114300" distR="114300" simplePos="0" relativeHeight="251658752" behindDoc="0" locked="0" layoutInCell="0" allowOverlap="1" wp14:anchorId="7E5C2299" wp14:editId="2FA84FC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157">
      <w:rPr>
        <w:rFonts w:ascii="Arial" w:hAnsi="Arial" w:cs="Arial"/>
        <w:b/>
        <w:noProof/>
        <w:sz w:val="24"/>
      </w:rPr>
      <mc:AlternateContent>
        <mc:Choice Requires="wps">
          <w:drawing>
            <wp:anchor distT="0" distB="0" distL="114300" distR="114300" simplePos="0" relativeHeight="251655680" behindDoc="0" locked="0" layoutInCell="0" allowOverlap="1" wp14:anchorId="670A4E00" wp14:editId="115F50B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BDD3B" w14:textId="77777777" w:rsidR="00B15DC8" w:rsidRDefault="00B15DC8">
                          <w:pPr>
                            <w:rPr>
                              <w:rFonts w:ascii="Arial" w:hAnsi="Arial"/>
                              <w:b/>
                            </w:rPr>
                          </w:pPr>
                          <w:r>
                            <w:rPr>
                              <w:rFonts w:ascii="Arial" w:hAnsi="Arial"/>
                              <w:b/>
                            </w:rPr>
                            <w:t>Federal Communications Commission</w:t>
                          </w:r>
                        </w:p>
                        <w:p w14:paraId="17130A9C" w14:textId="77777777" w:rsidR="00B15DC8" w:rsidRDefault="00B15D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B15DC8" w:rsidRDefault="00B15DC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7A6BDD3B" w14:textId="77777777" w:rsidR="00B15DC8" w:rsidRDefault="00B15DC8">
                    <w:pPr>
                      <w:rPr>
                        <w:rFonts w:ascii="Arial" w:hAnsi="Arial"/>
                        <w:b/>
                      </w:rPr>
                    </w:pPr>
                    <w:r>
                      <w:rPr>
                        <w:rFonts w:ascii="Arial" w:hAnsi="Arial"/>
                        <w:b/>
                      </w:rPr>
                      <w:t>Federal Communications Commission</w:t>
                    </w:r>
                  </w:p>
                  <w:p w14:paraId="17130A9C" w14:textId="77777777" w:rsidR="00B15DC8" w:rsidRDefault="00B15D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8AC4FC" w14:textId="77777777" w:rsidR="00B15DC8" w:rsidRDefault="00B15DC8">
                    <w:pPr>
                      <w:rPr>
                        <w:rFonts w:ascii="Arial" w:hAnsi="Arial"/>
                        <w:sz w:val="24"/>
                      </w:rPr>
                    </w:pPr>
                    <w:r>
                      <w:rPr>
                        <w:rFonts w:ascii="Arial" w:hAnsi="Arial"/>
                        <w:b/>
                      </w:rPr>
                      <w:t>Washington, D.C. 20554</w:t>
                    </w:r>
                  </w:p>
                </w:txbxContent>
              </v:textbox>
            </v:shape>
          </w:pict>
        </mc:Fallback>
      </mc:AlternateContent>
    </w:r>
    <w:r w:rsidRPr="00153157">
      <w:rPr>
        <w:rFonts w:ascii="Arial" w:hAnsi="Arial" w:cs="Arial"/>
        <w:b/>
        <w:kern w:val="28"/>
        <w:sz w:val="96"/>
      </w:rPr>
      <w:t>PUBLIC NOTICE</w:t>
    </w:r>
  </w:p>
  <w:p w14:paraId="6D1F11C7" w14:textId="77777777" w:rsidR="00B15DC8" w:rsidRDefault="00B15DC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704" behindDoc="0" locked="0" layoutInCell="0" allowOverlap="1" wp14:anchorId="10A90402" wp14:editId="3F0B6DAF">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0" allowOverlap="1" wp14:anchorId="347BABD1" wp14:editId="077B3138">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7850F" w14:textId="77777777" w:rsidR="00B15DC8" w:rsidRDefault="00B15DC8">
                          <w:pPr>
                            <w:spacing w:before="40"/>
                            <w:jc w:val="right"/>
                            <w:rPr>
                              <w:rFonts w:ascii="Arial" w:hAnsi="Arial"/>
                              <w:b/>
                              <w:sz w:val="16"/>
                            </w:rPr>
                          </w:pPr>
                          <w:r>
                            <w:rPr>
                              <w:rFonts w:ascii="Arial" w:hAnsi="Arial"/>
                              <w:b/>
                              <w:sz w:val="16"/>
                            </w:rPr>
                            <w:t>News Media Information 202 / 418-0500</w:t>
                          </w:r>
                        </w:p>
                        <w:p w14:paraId="3D888291" w14:textId="77777777" w:rsidR="00B15DC8" w:rsidRDefault="00B15DC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905C0A7" w14:textId="77777777" w:rsidR="00B15DC8" w:rsidRDefault="00B15DC8">
                          <w:pPr>
                            <w:jc w:val="right"/>
                            <w:rPr>
                              <w:rFonts w:ascii="Arial" w:hAnsi="Arial"/>
                              <w:b/>
                              <w:sz w:val="16"/>
                            </w:rPr>
                          </w:pPr>
                          <w:r>
                            <w:rPr>
                              <w:rFonts w:ascii="Arial" w:hAnsi="Arial"/>
                              <w:b/>
                              <w:sz w:val="16"/>
                            </w:rPr>
                            <w:t>TTY: 1-888-835-5322</w:t>
                          </w:r>
                        </w:p>
                        <w:p w14:paraId="2CBCA78D" w14:textId="77777777" w:rsidR="00B15DC8" w:rsidRDefault="00B15DC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6A07850F" w14:textId="77777777" w:rsidR="00B15DC8" w:rsidRDefault="00B15DC8">
                    <w:pPr>
                      <w:spacing w:before="40"/>
                      <w:jc w:val="right"/>
                      <w:rPr>
                        <w:rFonts w:ascii="Arial" w:hAnsi="Arial"/>
                        <w:b/>
                        <w:sz w:val="16"/>
                      </w:rPr>
                    </w:pPr>
                    <w:r>
                      <w:rPr>
                        <w:rFonts w:ascii="Arial" w:hAnsi="Arial"/>
                        <w:b/>
                        <w:sz w:val="16"/>
                      </w:rPr>
                      <w:t>News Media Information 202 / 418-0500</w:t>
                    </w:r>
                  </w:p>
                  <w:p w14:paraId="3D888291" w14:textId="77777777" w:rsidR="00B15DC8" w:rsidRDefault="00B15DC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905C0A7" w14:textId="77777777" w:rsidR="00B15DC8" w:rsidRDefault="00B15DC8">
                    <w:pPr>
                      <w:jc w:val="right"/>
                      <w:rPr>
                        <w:rFonts w:ascii="Arial" w:hAnsi="Arial"/>
                        <w:b/>
                        <w:sz w:val="16"/>
                      </w:rPr>
                    </w:pPr>
                    <w:r>
                      <w:rPr>
                        <w:rFonts w:ascii="Arial" w:hAnsi="Arial"/>
                        <w:b/>
                        <w:sz w:val="16"/>
                      </w:rPr>
                      <w:t>TTY: 1-888-835-5322</w:t>
                    </w:r>
                  </w:p>
                  <w:p w14:paraId="2CBCA78D" w14:textId="77777777" w:rsidR="00B15DC8" w:rsidRDefault="00B15DC8">
                    <w:pPr>
                      <w:jc w:val="right"/>
                    </w:pPr>
                  </w:p>
                </w:txbxContent>
              </v:textbox>
            </v:shape>
          </w:pict>
        </mc:Fallback>
      </mc:AlternateContent>
    </w:r>
  </w:p>
  <w:p w14:paraId="5BF9F262" w14:textId="77777777" w:rsidR="00B15DC8" w:rsidRDefault="00B15DC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800"/>
        </w:tabs>
        <w:ind w:left="1800" w:hanging="360"/>
      </w:pPr>
      <w:rPr>
        <w:rFonts w:ascii="Wingdings" w:hAnsi="Wingdings" w:hint="default"/>
      </w:rPr>
    </w:lvl>
    <w:lvl w:ilvl="1" w:tplc="2F8C687A">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0444E43"/>
    <w:multiLevelType w:val="hybridMultilevel"/>
    <w:tmpl w:val="A6488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3"/>
    <w:lvlOverride w:ilvl="0">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73"/>
    <w:rsid w:val="00000D61"/>
    <w:rsid w:val="00000E51"/>
    <w:rsid w:val="000060EA"/>
    <w:rsid w:val="000061B6"/>
    <w:rsid w:val="0003019C"/>
    <w:rsid w:val="000415B9"/>
    <w:rsid w:val="000430BE"/>
    <w:rsid w:val="00045CDC"/>
    <w:rsid w:val="00047B65"/>
    <w:rsid w:val="00047EB6"/>
    <w:rsid w:val="00055C7A"/>
    <w:rsid w:val="00062A1C"/>
    <w:rsid w:val="00063E9C"/>
    <w:rsid w:val="0007552C"/>
    <w:rsid w:val="00096E86"/>
    <w:rsid w:val="000A114F"/>
    <w:rsid w:val="000D03E8"/>
    <w:rsid w:val="000E09F7"/>
    <w:rsid w:val="000F7EDF"/>
    <w:rsid w:val="00107038"/>
    <w:rsid w:val="0011682A"/>
    <w:rsid w:val="00124D4F"/>
    <w:rsid w:val="00126A8A"/>
    <w:rsid w:val="00143D7D"/>
    <w:rsid w:val="00146438"/>
    <w:rsid w:val="0014781D"/>
    <w:rsid w:val="00151649"/>
    <w:rsid w:val="00152906"/>
    <w:rsid w:val="00153157"/>
    <w:rsid w:val="00160FB9"/>
    <w:rsid w:val="00173BB7"/>
    <w:rsid w:val="00175E5E"/>
    <w:rsid w:val="00180051"/>
    <w:rsid w:val="001B03ED"/>
    <w:rsid w:val="001B1E1C"/>
    <w:rsid w:val="001B3A7D"/>
    <w:rsid w:val="001B5364"/>
    <w:rsid w:val="001C2D13"/>
    <w:rsid w:val="001C4F2D"/>
    <w:rsid w:val="001E4CC8"/>
    <w:rsid w:val="001E6DB2"/>
    <w:rsid w:val="001F470F"/>
    <w:rsid w:val="00202109"/>
    <w:rsid w:val="00212274"/>
    <w:rsid w:val="00214E37"/>
    <w:rsid w:val="002329C0"/>
    <w:rsid w:val="002451E3"/>
    <w:rsid w:val="00245CBA"/>
    <w:rsid w:val="002523D7"/>
    <w:rsid w:val="00257992"/>
    <w:rsid w:val="00261048"/>
    <w:rsid w:val="00261A98"/>
    <w:rsid w:val="00294685"/>
    <w:rsid w:val="002B0E5C"/>
    <w:rsid w:val="002B3073"/>
    <w:rsid w:val="002E6A74"/>
    <w:rsid w:val="002F0140"/>
    <w:rsid w:val="002F2479"/>
    <w:rsid w:val="00310A8C"/>
    <w:rsid w:val="00324DD8"/>
    <w:rsid w:val="00333C4D"/>
    <w:rsid w:val="00350723"/>
    <w:rsid w:val="003542A9"/>
    <w:rsid w:val="00355A18"/>
    <w:rsid w:val="00366842"/>
    <w:rsid w:val="00366FEC"/>
    <w:rsid w:val="00383FD0"/>
    <w:rsid w:val="003842E4"/>
    <w:rsid w:val="00391539"/>
    <w:rsid w:val="00392837"/>
    <w:rsid w:val="00397768"/>
    <w:rsid w:val="003A2081"/>
    <w:rsid w:val="003B4657"/>
    <w:rsid w:val="003B5A7B"/>
    <w:rsid w:val="003C4CFD"/>
    <w:rsid w:val="003D4958"/>
    <w:rsid w:val="003D6191"/>
    <w:rsid w:val="004159CB"/>
    <w:rsid w:val="004429F0"/>
    <w:rsid w:val="004476B5"/>
    <w:rsid w:val="0045551A"/>
    <w:rsid w:val="00456A0A"/>
    <w:rsid w:val="004634D2"/>
    <w:rsid w:val="00463665"/>
    <w:rsid w:val="0048107E"/>
    <w:rsid w:val="00484D37"/>
    <w:rsid w:val="00485793"/>
    <w:rsid w:val="004934D1"/>
    <w:rsid w:val="004A104D"/>
    <w:rsid w:val="004A25F1"/>
    <w:rsid w:val="004B0D16"/>
    <w:rsid w:val="004B706A"/>
    <w:rsid w:val="004E4202"/>
    <w:rsid w:val="004E6960"/>
    <w:rsid w:val="0050331C"/>
    <w:rsid w:val="0051478B"/>
    <w:rsid w:val="00517221"/>
    <w:rsid w:val="005179C3"/>
    <w:rsid w:val="0053350D"/>
    <w:rsid w:val="00540504"/>
    <w:rsid w:val="00550B77"/>
    <w:rsid w:val="00550E46"/>
    <w:rsid w:val="00554185"/>
    <w:rsid w:val="00557283"/>
    <w:rsid w:val="00561707"/>
    <w:rsid w:val="00565E7A"/>
    <w:rsid w:val="00566C47"/>
    <w:rsid w:val="00576CCA"/>
    <w:rsid w:val="0058414D"/>
    <w:rsid w:val="005862DB"/>
    <w:rsid w:val="00595590"/>
    <w:rsid w:val="005A2E8C"/>
    <w:rsid w:val="005A7A27"/>
    <w:rsid w:val="005B1F2A"/>
    <w:rsid w:val="005B5170"/>
    <w:rsid w:val="005D2C77"/>
    <w:rsid w:val="005D5434"/>
    <w:rsid w:val="005E4AA9"/>
    <w:rsid w:val="005E5B33"/>
    <w:rsid w:val="005F32AD"/>
    <w:rsid w:val="005F5820"/>
    <w:rsid w:val="006268A0"/>
    <w:rsid w:val="00626DBB"/>
    <w:rsid w:val="00657E3E"/>
    <w:rsid w:val="00692CA1"/>
    <w:rsid w:val="006A6270"/>
    <w:rsid w:val="006C28B4"/>
    <w:rsid w:val="006C601A"/>
    <w:rsid w:val="006C769A"/>
    <w:rsid w:val="006D1629"/>
    <w:rsid w:val="006D626A"/>
    <w:rsid w:val="007176BE"/>
    <w:rsid w:val="007227A8"/>
    <w:rsid w:val="00727D7C"/>
    <w:rsid w:val="007351FB"/>
    <w:rsid w:val="00770036"/>
    <w:rsid w:val="00782CD8"/>
    <w:rsid w:val="00785441"/>
    <w:rsid w:val="00787F62"/>
    <w:rsid w:val="007A7215"/>
    <w:rsid w:val="007A73AE"/>
    <w:rsid w:val="007C41EF"/>
    <w:rsid w:val="007F356C"/>
    <w:rsid w:val="0081167D"/>
    <w:rsid w:val="00816713"/>
    <w:rsid w:val="00820985"/>
    <w:rsid w:val="00850DFD"/>
    <w:rsid w:val="00851114"/>
    <w:rsid w:val="008525C3"/>
    <w:rsid w:val="00856FBB"/>
    <w:rsid w:val="008602AE"/>
    <w:rsid w:val="00872DE4"/>
    <w:rsid w:val="0087305A"/>
    <w:rsid w:val="008759B3"/>
    <w:rsid w:val="00882416"/>
    <w:rsid w:val="008A3E78"/>
    <w:rsid w:val="008A67A3"/>
    <w:rsid w:val="008E09AB"/>
    <w:rsid w:val="008E198D"/>
    <w:rsid w:val="008E2AE2"/>
    <w:rsid w:val="008E4E4A"/>
    <w:rsid w:val="008F48F6"/>
    <w:rsid w:val="008F51FB"/>
    <w:rsid w:val="00914E22"/>
    <w:rsid w:val="00915D9C"/>
    <w:rsid w:val="00924EDA"/>
    <w:rsid w:val="00925D1E"/>
    <w:rsid w:val="009347F1"/>
    <w:rsid w:val="009415CE"/>
    <w:rsid w:val="009440F6"/>
    <w:rsid w:val="009526F5"/>
    <w:rsid w:val="00957647"/>
    <w:rsid w:val="00981057"/>
    <w:rsid w:val="00983760"/>
    <w:rsid w:val="009A3400"/>
    <w:rsid w:val="009A7C18"/>
    <w:rsid w:val="009B4A44"/>
    <w:rsid w:val="009C7875"/>
    <w:rsid w:val="009D5912"/>
    <w:rsid w:val="00A05FFF"/>
    <w:rsid w:val="00A36D4A"/>
    <w:rsid w:val="00A74BAB"/>
    <w:rsid w:val="00A82AC2"/>
    <w:rsid w:val="00A832A0"/>
    <w:rsid w:val="00A83675"/>
    <w:rsid w:val="00AC7B1E"/>
    <w:rsid w:val="00AD0B3C"/>
    <w:rsid w:val="00AD158E"/>
    <w:rsid w:val="00AD292D"/>
    <w:rsid w:val="00B03270"/>
    <w:rsid w:val="00B06F92"/>
    <w:rsid w:val="00B1122E"/>
    <w:rsid w:val="00B15DC8"/>
    <w:rsid w:val="00B21546"/>
    <w:rsid w:val="00B5313E"/>
    <w:rsid w:val="00B55930"/>
    <w:rsid w:val="00B62D53"/>
    <w:rsid w:val="00B64654"/>
    <w:rsid w:val="00B66673"/>
    <w:rsid w:val="00B736E7"/>
    <w:rsid w:val="00B73BC0"/>
    <w:rsid w:val="00B85AC2"/>
    <w:rsid w:val="00BA0CA2"/>
    <w:rsid w:val="00BA72C3"/>
    <w:rsid w:val="00BE32A7"/>
    <w:rsid w:val="00C03FEE"/>
    <w:rsid w:val="00C04DE7"/>
    <w:rsid w:val="00C16661"/>
    <w:rsid w:val="00C16CF4"/>
    <w:rsid w:val="00C17111"/>
    <w:rsid w:val="00C2513E"/>
    <w:rsid w:val="00C574ED"/>
    <w:rsid w:val="00C61282"/>
    <w:rsid w:val="00C70A15"/>
    <w:rsid w:val="00C738FB"/>
    <w:rsid w:val="00C751E2"/>
    <w:rsid w:val="00C80EEB"/>
    <w:rsid w:val="00C87F08"/>
    <w:rsid w:val="00CA1B75"/>
    <w:rsid w:val="00CA67A8"/>
    <w:rsid w:val="00CA7EEF"/>
    <w:rsid w:val="00CB18AA"/>
    <w:rsid w:val="00CB650C"/>
    <w:rsid w:val="00CC54BC"/>
    <w:rsid w:val="00CD5D41"/>
    <w:rsid w:val="00CE7553"/>
    <w:rsid w:val="00CF2A87"/>
    <w:rsid w:val="00D247F3"/>
    <w:rsid w:val="00D32611"/>
    <w:rsid w:val="00D432A3"/>
    <w:rsid w:val="00D43AED"/>
    <w:rsid w:val="00D440D6"/>
    <w:rsid w:val="00D44E85"/>
    <w:rsid w:val="00D470C9"/>
    <w:rsid w:val="00D47DFD"/>
    <w:rsid w:val="00D5262A"/>
    <w:rsid w:val="00D558FE"/>
    <w:rsid w:val="00D632C1"/>
    <w:rsid w:val="00D6752E"/>
    <w:rsid w:val="00D74E98"/>
    <w:rsid w:val="00D87750"/>
    <w:rsid w:val="00D94E8D"/>
    <w:rsid w:val="00DB6E6D"/>
    <w:rsid w:val="00DC48EC"/>
    <w:rsid w:val="00DD1BDF"/>
    <w:rsid w:val="00DD62AF"/>
    <w:rsid w:val="00DE3C75"/>
    <w:rsid w:val="00E038F5"/>
    <w:rsid w:val="00E03CE5"/>
    <w:rsid w:val="00E10F97"/>
    <w:rsid w:val="00E211BE"/>
    <w:rsid w:val="00E41EB2"/>
    <w:rsid w:val="00E43E72"/>
    <w:rsid w:val="00E53377"/>
    <w:rsid w:val="00E55F1A"/>
    <w:rsid w:val="00E85CD8"/>
    <w:rsid w:val="00EA0094"/>
    <w:rsid w:val="00EA09C3"/>
    <w:rsid w:val="00EB2C29"/>
    <w:rsid w:val="00EB56D2"/>
    <w:rsid w:val="00EC4802"/>
    <w:rsid w:val="00EC74AC"/>
    <w:rsid w:val="00EC7EE7"/>
    <w:rsid w:val="00ED17B6"/>
    <w:rsid w:val="00EE0839"/>
    <w:rsid w:val="00EE4074"/>
    <w:rsid w:val="00EE4F49"/>
    <w:rsid w:val="00EF7F17"/>
    <w:rsid w:val="00F13B1D"/>
    <w:rsid w:val="00F21143"/>
    <w:rsid w:val="00F22B9F"/>
    <w:rsid w:val="00F27694"/>
    <w:rsid w:val="00F3159E"/>
    <w:rsid w:val="00F3304D"/>
    <w:rsid w:val="00F41D12"/>
    <w:rsid w:val="00F530B4"/>
    <w:rsid w:val="00F605CE"/>
    <w:rsid w:val="00F717AE"/>
    <w:rsid w:val="00F7512D"/>
    <w:rsid w:val="00F83412"/>
    <w:rsid w:val="00F83698"/>
    <w:rsid w:val="00FA0EB5"/>
    <w:rsid w:val="00FA4D71"/>
    <w:rsid w:val="00FA6515"/>
    <w:rsid w:val="00FC05D6"/>
    <w:rsid w:val="00FD0096"/>
    <w:rsid w:val="00FD39A0"/>
    <w:rsid w:val="00FE0C73"/>
    <w:rsid w:val="00FF14B3"/>
    <w:rsid w:val="00FF6774"/>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36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link w:val="FootnoteText"/>
    <w:semiHidden/>
    <w:locked/>
    <w:rsid w:val="001B03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3B5A7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E4074"/>
    <w:rPr>
      <w:rFonts w:ascii="Tahoma" w:hAnsi="Tahoma" w:cs="Tahoma"/>
      <w:sz w:val="16"/>
      <w:szCs w:val="16"/>
    </w:rPr>
  </w:style>
  <w:style w:type="character" w:customStyle="1" w:styleId="BalloonTextChar">
    <w:name w:val="Balloon Text Char"/>
    <w:basedOn w:val="DefaultParagraphFont"/>
    <w:link w:val="BalloonText"/>
    <w:uiPriority w:val="99"/>
    <w:semiHidden/>
    <w:rsid w:val="00EE4074"/>
    <w:rPr>
      <w:rFonts w:ascii="Tahoma" w:hAnsi="Tahoma" w:cs="Tahoma"/>
      <w:sz w:val="16"/>
      <w:szCs w:val="16"/>
    </w:rPr>
  </w:style>
  <w:style w:type="character" w:styleId="CommentReference">
    <w:name w:val="annotation reference"/>
    <w:basedOn w:val="DefaultParagraphFont"/>
    <w:uiPriority w:val="99"/>
    <w:semiHidden/>
    <w:unhideWhenUsed/>
    <w:rsid w:val="009A7C18"/>
    <w:rPr>
      <w:sz w:val="16"/>
      <w:szCs w:val="16"/>
    </w:rPr>
  </w:style>
  <w:style w:type="paragraph" w:styleId="CommentText">
    <w:name w:val="annotation text"/>
    <w:basedOn w:val="Normal"/>
    <w:link w:val="CommentTextChar"/>
    <w:uiPriority w:val="99"/>
    <w:semiHidden/>
    <w:unhideWhenUsed/>
    <w:rsid w:val="009A7C18"/>
    <w:rPr>
      <w:sz w:val="20"/>
    </w:rPr>
  </w:style>
  <w:style w:type="character" w:customStyle="1" w:styleId="CommentTextChar">
    <w:name w:val="Comment Text Char"/>
    <w:basedOn w:val="DefaultParagraphFont"/>
    <w:link w:val="CommentText"/>
    <w:uiPriority w:val="99"/>
    <w:semiHidden/>
    <w:rsid w:val="009A7C18"/>
  </w:style>
  <w:style w:type="paragraph" w:styleId="CommentSubject">
    <w:name w:val="annotation subject"/>
    <w:basedOn w:val="CommentText"/>
    <w:next w:val="CommentText"/>
    <w:link w:val="CommentSubjectChar"/>
    <w:uiPriority w:val="99"/>
    <w:semiHidden/>
    <w:unhideWhenUsed/>
    <w:rsid w:val="009A7C18"/>
    <w:rPr>
      <w:b/>
      <w:bCs/>
    </w:rPr>
  </w:style>
  <w:style w:type="character" w:customStyle="1" w:styleId="CommentSubjectChar">
    <w:name w:val="Comment Subject Char"/>
    <w:basedOn w:val="CommentTextChar"/>
    <w:link w:val="CommentSubject"/>
    <w:uiPriority w:val="99"/>
    <w:semiHidden/>
    <w:rsid w:val="009A7C18"/>
    <w:rPr>
      <w:b/>
      <w:bCs/>
    </w:rPr>
  </w:style>
  <w:style w:type="paragraph" w:styleId="Revision">
    <w:name w:val="Revision"/>
    <w:hidden/>
    <w:uiPriority w:val="99"/>
    <w:semiHidden/>
    <w:rsid w:val="00517221"/>
    <w:rPr>
      <w:sz w:val="22"/>
    </w:rPr>
  </w:style>
  <w:style w:type="paragraph" w:customStyle="1" w:styleId="ParaNum0">
    <w:name w:val="ParaNum"/>
    <w:basedOn w:val="Normal"/>
    <w:rsid w:val="00DB6E6D"/>
    <w:pPr>
      <w:widowControl w:val="0"/>
      <w:tabs>
        <w:tab w:val="num" w:pos="1080"/>
        <w:tab w:val="left" w:pos="1440"/>
      </w:tabs>
      <w:spacing w:after="220"/>
      <w:ind w:firstLine="720"/>
      <w:jc w:val="both"/>
    </w:pPr>
  </w:style>
  <w:style w:type="character" w:customStyle="1" w:styleId="FooterChar">
    <w:name w:val="Footer Char"/>
    <w:basedOn w:val="DefaultParagraphFont"/>
    <w:link w:val="Footer"/>
    <w:uiPriority w:val="99"/>
    <w:rsid w:val="000061B6"/>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link w:val="FootnoteText"/>
    <w:semiHidden/>
    <w:locked/>
    <w:rsid w:val="001B03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atthew.hussey@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eb2.westlaw.com/find/default.wl?mt=26&amp;db=1000547&amp;docname=47CFRS1.46&amp;rp=%2ffind%2fdefault.wl&amp;findtype=L&amp;ordoc=2027521580&amp;tc=-1&amp;vr=2.0&amp;fn=_top&amp;sv=Split&amp;tf=-1&amp;pbc=C366CE7D&amp;rs=WLW13.01" TargetMode="External"/><Relationship Id="rId2" Type="http://schemas.openxmlformats.org/officeDocument/2006/relationships/styles" Target="styles.xml"/><Relationship Id="rId16" Type="http://schemas.openxmlformats.org/officeDocument/2006/relationships/hyperlink" Target="http://web2.westlaw.com/find/default.wl?mt=26&amp;db=1000547&amp;docname=47CFRS0.331&amp;rp=%2ffind%2fdefault.wl&amp;findtype=L&amp;ordoc=2027521580&amp;tc=-1&amp;vr=2.0&amp;fn=_top&amp;sv=Split&amp;tf=-1&amp;pbc=C366CE7D&amp;rs=WLW13.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2.westlaw.com/find/default.wl?mt=26&amp;db=1000547&amp;docname=47CFRS0.131&amp;rp=%2ffind%2fdefault.wl&amp;findtype=L&amp;ordoc=2027521580&amp;tc=-1&amp;vr=2.0&amp;fn=_top&amp;sv=Split&amp;tf=-1&amp;pbc=C366CE7D&amp;rs=WLW13.0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2.westlaw.com/find/default.wl?mt=26&amp;db=1000546&amp;docname=47USCAS154&amp;rp=%2ffind%2fdefault.wl&amp;findtype=L&amp;ordoc=2027521580&amp;tc=-1&amp;vr=2.0&amp;fn=_top&amp;sv=Split&amp;tf=-1&amp;referencepositiontype=T&amp;pbc=C366CE7D&amp;referenceposition=SP%3b17a3000024864&amp;rs=WLW13.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2013-04-22T19:21:00Z</cp:lastPrinted>
  <dcterms:created xsi:type="dcterms:W3CDTF">2014-02-26T14:55:00Z</dcterms:created>
  <dcterms:modified xsi:type="dcterms:W3CDTF">2014-02-26T14:55:00Z</dcterms:modified>
  <cp:category> </cp:category>
  <cp:contentStatus> </cp:contentStatus>
</cp:coreProperties>
</file>