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752EA4" w:rsidRDefault="00050854" w:rsidP="00BF1922">
      <w:pPr>
        <w:widowControl/>
        <w:tabs>
          <w:tab w:val="center" w:pos="4770"/>
        </w:tabs>
        <w:suppressAutoHyphens/>
        <w:jc w:val="center"/>
        <w:outlineLvl w:val="0"/>
        <w:rPr>
          <w:b/>
          <w:spacing w:val="-2"/>
          <w:sz w:val="22"/>
          <w:szCs w:val="22"/>
        </w:rPr>
      </w:pPr>
      <w:bookmarkStart w:id="0" w:name="_GoBack"/>
      <w:bookmarkEnd w:id="0"/>
      <w:r w:rsidRPr="00752EA4">
        <w:rPr>
          <w:b/>
          <w:spacing w:val="-2"/>
          <w:sz w:val="22"/>
          <w:szCs w:val="22"/>
        </w:rPr>
        <w:t>Before the</w:t>
      </w:r>
    </w:p>
    <w:p w:rsidR="004C6D99" w:rsidRPr="00752EA4" w:rsidRDefault="004C6D99" w:rsidP="00BF1922">
      <w:pPr>
        <w:widowControl/>
        <w:tabs>
          <w:tab w:val="center" w:pos="4770"/>
        </w:tabs>
        <w:suppressAutoHyphens/>
        <w:jc w:val="center"/>
        <w:outlineLvl w:val="0"/>
        <w:rPr>
          <w:b/>
          <w:spacing w:val="-2"/>
          <w:sz w:val="22"/>
          <w:szCs w:val="22"/>
        </w:rPr>
      </w:pPr>
      <w:r w:rsidRPr="00752EA4">
        <w:rPr>
          <w:b/>
          <w:spacing w:val="-2"/>
          <w:sz w:val="22"/>
          <w:szCs w:val="22"/>
        </w:rPr>
        <w:t>Federal Communications Commission</w:t>
      </w:r>
    </w:p>
    <w:p w:rsidR="00050854" w:rsidRPr="00752EA4"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752EA4">
            <w:rPr>
              <w:b/>
              <w:sz w:val="22"/>
              <w:szCs w:val="22"/>
            </w:rPr>
            <w:t>Washington</w:t>
          </w:r>
        </w:smartTag>
        <w:r w:rsidRPr="00752EA4">
          <w:rPr>
            <w:b/>
            <w:sz w:val="22"/>
            <w:szCs w:val="22"/>
          </w:rPr>
          <w:t xml:space="preserve">, </w:t>
        </w:r>
        <w:smartTag w:uri="urn:schemas-microsoft-com:office:smarttags" w:element="State">
          <w:r w:rsidRPr="00752EA4">
            <w:rPr>
              <w:b/>
              <w:sz w:val="22"/>
              <w:szCs w:val="22"/>
            </w:rPr>
            <w:t>D.C.</w:t>
          </w:r>
        </w:smartTag>
        <w:r w:rsidRPr="00752EA4">
          <w:rPr>
            <w:b/>
            <w:sz w:val="22"/>
            <w:szCs w:val="22"/>
          </w:rPr>
          <w:t xml:space="preserve"> </w:t>
        </w:r>
        <w:smartTag w:uri="urn:schemas-microsoft-com:office:smarttags" w:element="PostalCode">
          <w:r w:rsidRPr="00752EA4">
            <w:rPr>
              <w:b/>
              <w:sz w:val="22"/>
              <w:szCs w:val="22"/>
            </w:rPr>
            <w:t>20554</w:t>
          </w:r>
        </w:smartTag>
      </w:smartTag>
    </w:p>
    <w:p w:rsidR="00050854" w:rsidRPr="00752EA4" w:rsidRDefault="00050854" w:rsidP="00BF1922">
      <w:pPr>
        <w:widowControl/>
        <w:tabs>
          <w:tab w:val="center" w:pos="4680"/>
        </w:tabs>
        <w:suppressAutoHyphens/>
        <w:spacing w:line="240" w:lineRule="atLeast"/>
        <w:jc w:val="both"/>
        <w:outlineLvl w:val="0"/>
        <w:rPr>
          <w:b/>
          <w:spacing w:val="-2"/>
          <w:sz w:val="22"/>
          <w:szCs w:val="22"/>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752EA4" w:rsidTr="00571009">
        <w:trPr>
          <w:jc w:val="center"/>
        </w:trPr>
        <w:tc>
          <w:tcPr>
            <w:tcW w:w="4770" w:type="dxa"/>
          </w:tcPr>
          <w:p w:rsidR="00050854" w:rsidRPr="00752EA4" w:rsidRDefault="00050854" w:rsidP="00BF1922">
            <w:pPr>
              <w:widowControl/>
              <w:rPr>
                <w:sz w:val="22"/>
                <w:szCs w:val="22"/>
              </w:rPr>
            </w:pPr>
            <w:r w:rsidRPr="00752EA4">
              <w:rPr>
                <w:spacing w:val="-2"/>
                <w:sz w:val="22"/>
                <w:szCs w:val="22"/>
              </w:rPr>
              <w:t>In the Matter of</w:t>
            </w:r>
            <w:r w:rsidRPr="00752EA4">
              <w:rPr>
                <w:sz w:val="22"/>
                <w:szCs w:val="22"/>
              </w:rPr>
              <w:t xml:space="preserve"> </w:t>
            </w:r>
          </w:p>
          <w:p w:rsidR="00050854" w:rsidRPr="00A074DD" w:rsidRDefault="00050854" w:rsidP="00BF1922">
            <w:pPr>
              <w:widowControl/>
              <w:rPr>
                <w:sz w:val="22"/>
                <w:szCs w:val="22"/>
              </w:rPr>
            </w:pPr>
          </w:p>
          <w:p w:rsidR="00050854" w:rsidRPr="00A074DD" w:rsidRDefault="00F114C6" w:rsidP="00571009">
            <w:pPr>
              <w:widowControl/>
              <w:spacing w:after="120"/>
              <w:rPr>
                <w:sz w:val="22"/>
                <w:szCs w:val="22"/>
              </w:rPr>
            </w:pPr>
            <w:r>
              <w:rPr>
                <w:spacing w:val="-2"/>
                <w:sz w:val="22"/>
                <w:szCs w:val="22"/>
              </w:rPr>
              <w:t>AT&amp;T Services, Inc.</w:t>
            </w:r>
          </w:p>
          <w:p w:rsidR="00050854" w:rsidRPr="00A074DD" w:rsidRDefault="00866084" w:rsidP="00BF1922">
            <w:pPr>
              <w:widowControl/>
              <w:rPr>
                <w:sz w:val="22"/>
                <w:szCs w:val="22"/>
              </w:rPr>
            </w:pPr>
            <w:r>
              <w:rPr>
                <w:sz w:val="22"/>
                <w:szCs w:val="22"/>
              </w:rPr>
              <w:t>Owner of Antenna Structure in</w:t>
            </w:r>
          </w:p>
          <w:p w:rsidR="00050854" w:rsidRPr="00A074DD" w:rsidRDefault="002B3F84" w:rsidP="00BF1922">
            <w:pPr>
              <w:widowControl/>
              <w:rPr>
                <w:sz w:val="22"/>
                <w:szCs w:val="22"/>
              </w:rPr>
            </w:pPr>
            <w:smartTag w:uri="urn:schemas-microsoft-com:office:smarttags" w:element="place">
              <w:smartTag w:uri="urn:schemas-microsoft-com:office:smarttags" w:element="City">
                <w:r w:rsidRPr="00A074DD">
                  <w:rPr>
                    <w:sz w:val="22"/>
                    <w:szCs w:val="22"/>
                  </w:rPr>
                  <w:t>San Pedro</w:t>
                </w:r>
              </w:smartTag>
              <w:r w:rsidRPr="00A074DD">
                <w:rPr>
                  <w:sz w:val="22"/>
                  <w:szCs w:val="22"/>
                </w:rPr>
                <w:t xml:space="preserve">, </w:t>
              </w:r>
              <w:smartTag w:uri="urn:schemas-microsoft-com:office:smarttags" w:element="State">
                <w:r w:rsidRPr="00A074DD">
                  <w:rPr>
                    <w:sz w:val="22"/>
                    <w:szCs w:val="22"/>
                  </w:rPr>
                  <w:t>California</w:t>
                </w:r>
              </w:smartTag>
            </w:smartTag>
          </w:p>
          <w:p w:rsidR="00050854" w:rsidRPr="00752EA4" w:rsidRDefault="00050854" w:rsidP="00BF1922">
            <w:pPr>
              <w:widowControl/>
              <w:rPr>
                <w:spacing w:val="-2"/>
                <w:sz w:val="22"/>
                <w:szCs w:val="22"/>
              </w:rPr>
            </w:pPr>
          </w:p>
        </w:tc>
        <w:tc>
          <w:tcPr>
            <w:tcW w:w="270" w:type="dxa"/>
          </w:tcPr>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p w:rsidR="00050854" w:rsidRPr="00752EA4" w:rsidRDefault="00050854" w:rsidP="00BF1922">
            <w:pPr>
              <w:widowControl/>
              <w:tabs>
                <w:tab w:val="center" w:pos="4680"/>
              </w:tabs>
              <w:suppressAutoHyphens/>
              <w:spacing w:line="240" w:lineRule="atLeast"/>
              <w:jc w:val="both"/>
              <w:outlineLvl w:val="0"/>
              <w:rPr>
                <w:sz w:val="22"/>
                <w:szCs w:val="22"/>
              </w:rPr>
            </w:pPr>
            <w:r w:rsidRPr="00752EA4">
              <w:rPr>
                <w:sz w:val="22"/>
                <w:szCs w:val="22"/>
              </w:rPr>
              <w:t>)</w:t>
            </w:r>
          </w:p>
        </w:tc>
        <w:tc>
          <w:tcPr>
            <w:tcW w:w="4680" w:type="dxa"/>
          </w:tcPr>
          <w:p w:rsidR="003E2AD5" w:rsidRPr="00752EA4" w:rsidRDefault="003E2AD5" w:rsidP="00BF1922">
            <w:pPr>
              <w:widowControl/>
              <w:rPr>
                <w:spacing w:val="-2"/>
                <w:sz w:val="22"/>
                <w:szCs w:val="22"/>
              </w:rPr>
            </w:pPr>
          </w:p>
          <w:p w:rsidR="005F002F" w:rsidRPr="00752EA4" w:rsidRDefault="005F002F" w:rsidP="00BF1922">
            <w:pPr>
              <w:widowControl/>
              <w:ind w:left="702"/>
              <w:rPr>
                <w:spacing w:val="-2"/>
                <w:sz w:val="22"/>
                <w:szCs w:val="22"/>
              </w:rPr>
            </w:pPr>
          </w:p>
          <w:p w:rsidR="00780C18" w:rsidRPr="00A074DD" w:rsidRDefault="00050854" w:rsidP="00BF1922">
            <w:pPr>
              <w:widowControl/>
              <w:ind w:left="702"/>
              <w:rPr>
                <w:sz w:val="22"/>
                <w:szCs w:val="22"/>
              </w:rPr>
            </w:pPr>
            <w:r w:rsidRPr="00A074DD">
              <w:rPr>
                <w:sz w:val="22"/>
                <w:szCs w:val="22"/>
              </w:rPr>
              <w:t>File N</w:t>
            </w:r>
            <w:r w:rsidR="00A16AF9" w:rsidRPr="00A074DD">
              <w:rPr>
                <w:sz w:val="22"/>
                <w:szCs w:val="22"/>
              </w:rPr>
              <w:t>o.</w:t>
            </w:r>
            <w:r w:rsidR="003E2AD5" w:rsidRPr="00A074DD">
              <w:rPr>
                <w:sz w:val="22"/>
                <w:szCs w:val="22"/>
              </w:rPr>
              <w:t xml:space="preserve">:  </w:t>
            </w:r>
            <w:r w:rsidR="00871A67" w:rsidRPr="00A074DD">
              <w:rPr>
                <w:sz w:val="22"/>
                <w:szCs w:val="22"/>
              </w:rPr>
              <w:t>EB-FIELDWR-13</w:t>
            </w:r>
            <w:r w:rsidR="00780C18" w:rsidRPr="00A074DD">
              <w:rPr>
                <w:sz w:val="22"/>
                <w:szCs w:val="22"/>
              </w:rPr>
              <w:t>-0000</w:t>
            </w:r>
            <w:r w:rsidR="00871A67" w:rsidRPr="00A074DD">
              <w:rPr>
                <w:sz w:val="22"/>
                <w:szCs w:val="22"/>
              </w:rPr>
              <w:t>8160</w:t>
            </w:r>
          </w:p>
          <w:p w:rsidR="00050854" w:rsidRPr="00A074DD" w:rsidRDefault="00050854" w:rsidP="00BF1922">
            <w:pPr>
              <w:widowControl/>
              <w:ind w:left="702"/>
              <w:rPr>
                <w:sz w:val="22"/>
                <w:szCs w:val="22"/>
              </w:rPr>
            </w:pPr>
            <w:r w:rsidRPr="00A074DD">
              <w:rPr>
                <w:sz w:val="22"/>
                <w:szCs w:val="22"/>
              </w:rPr>
              <w:t>NAL/Acct. No.</w:t>
            </w:r>
            <w:r w:rsidR="003E2AD5" w:rsidRPr="00A074DD">
              <w:rPr>
                <w:sz w:val="22"/>
                <w:szCs w:val="22"/>
              </w:rPr>
              <w:t>:</w:t>
            </w:r>
            <w:r w:rsidR="00E847E3" w:rsidRPr="00A074DD">
              <w:rPr>
                <w:sz w:val="22"/>
                <w:szCs w:val="22"/>
              </w:rPr>
              <w:t xml:space="preserve">  </w:t>
            </w:r>
            <w:r w:rsidR="00473791" w:rsidRPr="00A074DD">
              <w:rPr>
                <w:sz w:val="22"/>
                <w:szCs w:val="22"/>
              </w:rPr>
              <w:t>201</w:t>
            </w:r>
            <w:r w:rsidR="00E505E0">
              <w:rPr>
                <w:sz w:val="22"/>
                <w:szCs w:val="22"/>
              </w:rPr>
              <w:t>4</w:t>
            </w:r>
            <w:r w:rsidR="00DD485B">
              <w:rPr>
                <w:sz w:val="22"/>
                <w:szCs w:val="22"/>
              </w:rPr>
              <w:t>32900002</w:t>
            </w:r>
          </w:p>
          <w:p w:rsidR="00050854" w:rsidRPr="00A074DD" w:rsidRDefault="00050854" w:rsidP="00BF1922">
            <w:pPr>
              <w:widowControl/>
              <w:ind w:left="702"/>
              <w:rPr>
                <w:sz w:val="22"/>
                <w:szCs w:val="22"/>
              </w:rPr>
            </w:pPr>
            <w:r w:rsidRPr="00A074DD">
              <w:rPr>
                <w:sz w:val="22"/>
                <w:szCs w:val="22"/>
              </w:rPr>
              <w:t>FRN</w:t>
            </w:r>
            <w:r w:rsidR="003E2AD5" w:rsidRPr="00A074DD">
              <w:rPr>
                <w:sz w:val="22"/>
                <w:szCs w:val="22"/>
              </w:rPr>
              <w:t>:</w:t>
            </w:r>
            <w:r w:rsidR="004110FC" w:rsidRPr="00A074DD">
              <w:rPr>
                <w:sz w:val="22"/>
                <w:szCs w:val="22"/>
              </w:rPr>
              <w:t xml:space="preserve"> </w:t>
            </w:r>
            <w:r w:rsidR="003261FF">
              <w:rPr>
                <w:sz w:val="22"/>
                <w:szCs w:val="22"/>
              </w:rPr>
              <w:t>0018716266</w:t>
            </w:r>
          </w:p>
          <w:p w:rsidR="00050854" w:rsidRPr="00752EA4" w:rsidRDefault="008B58B7" w:rsidP="00BF1922">
            <w:pPr>
              <w:widowControl/>
              <w:rPr>
                <w:color w:val="FF00FF"/>
                <w:sz w:val="22"/>
                <w:szCs w:val="22"/>
              </w:rPr>
            </w:pPr>
            <w:r w:rsidRPr="00752EA4">
              <w:rPr>
                <w:color w:val="FF00FF"/>
                <w:sz w:val="22"/>
                <w:szCs w:val="22"/>
              </w:rPr>
              <w:t xml:space="preserve">    </w:t>
            </w:r>
          </w:p>
        </w:tc>
      </w:tr>
    </w:tbl>
    <w:p w:rsidR="00050854" w:rsidRPr="00752EA4" w:rsidRDefault="00050854" w:rsidP="00BF1922">
      <w:pPr>
        <w:widowControl/>
        <w:tabs>
          <w:tab w:val="left" w:pos="0"/>
        </w:tabs>
        <w:suppressAutoHyphens/>
        <w:spacing w:line="240" w:lineRule="atLeast"/>
        <w:jc w:val="both"/>
        <w:rPr>
          <w:color w:val="FF00FF"/>
          <w:spacing w:val="-3"/>
          <w:sz w:val="22"/>
          <w:szCs w:val="22"/>
        </w:rPr>
      </w:pPr>
    </w:p>
    <w:p w:rsidR="00050854" w:rsidRPr="00752EA4" w:rsidRDefault="00050854" w:rsidP="00BF1922">
      <w:pPr>
        <w:pStyle w:val="Heading2"/>
        <w:widowControl/>
        <w:numPr>
          <w:ilvl w:val="0"/>
          <w:numId w:val="0"/>
        </w:numPr>
        <w:ind w:left="720"/>
        <w:jc w:val="center"/>
        <w:rPr>
          <w:sz w:val="22"/>
          <w:szCs w:val="22"/>
        </w:rPr>
      </w:pPr>
      <w:r w:rsidRPr="00752EA4">
        <w:rPr>
          <w:sz w:val="22"/>
          <w:szCs w:val="22"/>
        </w:rPr>
        <w:t>NOTICE OF APPARENT LIABILITY FOR FORFEITURE</w:t>
      </w:r>
      <w:r w:rsidR="00211D85" w:rsidRPr="00752EA4">
        <w:rPr>
          <w:sz w:val="22"/>
          <w:szCs w:val="22"/>
        </w:rPr>
        <w:t xml:space="preserve"> </w:t>
      </w:r>
    </w:p>
    <w:p w:rsidR="003E2AD5" w:rsidRPr="00752EA4" w:rsidRDefault="003E2AD5" w:rsidP="00BF1922">
      <w:pPr>
        <w:widowControl/>
        <w:rPr>
          <w:sz w:val="22"/>
          <w:szCs w:val="22"/>
        </w:rPr>
      </w:pPr>
    </w:p>
    <w:p w:rsidR="00050854" w:rsidRPr="005373A1" w:rsidRDefault="007E2E05" w:rsidP="00BF1922">
      <w:pPr>
        <w:widowControl/>
        <w:rPr>
          <w:b/>
          <w:color w:val="000000"/>
          <w:spacing w:val="-2"/>
          <w:sz w:val="22"/>
          <w:szCs w:val="22"/>
        </w:rPr>
      </w:pPr>
      <w:r w:rsidRPr="005373A1">
        <w:rPr>
          <w:b/>
          <w:color w:val="000000"/>
          <w:sz w:val="22"/>
          <w:szCs w:val="22"/>
        </w:rPr>
        <w:t>Adopted:</w:t>
      </w:r>
      <w:r w:rsidR="003E2AD5" w:rsidRPr="005373A1">
        <w:rPr>
          <w:b/>
          <w:color w:val="000000"/>
          <w:sz w:val="22"/>
          <w:szCs w:val="22"/>
        </w:rPr>
        <w:t xml:space="preserve">  </w:t>
      </w:r>
      <w:r w:rsidR="003A4718">
        <w:rPr>
          <w:b/>
          <w:color w:val="000000"/>
          <w:sz w:val="22"/>
          <w:szCs w:val="22"/>
        </w:rPr>
        <w:t>February 26, 2014</w:t>
      </w:r>
      <w:r w:rsidRPr="005373A1">
        <w:rPr>
          <w:b/>
          <w:color w:val="000000"/>
          <w:sz w:val="22"/>
          <w:szCs w:val="22"/>
        </w:rPr>
        <w:tab/>
      </w:r>
      <w:r w:rsidRPr="005373A1">
        <w:rPr>
          <w:b/>
          <w:color w:val="000000"/>
          <w:sz w:val="22"/>
          <w:szCs w:val="22"/>
        </w:rPr>
        <w:tab/>
      </w:r>
      <w:r w:rsidRPr="005373A1">
        <w:rPr>
          <w:b/>
          <w:color w:val="000000"/>
          <w:sz w:val="22"/>
          <w:szCs w:val="22"/>
        </w:rPr>
        <w:tab/>
      </w:r>
      <w:r w:rsidRPr="005373A1">
        <w:rPr>
          <w:b/>
          <w:color w:val="000000"/>
          <w:sz w:val="22"/>
          <w:szCs w:val="22"/>
        </w:rPr>
        <w:tab/>
      </w:r>
      <w:r w:rsidRPr="005373A1">
        <w:rPr>
          <w:b/>
          <w:color w:val="000000"/>
          <w:sz w:val="22"/>
          <w:szCs w:val="22"/>
        </w:rPr>
        <w:tab/>
      </w:r>
      <w:r w:rsidRPr="005373A1">
        <w:rPr>
          <w:b/>
          <w:color w:val="000000"/>
          <w:sz w:val="22"/>
          <w:szCs w:val="22"/>
        </w:rPr>
        <w:tab/>
      </w:r>
      <w:r w:rsidR="00050854" w:rsidRPr="005373A1">
        <w:rPr>
          <w:b/>
          <w:color w:val="000000"/>
          <w:sz w:val="22"/>
          <w:szCs w:val="22"/>
        </w:rPr>
        <w:t xml:space="preserve">Released: </w:t>
      </w:r>
      <w:r w:rsidR="003A4718">
        <w:rPr>
          <w:b/>
          <w:color w:val="000000"/>
          <w:sz w:val="22"/>
          <w:szCs w:val="22"/>
        </w:rPr>
        <w:t xml:space="preserve"> February 27, 2014</w:t>
      </w:r>
    </w:p>
    <w:p w:rsidR="00050854" w:rsidRPr="00752EA4"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752EA4" w:rsidRDefault="00050854" w:rsidP="00E505E0">
      <w:pPr>
        <w:widowControl/>
        <w:tabs>
          <w:tab w:val="left" w:pos="0"/>
          <w:tab w:val="left" w:pos="720"/>
          <w:tab w:val="left" w:pos="5760"/>
        </w:tabs>
        <w:suppressAutoHyphens/>
        <w:rPr>
          <w:spacing w:val="-2"/>
          <w:sz w:val="22"/>
          <w:szCs w:val="22"/>
        </w:rPr>
      </w:pPr>
      <w:r w:rsidRPr="00752EA4">
        <w:rPr>
          <w:spacing w:val="-2"/>
          <w:sz w:val="22"/>
          <w:szCs w:val="22"/>
        </w:rPr>
        <w:t>By the District Director</w:t>
      </w:r>
      <w:r w:rsidR="00473791" w:rsidRPr="00752EA4">
        <w:rPr>
          <w:spacing w:val="-2"/>
          <w:sz w:val="22"/>
          <w:szCs w:val="22"/>
        </w:rPr>
        <w:t xml:space="preserve">, </w:t>
      </w:r>
      <w:smartTag w:uri="urn:schemas-microsoft-com:office:smarttags" w:element="place">
        <w:smartTag w:uri="urn:schemas-microsoft-com:office:smarttags" w:element="City">
          <w:r w:rsidR="00473791" w:rsidRPr="00752EA4">
            <w:rPr>
              <w:spacing w:val="-2"/>
              <w:sz w:val="22"/>
              <w:szCs w:val="22"/>
            </w:rPr>
            <w:t>Los Angeles</w:t>
          </w:r>
        </w:smartTag>
      </w:smartTag>
      <w:r w:rsidRPr="00752EA4">
        <w:rPr>
          <w:spacing w:val="-2"/>
          <w:sz w:val="22"/>
          <w:szCs w:val="22"/>
        </w:rPr>
        <w:t xml:space="preserve"> Office, </w:t>
      </w:r>
      <w:r w:rsidR="00336687" w:rsidRPr="00752EA4">
        <w:rPr>
          <w:spacing w:val="-2"/>
          <w:sz w:val="22"/>
          <w:szCs w:val="22"/>
        </w:rPr>
        <w:t xml:space="preserve">Western </w:t>
      </w:r>
      <w:r w:rsidR="00A546FC" w:rsidRPr="00752EA4">
        <w:rPr>
          <w:spacing w:val="-2"/>
          <w:sz w:val="22"/>
          <w:szCs w:val="22"/>
        </w:rPr>
        <w:t>Region,</w:t>
      </w:r>
      <w:r w:rsidRPr="00752EA4">
        <w:rPr>
          <w:spacing w:val="-2"/>
          <w:sz w:val="22"/>
          <w:szCs w:val="22"/>
        </w:rPr>
        <w:t xml:space="preserve"> Enforcement Bureau:</w:t>
      </w:r>
    </w:p>
    <w:p w:rsidR="00AE3A0F" w:rsidRPr="00752EA4" w:rsidRDefault="00AE3A0F" w:rsidP="00E505E0">
      <w:pPr>
        <w:widowControl/>
        <w:tabs>
          <w:tab w:val="left" w:pos="0"/>
        </w:tabs>
        <w:suppressAutoHyphens/>
        <w:jc w:val="both"/>
        <w:rPr>
          <w:sz w:val="22"/>
          <w:szCs w:val="22"/>
        </w:rPr>
      </w:pPr>
    </w:p>
    <w:p w:rsidR="00990FB6" w:rsidRPr="00752EA4" w:rsidRDefault="00990FB6" w:rsidP="00E505E0">
      <w:pPr>
        <w:pStyle w:val="Heading1"/>
        <w:widowControl/>
        <w:rPr>
          <w:sz w:val="22"/>
          <w:szCs w:val="22"/>
        </w:rPr>
      </w:pPr>
      <w:r w:rsidRPr="00752EA4">
        <w:rPr>
          <w:sz w:val="22"/>
          <w:szCs w:val="22"/>
        </w:rPr>
        <w:t>INTRODUCTION</w:t>
      </w:r>
    </w:p>
    <w:p w:rsidR="00050854" w:rsidRPr="00752EA4" w:rsidRDefault="00050854"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spacing w:val="-2"/>
          <w:sz w:val="22"/>
          <w:szCs w:val="22"/>
        </w:rPr>
        <w:t xml:space="preserve">In this Notice of Apparent Liability for Forfeiture (NAL), we find that </w:t>
      </w:r>
      <w:r w:rsidR="00F511A5">
        <w:rPr>
          <w:spacing w:val="-2"/>
          <w:sz w:val="22"/>
          <w:szCs w:val="22"/>
        </w:rPr>
        <w:t xml:space="preserve">AT&amp;T Services, Inc. </w:t>
      </w:r>
      <w:r w:rsidRPr="00752EA4">
        <w:rPr>
          <w:spacing w:val="-2"/>
          <w:sz w:val="22"/>
          <w:szCs w:val="22"/>
        </w:rPr>
        <w:t>(</w:t>
      </w:r>
      <w:r w:rsidR="00F511A5">
        <w:rPr>
          <w:spacing w:val="-2"/>
          <w:sz w:val="22"/>
          <w:szCs w:val="22"/>
        </w:rPr>
        <w:t>AT&amp;T</w:t>
      </w:r>
      <w:r w:rsidR="00871A67" w:rsidRPr="00752EA4">
        <w:rPr>
          <w:spacing w:val="-2"/>
          <w:sz w:val="22"/>
          <w:szCs w:val="22"/>
        </w:rPr>
        <w:t>)</w:t>
      </w:r>
      <w:r w:rsidR="008B58B7" w:rsidRPr="00752EA4">
        <w:rPr>
          <w:spacing w:val="-2"/>
          <w:sz w:val="22"/>
          <w:szCs w:val="22"/>
        </w:rPr>
        <w:t xml:space="preserve">, </w:t>
      </w:r>
      <w:r w:rsidRPr="00752EA4">
        <w:rPr>
          <w:spacing w:val="-2"/>
          <w:sz w:val="22"/>
          <w:szCs w:val="22"/>
        </w:rPr>
        <w:t xml:space="preserve">apparently willfully and repeatedly </w:t>
      </w:r>
      <w:r w:rsidR="00473791" w:rsidRPr="00752EA4">
        <w:rPr>
          <w:spacing w:val="-2"/>
          <w:sz w:val="22"/>
          <w:szCs w:val="22"/>
        </w:rPr>
        <w:t xml:space="preserve">violated Section 303(q) of the Communications Act of 1934, as amended (Act), and Sections 17.4(a) </w:t>
      </w:r>
      <w:r w:rsidR="00FA6C99">
        <w:rPr>
          <w:spacing w:val="-2"/>
          <w:sz w:val="22"/>
          <w:szCs w:val="22"/>
        </w:rPr>
        <w:t xml:space="preserve">and </w:t>
      </w:r>
      <w:r w:rsidR="00473791" w:rsidRPr="00752EA4">
        <w:rPr>
          <w:spacing w:val="-2"/>
          <w:sz w:val="22"/>
          <w:szCs w:val="22"/>
        </w:rPr>
        <w:t>17.21</w:t>
      </w:r>
      <w:r w:rsidR="00981ADA" w:rsidRPr="00752EA4">
        <w:rPr>
          <w:spacing w:val="-2"/>
          <w:sz w:val="22"/>
          <w:szCs w:val="22"/>
        </w:rPr>
        <w:t>(a)</w:t>
      </w:r>
      <w:r w:rsidR="00473791" w:rsidRPr="00752EA4">
        <w:rPr>
          <w:spacing w:val="-2"/>
          <w:sz w:val="22"/>
          <w:szCs w:val="22"/>
        </w:rPr>
        <w:t xml:space="preserve"> of the Commission’s rules (Rules),</w:t>
      </w:r>
      <w:r w:rsidRPr="00752EA4">
        <w:rPr>
          <w:rStyle w:val="FootnoteReference"/>
          <w:spacing w:val="-2"/>
          <w:sz w:val="22"/>
          <w:szCs w:val="22"/>
        </w:rPr>
        <w:footnoteReference w:id="2"/>
      </w:r>
      <w:r w:rsidRPr="00752EA4">
        <w:rPr>
          <w:spacing w:val="-2"/>
          <w:sz w:val="22"/>
          <w:szCs w:val="22"/>
        </w:rPr>
        <w:t xml:space="preserve"> by failing to</w:t>
      </w:r>
      <w:r w:rsidR="00FA6C99">
        <w:rPr>
          <w:spacing w:val="-2"/>
          <w:sz w:val="22"/>
          <w:szCs w:val="22"/>
        </w:rPr>
        <w:t xml:space="preserve">  register the Antenna Structure</w:t>
      </w:r>
      <w:r w:rsidR="00054534">
        <w:rPr>
          <w:rStyle w:val="FootnoteReference"/>
          <w:spacing w:val="-2"/>
          <w:sz w:val="22"/>
          <w:szCs w:val="22"/>
        </w:rPr>
        <w:footnoteReference w:id="3"/>
      </w:r>
      <w:r w:rsidR="00054534">
        <w:rPr>
          <w:spacing w:val="-2"/>
          <w:sz w:val="22"/>
          <w:szCs w:val="22"/>
        </w:rPr>
        <w:t xml:space="preserve"> located </w:t>
      </w:r>
      <w:r w:rsidR="00054534" w:rsidRPr="00752EA4">
        <w:rPr>
          <w:spacing w:val="-2"/>
          <w:sz w:val="22"/>
          <w:szCs w:val="22"/>
        </w:rPr>
        <w:t>at 425 W. 5</w:t>
      </w:r>
      <w:r w:rsidR="00054534" w:rsidRPr="00752EA4">
        <w:rPr>
          <w:spacing w:val="-2"/>
          <w:sz w:val="22"/>
          <w:szCs w:val="22"/>
          <w:vertAlign w:val="superscript"/>
        </w:rPr>
        <w:t>th</w:t>
      </w:r>
      <w:r w:rsidR="00054534" w:rsidRPr="00752EA4">
        <w:rPr>
          <w:spacing w:val="-2"/>
          <w:sz w:val="22"/>
          <w:szCs w:val="22"/>
        </w:rPr>
        <w:t xml:space="preserve"> Street in San Pedro, California, </w:t>
      </w:r>
      <w:r w:rsidR="00FA6C99">
        <w:rPr>
          <w:spacing w:val="-2"/>
          <w:sz w:val="22"/>
          <w:szCs w:val="22"/>
        </w:rPr>
        <w:t xml:space="preserve">with the Commission, and paint and light the Antenna Structure.  </w:t>
      </w:r>
      <w:r w:rsidRPr="00752EA4">
        <w:rPr>
          <w:spacing w:val="-2"/>
          <w:sz w:val="22"/>
          <w:szCs w:val="22"/>
        </w:rPr>
        <w:t xml:space="preserve">We conclude that </w:t>
      </w:r>
      <w:r w:rsidR="007C5718">
        <w:rPr>
          <w:spacing w:val="-2"/>
          <w:sz w:val="22"/>
          <w:szCs w:val="22"/>
        </w:rPr>
        <w:t xml:space="preserve">AT&amp;T </w:t>
      </w:r>
      <w:r w:rsidRPr="00752EA4">
        <w:rPr>
          <w:spacing w:val="-2"/>
          <w:sz w:val="22"/>
          <w:szCs w:val="22"/>
        </w:rPr>
        <w:t xml:space="preserve">is apparently liable for a forfeiture in the amount of </w:t>
      </w:r>
      <w:r w:rsidR="00981ADA" w:rsidRPr="00752EA4">
        <w:rPr>
          <w:spacing w:val="-2"/>
          <w:sz w:val="22"/>
          <w:szCs w:val="22"/>
        </w:rPr>
        <w:t xml:space="preserve">twenty-five </w:t>
      </w:r>
      <w:r w:rsidRPr="00752EA4">
        <w:rPr>
          <w:spacing w:val="-2"/>
          <w:sz w:val="22"/>
          <w:szCs w:val="22"/>
        </w:rPr>
        <w:t>thousand dollars ($</w:t>
      </w:r>
      <w:r w:rsidR="00981ADA" w:rsidRPr="00752EA4">
        <w:rPr>
          <w:spacing w:val="-2"/>
          <w:sz w:val="22"/>
          <w:szCs w:val="22"/>
        </w:rPr>
        <w:t>25</w:t>
      </w:r>
      <w:r w:rsidRPr="00752EA4">
        <w:rPr>
          <w:spacing w:val="-2"/>
          <w:sz w:val="22"/>
          <w:szCs w:val="22"/>
        </w:rPr>
        <w:t>,000</w:t>
      </w:r>
      <w:r w:rsidR="000A0EEE" w:rsidRPr="00752EA4">
        <w:rPr>
          <w:spacing w:val="-2"/>
          <w:sz w:val="22"/>
          <w:szCs w:val="22"/>
        </w:rPr>
        <w:t>).</w:t>
      </w:r>
      <w:r w:rsidR="003A7878" w:rsidRPr="00752EA4">
        <w:rPr>
          <w:spacing w:val="-2"/>
          <w:sz w:val="22"/>
          <w:szCs w:val="22"/>
        </w:rPr>
        <w:t xml:space="preserve">  </w:t>
      </w:r>
    </w:p>
    <w:p w:rsidR="00050854" w:rsidRPr="00752EA4" w:rsidRDefault="00050854" w:rsidP="00E505E0">
      <w:pPr>
        <w:pStyle w:val="Heading1"/>
        <w:widowControl/>
        <w:spacing w:before="120"/>
        <w:rPr>
          <w:spacing w:val="-2"/>
          <w:sz w:val="22"/>
          <w:szCs w:val="22"/>
        </w:rPr>
      </w:pPr>
      <w:r w:rsidRPr="00752EA4">
        <w:rPr>
          <w:sz w:val="22"/>
          <w:szCs w:val="22"/>
        </w:rPr>
        <w:t>BACKGROUND</w:t>
      </w:r>
    </w:p>
    <w:p w:rsidR="00D602B9" w:rsidRDefault="00FA6C99" w:rsidP="00E505E0">
      <w:pPr>
        <w:widowControl/>
        <w:numPr>
          <w:ilvl w:val="0"/>
          <w:numId w:val="22"/>
        </w:numPr>
        <w:tabs>
          <w:tab w:val="clear" w:pos="1260"/>
          <w:tab w:val="left" w:pos="0"/>
          <w:tab w:val="num" w:pos="1440"/>
        </w:tabs>
        <w:suppressAutoHyphens/>
        <w:spacing w:after="120"/>
        <w:ind w:left="0"/>
        <w:rPr>
          <w:spacing w:val="-2"/>
          <w:sz w:val="22"/>
          <w:szCs w:val="22"/>
        </w:rPr>
      </w:pPr>
      <w:r w:rsidRPr="00466DD2">
        <w:rPr>
          <w:spacing w:val="-2"/>
          <w:sz w:val="22"/>
          <w:szCs w:val="22"/>
        </w:rPr>
        <w:t xml:space="preserve">On April 2, 2013, in response to a complaint from </w:t>
      </w:r>
      <w:r w:rsidR="003C7EEA" w:rsidRPr="00466DD2">
        <w:rPr>
          <w:spacing w:val="-2"/>
          <w:sz w:val="22"/>
          <w:szCs w:val="22"/>
        </w:rPr>
        <w:t xml:space="preserve">the Los Angeles </w:t>
      </w:r>
      <w:r w:rsidRPr="00466DD2">
        <w:rPr>
          <w:spacing w:val="-2"/>
          <w:sz w:val="22"/>
          <w:szCs w:val="22"/>
        </w:rPr>
        <w:t>Police Department concerning an unlit antenna structure</w:t>
      </w:r>
      <w:r w:rsidR="00466DD2" w:rsidRPr="00466DD2">
        <w:rPr>
          <w:spacing w:val="-2"/>
          <w:sz w:val="22"/>
          <w:szCs w:val="22"/>
        </w:rPr>
        <w:t xml:space="preserve"> located at 425 W. 5th Street in San Pedro, California</w:t>
      </w:r>
      <w:r w:rsidRPr="00466DD2">
        <w:rPr>
          <w:spacing w:val="-2"/>
          <w:sz w:val="22"/>
          <w:szCs w:val="22"/>
        </w:rPr>
        <w:t>,</w:t>
      </w:r>
      <w:r w:rsidR="00E505E0">
        <w:rPr>
          <w:spacing w:val="-2"/>
          <w:sz w:val="22"/>
          <w:szCs w:val="22"/>
        </w:rPr>
        <w:t xml:space="preserve"> an agent of</w:t>
      </w:r>
      <w:r w:rsidRPr="00466DD2">
        <w:rPr>
          <w:spacing w:val="-2"/>
          <w:sz w:val="22"/>
          <w:szCs w:val="22"/>
        </w:rPr>
        <w:t xml:space="preserve"> the Enforcement Bureau’s Los Angeles Office </w:t>
      </w:r>
      <w:r w:rsidR="00466DD2" w:rsidRPr="00466DD2">
        <w:rPr>
          <w:spacing w:val="-2"/>
          <w:sz w:val="22"/>
          <w:szCs w:val="22"/>
        </w:rPr>
        <w:t xml:space="preserve">(Los Angeles Office) </w:t>
      </w:r>
      <w:r w:rsidR="00466DD2">
        <w:rPr>
          <w:spacing w:val="-2"/>
          <w:sz w:val="22"/>
          <w:szCs w:val="22"/>
        </w:rPr>
        <w:t>inspected the Antenna Structure</w:t>
      </w:r>
      <w:r w:rsidR="005E1D9B">
        <w:rPr>
          <w:spacing w:val="-2"/>
          <w:sz w:val="22"/>
          <w:szCs w:val="22"/>
        </w:rPr>
        <w:t>, accompanied by a representative of AT&amp;T.</w:t>
      </w:r>
      <w:r w:rsidR="00466DD2">
        <w:rPr>
          <w:spacing w:val="-2"/>
          <w:sz w:val="22"/>
          <w:szCs w:val="22"/>
        </w:rPr>
        <w:t xml:space="preserve">  The total vertical height of the building and the </w:t>
      </w:r>
      <w:r w:rsidR="008553F6">
        <w:rPr>
          <w:spacing w:val="-2"/>
          <w:sz w:val="22"/>
          <w:szCs w:val="22"/>
        </w:rPr>
        <w:t xml:space="preserve">unmarked and unlit </w:t>
      </w:r>
      <w:r w:rsidR="00466DD2">
        <w:rPr>
          <w:spacing w:val="-2"/>
          <w:sz w:val="22"/>
          <w:szCs w:val="22"/>
        </w:rPr>
        <w:t>Antenna Structure, including a</w:t>
      </w:r>
      <w:r w:rsidR="008F5D2C">
        <w:rPr>
          <w:spacing w:val="-2"/>
          <w:sz w:val="22"/>
          <w:szCs w:val="22"/>
        </w:rPr>
        <w:t xml:space="preserve"> </w:t>
      </w:r>
      <w:r w:rsidR="00466DD2">
        <w:rPr>
          <w:spacing w:val="-2"/>
          <w:sz w:val="22"/>
          <w:szCs w:val="22"/>
        </w:rPr>
        <w:t>twenty-foot whip antenna attached to the Antenna Structure</w:t>
      </w:r>
      <w:r w:rsidR="005E1D9B">
        <w:rPr>
          <w:spacing w:val="-2"/>
          <w:sz w:val="22"/>
          <w:szCs w:val="22"/>
        </w:rPr>
        <w:t>,</w:t>
      </w:r>
      <w:r w:rsidR="00466DD2">
        <w:rPr>
          <w:spacing w:val="-2"/>
          <w:sz w:val="22"/>
          <w:szCs w:val="22"/>
        </w:rPr>
        <w:t xml:space="preserve"> was </w:t>
      </w:r>
      <w:r w:rsidR="008F5D2C">
        <w:rPr>
          <w:spacing w:val="-2"/>
          <w:sz w:val="22"/>
          <w:szCs w:val="22"/>
        </w:rPr>
        <w:t xml:space="preserve">approximately </w:t>
      </w:r>
      <w:r w:rsidR="00466DD2">
        <w:rPr>
          <w:spacing w:val="-2"/>
          <w:sz w:val="22"/>
          <w:szCs w:val="22"/>
        </w:rPr>
        <w:t xml:space="preserve">210 feet.  </w:t>
      </w:r>
      <w:r w:rsidR="008F5D2C">
        <w:rPr>
          <w:spacing w:val="-2"/>
          <w:sz w:val="22"/>
          <w:szCs w:val="22"/>
        </w:rPr>
        <w:t>The AT&amp;T representative concurred with these calculations and on April 8, 2013, AT&amp;T notified the Los Angeles Office that the whip antenna had been removed and that the total vertical height of the building and Antenna Structure was now 188 feet.</w:t>
      </w:r>
    </w:p>
    <w:p w:rsidR="007907B0" w:rsidRPr="00D602B9" w:rsidRDefault="00416A5C" w:rsidP="00E505E0">
      <w:pPr>
        <w:widowControl/>
        <w:numPr>
          <w:ilvl w:val="0"/>
          <w:numId w:val="22"/>
        </w:numPr>
        <w:tabs>
          <w:tab w:val="clear" w:pos="1260"/>
          <w:tab w:val="left" w:pos="0"/>
          <w:tab w:val="num" w:pos="1440"/>
        </w:tabs>
        <w:suppressAutoHyphens/>
        <w:spacing w:after="120"/>
        <w:ind w:left="0"/>
        <w:rPr>
          <w:spacing w:val="-2"/>
          <w:sz w:val="22"/>
          <w:szCs w:val="22"/>
        </w:rPr>
      </w:pPr>
      <w:r w:rsidRPr="00D602B9">
        <w:rPr>
          <w:spacing w:val="-2"/>
          <w:sz w:val="22"/>
          <w:szCs w:val="22"/>
        </w:rPr>
        <w:t xml:space="preserve">On May 9, 2013 the </w:t>
      </w:r>
      <w:r w:rsidR="008F5D2C" w:rsidRPr="00D602B9">
        <w:rPr>
          <w:spacing w:val="-2"/>
          <w:sz w:val="22"/>
          <w:szCs w:val="22"/>
        </w:rPr>
        <w:t>Los Angeles Office</w:t>
      </w:r>
      <w:r w:rsidRPr="00D602B9">
        <w:rPr>
          <w:spacing w:val="-2"/>
          <w:sz w:val="22"/>
          <w:szCs w:val="22"/>
        </w:rPr>
        <w:t xml:space="preserve"> issued a Notice of Violation to </w:t>
      </w:r>
      <w:r w:rsidR="008F5D2C" w:rsidRPr="00D602B9">
        <w:rPr>
          <w:spacing w:val="-2"/>
          <w:sz w:val="22"/>
          <w:szCs w:val="22"/>
        </w:rPr>
        <w:t>Pacific Bell Telephone Company</w:t>
      </w:r>
      <w:r w:rsidR="005E1D9B">
        <w:rPr>
          <w:rStyle w:val="FootnoteReference"/>
          <w:spacing w:val="-2"/>
          <w:sz w:val="22"/>
          <w:szCs w:val="22"/>
        </w:rPr>
        <w:footnoteReference w:id="4"/>
      </w:r>
      <w:r w:rsidR="002E1BE8" w:rsidRPr="00D602B9">
        <w:rPr>
          <w:spacing w:val="-2"/>
          <w:sz w:val="22"/>
          <w:szCs w:val="22"/>
        </w:rPr>
        <w:t xml:space="preserve"> for </w:t>
      </w:r>
      <w:r w:rsidR="00C812B4" w:rsidRPr="00D602B9">
        <w:rPr>
          <w:spacing w:val="-2"/>
          <w:sz w:val="22"/>
          <w:szCs w:val="22"/>
        </w:rPr>
        <w:t xml:space="preserve">violations of Sections 17.7 and 17.4(a) of the </w:t>
      </w:r>
      <w:r w:rsidR="005E1D9B" w:rsidRPr="00D602B9">
        <w:rPr>
          <w:spacing w:val="-2"/>
          <w:sz w:val="22"/>
          <w:szCs w:val="22"/>
        </w:rPr>
        <w:t>Rule</w:t>
      </w:r>
      <w:r w:rsidR="00C812B4" w:rsidRPr="00D602B9">
        <w:rPr>
          <w:spacing w:val="-2"/>
          <w:sz w:val="22"/>
          <w:szCs w:val="22"/>
        </w:rPr>
        <w:t>s.</w:t>
      </w:r>
      <w:r w:rsidR="00C812B4" w:rsidRPr="00752EA4">
        <w:rPr>
          <w:rStyle w:val="FootnoteReference"/>
          <w:spacing w:val="-2"/>
          <w:sz w:val="22"/>
          <w:szCs w:val="22"/>
        </w:rPr>
        <w:footnoteReference w:id="5"/>
      </w:r>
      <w:r w:rsidR="00C812B4" w:rsidRPr="00D602B9">
        <w:rPr>
          <w:spacing w:val="-2"/>
          <w:sz w:val="22"/>
          <w:szCs w:val="22"/>
        </w:rPr>
        <w:t xml:space="preserve">  </w:t>
      </w:r>
      <w:r w:rsidR="005E1D9B" w:rsidRPr="00D602B9">
        <w:rPr>
          <w:spacing w:val="-2"/>
          <w:sz w:val="22"/>
          <w:szCs w:val="22"/>
        </w:rPr>
        <w:t xml:space="preserve">In the NOV Response, </w:t>
      </w:r>
      <w:r w:rsidR="0033284E" w:rsidRPr="00D602B9">
        <w:rPr>
          <w:spacing w:val="-2"/>
          <w:sz w:val="22"/>
          <w:szCs w:val="22"/>
        </w:rPr>
        <w:lastRenderedPageBreak/>
        <w:t xml:space="preserve">AT&amp;T </w:t>
      </w:r>
      <w:r w:rsidR="005E1D9B" w:rsidRPr="00D602B9">
        <w:rPr>
          <w:spacing w:val="-2"/>
          <w:sz w:val="22"/>
          <w:szCs w:val="22"/>
        </w:rPr>
        <w:t xml:space="preserve">stated that the </w:t>
      </w:r>
      <w:r w:rsidR="00E505E0">
        <w:rPr>
          <w:spacing w:val="-2"/>
          <w:sz w:val="22"/>
          <w:szCs w:val="22"/>
        </w:rPr>
        <w:t xml:space="preserve">combined </w:t>
      </w:r>
      <w:r w:rsidR="005E1D9B" w:rsidRPr="00D602B9">
        <w:rPr>
          <w:spacing w:val="-2"/>
          <w:sz w:val="22"/>
          <w:szCs w:val="22"/>
        </w:rPr>
        <w:t>height of the Antenna Struc</w:t>
      </w:r>
      <w:r w:rsidR="001B7EE9" w:rsidRPr="00D602B9">
        <w:rPr>
          <w:spacing w:val="-2"/>
          <w:sz w:val="22"/>
          <w:szCs w:val="22"/>
        </w:rPr>
        <w:t>t</w:t>
      </w:r>
      <w:r w:rsidR="005E1D9B" w:rsidRPr="00D602B9">
        <w:rPr>
          <w:spacing w:val="-2"/>
          <w:sz w:val="22"/>
          <w:szCs w:val="22"/>
        </w:rPr>
        <w:t xml:space="preserve">ure and the building, when </w:t>
      </w:r>
      <w:r w:rsidR="001B7EE9" w:rsidRPr="00D602B9">
        <w:rPr>
          <w:spacing w:val="-2"/>
          <w:sz w:val="22"/>
          <w:szCs w:val="22"/>
        </w:rPr>
        <w:t xml:space="preserve">the </w:t>
      </w:r>
      <w:r w:rsidR="005E1D9B" w:rsidRPr="00D602B9">
        <w:rPr>
          <w:spacing w:val="-2"/>
          <w:sz w:val="22"/>
          <w:szCs w:val="22"/>
        </w:rPr>
        <w:t>A</w:t>
      </w:r>
      <w:r w:rsidR="001B7EE9" w:rsidRPr="00D602B9">
        <w:rPr>
          <w:spacing w:val="-2"/>
          <w:sz w:val="22"/>
          <w:szCs w:val="22"/>
        </w:rPr>
        <w:t>n</w:t>
      </w:r>
      <w:r w:rsidR="005E1D9B" w:rsidRPr="00D602B9">
        <w:rPr>
          <w:spacing w:val="-2"/>
          <w:sz w:val="22"/>
          <w:szCs w:val="22"/>
        </w:rPr>
        <w:t>tenna Struc</w:t>
      </w:r>
      <w:r w:rsidR="001B7EE9" w:rsidRPr="00D602B9">
        <w:rPr>
          <w:spacing w:val="-2"/>
          <w:sz w:val="22"/>
          <w:szCs w:val="22"/>
        </w:rPr>
        <w:t>t</w:t>
      </w:r>
      <w:r w:rsidR="005E1D9B" w:rsidRPr="00D602B9">
        <w:rPr>
          <w:spacing w:val="-2"/>
          <w:sz w:val="22"/>
          <w:szCs w:val="22"/>
        </w:rPr>
        <w:t xml:space="preserve">ure was originally constructed, was 188 feet but </w:t>
      </w:r>
      <w:r w:rsidR="005E1D9B" w:rsidRPr="00D602B9">
        <w:rPr>
          <w:sz w:val="22"/>
          <w:szCs w:val="22"/>
        </w:rPr>
        <w:t>that</w:t>
      </w:r>
      <w:r w:rsidR="005E1D9B" w:rsidRPr="00D602B9">
        <w:rPr>
          <w:spacing w:val="-2"/>
          <w:sz w:val="22"/>
          <w:szCs w:val="22"/>
        </w:rPr>
        <w:t xml:space="preserve"> the twenty foot whip antenna was added in November 2012 which</w:t>
      </w:r>
      <w:r w:rsidR="00E505E0">
        <w:rPr>
          <w:spacing w:val="-2"/>
          <w:sz w:val="22"/>
          <w:szCs w:val="22"/>
        </w:rPr>
        <w:t xml:space="preserve"> increased</w:t>
      </w:r>
      <w:r w:rsidR="005E1D9B" w:rsidRPr="00D602B9">
        <w:rPr>
          <w:spacing w:val="-2"/>
          <w:sz w:val="22"/>
          <w:szCs w:val="22"/>
        </w:rPr>
        <w:t xml:space="preserve"> the combined height to 208 feet</w:t>
      </w:r>
      <w:r w:rsidR="001B7EE9" w:rsidRPr="00D602B9">
        <w:rPr>
          <w:spacing w:val="-2"/>
          <w:sz w:val="22"/>
          <w:szCs w:val="22"/>
        </w:rPr>
        <w:t>.</w:t>
      </w:r>
      <w:r w:rsidR="001B7EE9">
        <w:rPr>
          <w:rStyle w:val="FootnoteReference"/>
          <w:spacing w:val="-2"/>
          <w:sz w:val="22"/>
          <w:szCs w:val="22"/>
        </w:rPr>
        <w:footnoteReference w:id="6"/>
      </w:r>
      <w:r w:rsidR="001B7EE9" w:rsidRPr="00D602B9">
        <w:rPr>
          <w:spacing w:val="-2"/>
          <w:sz w:val="22"/>
          <w:szCs w:val="22"/>
        </w:rPr>
        <w:t xml:space="preserve">  AT&amp;T acknowledged that </w:t>
      </w:r>
      <w:r w:rsidR="00D602B9">
        <w:rPr>
          <w:spacing w:val="-2"/>
          <w:sz w:val="22"/>
          <w:szCs w:val="22"/>
        </w:rPr>
        <w:t>a notification</w:t>
      </w:r>
      <w:r w:rsidR="001B7EE9" w:rsidRPr="00D602B9">
        <w:rPr>
          <w:spacing w:val="-2"/>
          <w:sz w:val="22"/>
          <w:szCs w:val="22"/>
        </w:rPr>
        <w:t xml:space="preserve"> to the Federal Aviation Administration (FAA) should have been filed before the whip antenna was installed and that the Antenna Structure was not registered with Commission when the whip antenna was installed.</w:t>
      </w:r>
      <w:r w:rsidR="001B7EE9">
        <w:rPr>
          <w:rStyle w:val="FootnoteReference"/>
          <w:spacing w:val="-2"/>
          <w:sz w:val="22"/>
          <w:szCs w:val="22"/>
        </w:rPr>
        <w:footnoteReference w:id="7"/>
      </w:r>
      <w:r w:rsidR="001B7EE9" w:rsidRPr="00D602B9">
        <w:rPr>
          <w:spacing w:val="-2"/>
          <w:sz w:val="22"/>
          <w:szCs w:val="22"/>
        </w:rPr>
        <w:t xml:space="preserve">  </w:t>
      </w:r>
      <w:r w:rsidR="00C812B4" w:rsidRPr="00D602B9">
        <w:rPr>
          <w:spacing w:val="-2"/>
          <w:sz w:val="22"/>
          <w:szCs w:val="22"/>
        </w:rPr>
        <w:t xml:space="preserve"> </w:t>
      </w:r>
    </w:p>
    <w:p w:rsidR="00050854" w:rsidRPr="00752EA4" w:rsidRDefault="00050854" w:rsidP="00E505E0">
      <w:pPr>
        <w:pStyle w:val="Heading1"/>
        <w:widowControl/>
        <w:spacing w:before="220"/>
        <w:rPr>
          <w:sz w:val="22"/>
          <w:szCs w:val="22"/>
        </w:rPr>
      </w:pPr>
      <w:r w:rsidRPr="00752EA4">
        <w:rPr>
          <w:sz w:val="22"/>
          <w:szCs w:val="22"/>
        </w:rPr>
        <w:t>DISCUSSION</w:t>
      </w:r>
    </w:p>
    <w:p w:rsidR="00050854" w:rsidRPr="00752EA4" w:rsidRDefault="00050854" w:rsidP="00E505E0">
      <w:pPr>
        <w:widowControl/>
        <w:numPr>
          <w:ilvl w:val="0"/>
          <w:numId w:val="22"/>
        </w:numPr>
        <w:tabs>
          <w:tab w:val="clear" w:pos="1260"/>
          <w:tab w:val="num" w:pos="1440"/>
          <w:tab w:val="left" w:pos="4680"/>
          <w:tab w:val="left" w:pos="5760"/>
        </w:tabs>
        <w:ind w:left="0"/>
        <w:rPr>
          <w:sz w:val="22"/>
          <w:szCs w:val="22"/>
        </w:rPr>
      </w:pPr>
      <w:r w:rsidRPr="00752EA4">
        <w:rPr>
          <w:spacing w:val="-3"/>
          <w:sz w:val="22"/>
          <w:szCs w:val="22"/>
        </w:rPr>
        <w:t xml:space="preserve">Section 503(b) of the </w:t>
      </w:r>
      <w:r w:rsidR="00183593" w:rsidRPr="00752EA4">
        <w:rPr>
          <w:spacing w:val="-3"/>
          <w:sz w:val="22"/>
          <w:szCs w:val="22"/>
        </w:rPr>
        <w:t>Act</w:t>
      </w:r>
      <w:r w:rsidR="007E2E05" w:rsidRPr="00752EA4">
        <w:rPr>
          <w:spacing w:val="-3"/>
          <w:sz w:val="22"/>
          <w:szCs w:val="22"/>
        </w:rPr>
        <w:t xml:space="preserve">, </w:t>
      </w:r>
      <w:r w:rsidRPr="00752EA4">
        <w:rPr>
          <w:spacing w:val="-3"/>
          <w:sz w:val="22"/>
          <w:szCs w:val="22"/>
        </w:rPr>
        <w:t xml:space="preserve">provides that any person who willfully </w:t>
      </w:r>
      <w:r w:rsidR="0011170C" w:rsidRPr="00752EA4">
        <w:rPr>
          <w:spacing w:val="-3"/>
          <w:sz w:val="22"/>
          <w:szCs w:val="22"/>
        </w:rPr>
        <w:t xml:space="preserve">or repeatedly </w:t>
      </w:r>
      <w:r w:rsidRPr="00752EA4">
        <w:rPr>
          <w:spacing w:val="-3"/>
          <w:sz w:val="22"/>
          <w:szCs w:val="22"/>
        </w:rPr>
        <w:t xml:space="preserve">fails to comply substantially with the terms and conditions of any license, or willfully </w:t>
      </w:r>
      <w:r w:rsidR="0011170C" w:rsidRPr="00752EA4">
        <w:rPr>
          <w:spacing w:val="-3"/>
          <w:sz w:val="22"/>
          <w:szCs w:val="22"/>
        </w:rPr>
        <w:t xml:space="preserve">or repeatedly </w:t>
      </w:r>
      <w:r w:rsidRPr="00752EA4">
        <w:rPr>
          <w:spacing w:val="-3"/>
          <w:sz w:val="22"/>
          <w:szCs w:val="22"/>
        </w:rPr>
        <w:t>fails to comply with any of the provisions of the Act or of any rule, regulation</w:t>
      </w:r>
      <w:r w:rsidR="009711A7" w:rsidRPr="00752EA4">
        <w:rPr>
          <w:spacing w:val="-3"/>
          <w:sz w:val="22"/>
          <w:szCs w:val="22"/>
        </w:rPr>
        <w:t>,</w:t>
      </w:r>
      <w:r w:rsidRPr="00752EA4">
        <w:rPr>
          <w:spacing w:val="-3"/>
          <w:sz w:val="22"/>
          <w:szCs w:val="22"/>
        </w:rPr>
        <w:t xml:space="preserve"> or order issued by the Commission thereunder, shall be liable for a forfeiture penalty.</w:t>
      </w:r>
      <w:r w:rsidR="009711A7" w:rsidRPr="00752EA4">
        <w:rPr>
          <w:rStyle w:val="FootnoteReference"/>
          <w:spacing w:val="-3"/>
          <w:sz w:val="22"/>
          <w:szCs w:val="22"/>
        </w:rPr>
        <w:footnoteReference w:id="8"/>
      </w:r>
      <w:r w:rsidRPr="00752EA4">
        <w:rPr>
          <w:spacing w:val="-3"/>
          <w:sz w:val="22"/>
          <w:szCs w:val="22"/>
        </w:rPr>
        <w:t xml:space="preserve">  </w:t>
      </w:r>
      <w:r w:rsidR="001665F5" w:rsidRPr="00752EA4">
        <w:rPr>
          <w:spacing w:val="-3"/>
          <w:sz w:val="22"/>
          <w:szCs w:val="22"/>
        </w:rPr>
        <w:t xml:space="preserve">Section 312(f)(1) of the Act defines </w:t>
      </w:r>
      <w:r w:rsidR="009711A7" w:rsidRPr="00752EA4">
        <w:rPr>
          <w:spacing w:val="-3"/>
          <w:sz w:val="22"/>
          <w:szCs w:val="22"/>
        </w:rPr>
        <w:t>“</w:t>
      </w:r>
      <w:r w:rsidR="001665F5" w:rsidRPr="00752EA4">
        <w:rPr>
          <w:spacing w:val="-3"/>
          <w:sz w:val="22"/>
          <w:szCs w:val="22"/>
        </w:rPr>
        <w:t>willful</w:t>
      </w:r>
      <w:r w:rsidR="009711A7" w:rsidRPr="00752EA4">
        <w:rPr>
          <w:spacing w:val="-3"/>
          <w:sz w:val="22"/>
          <w:szCs w:val="22"/>
        </w:rPr>
        <w:t>”</w:t>
      </w:r>
      <w:r w:rsidR="001665F5" w:rsidRPr="00752EA4">
        <w:rPr>
          <w:spacing w:val="-3"/>
          <w:sz w:val="22"/>
          <w:szCs w:val="22"/>
        </w:rPr>
        <w:t xml:space="preserve"> as the “conscious and deliberate commission or omission of [any] act, irrespective of any intent to violate” the law.</w:t>
      </w:r>
      <w:r w:rsidR="001665F5" w:rsidRPr="00752EA4">
        <w:rPr>
          <w:rStyle w:val="FootnoteReference"/>
          <w:spacing w:val="-3"/>
          <w:sz w:val="22"/>
          <w:szCs w:val="22"/>
        </w:rPr>
        <w:footnoteReference w:id="9"/>
      </w:r>
      <w:r w:rsidR="001665F5" w:rsidRPr="00752EA4">
        <w:rPr>
          <w:spacing w:val="-3"/>
          <w:sz w:val="22"/>
          <w:szCs w:val="22"/>
        </w:rPr>
        <w:t xml:space="preserve">  The legislative history to </w:t>
      </w:r>
      <w:r w:rsidR="009711A7" w:rsidRPr="00752EA4">
        <w:rPr>
          <w:spacing w:val="-3"/>
          <w:sz w:val="22"/>
          <w:szCs w:val="22"/>
        </w:rPr>
        <w:t>S</w:t>
      </w:r>
      <w:r w:rsidR="001665F5" w:rsidRPr="00752EA4">
        <w:rPr>
          <w:spacing w:val="-3"/>
          <w:sz w:val="22"/>
          <w:szCs w:val="22"/>
        </w:rPr>
        <w:t xml:space="preserve">ection 312(f)(1) of the Act clarifies that this definition of willful applies to both </w:t>
      </w:r>
      <w:r w:rsidR="00174A12" w:rsidRPr="00752EA4">
        <w:rPr>
          <w:spacing w:val="-3"/>
          <w:sz w:val="22"/>
          <w:szCs w:val="22"/>
        </w:rPr>
        <w:t>S</w:t>
      </w:r>
      <w:r w:rsidR="001665F5" w:rsidRPr="00752EA4">
        <w:rPr>
          <w:spacing w:val="-3"/>
          <w:sz w:val="22"/>
          <w:szCs w:val="22"/>
        </w:rPr>
        <w:t>ection</w:t>
      </w:r>
      <w:r w:rsidR="00174A12" w:rsidRPr="00752EA4">
        <w:rPr>
          <w:spacing w:val="-3"/>
          <w:sz w:val="22"/>
          <w:szCs w:val="22"/>
        </w:rPr>
        <w:t>s</w:t>
      </w:r>
      <w:r w:rsidR="001665F5" w:rsidRPr="00752EA4">
        <w:rPr>
          <w:spacing w:val="-3"/>
          <w:sz w:val="22"/>
          <w:szCs w:val="22"/>
        </w:rPr>
        <w:t xml:space="preserve"> 312 and 503(b) of the Act</w:t>
      </w:r>
      <w:r w:rsidR="00174A12" w:rsidRPr="00752EA4">
        <w:rPr>
          <w:spacing w:val="-3"/>
          <w:sz w:val="22"/>
          <w:szCs w:val="22"/>
        </w:rPr>
        <w:t>,</w:t>
      </w:r>
      <w:r w:rsidR="001665F5" w:rsidRPr="00752EA4">
        <w:rPr>
          <w:rStyle w:val="FootnoteReference"/>
          <w:spacing w:val="-3"/>
          <w:sz w:val="22"/>
          <w:szCs w:val="22"/>
        </w:rPr>
        <w:footnoteReference w:id="10"/>
      </w:r>
      <w:r w:rsidR="001665F5" w:rsidRPr="00752EA4">
        <w:rPr>
          <w:spacing w:val="-3"/>
          <w:sz w:val="22"/>
          <w:szCs w:val="22"/>
        </w:rPr>
        <w:t xml:space="preserve"> and the Commission has so interpreted the term in the </w:t>
      </w:r>
      <w:r w:rsidR="00174A12" w:rsidRPr="00752EA4">
        <w:rPr>
          <w:spacing w:val="-3"/>
          <w:sz w:val="22"/>
          <w:szCs w:val="22"/>
        </w:rPr>
        <w:t>S</w:t>
      </w:r>
      <w:r w:rsidR="001665F5" w:rsidRPr="00752EA4">
        <w:rPr>
          <w:spacing w:val="-3"/>
          <w:sz w:val="22"/>
          <w:szCs w:val="22"/>
        </w:rPr>
        <w:t>ection 503(b) context.</w:t>
      </w:r>
      <w:r w:rsidR="001665F5" w:rsidRPr="00752EA4">
        <w:rPr>
          <w:rStyle w:val="FootnoteReference"/>
          <w:spacing w:val="-3"/>
          <w:sz w:val="22"/>
          <w:szCs w:val="22"/>
        </w:rPr>
        <w:footnoteReference w:id="11"/>
      </w:r>
      <w:r w:rsidR="001665F5" w:rsidRPr="00752EA4">
        <w:rPr>
          <w:spacing w:val="-3"/>
          <w:sz w:val="22"/>
          <w:szCs w:val="22"/>
        </w:rPr>
        <w:t xml:space="preserve">  </w:t>
      </w:r>
      <w:r w:rsidR="001665F5" w:rsidRPr="00752EA4">
        <w:rPr>
          <w:sz w:val="22"/>
          <w:szCs w:val="22"/>
        </w:rPr>
        <w:t>The Commission may also assess a forfeiture for violations that are merely repeated, and not willful.</w:t>
      </w:r>
      <w:r w:rsidR="001665F5" w:rsidRPr="00752EA4">
        <w:rPr>
          <w:rStyle w:val="FootnoteReference"/>
          <w:sz w:val="22"/>
          <w:szCs w:val="22"/>
        </w:rPr>
        <w:footnoteReference w:id="12"/>
      </w:r>
      <w:r w:rsidR="001665F5" w:rsidRPr="00752EA4">
        <w:rPr>
          <w:sz w:val="22"/>
          <w:szCs w:val="22"/>
        </w:rPr>
        <w:t xml:space="preserve">  </w:t>
      </w:r>
      <w:r w:rsidRPr="00752EA4">
        <w:rPr>
          <w:spacing w:val="-3"/>
          <w:sz w:val="22"/>
          <w:szCs w:val="22"/>
        </w:rPr>
        <w:t>The term “repeated” means the commission or omission of such act more than on</w:t>
      </w:r>
      <w:r w:rsidR="00FB30D7" w:rsidRPr="00752EA4">
        <w:rPr>
          <w:spacing w:val="-3"/>
          <w:sz w:val="22"/>
          <w:szCs w:val="22"/>
        </w:rPr>
        <w:t>c</w:t>
      </w:r>
      <w:r w:rsidRPr="00752EA4">
        <w:rPr>
          <w:spacing w:val="-3"/>
          <w:sz w:val="22"/>
          <w:szCs w:val="22"/>
        </w:rPr>
        <w:t>e or for more than one day.</w:t>
      </w:r>
      <w:r w:rsidRPr="00752EA4">
        <w:rPr>
          <w:rStyle w:val="FootnoteReference"/>
          <w:spacing w:val="-3"/>
          <w:sz w:val="22"/>
          <w:szCs w:val="22"/>
        </w:rPr>
        <w:footnoteReference w:id="13"/>
      </w:r>
      <w:r w:rsidRPr="00752EA4">
        <w:rPr>
          <w:spacing w:val="-3"/>
          <w:sz w:val="22"/>
          <w:szCs w:val="22"/>
        </w:rPr>
        <w:t xml:space="preserve"> </w:t>
      </w:r>
    </w:p>
    <w:p w:rsidR="00050854" w:rsidRDefault="00050854" w:rsidP="00E505E0">
      <w:pPr>
        <w:widowControl/>
        <w:tabs>
          <w:tab w:val="num" w:pos="1440"/>
          <w:tab w:val="left" w:pos="4680"/>
          <w:tab w:val="left" w:pos="5760"/>
        </w:tabs>
        <w:jc w:val="both"/>
        <w:rPr>
          <w:spacing w:val="-3"/>
          <w:sz w:val="22"/>
          <w:szCs w:val="22"/>
        </w:rPr>
      </w:pPr>
    </w:p>
    <w:p w:rsidR="00195A65" w:rsidRDefault="00195A65" w:rsidP="00E505E0">
      <w:pPr>
        <w:widowControl/>
        <w:tabs>
          <w:tab w:val="num" w:pos="1440"/>
          <w:tab w:val="left" w:pos="4680"/>
          <w:tab w:val="left" w:pos="5760"/>
        </w:tabs>
        <w:jc w:val="both"/>
        <w:rPr>
          <w:spacing w:val="-3"/>
          <w:sz w:val="22"/>
          <w:szCs w:val="22"/>
        </w:rPr>
      </w:pPr>
    </w:p>
    <w:p w:rsidR="00195A65" w:rsidRDefault="00195A65" w:rsidP="00E505E0">
      <w:pPr>
        <w:widowControl/>
        <w:tabs>
          <w:tab w:val="num" w:pos="1440"/>
          <w:tab w:val="left" w:pos="4680"/>
          <w:tab w:val="left" w:pos="5760"/>
        </w:tabs>
        <w:jc w:val="both"/>
        <w:rPr>
          <w:spacing w:val="-3"/>
          <w:sz w:val="22"/>
          <w:szCs w:val="22"/>
        </w:rPr>
      </w:pPr>
    </w:p>
    <w:p w:rsidR="00195A65" w:rsidRDefault="00195A65" w:rsidP="00E505E0">
      <w:pPr>
        <w:widowControl/>
        <w:tabs>
          <w:tab w:val="num" w:pos="1440"/>
          <w:tab w:val="left" w:pos="4680"/>
          <w:tab w:val="left" w:pos="5760"/>
        </w:tabs>
        <w:jc w:val="both"/>
        <w:rPr>
          <w:spacing w:val="-3"/>
          <w:sz w:val="22"/>
          <w:szCs w:val="22"/>
        </w:rPr>
      </w:pPr>
    </w:p>
    <w:p w:rsidR="00D602B9" w:rsidRPr="00752EA4" w:rsidRDefault="00D602B9" w:rsidP="00E505E0">
      <w:pPr>
        <w:widowControl/>
        <w:tabs>
          <w:tab w:val="num" w:pos="1440"/>
          <w:tab w:val="left" w:pos="4680"/>
          <w:tab w:val="left" w:pos="5760"/>
        </w:tabs>
        <w:jc w:val="both"/>
        <w:rPr>
          <w:spacing w:val="-3"/>
          <w:sz w:val="22"/>
          <w:szCs w:val="22"/>
        </w:rPr>
      </w:pPr>
    </w:p>
    <w:p w:rsidR="00F46870" w:rsidRDefault="00F46870" w:rsidP="00E505E0">
      <w:pPr>
        <w:widowControl/>
        <w:tabs>
          <w:tab w:val="left" w:pos="720"/>
          <w:tab w:val="num" w:pos="1440"/>
          <w:tab w:val="left" w:pos="4680"/>
          <w:tab w:val="left" w:pos="5760"/>
        </w:tabs>
        <w:ind w:left="1440" w:hanging="1440"/>
        <w:rPr>
          <w:b/>
          <w:spacing w:val="-3"/>
          <w:sz w:val="22"/>
          <w:szCs w:val="22"/>
        </w:rPr>
      </w:pPr>
      <w:r w:rsidRPr="00752EA4">
        <w:rPr>
          <w:spacing w:val="-3"/>
          <w:sz w:val="22"/>
          <w:szCs w:val="22"/>
        </w:rPr>
        <w:tab/>
      </w:r>
      <w:r w:rsidRPr="00752EA4">
        <w:rPr>
          <w:b/>
          <w:spacing w:val="-3"/>
          <w:sz w:val="22"/>
          <w:szCs w:val="22"/>
        </w:rPr>
        <w:t>A.</w:t>
      </w:r>
      <w:r w:rsidRPr="00752EA4">
        <w:rPr>
          <w:b/>
          <w:spacing w:val="-3"/>
          <w:sz w:val="22"/>
          <w:szCs w:val="22"/>
        </w:rPr>
        <w:tab/>
      </w:r>
      <w:r w:rsidR="00183593" w:rsidRPr="00752EA4">
        <w:rPr>
          <w:b/>
          <w:spacing w:val="-3"/>
          <w:sz w:val="22"/>
          <w:szCs w:val="22"/>
        </w:rPr>
        <w:t xml:space="preserve">Failure to </w:t>
      </w:r>
      <w:r w:rsidR="00D602B9">
        <w:rPr>
          <w:b/>
          <w:spacing w:val="-3"/>
          <w:sz w:val="22"/>
          <w:szCs w:val="22"/>
        </w:rPr>
        <w:t>Register Antenna Structure and Failure to Paint and Light Antenna Structure</w:t>
      </w:r>
    </w:p>
    <w:p w:rsidR="007F0EBB" w:rsidRPr="00752EA4" w:rsidRDefault="007F0EBB" w:rsidP="00E505E0">
      <w:pPr>
        <w:widowControl/>
        <w:tabs>
          <w:tab w:val="left" w:pos="720"/>
          <w:tab w:val="num" w:pos="1440"/>
          <w:tab w:val="left" w:pos="4680"/>
          <w:tab w:val="left" w:pos="5760"/>
        </w:tabs>
        <w:ind w:left="1440" w:hanging="1440"/>
        <w:rPr>
          <w:spacing w:val="-3"/>
          <w:sz w:val="22"/>
          <w:szCs w:val="22"/>
        </w:rPr>
      </w:pPr>
    </w:p>
    <w:p w:rsidR="00795813" w:rsidRPr="004F0033" w:rsidRDefault="00890911" w:rsidP="00E505E0">
      <w:pPr>
        <w:widowControl/>
        <w:numPr>
          <w:ilvl w:val="0"/>
          <w:numId w:val="22"/>
        </w:numPr>
        <w:tabs>
          <w:tab w:val="clear" w:pos="1260"/>
          <w:tab w:val="num" w:pos="1440"/>
          <w:tab w:val="left" w:pos="1926"/>
          <w:tab w:val="left" w:pos="3978"/>
          <w:tab w:val="left" w:pos="4680"/>
          <w:tab w:val="left" w:pos="5760"/>
        </w:tabs>
        <w:ind w:left="0"/>
        <w:rPr>
          <w:b/>
          <w:spacing w:val="-2"/>
          <w:sz w:val="22"/>
          <w:szCs w:val="22"/>
        </w:rPr>
      </w:pPr>
      <w:r w:rsidRPr="004F0033">
        <w:rPr>
          <w:spacing w:val="-2"/>
          <w:sz w:val="22"/>
          <w:szCs w:val="22"/>
        </w:rPr>
        <w:t xml:space="preserve">The evidence in this case is sufficient to establish that </w:t>
      </w:r>
      <w:r w:rsidR="0033284E" w:rsidRPr="004F0033">
        <w:rPr>
          <w:spacing w:val="-2"/>
          <w:sz w:val="22"/>
          <w:szCs w:val="22"/>
        </w:rPr>
        <w:t xml:space="preserve">AT&amp;T </w:t>
      </w:r>
      <w:r w:rsidRPr="004F0033">
        <w:rPr>
          <w:spacing w:val="-2"/>
          <w:sz w:val="22"/>
          <w:szCs w:val="22"/>
        </w:rPr>
        <w:t>violated Section</w:t>
      </w:r>
      <w:r w:rsidR="00901096">
        <w:rPr>
          <w:spacing w:val="-2"/>
          <w:sz w:val="22"/>
          <w:szCs w:val="22"/>
        </w:rPr>
        <w:t xml:space="preserve"> 303(q) of the Act and Sections</w:t>
      </w:r>
      <w:r w:rsidRPr="004F0033">
        <w:rPr>
          <w:spacing w:val="-2"/>
          <w:sz w:val="22"/>
          <w:szCs w:val="22"/>
        </w:rPr>
        <w:t xml:space="preserve"> </w:t>
      </w:r>
      <w:r w:rsidR="00183593" w:rsidRPr="004F0033">
        <w:rPr>
          <w:spacing w:val="-2"/>
          <w:sz w:val="22"/>
          <w:szCs w:val="22"/>
        </w:rPr>
        <w:t>17.4(a)</w:t>
      </w:r>
      <w:r w:rsidR="00901096">
        <w:rPr>
          <w:spacing w:val="-2"/>
          <w:sz w:val="22"/>
          <w:szCs w:val="22"/>
        </w:rPr>
        <w:t xml:space="preserve"> and </w:t>
      </w:r>
      <w:r w:rsidR="00183593" w:rsidRPr="004F0033">
        <w:rPr>
          <w:spacing w:val="-2"/>
          <w:sz w:val="22"/>
          <w:szCs w:val="22"/>
        </w:rPr>
        <w:t>17.21</w:t>
      </w:r>
      <w:r w:rsidR="00901096">
        <w:rPr>
          <w:spacing w:val="-2"/>
          <w:sz w:val="22"/>
          <w:szCs w:val="22"/>
        </w:rPr>
        <w:t>(a)</w:t>
      </w:r>
      <w:r w:rsidR="00183593" w:rsidRPr="004F0033">
        <w:rPr>
          <w:spacing w:val="-2"/>
          <w:sz w:val="22"/>
          <w:szCs w:val="22"/>
        </w:rPr>
        <w:t xml:space="preserve"> of the </w:t>
      </w:r>
      <w:r w:rsidRPr="004F0033">
        <w:rPr>
          <w:spacing w:val="-2"/>
          <w:sz w:val="22"/>
          <w:szCs w:val="22"/>
        </w:rPr>
        <w:t xml:space="preserve">Rules.  </w:t>
      </w:r>
      <w:r w:rsidR="00901096" w:rsidRPr="00901096">
        <w:rPr>
          <w:color w:val="000000"/>
          <w:sz w:val="22"/>
          <w:szCs w:val="22"/>
        </w:rPr>
        <w:t>Section 303(q) of the Act states that antenna structure owners shall maintain the painting and lighting of antenna structures as prescribed by the Commission.</w:t>
      </w:r>
      <w:r w:rsidR="00901096" w:rsidRPr="00901096">
        <w:rPr>
          <w:color w:val="000000"/>
          <w:sz w:val="22"/>
          <w:szCs w:val="22"/>
          <w:vertAlign w:val="superscript"/>
        </w:rPr>
        <w:footnoteReference w:id="14"/>
      </w:r>
      <w:r w:rsidR="00901096">
        <w:rPr>
          <w:color w:val="000000"/>
          <w:sz w:val="22"/>
          <w:szCs w:val="22"/>
        </w:rPr>
        <w:t xml:space="preserve">  </w:t>
      </w:r>
      <w:r w:rsidR="00183593" w:rsidRPr="004F0033">
        <w:rPr>
          <w:spacing w:val="-2"/>
          <w:sz w:val="22"/>
          <w:szCs w:val="22"/>
        </w:rPr>
        <w:t>Section 17.</w:t>
      </w:r>
      <w:r w:rsidR="00901096">
        <w:rPr>
          <w:spacing w:val="-2"/>
          <w:sz w:val="22"/>
          <w:szCs w:val="22"/>
        </w:rPr>
        <w:t>4</w:t>
      </w:r>
      <w:r w:rsidR="00C90376">
        <w:rPr>
          <w:spacing w:val="-2"/>
          <w:sz w:val="22"/>
          <w:szCs w:val="22"/>
        </w:rPr>
        <w:t>(a)</w:t>
      </w:r>
      <w:r w:rsidR="00901096">
        <w:rPr>
          <w:spacing w:val="-2"/>
          <w:sz w:val="22"/>
          <w:szCs w:val="22"/>
        </w:rPr>
        <w:t xml:space="preserve"> requires that the owner of any proposed or existing antenna structure that requires notice of proposed construction to the FAA must register the structure with the Commission.</w:t>
      </w:r>
      <w:r w:rsidR="00901096">
        <w:rPr>
          <w:rStyle w:val="FootnoteReference"/>
          <w:spacing w:val="-2"/>
          <w:sz w:val="22"/>
          <w:szCs w:val="22"/>
        </w:rPr>
        <w:footnoteReference w:id="15"/>
      </w:r>
      <w:r w:rsidR="00901096">
        <w:rPr>
          <w:spacing w:val="-2"/>
          <w:sz w:val="22"/>
          <w:szCs w:val="22"/>
        </w:rPr>
        <w:t xml:space="preserve">  Section 17.21(a) of the Rules states that antenna structures shall be painted and lighted when they exceed 60.96 (200 feet) in height above ground or require special aeronautical study.</w:t>
      </w:r>
      <w:r w:rsidR="00901096">
        <w:rPr>
          <w:rStyle w:val="FootnoteReference"/>
          <w:spacing w:val="-2"/>
          <w:sz w:val="22"/>
          <w:szCs w:val="22"/>
        </w:rPr>
        <w:footnoteReference w:id="16"/>
      </w:r>
      <w:r w:rsidR="00901096">
        <w:rPr>
          <w:spacing w:val="-2"/>
          <w:sz w:val="22"/>
          <w:szCs w:val="22"/>
        </w:rPr>
        <w:t xml:space="preserve">  At the time of the Los Angeles Office’s April 2, 2013</w:t>
      </w:r>
      <w:r w:rsidR="00C90376">
        <w:rPr>
          <w:spacing w:val="-2"/>
          <w:sz w:val="22"/>
          <w:szCs w:val="22"/>
        </w:rPr>
        <w:t>,</w:t>
      </w:r>
      <w:r w:rsidR="00901096">
        <w:rPr>
          <w:spacing w:val="-2"/>
          <w:sz w:val="22"/>
          <w:szCs w:val="22"/>
        </w:rPr>
        <w:t xml:space="preserve"> inspection, the Antenna Struct</w:t>
      </w:r>
      <w:r w:rsidR="00C90376">
        <w:rPr>
          <w:spacing w:val="-2"/>
          <w:sz w:val="22"/>
          <w:szCs w:val="22"/>
        </w:rPr>
        <w:t>u</w:t>
      </w:r>
      <w:r w:rsidR="00901096">
        <w:rPr>
          <w:spacing w:val="-2"/>
          <w:sz w:val="22"/>
          <w:szCs w:val="22"/>
        </w:rPr>
        <w:t>re was 208 feet in height above ground</w:t>
      </w:r>
      <w:r w:rsidR="00C90376">
        <w:rPr>
          <w:spacing w:val="-2"/>
          <w:sz w:val="22"/>
          <w:szCs w:val="22"/>
        </w:rPr>
        <w:t xml:space="preserve"> level.  </w:t>
      </w:r>
      <w:r w:rsidR="0033284E" w:rsidRPr="004F0033">
        <w:rPr>
          <w:spacing w:val="-2"/>
          <w:sz w:val="22"/>
          <w:szCs w:val="22"/>
        </w:rPr>
        <w:t xml:space="preserve">AT&amp;T </w:t>
      </w:r>
      <w:r w:rsidR="00C90376">
        <w:rPr>
          <w:spacing w:val="-2"/>
          <w:sz w:val="22"/>
          <w:szCs w:val="22"/>
        </w:rPr>
        <w:t xml:space="preserve">acknowledged that the structure was 208 feet in height beginning in November 2012 and that notification to the FAA was required for the structure.  The investigation revealed, however, that the Antenna Structure was not registered with the Commission and was not painted or lighted from November 2012 until the twenty-foot whip antenna was removed from the structure on April 8, 2013.  </w:t>
      </w:r>
      <w:r w:rsidR="00510919" w:rsidRPr="004F0033">
        <w:rPr>
          <w:spacing w:val="-2"/>
          <w:sz w:val="22"/>
          <w:szCs w:val="22"/>
        </w:rPr>
        <w:t xml:space="preserve">Based on the evidence before us, we find that </w:t>
      </w:r>
      <w:r w:rsidR="0033284E" w:rsidRPr="004F0033">
        <w:rPr>
          <w:spacing w:val="-2"/>
          <w:sz w:val="22"/>
          <w:szCs w:val="22"/>
        </w:rPr>
        <w:t xml:space="preserve">AT&amp;T </w:t>
      </w:r>
      <w:r w:rsidR="00510919" w:rsidRPr="004F0033">
        <w:rPr>
          <w:spacing w:val="-2"/>
          <w:sz w:val="22"/>
          <w:szCs w:val="22"/>
        </w:rPr>
        <w:t>apparently willfully and repeatedly violated</w:t>
      </w:r>
      <w:r w:rsidR="00C90376">
        <w:rPr>
          <w:spacing w:val="-2"/>
          <w:sz w:val="22"/>
          <w:szCs w:val="22"/>
        </w:rPr>
        <w:t xml:space="preserve"> Section 303(q) of the Act and Sections 17.4(a) and 17.21(a)</w:t>
      </w:r>
      <w:r w:rsidR="009F018F" w:rsidRPr="004F0033">
        <w:rPr>
          <w:spacing w:val="-2"/>
          <w:sz w:val="22"/>
          <w:szCs w:val="22"/>
        </w:rPr>
        <w:t xml:space="preserve"> </w:t>
      </w:r>
      <w:r w:rsidR="00510919" w:rsidRPr="004F0033">
        <w:rPr>
          <w:spacing w:val="-2"/>
          <w:sz w:val="22"/>
          <w:szCs w:val="22"/>
        </w:rPr>
        <w:t xml:space="preserve">of the Rules by </w:t>
      </w:r>
      <w:r w:rsidR="009A61D4" w:rsidRPr="004F0033">
        <w:rPr>
          <w:spacing w:val="-2"/>
          <w:sz w:val="22"/>
          <w:szCs w:val="22"/>
        </w:rPr>
        <w:t xml:space="preserve">failing to </w:t>
      </w:r>
      <w:r w:rsidR="00C90376">
        <w:rPr>
          <w:spacing w:val="-2"/>
          <w:sz w:val="22"/>
          <w:szCs w:val="22"/>
        </w:rPr>
        <w:t>register the Antenna Structure and by failing to paint and light the Antenna Structure</w:t>
      </w:r>
      <w:r w:rsidR="003261FF">
        <w:rPr>
          <w:spacing w:val="-2"/>
          <w:sz w:val="22"/>
          <w:szCs w:val="22"/>
        </w:rPr>
        <w:t xml:space="preserve"> between November 2012 and April 8, 2013 when the structure exceeded 200 feet.</w:t>
      </w:r>
    </w:p>
    <w:p w:rsidR="00050854" w:rsidRPr="00752EA4" w:rsidRDefault="00050854" w:rsidP="00E505E0">
      <w:pPr>
        <w:widowControl/>
        <w:tabs>
          <w:tab w:val="left" w:pos="0"/>
        </w:tabs>
        <w:suppressAutoHyphens/>
        <w:rPr>
          <w:spacing w:val="-2"/>
          <w:sz w:val="22"/>
          <w:szCs w:val="22"/>
        </w:rPr>
      </w:pPr>
    </w:p>
    <w:p w:rsidR="00F94C5F" w:rsidRPr="00F94C5F" w:rsidRDefault="00F94C5F" w:rsidP="00E505E0">
      <w:pPr>
        <w:widowControl/>
        <w:numPr>
          <w:ilvl w:val="0"/>
          <w:numId w:val="25"/>
        </w:numPr>
        <w:tabs>
          <w:tab w:val="left" w:pos="0"/>
          <w:tab w:val="left" w:pos="720"/>
        </w:tabs>
        <w:suppressAutoHyphens/>
        <w:spacing w:after="220"/>
        <w:rPr>
          <w:b/>
          <w:spacing w:val="-2"/>
          <w:sz w:val="22"/>
          <w:szCs w:val="22"/>
        </w:rPr>
      </w:pPr>
      <w:r w:rsidRPr="00F94C5F">
        <w:rPr>
          <w:b/>
          <w:spacing w:val="-2"/>
          <w:sz w:val="22"/>
          <w:szCs w:val="22"/>
        </w:rPr>
        <w:t>Proposed Forfeiture</w:t>
      </w:r>
      <w:r w:rsidR="00C90376">
        <w:rPr>
          <w:b/>
          <w:spacing w:val="-2"/>
          <w:sz w:val="22"/>
          <w:szCs w:val="22"/>
        </w:rPr>
        <w:t xml:space="preserve"> Amount</w:t>
      </w:r>
    </w:p>
    <w:p w:rsidR="00F94C5F" w:rsidRPr="001F51AC" w:rsidRDefault="00F94C5F" w:rsidP="00E505E0">
      <w:pPr>
        <w:widowControl/>
        <w:numPr>
          <w:ilvl w:val="0"/>
          <w:numId w:val="22"/>
        </w:numPr>
        <w:tabs>
          <w:tab w:val="clear" w:pos="1260"/>
          <w:tab w:val="num" w:pos="1440"/>
        </w:tabs>
        <w:suppressAutoHyphens/>
        <w:spacing w:after="220"/>
        <w:ind w:left="0"/>
        <w:rPr>
          <w:spacing w:val="-2"/>
          <w:sz w:val="22"/>
          <w:szCs w:val="22"/>
        </w:rPr>
      </w:pPr>
      <w:r w:rsidRPr="001F51AC">
        <w:rPr>
          <w:spacing w:val="-2"/>
          <w:sz w:val="22"/>
          <w:szCs w:val="22"/>
        </w:rPr>
        <w:t>Pursuant to the Commission’s</w:t>
      </w:r>
      <w:r w:rsidRPr="001F51AC">
        <w:rPr>
          <w:i/>
          <w:spacing w:val="-2"/>
          <w:sz w:val="22"/>
          <w:szCs w:val="22"/>
        </w:rPr>
        <w:t xml:space="preserve"> Forfeiture Policy Statement</w:t>
      </w:r>
      <w:r w:rsidRPr="001F51AC">
        <w:rPr>
          <w:spacing w:val="-2"/>
          <w:sz w:val="22"/>
          <w:szCs w:val="22"/>
        </w:rPr>
        <w:t xml:space="preserve"> and Section 1.80 of the Rules,</w:t>
      </w:r>
      <w:r w:rsidR="003261FF" w:rsidRPr="003261FF">
        <w:rPr>
          <w:spacing w:val="-2"/>
          <w:sz w:val="22"/>
          <w:szCs w:val="22"/>
          <w:vertAlign w:val="superscript"/>
        </w:rPr>
        <w:footnoteReference w:id="17"/>
      </w:r>
      <w:r w:rsidR="003261FF">
        <w:rPr>
          <w:spacing w:val="-2"/>
          <w:sz w:val="22"/>
          <w:szCs w:val="22"/>
        </w:rPr>
        <w:t xml:space="preserve"> </w:t>
      </w:r>
      <w:r w:rsidRPr="001F51AC">
        <w:rPr>
          <w:spacing w:val="-2"/>
          <w:sz w:val="22"/>
          <w:szCs w:val="22"/>
        </w:rPr>
        <w:t xml:space="preserve">the forfeiture amount for failure to register the tower </w:t>
      </w:r>
      <w:r w:rsidR="001F51AC" w:rsidRPr="001F51AC">
        <w:rPr>
          <w:spacing w:val="-2"/>
          <w:sz w:val="22"/>
          <w:szCs w:val="22"/>
        </w:rPr>
        <w:t xml:space="preserve">by not filing the required forms or information </w:t>
      </w:r>
      <w:r w:rsidRPr="001F51AC">
        <w:rPr>
          <w:spacing w:val="-2"/>
          <w:sz w:val="22"/>
          <w:szCs w:val="22"/>
        </w:rPr>
        <w:t>is $3,000</w:t>
      </w:r>
      <w:r w:rsidR="00860B4D">
        <w:rPr>
          <w:spacing w:val="-2"/>
          <w:sz w:val="22"/>
          <w:szCs w:val="22"/>
        </w:rPr>
        <w:t xml:space="preserve">, and failure </w:t>
      </w:r>
      <w:r w:rsidRPr="001F51AC">
        <w:rPr>
          <w:spacing w:val="-2"/>
          <w:sz w:val="22"/>
          <w:szCs w:val="22"/>
        </w:rPr>
        <w:t xml:space="preserve">to </w:t>
      </w:r>
      <w:r w:rsidR="001F51AC" w:rsidRPr="001F51AC">
        <w:rPr>
          <w:spacing w:val="-2"/>
          <w:sz w:val="22"/>
          <w:szCs w:val="22"/>
        </w:rPr>
        <w:t>comply with lighting and/or marking</w:t>
      </w:r>
      <w:r w:rsidR="00860B4D">
        <w:rPr>
          <w:spacing w:val="-2"/>
          <w:sz w:val="22"/>
          <w:szCs w:val="22"/>
        </w:rPr>
        <w:t xml:space="preserve"> </w:t>
      </w:r>
      <w:r w:rsidRPr="001F51AC">
        <w:rPr>
          <w:spacing w:val="-2"/>
          <w:sz w:val="22"/>
          <w:szCs w:val="22"/>
        </w:rPr>
        <w:t>is $10,000.</w:t>
      </w:r>
      <w:r w:rsidR="00860B4D">
        <w:rPr>
          <w:rStyle w:val="FootnoteReference"/>
          <w:spacing w:val="-2"/>
          <w:sz w:val="22"/>
          <w:szCs w:val="22"/>
        </w:rPr>
        <w:footnoteReference w:id="18"/>
      </w:r>
      <w:r w:rsidR="003261FF">
        <w:rPr>
          <w:spacing w:val="-2"/>
          <w:sz w:val="22"/>
          <w:szCs w:val="22"/>
        </w:rPr>
        <w:t xml:space="preserve"> </w:t>
      </w:r>
      <w:r w:rsidRPr="001F51AC">
        <w:rPr>
          <w:spacing w:val="-2"/>
          <w:sz w:val="22"/>
          <w:szCs w:val="22"/>
        </w:rPr>
        <w:t xml:space="preserve"> 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F94C5F">
        <w:rPr>
          <w:spacing w:val="-2"/>
          <w:sz w:val="22"/>
          <w:szCs w:val="22"/>
          <w:vertAlign w:val="superscript"/>
        </w:rPr>
        <w:footnoteReference w:id="19"/>
      </w:r>
      <w:r w:rsidRPr="001F51AC">
        <w:rPr>
          <w:spacing w:val="-2"/>
          <w:sz w:val="22"/>
          <w:szCs w:val="22"/>
        </w:rPr>
        <w:t xml:space="preserve">  </w:t>
      </w:r>
      <w:r w:rsidR="00EC6F31">
        <w:rPr>
          <w:spacing w:val="-2"/>
          <w:sz w:val="22"/>
          <w:szCs w:val="22"/>
        </w:rPr>
        <w:t>W</w:t>
      </w:r>
      <w:r w:rsidRPr="001F51AC">
        <w:rPr>
          <w:spacing w:val="-2"/>
          <w:sz w:val="22"/>
          <w:szCs w:val="22"/>
        </w:rPr>
        <w:t xml:space="preserve">e </w:t>
      </w:r>
      <w:r w:rsidR="00EC6F31">
        <w:rPr>
          <w:spacing w:val="-2"/>
          <w:sz w:val="22"/>
          <w:szCs w:val="22"/>
        </w:rPr>
        <w:t xml:space="preserve">therefore </w:t>
      </w:r>
      <w:r w:rsidRPr="001F51AC">
        <w:rPr>
          <w:spacing w:val="-2"/>
          <w:sz w:val="22"/>
          <w:szCs w:val="22"/>
        </w:rPr>
        <w:t xml:space="preserve">conclude that </w:t>
      </w:r>
      <w:r w:rsidR="000B0489" w:rsidRPr="001F51AC">
        <w:rPr>
          <w:spacing w:val="-2"/>
          <w:sz w:val="22"/>
          <w:szCs w:val="22"/>
        </w:rPr>
        <w:t xml:space="preserve">AT&amp;T </w:t>
      </w:r>
      <w:r w:rsidRPr="001F51AC">
        <w:rPr>
          <w:spacing w:val="-2"/>
          <w:sz w:val="22"/>
          <w:szCs w:val="22"/>
        </w:rPr>
        <w:t xml:space="preserve">is apparently liable for a </w:t>
      </w:r>
      <w:r w:rsidR="001F51AC" w:rsidRPr="001F51AC">
        <w:rPr>
          <w:spacing w:val="-2"/>
          <w:sz w:val="22"/>
          <w:szCs w:val="22"/>
        </w:rPr>
        <w:t xml:space="preserve">total base </w:t>
      </w:r>
      <w:r w:rsidRPr="001F51AC">
        <w:rPr>
          <w:spacing w:val="-2"/>
          <w:sz w:val="22"/>
          <w:szCs w:val="22"/>
        </w:rPr>
        <w:t xml:space="preserve">forfeiture of $13,000. </w:t>
      </w:r>
      <w:r w:rsidR="000B0489" w:rsidRPr="001F51AC">
        <w:rPr>
          <w:spacing w:val="-2"/>
          <w:sz w:val="22"/>
          <w:szCs w:val="22"/>
        </w:rPr>
        <w:t xml:space="preserve">  We also recognize that AT&amp;T is a </w:t>
      </w:r>
      <w:r w:rsidR="001F51AC" w:rsidRPr="001F51AC">
        <w:rPr>
          <w:spacing w:val="-2"/>
          <w:sz w:val="22"/>
          <w:szCs w:val="22"/>
        </w:rPr>
        <w:t>multi-billion dollar enterprise,</w:t>
      </w:r>
      <w:r w:rsidR="00BC763A">
        <w:rPr>
          <w:rStyle w:val="FootnoteReference"/>
          <w:spacing w:val="-2"/>
          <w:sz w:val="22"/>
          <w:szCs w:val="22"/>
        </w:rPr>
        <w:footnoteReference w:id="20"/>
      </w:r>
      <w:r w:rsidR="001F51AC" w:rsidRPr="001F51AC">
        <w:rPr>
          <w:spacing w:val="-2"/>
          <w:sz w:val="22"/>
          <w:szCs w:val="22"/>
        </w:rPr>
        <w:t xml:space="preserve"> </w:t>
      </w:r>
      <w:r w:rsidR="000B0489" w:rsidRPr="001F51AC">
        <w:rPr>
          <w:spacing w:val="-2"/>
          <w:sz w:val="22"/>
          <w:szCs w:val="22"/>
        </w:rPr>
        <w:t>and to ensure that forfeiture liability is a deterrent and not simply a cost of doing business, the Commission has determined that large or highly-profitable companies such as AT&amp;T should expect the assessment of higher forfeitures for violations.</w:t>
      </w:r>
      <w:r w:rsidR="00BC763A">
        <w:rPr>
          <w:rStyle w:val="FootnoteReference"/>
          <w:spacing w:val="-2"/>
          <w:sz w:val="22"/>
          <w:szCs w:val="22"/>
        </w:rPr>
        <w:footnoteReference w:id="21"/>
      </w:r>
      <w:r w:rsidR="000B0489" w:rsidRPr="001F51AC">
        <w:rPr>
          <w:spacing w:val="-2"/>
          <w:sz w:val="22"/>
          <w:szCs w:val="22"/>
        </w:rPr>
        <w:t xml:space="preserve">  In the final analysis and based on all the factors and evidence, including AT&amp;T’s size and ability to pay a</w:t>
      </w:r>
      <w:r w:rsidR="001F51AC" w:rsidRPr="001F51AC">
        <w:rPr>
          <w:spacing w:val="-2"/>
          <w:sz w:val="22"/>
          <w:szCs w:val="22"/>
        </w:rPr>
        <w:t xml:space="preserve"> forfeiture, we conclude that an upward </w:t>
      </w:r>
      <w:r w:rsidR="000B0489" w:rsidRPr="001F51AC">
        <w:rPr>
          <w:spacing w:val="-2"/>
          <w:sz w:val="22"/>
          <w:szCs w:val="22"/>
        </w:rPr>
        <w:t xml:space="preserve">forfeiture of </w:t>
      </w:r>
      <w:r w:rsidR="001F51AC" w:rsidRPr="001F51AC">
        <w:rPr>
          <w:spacing w:val="-2"/>
          <w:sz w:val="22"/>
          <w:szCs w:val="22"/>
        </w:rPr>
        <w:t>$12,000</w:t>
      </w:r>
      <w:r w:rsidR="000B0489" w:rsidRPr="001F51AC">
        <w:rPr>
          <w:spacing w:val="-2"/>
          <w:sz w:val="22"/>
          <w:szCs w:val="22"/>
        </w:rPr>
        <w:t xml:space="preserve"> is appropriate.  Applying the Forfeiture Policy Statement, Section 1.80 of the Rules, and the statutory factors to the instant case, we conclude that </w:t>
      </w:r>
      <w:r w:rsidR="001F51AC" w:rsidRPr="001F51AC">
        <w:rPr>
          <w:spacing w:val="-2"/>
          <w:sz w:val="22"/>
          <w:szCs w:val="22"/>
        </w:rPr>
        <w:t xml:space="preserve">AT&amp;T </w:t>
      </w:r>
      <w:r w:rsidR="000B0489" w:rsidRPr="001F51AC">
        <w:rPr>
          <w:spacing w:val="-2"/>
          <w:sz w:val="22"/>
          <w:szCs w:val="22"/>
        </w:rPr>
        <w:t>is apparently liable for a total forfeiture in the amount of $25,000</w:t>
      </w:r>
      <w:r w:rsidR="001F51AC" w:rsidRPr="001F51AC">
        <w:rPr>
          <w:spacing w:val="-2"/>
          <w:sz w:val="22"/>
          <w:szCs w:val="22"/>
        </w:rPr>
        <w:t xml:space="preserve">.  </w:t>
      </w:r>
    </w:p>
    <w:p w:rsidR="00050854" w:rsidRPr="00752EA4" w:rsidRDefault="00050854" w:rsidP="00E505E0">
      <w:pPr>
        <w:pStyle w:val="Heading1"/>
        <w:widowControl/>
        <w:rPr>
          <w:sz w:val="22"/>
          <w:szCs w:val="22"/>
        </w:rPr>
      </w:pPr>
      <w:r w:rsidRPr="00752EA4">
        <w:rPr>
          <w:sz w:val="22"/>
          <w:szCs w:val="22"/>
        </w:rPr>
        <w:t>ORDERING CLAUSES</w:t>
      </w:r>
    </w:p>
    <w:p w:rsidR="00050854" w:rsidRPr="00752EA4" w:rsidRDefault="00050854"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spacing w:val="-2"/>
          <w:sz w:val="22"/>
          <w:szCs w:val="22"/>
        </w:rPr>
        <w:t>Accordingly,</w:t>
      </w:r>
      <w:r w:rsidRPr="00752EA4">
        <w:rPr>
          <w:b/>
          <w:spacing w:val="-2"/>
          <w:sz w:val="22"/>
          <w:szCs w:val="22"/>
        </w:rPr>
        <w:t xml:space="preserve"> IT IS ORDERED</w:t>
      </w:r>
      <w:r w:rsidR="003F3CFD" w:rsidRPr="00752EA4">
        <w:rPr>
          <w:spacing w:val="-2"/>
          <w:sz w:val="22"/>
          <w:szCs w:val="22"/>
        </w:rPr>
        <w:t xml:space="preserve"> that</w:t>
      </w:r>
      <w:r w:rsidR="00D57AE2" w:rsidRPr="00752EA4">
        <w:rPr>
          <w:spacing w:val="-2"/>
          <w:sz w:val="22"/>
          <w:szCs w:val="22"/>
        </w:rPr>
        <w:t>, pursuant to S</w:t>
      </w:r>
      <w:r w:rsidRPr="00752EA4">
        <w:rPr>
          <w:spacing w:val="-2"/>
          <w:sz w:val="22"/>
          <w:szCs w:val="22"/>
        </w:rPr>
        <w:t>ection 503(b) of the Communication</w:t>
      </w:r>
      <w:r w:rsidR="00D57AE2" w:rsidRPr="00752EA4">
        <w:rPr>
          <w:spacing w:val="-2"/>
          <w:sz w:val="22"/>
          <w:szCs w:val="22"/>
        </w:rPr>
        <w:t>s Act of 1934, as amended, and S</w:t>
      </w:r>
      <w:r w:rsidRPr="00752EA4">
        <w:rPr>
          <w:spacing w:val="-2"/>
          <w:sz w:val="22"/>
          <w:szCs w:val="22"/>
        </w:rPr>
        <w:t xml:space="preserve">ections 0.111, </w:t>
      </w:r>
      <w:r w:rsidR="00856437" w:rsidRPr="00752EA4">
        <w:rPr>
          <w:spacing w:val="-2"/>
          <w:sz w:val="22"/>
          <w:szCs w:val="22"/>
        </w:rPr>
        <w:t xml:space="preserve">0.204, </w:t>
      </w:r>
      <w:r w:rsidRPr="00752EA4">
        <w:rPr>
          <w:spacing w:val="-2"/>
          <w:sz w:val="22"/>
          <w:szCs w:val="22"/>
        </w:rPr>
        <w:t>0.311</w:t>
      </w:r>
      <w:r w:rsidR="00716561" w:rsidRPr="00752EA4">
        <w:rPr>
          <w:spacing w:val="-2"/>
          <w:sz w:val="22"/>
          <w:szCs w:val="22"/>
        </w:rPr>
        <w:t>, 0.314</w:t>
      </w:r>
      <w:r w:rsidR="002C62DA" w:rsidRPr="00752EA4">
        <w:rPr>
          <w:spacing w:val="-2"/>
          <w:sz w:val="22"/>
          <w:szCs w:val="22"/>
        </w:rPr>
        <w:t>,</w:t>
      </w:r>
      <w:r w:rsidR="003E2AD5" w:rsidRPr="00752EA4">
        <w:rPr>
          <w:spacing w:val="-2"/>
          <w:sz w:val="22"/>
          <w:szCs w:val="22"/>
        </w:rPr>
        <w:t xml:space="preserve"> and 1.80 of the Commission’s r</w:t>
      </w:r>
      <w:r w:rsidRPr="00752EA4">
        <w:rPr>
          <w:spacing w:val="-2"/>
          <w:sz w:val="22"/>
          <w:szCs w:val="22"/>
        </w:rPr>
        <w:t xml:space="preserve">ules, </w:t>
      </w:r>
      <w:r w:rsidR="0033284E">
        <w:rPr>
          <w:spacing w:val="-2"/>
          <w:sz w:val="22"/>
          <w:szCs w:val="22"/>
        </w:rPr>
        <w:t>AT&amp;T Services</w:t>
      </w:r>
      <w:r w:rsidR="00E505E0">
        <w:rPr>
          <w:spacing w:val="-2"/>
          <w:sz w:val="22"/>
          <w:szCs w:val="22"/>
        </w:rPr>
        <w:t>, Inc.,</w:t>
      </w:r>
      <w:r w:rsidRPr="00752EA4">
        <w:rPr>
          <w:spacing w:val="-2"/>
          <w:sz w:val="22"/>
          <w:szCs w:val="22"/>
        </w:rPr>
        <w:t xml:space="preserve"> is hereby </w:t>
      </w:r>
      <w:r w:rsidRPr="00752EA4">
        <w:rPr>
          <w:b/>
          <w:spacing w:val="-2"/>
          <w:sz w:val="22"/>
          <w:szCs w:val="22"/>
        </w:rPr>
        <w:t xml:space="preserve">NOTIFIED </w:t>
      </w:r>
      <w:r w:rsidRPr="00752EA4">
        <w:rPr>
          <w:spacing w:val="-2"/>
          <w:sz w:val="22"/>
          <w:szCs w:val="22"/>
        </w:rPr>
        <w:t xml:space="preserve">of this </w:t>
      </w:r>
      <w:r w:rsidRPr="00752EA4">
        <w:rPr>
          <w:b/>
          <w:spacing w:val="-2"/>
          <w:sz w:val="22"/>
          <w:szCs w:val="22"/>
        </w:rPr>
        <w:t>APPARENT LIABILITY FOR A FORFEITURE</w:t>
      </w:r>
      <w:r w:rsidR="00484313" w:rsidRPr="00752EA4">
        <w:rPr>
          <w:b/>
          <w:spacing w:val="-2"/>
          <w:sz w:val="22"/>
          <w:szCs w:val="22"/>
        </w:rPr>
        <w:t xml:space="preserve"> </w:t>
      </w:r>
      <w:r w:rsidRPr="00752EA4">
        <w:rPr>
          <w:spacing w:val="-2"/>
          <w:sz w:val="22"/>
          <w:szCs w:val="22"/>
        </w:rPr>
        <w:t>in the amount of</w:t>
      </w:r>
      <w:r w:rsidRPr="00752EA4">
        <w:rPr>
          <w:sz w:val="22"/>
          <w:szCs w:val="22"/>
        </w:rPr>
        <w:t xml:space="preserve"> </w:t>
      </w:r>
      <w:r w:rsidR="007148AF" w:rsidRPr="0017678C">
        <w:rPr>
          <w:sz w:val="22"/>
          <w:szCs w:val="22"/>
        </w:rPr>
        <w:t>twenty-five</w:t>
      </w:r>
      <w:r w:rsidRPr="00752EA4">
        <w:rPr>
          <w:b/>
          <w:sz w:val="22"/>
          <w:szCs w:val="22"/>
        </w:rPr>
        <w:t xml:space="preserve"> </w:t>
      </w:r>
      <w:r w:rsidRPr="00752EA4">
        <w:rPr>
          <w:sz w:val="22"/>
          <w:szCs w:val="22"/>
        </w:rPr>
        <w:t>thousand dollars ($</w:t>
      </w:r>
      <w:r w:rsidR="007148AF" w:rsidRPr="00752EA4">
        <w:rPr>
          <w:sz w:val="22"/>
          <w:szCs w:val="22"/>
        </w:rPr>
        <w:t>25</w:t>
      </w:r>
      <w:r w:rsidRPr="00752EA4">
        <w:rPr>
          <w:sz w:val="22"/>
          <w:szCs w:val="22"/>
        </w:rPr>
        <w:t xml:space="preserve">,000) for violations of </w:t>
      </w:r>
      <w:r w:rsidR="00D57AE2" w:rsidRPr="00752EA4">
        <w:rPr>
          <w:sz w:val="22"/>
          <w:szCs w:val="22"/>
        </w:rPr>
        <w:t>S</w:t>
      </w:r>
      <w:r w:rsidRPr="00752EA4">
        <w:rPr>
          <w:sz w:val="22"/>
          <w:szCs w:val="22"/>
        </w:rPr>
        <w:t>ection</w:t>
      </w:r>
      <w:r w:rsidR="00E505E0">
        <w:rPr>
          <w:sz w:val="22"/>
          <w:szCs w:val="22"/>
        </w:rPr>
        <w:t xml:space="preserve"> 303(q) of the Act and Sections</w:t>
      </w:r>
      <w:r w:rsidRPr="00752EA4">
        <w:rPr>
          <w:sz w:val="22"/>
          <w:szCs w:val="22"/>
        </w:rPr>
        <w:t xml:space="preserve"> </w:t>
      </w:r>
      <w:r w:rsidR="007148AF" w:rsidRPr="00752EA4">
        <w:rPr>
          <w:sz w:val="22"/>
          <w:szCs w:val="22"/>
        </w:rPr>
        <w:t>17.4(a) and 17.21(a)</w:t>
      </w:r>
      <w:r w:rsidRPr="00752EA4">
        <w:rPr>
          <w:sz w:val="22"/>
          <w:szCs w:val="22"/>
        </w:rPr>
        <w:t xml:space="preserve"> </w:t>
      </w:r>
      <w:r w:rsidRPr="00752EA4">
        <w:rPr>
          <w:spacing w:val="-2"/>
          <w:sz w:val="22"/>
          <w:szCs w:val="22"/>
        </w:rPr>
        <w:t>o</w:t>
      </w:r>
      <w:r w:rsidRPr="00752EA4">
        <w:rPr>
          <w:sz w:val="22"/>
          <w:szCs w:val="22"/>
        </w:rPr>
        <w:t xml:space="preserve">f the </w:t>
      </w:r>
      <w:r w:rsidR="00484313" w:rsidRPr="00752EA4">
        <w:rPr>
          <w:sz w:val="22"/>
          <w:szCs w:val="22"/>
        </w:rPr>
        <w:t>R</w:t>
      </w:r>
      <w:r w:rsidRPr="00752EA4">
        <w:rPr>
          <w:sz w:val="22"/>
          <w:szCs w:val="22"/>
        </w:rPr>
        <w:t>ules.</w:t>
      </w:r>
      <w:r w:rsidRPr="00752EA4">
        <w:rPr>
          <w:rStyle w:val="FootnoteReference"/>
          <w:sz w:val="22"/>
          <w:szCs w:val="22"/>
        </w:rPr>
        <w:footnoteReference w:id="22"/>
      </w:r>
    </w:p>
    <w:p w:rsidR="00A12D37" w:rsidRPr="00752EA4" w:rsidRDefault="007B3FA1"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b/>
          <w:spacing w:val="-2"/>
          <w:sz w:val="22"/>
          <w:szCs w:val="22"/>
        </w:rPr>
        <w:t>IT IS FURTHER ORDERED</w:t>
      </w:r>
      <w:r w:rsidRPr="00752EA4">
        <w:rPr>
          <w:spacing w:val="-2"/>
          <w:sz w:val="22"/>
          <w:szCs w:val="22"/>
        </w:rPr>
        <w:t xml:space="preserve"> that, pursuant to Section 1.80 of the Commission’s rules, within thirty (30) calendar days of the release date of this Notice of Apparent Liability for Forfeiture</w:t>
      </w:r>
      <w:r>
        <w:rPr>
          <w:spacing w:val="-2"/>
          <w:sz w:val="22"/>
          <w:szCs w:val="22"/>
        </w:rPr>
        <w:t>,</w:t>
      </w:r>
      <w:r w:rsidRPr="00752EA4">
        <w:rPr>
          <w:spacing w:val="-2"/>
          <w:sz w:val="22"/>
          <w:szCs w:val="22"/>
        </w:rPr>
        <w:t xml:space="preserve"> </w:t>
      </w:r>
      <w:r w:rsidR="0033284E">
        <w:rPr>
          <w:spacing w:val="-2"/>
          <w:sz w:val="22"/>
          <w:szCs w:val="22"/>
        </w:rPr>
        <w:t>AT&amp;T Services</w:t>
      </w:r>
      <w:r w:rsidR="00E505E0">
        <w:rPr>
          <w:spacing w:val="-2"/>
          <w:sz w:val="22"/>
          <w:szCs w:val="22"/>
        </w:rPr>
        <w:t>, Inc.,</w:t>
      </w:r>
      <w:r w:rsidRPr="00752EA4">
        <w:rPr>
          <w:spacing w:val="-2"/>
          <w:sz w:val="22"/>
          <w:szCs w:val="22"/>
        </w:rPr>
        <w:t xml:space="preserve"> </w:t>
      </w:r>
      <w:r w:rsidRPr="00752EA4">
        <w:rPr>
          <w:b/>
          <w:spacing w:val="-2"/>
          <w:sz w:val="22"/>
          <w:szCs w:val="22"/>
        </w:rPr>
        <w:t>SHALL PAY</w:t>
      </w:r>
      <w:r w:rsidRPr="00752EA4">
        <w:rPr>
          <w:spacing w:val="-2"/>
          <w:sz w:val="22"/>
          <w:szCs w:val="22"/>
        </w:rPr>
        <w:t xml:space="preserve"> the full amount of the proposed forfeiture or </w:t>
      </w:r>
      <w:r w:rsidRPr="00752EA4">
        <w:rPr>
          <w:b/>
          <w:spacing w:val="-2"/>
          <w:sz w:val="22"/>
          <w:szCs w:val="22"/>
        </w:rPr>
        <w:t>SHALL FILE</w:t>
      </w:r>
      <w:r w:rsidRPr="00752EA4">
        <w:rPr>
          <w:spacing w:val="-2"/>
          <w:sz w:val="22"/>
          <w:szCs w:val="22"/>
        </w:rPr>
        <w:t xml:space="preserve"> a written statement seeking reduction or cancellation of the proposed forfeiture.</w:t>
      </w:r>
    </w:p>
    <w:p w:rsidR="00A66F85" w:rsidRPr="00752EA4" w:rsidRDefault="00A66F85" w:rsidP="00E505E0">
      <w:pPr>
        <w:widowControl/>
        <w:numPr>
          <w:ilvl w:val="0"/>
          <w:numId w:val="22"/>
        </w:numPr>
        <w:tabs>
          <w:tab w:val="clear" w:pos="1260"/>
          <w:tab w:val="left" w:pos="0"/>
          <w:tab w:val="num" w:pos="1440"/>
        </w:tabs>
        <w:suppressAutoHyphens/>
        <w:spacing w:after="120"/>
        <w:ind w:left="0"/>
        <w:rPr>
          <w:rFonts w:eastAsia="MS Mincho"/>
          <w:sz w:val="22"/>
          <w:szCs w:val="22"/>
        </w:rPr>
      </w:pPr>
      <w:r w:rsidRPr="00752EA4">
        <w:rPr>
          <w:rFonts w:eastAsia="MS Mincho"/>
          <w:sz w:val="22"/>
          <w:szCs w:val="22"/>
        </w:rPr>
        <w:t xml:space="preserve">Payment of the forfeiture must be made by check or similar instrument, wire transfer, or credit card, and must include the NAL/Account number and FRN referenced above.  </w:t>
      </w:r>
      <w:r w:rsidR="0033284E">
        <w:rPr>
          <w:rFonts w:eastAsia="MS Mincho"/>
          <w:sz w:val="22"/>
          <w:szCs w:val="22"/>
        </w:rPr>
        <w:t>AT&amp;T Services</w:t>
      </w:r>
      <w:r w:rsidR="00E505E0">
        <w:rPr>
          <w:rFonts w:eastAsia="MS Mincho"/>
          <w:sz w:val="22"/>
          <w:szCs w:val="22"/>
        </w:rPr>
        <w:t>, Inc.,</w:t>
      </w:r>
      <w:r w:rsidR="0095119D" w:rsidRPr="00752EA4">
        <w:rPr>
          <w:sz w:val="22"/>
          <w:szCs w:val="22"/>
          <w:lang w:bidi="he-IL"/>
        </w:rPr>
        <w:t xml:space="preserve"> shall also send electronic notification on the date said payment is made to</w:t>
      </w:r>
      <w:r w:rsidR="00336687" w:rsidRPr="00752EA4">
        <w:rPr>
          <w:sz w:val="22"/>
          <w:szCs w:val="22"/>
          <w:lang w:bidi="he-IL"/>
        </w:rPr>
        <w:t xml:space="preserve"> </w:t>
      </w:r>
      <w:r w:rsidR="0095119D" w:rsidRPr="00E505E0">
        <w:rPr>
          <w:sz w:val="22"/>
          <w:szCs w:val="22"/>
        </w:rPr>
        <w:t>WR-Response@fcc.gov</w:t>
      </w:r>
      <w:r w:rsidR="0095119D" w:rsidRPr="00752EA4">
        <w:rPr>
          <w:sz w:val="22"/>
          <w:szCs w:val="22"/>
        </w:rPr>
        <w:t xml:space="preserve">.  </w:t>
      </w:r>
      <w:r w:rsidRPr="00752EA4">
        <w:rPr>
          <w:rFonts w:eastAsia="MS Mincho"/>
          <w:sz w:val="22"/>
          <w:szCs w:val="22"/>
        </w:rPr>
        <w:t>Regardless of the form of payment, a completed FCC Form 159 (Remittance Advice) must be submitted.</w:t>
      </w:r>
      <w:r w:rsidRPr="00752EA4">
        <w:rPr>
          <w:rStyle w:val="FootnoteReference"/>
          <w:rFonts w:eastAsia="MS Mincho"/>
          <w:sz w:val="22"/>
          <w:szCs w:val="22"/>
        </w:rPr>
        <w:footnoteReference w:id="23"/>
      </w:r>
      <w:r w:rsidRPr="00752EA4">
        <w:rPr>
          <w:rFonts w:eastAsia="MS Mincho"/>
          <w:sz w:val="22"/>
          <w:szCs w:val="22"/>
        </w:rPr>
        <w:t xml:space="preserve">  When completing the FCC Form 159, enter the Account Number in block number 23A (call sign/other ID) and enter the letters “FORF” in block number 24A (payment type code).   </w:t>
      </w:r>
      <w:r w:rsidRPr="00752EA4">
        <w:rPr>
          <w:sz w:val="22"/>
          <w:szCs w:val="22"/>
        </w:rPr>
        <w:t>Below are additional instructions you should follow based on the form of payment you select:</w:t>
      </w:r>
    </w:p>
    <w:p w:rsidR="00A66F85" w:rsidRPr="00752EA4" w:rsidRDefault="00A66F85" w:rsidP="00E505E0">
      <w:pPr>
        <w:pStyle w:val="ParaNum"/>
        <w:numPr>
          <w:ilvl w:val="0"/>
          <w:numId w:val="27"/>
        </w:numPr>
        <w:tabs>
          <w:tab w:val="clear" w:pos="1440"/>
        </w:tabs>
        <w:autoSpaceDE/>
        <w:autoSpaceDN/>
        <w:adjustRightInd/>
        <w:spacing w:after="120"/>
        <w:jc w:val="left"/>
        <w:rPr>
          <w:rFonts w:eastAsia="MS Mincho"/>
          <w:sz w:val="22"/>
          <w:szCs w:val="22"/>
        </w:rPr>
      </w:pPr>
      <w:r w:rsidRPr="00752EA4">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752EA4">
            <w:rPr>
              <w:rFonts w:eastAsia="MS Mincho"/>
              <w:sz w:val="22"/>
              <w:szCs w:val="22"/>
            </w:rPr>
            <w:t>P.O. Box 979088</w:t>
          </w:r>
        </w:smartTag>
        <w:r w:rsidRPr="00752EA4">
          <w:rPr>
            <w:rFonts w:eastAsia="MS Mincho"/>
            <w:sz w:val="22"/>
            <w:szCs w:val="22"/>
          </w:rPr>
          <w:t xml:space="preserve">, </w:t>
        </w:r>
        <w:smartTag w:uri="urn:schemas-microsoft-com:office:smarttags" w:element="City">
          <w:r w:rsidRPr="00752EA4">
            <w:rPr>
              <w:rFonts w:eastAsia="MS Mincho"/>
              <w:sz w:val="22"/>
              <w:szCs w:val="22"/>
            </w:rPr>
            <w:t>St. Louis</w:t>
          </w:r>
        </w:smartTag>
        <w:r w:rsidRPr="00752EA4">
          <w:rPr>
            <w:rFonts w:eastAsia="MS Mincho"/>
            <w:sz w:val="22"/>
            <w:szCs w:val="22"/>
          </w:rPr>
          <w:t xml:space="preserve">, </w:t>
        </w:r>
        <w:smartTag w:uri="urn:schemas-microsoft-com:office:smarttags" w:element="State">
          <w:r w:rsidRPr="00752EA4">
            <w:rPr>
              <w:rFonts w:eastAsia="MS Mincho"/>
              <w:sz w:val="22"/>
              <w:szCs w:val="22"/>
            </w:rPr>
            <w:t>MO</w:t>
          </w:r>
        </w:smartTag>
        <w:r w:rsidRPr="00752EA4">
          <w:rPr>
            <w:rFonts w:eastAsia="MS Mincho"/>
            <w:sz w:val="22"/>
            <w:szCs w:val="22"/>
          </w:rPr>
          <w:t xml:space="preserve"> </w:t>
        </w:r>
        <w:smartTag w:uri="urn:schemas-microsoft-com:office:smarttags" w:element="PostalCode">
          <w:r w:rsidRPr="00752EA4">
            <w:rPr>
              <w:rFonts w:eastAsia="MS Mincho"/>
              <w:sz w:val="22"/>
              <w:szCs w:val="22"/>
            </w:rPr>
            <w:t>63197-9000</w:t>
          </w:r>
        </w:smartTag>
      </w:smartTag>
      <w:r w:rsidRPr="00752EA4">
        <w:rPr>
          <w:rFonts w:eastAsia="MS Mincho"/>
          <w:sz w:val="22"/>
          <w:szCs w:val="22"/>
        </w:rPr>
        <w:t xml:space="preserve">, or sent via overnight mail to U.S. Bank – Government Lockbox #979088, SL-MO-C2-GL, 1005 </w:t>
      </w:r>
      <w:smartTag w:uri="urn:schemas-microsoft-com:office:smarttags" w:element="PlaceName">
        <w:r w:rsidRPr="00752EA4">
          <w:rPr>
            <w:rFonts w:eastAsia="MS Mincho"/>
            <w:sz w:val="22"/>
            <w:szCs w:val="22"/>
          </w:rPr>
          <w:t>Convention</w:t>
        </w:r>
      </w:smartTag>
      <w:r w:rsidRPr="00752EA4">
        <w:rPr>
          <w:rFonts w:eastAsia="MS Mincho"/>
          <w:sz w:val="22"/>
          <w:szCs w:val="22"/>
        </w:rPr>
        <w:t xml:space="preserve"> </w:t>
      </w:r>
      <w:smartTag w:uri="urn:schemas-microsoft-com:office:smarttags" w:element="PlaceType">
        <w:r w:rsidRPr="00752EA4">
          <w:rPr>
            <w:rFonts w:eastAsia="MS Mincho"/>
            <w:sz w:val="22"/>
            <w:szCs w:val="22"/>
          </w:rPr>
          <w:t>Plaza</w:t>
        </w:r>
      </w:smartTag>
      <w:r w:rsidRPr="00752EA4">
        <w:rPr>
          <w:rFonts w:eastAsia="MS Mincho"/>
          <w:sz w:val="22"/>
          <w:szCs w:val="22"/>
        </w:rPr>
        <w:t xml:space="preserve">, </w:t>
      </w:r>
      <w:smartTag w:uri="urn:schemas-microsoft-com:office:smarttags" w:element="place">
        <w:smartTag w:uri="urn:schemas-microsoft-com:office:smarttags" w:element="City">
          <w:r w:rsidRPr="00752EA4">
            <w:rPr>
              <w:rFonts w:eastAsia="MS Mincho"/>
              <w:sz w:val="22"/>
              <w:szCs w:val="22"/>
            </w:rPr>
            <w:t>St. Louis</w:t>
          </w:r>
        </w:smartTag>
        <w:r w:rsidRPr="00752EA4">
          <w:rPr>
            <w:rFonts w:eastAsia="MS Mincho"/>
            <w:sz w:val="22"/>
            <w:szCs w:val="22"/>
          </w:rPr>
          <w:t xml:space="preserve">, </w:t>
        </w:r>
        <w:smartTag w:uri="urn:schemas-microsoft-com:office:smarttags" w:element="State">
          <w:r w:rsidRPr="00752EA4">
            <w:rPr>
              <w:rFonts w:eastAsia="MS Mincho"/>
              <w:sz w:val="22"/>
              <w:szCs w:val="22"/>
            </w:rPr>
            <w:t>MO</w:t>
          </w:r>
        </w:smartTag>
        <w:r w:rsidRPr="00752EA4">
          <w:rPr>
            <w:rFonts w:eastAsia="MS Mincho"/>
            <w:sz w:val="22"/>
            <w:szCs w:val="22"/>
          </w:rPr>
          <w:t xml:space="preserve"> </w:t>
        </w:r>
        <w:smartTag w:uri="urn:schemas-microsoft-com:office:smarttags" w:element="PostalCode">
          <w:r w:rsidRPr="00752EA4">
            <w:rPr>
              <w:rFonts w:eastAsia="MS Mincho"/>
              <w:sz w:val="22"/>
              <w:szCs w:val="22"/>
            </w:rPr>
            <w:t>63101</w:t>
          </w:r>
        </w:smartTag>
      </w:smartTag>
      <w:r w:rsidRPr="00752EA4">
        <w:rPr>
          <w:rFonts w:eastAsia="MS Mincho"/>
          <w:sz w:val="22"/>
          <w:szCs w:val="22"/>
        </w:rPr>
        <w:t xml:space="preserve">.  </w:t>
      </w:r>
    </w:p>
    <w:p w:rsidR="00A66F85" w:rsidRPr="00752EA4" w:rsidRDefault="00A66F85" w:rsidP="00E505E0">
      <w:pPr>
        <w:pStyle w:val="ParaNum"/>
        <w:numPr>
          <w:ilvl w:val="0"/>
          <w:numId w:val="27"/>
        </w:numPr>
        <w:tabs>
          <w:tab w:val="clear" w:pos="1440"/>
        </w:tabs>
        <w:autoSpaceDE/>
        <w:autoSpaceDN/>
        <w:adjustRightInd/>
        <w:spacing w:after="120"/>
        <w:jc w:val="left"/>
        <w:rPr>
          <w:rFonts w:eastAsia="MS Mincho"/>
          <w:sz w:val="22"/>
          <w:szCs w:val="22"/>
        </w:rPr>
      </w:pPr>
      <w:r w:rsidRPr="00752EA4">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752EA4" w:rsidRDefault="00A66F85" w:rsidP="00E505E0">
      <w:pPr>
        <w:pStyle w:val="ParaNum"/>
        <w:numPr>
          <w:ilvl w:val="0"/>
          <w:numId w:val="27"/>
        </w:numPr>
        <w:tabs>
          <w:tab w:val="clear" w:pos="1440"/>
        </w:tabs>
        <w:autoSpaceDE/>
        <w:autoSpaceDN/>
        <w:adjustRightInd/>
        <w:spacing w:after="120"/>
        <w:jc w:val="left"/>
        <w:rPr>
          <w:rFonts w:eastAsia="MS Mincho"/>
          <w:sz w:val="22"/>
          <w:szCs w:val="22"/>
        </w:rPr>
      </w:pPr>
      <w:r w:rsidRPr="00752EA4">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752EA4">
            <w:rPr>
              <w:rFonts w:eastAsia="MS Mincho"/>
              <w:sz w:val="22"/>
              <w:szCs w:val="22"/>
            </w:rPr>
            <w:t>P.O. Box 979088</w:t>
          </w:r>
        </w:smartTag>
        <w:r w:rsidRPr="00752EA4">
          <w:rPr>
            <w:rFonts w:eastAsia="MS Mincho"/>
            <w:sz w:val="22"/>
            <w:szCs w:val="22"/>
          </w:rPr>
          <w:t xml:space="preserve">, </w:t>
        </w:r>
        <w:smartTag w:uri="urn:schemas-microsoft-com:office:smarttags" w:element="City">
          <w:r w:rsidRPr="00752EA4">
            <w:rPr>
              <w:rFonts w:eastAsia="MS Mincho"/>
              <w:sz w:val="22"/>
              <w:szCs w:val="22"/>
            </w:rPr>
            <w:t>St. Louis</w:t>
          </w:r>
        </w:smartTag>
        <w:r w:rsidRPr="00752EA4">
          <w:rPr>
            <w:rFonts w:eastAsia="MS Mincho"/>
            <w:sz w:val="22"/>
            <w:szCs w:val="22"/>
          </w:rPr>
          <w:t xml:space="preserve">, </w:t>
        </w:r>
        <w:smartTag w:uri="urn:schemas-microsoft-com:office:smarttags" w:element="State">
          <w:r w:rsidRPr="00752EA4">
            <w:rPr>
              <w:rFonts w:eastAsia="MS Mincho"/>
              <w:sz w:val="22"/>
              <w:szCs w:val="22"/>
            </w:rPr>
            <w:t>MO</w:t>
          </w:r>
        </w:smartTag>
        <w:r w:rsidRPr="00752EA4">
          <w:rPr>
            <w:rFonts w:eastAsia="MS Mincho"/>
            <w:sz w:val="22"/>
            <w:szCs w:val="22"/>
          </w:rPr>
          <w:t xml:space="preserve"> </w:t>
        </w:r>
        <w:smartTag w:uri="urn:schemas-microsoft-com:office:smarttags" w:element="PostalCode">
          <w:r w:rsidRPr="00752EA4">
            <w:rPr>
              <w:rFonts w:eastAsia="MS Mincho"/>
              <w:sz w:val="22"/>
              <w:szCs w:val="22"/>
            </w:rPr>
            <w:t>63197-9000</w:t>
          </w:r>
        </w:smartTag>
      </w:smartTag>
      <w:r w:rsidRPr="00752EA4">
        <w:rPr>
          <w:rFonts w:eastAsia="MS Mincho"/>
          <w:sz w:val="22"/>
          <w:szCs w:val="22"/>
        </w:rPr>
        <w:t xml:space="preserve">, or sent via overnight mail to U.S. Bank – Government Lockbox #979088, SL-MO-C2-GL, 1005 </w:t>
      </w:r>
      <w:smartTag w:uri="urn:schemas-microsoft-com:office:smarttags" w:element="PlaceName">
        <w:r w:rsidRPr="00752EA4">
          <w:rPr>
            <w:rFonts w:eastAsia="MS Mincho"/>
            <w:sz w:val="22"/>
            <w:szCs w:val="22"/>
          </w:rPr>
          <w:t>Convention</w:t>
        </w:r>
      </w:smartTag>
      <w:r w:rsidRPr="00752EA4">
        <w:rPr>
          <w:rFonts w:eastAsia="MS Mincho"/>
          <w:sz w:val="22"/>
          <w:szCs w:val="22"/>
        </w:rPr>
        <w:t xml:space="preserve"> </w:t>
      </w:r>
      <w:smartTag w:uri="urn:schemas-microsoft-com:office:smarttags" w:element="PlaceType">
        <w:r w:rsidRPr="00752EA4">
          <w:rPr>
            <w:rFonts w:eastAsia="MS Mincho"/>
            <w:sz w:val="22"/>
            <w:szCs w:val="22"/>
          </w:rPr>
          <w:t>Plaza</w:t>
        </w:r>
      </w:smartTag>
      <w:r w:rsidRPr="00752EA4">
        <w:rPr>
          <w:rFonts w:eastAsia="MS Mincho"/>
          <w:sz w:val="22"/>
          <w:szCs w:val="22"/>
        </w:rPr>
        <w:t xml:space="preserve">, </w:t>
      </w:r>
      <w:smartTag w:uri="urn:schemas-microsoft-com:office:smarttags" w:element="place">
        <w:smartTag w:uri="urn:schemas-microsoft-com:office:smarttags" w:element="City">
          <w:r w:rsidRPr="00752EA4">
            <w:rPr>
              <w:rFonts w:eastAsia="MS Mincho"/>
              <w:sz w:val="22"/>
              <w:szCs w:val="22"/>
            </w:rPr>
            <w:t>St. Louis</w:t>
          </w:r>
        </w:smartTag>
        <w:r w:rsidRPr="00752EA4">
          <w:rPr>
            <w:rFonts w:eastAsia="MS Mincho"/>
            <w:sz w:val="22"/>
            <w:szCs w:val="22"/>
          </w:rPr>
          <w:t xml:space="preserve">, </w:t>
        </w:r>
        <w:smartTag w:uri="urn:schemas-microsoft-com:office:smarttags" w:element="State">
          <w:r w:rsidRPr="00752EA4">
            <w:rPr>
              <w:rFonts w:eastAsia="MS Mincho"/>
              <w:sz w:val="22"/>
              <w:szCs w:val="22"/>
            </w:rPr>
            <w:t>MO</w:t>
          </w:r>
        </w:smartTag>
        <w:r w:rsidRPr="00752EA4">
          <w:rPr>
            <w:rFonts w:eastAsia="MS Mincho"/>
            <w:sz w:val="22"/>
            <w:szCs w:val="22"/>
          </w:rPr>
          <w:t xml:space="preserve"> </w:t>
        </w:r>
        <w:smartTag w:uri="urn:schemas-microsoft-com:office:smarttags" w:element="PostalCode">
          <w:r w:rsidRPr="00752EA4">
            <w:rPr>
              <w:rFonts w:eastAsia="MS Mincho"/>
              <w:sz w:val="22"/>
              <w:szCs w:val="22"/>
            </w:rPr>
            <w:t>63101</w:t>
          </w:r>
        </w:smartTag>
      </w:smartTag>
      <w:r w:rsidRPr="00752EA4">
        <w:rPr>
          <w:rFonts w:eastAsia="MS Mincho"/>
          <w:sz w:val="22"/>
          <w:szCs w:val="22"/>
        </w:rPr>
        <w:t xml:space="preserve">.  </w:t>
      </w:r>
    </w:p>
    <w:p w:rsidR="00A66F85" w:rsidRPr="00752EA4" w:rsidRDefault="00A66F85"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rFonts w:eastAsia="MS Mincho"/>
          <w:sz w:val="22"/>
          <w:szCs w:val="22"/>
        </w:rPr>
        <w:t xml:space="preserve">Any request for </w:t>
      </w:r>
      <w:r w:rsidR="00D13FA6" w:rsidRPr="00752EA4">
        <w:rPr>
          <w:rFonts w:eastAsia="MS Mincho"/>
          <w:sz w:val="22"/>
          <w:szCs w:val="22"/>
        </w:rPr>
        <w:t xml:space="preserve">making </w:t>
      </w:r>
      <w:r w:rsidRPr="00752EA4">
        <w:rPr>
          <w:rFonts w:eastAsia="MS Mincho"/>
          <w:sz w:val="22"/>
          <w:szCs w:val="22"/>
        </w:rPr>
        <w:t xml:space="preserve">full payment </w:t>
      </w:r>
      <w:r w:rsidR="00D13FA6" w:rsidRPr="00752EA4">
        <w:rPr>
          <w:rFonts w:eastAsia="MS Mincho"/>
          <w:sz w:val="22"/>
          <w:szCs w:val="22"/>
        </w:rPr>
        <w:t xml:space="preserve">over time </w:t>
      </w:r>
      <w:r w:rsidRPr="00752EA4">
        <w:rPr>
          <w:rFonts w:eastAsia="MS Mincho"/>
          <w:sz w:val="22"/>
          <w:szCs w:val="22"/>
        </w:rPr>
        <w:t>under an installment plan should be sent to:  Chief Financial Officer—Financial Operations, Federal Communications Commission, 445 12th Street, S.W., Room 1-A625, Washington, D.C.  20554.</w:t>
      </w:r>
      <w:r w:rsidRPr="00752EA4">
        <w:rPr>
          <w:rStyle w:val="FootnoteReference"/>
          <w:rFonts w:eastAsia="MS Mincho"/>
          <w:sz w:val="22"/>
          <w:szCs w:val="22"/>
        </w:rPr>
        <w:footnoteReference w:id="24"/>
      </w:r>
      <w:r w:rsidRPr="00752EA4">
        <w:rPr>
          <w:rFonts w:eastAsia="MS Mincho"/>
          <w:sz w:val="22"/>
          <w:szCs w:val="22"/>
        </w:rPr>
        <w:t>  If you have questions regarding payment procedures, please contact the Financial Operations Group Help Desk by phone, 1-877-480-3201, or by e</w:t>
      </w:r>
      <w:r w:rsidRPr="00752EA4">
        <w:rPr>
          <w:rFonts w:eastAsia="MS Mincho"/>
          <w:sz w:val="22"/>
          <w:szCs w:val="22"/>
        </w:rPr>
        <w:noBreakHyphen/>
        <w:t>mail, ARINQUIRIES@fcc.gov.   </w:t>
      </w:r>
    </w:p>
    <w:p w:rsidR="00050854" w:rsidRPr="00752EA4" w:rsidRDefault="00392410"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sz w:val="22"/>
          <w:szCs w:val="22"/>
          <w:lang w:bidi="he-IL"/>
        </w:rPr>
        <w:t xml:space="preserve"> </w:t>
      </w:r>
      <w:r w:rsidR="007E2E05" w:rsidRPr="00752EA4">
        <w:rPr>
          <w:sz w:val="22"/>
          <w:szCs w:val="22"/>
        </w:rPr>
        <w:t>The written statement seeking reduction or cancellation of the proposed forfeiture, if any, must include a detailed factual statement supported by appropriate documentat</w:t>
      </w:r>
      <w:r w:rsidR="00D57AE2" w:rsidRPr="00752EA4">
        <w:rPr>
          <w:sz w:val="22"/>
          <w:szCs w:val="22"/>
        </w:rPr>
        <w:t>ion and affidavits pursuant to S</w:t>
      </w:r>
      <w:r w:rsidR="007E2E05" w:rsidRPr="00752EA4">
        <w:rPr>
          <w:sz w:val="22"/>
          <w:szCs w:val="22"/>
        </w:rPr>
        <w:t xml:space="preserve">ections </w:t>
      </w:r>
      <w:r w:rsidR="00F30E61" w:rsidRPr="00752EA4">
        <w:rPr>
          <w:sz w:val="22"/>
          <w:szCs w:val="22"/>
        </w:rPr>
        <w:t xml:space="preserve">1.16 and </w:t>
      </w:r>
      <w:r w:rsidR="007E2E05" w:rsidRPr="00752EA4">
        <w:rPr>
          <w:sz w:val="22"/>
          <w:szCs w:val="22"/>
        </w:rPr>
        <w:t>1.80(f)(3) of the Rules.</w:t>
      </w:r>
      <w:r w:rsidR="003E2AD5" w:rsidRPr="00752EA4">
        <w:rPr>
          <w:rStyle w:val="FootnoteReference"/>
          <w:sz w:val="22"/>
          <w:szCs w:val="22"/>
        </w:rPr>
        <w:footnoteReference w:id="25"/>
      </w:r>
      <w:r w:rsidR="007E2E05" w:rsidRPr="00752EA4">
        <w:rPr>
          <w:sz w:val="22"/>
          <w:szCs w:val="22"/>
        </w:rPr>
        <w:t xml:space="preserve">  Mail the written statement to Federal Communications Commission, Enforcement Bureau,</w:t>
      </w:r>
      <w:r w:rsidR="00050854" w:rsidRPr="00752EA4">
        <w:rPr>
          <w:spacing w:val="-2"/>
          <w:sz w:val="22"/>
          <w:szCs w:val="22"/>
        </w:rPr>
        <w:t xml:space="preserve"> </w:t>
      </w:r>
      <w:r w:rsidR="007148AF" w:rsidRPr="00752EA4">
        <w:rPr>
          <w:spacing w:val="-2"/>
          <w:sz w:val="22"/>
          <w:szCs w:val="22"/>
        </w:rPr>
        <w:t>Western</w:t>
      </w:r>
      <w:r w:rsidR="00EB57F9" w:rsidRPr="00752EA4">
        <w:rPr>
          <w:spacing w:val="-2"/>
          <w:sz w:val="22"/>
          <w:szCs w:val="22"/>
        </w:rPr>
        <w:t xml:space="preserve"> </w:t>
      </w:r>
      <w:r w:rsidR="00050854" w:rsidRPr="00752EA4">
        <w:rPr>
          <w:spacing w:val="-2"/>
          <w:sz w:val="22"/>
          <w:szCs w:val="22"/>
        </w:rPr>
        <w:t xml:space="preserve">Region, </w:t>
      </w:r>
      <w:r w:rsidR="007148AF" w:rsidRPr="00752EA4">
        <w:rPr>
          <w:spacing w:val="-2"/>
          <w:sz w:val="22"/>
          <w:szCs w:val="22"/>
        </w:rPr>
        <w:t>Los Angeles Office, 18000 Studebaker Rd.</w:t>
      </w:r>
      <w:r w:rsidR="00E43D70">
        <w:rPr>
          <w:spacing w:val="-2"/>
          <w:sz w:val="22"/>
          <w:szCs w:val="22"/>
        </w:rPr>
        <w:t>, Suite 660</w:t>
      </w:r>
      <w:r w:rsidR="007148AF" w:rsidRPr="00752EA4">
        <w:rPr>
          <w:spacing w:val="-2"/>
          <w:sz w:val="22"/>
          <w:szCs w:val="22"/>
        </w:rPr>
        <w:t xml:space="preserve">, </w:t>
      </w:r>
      <w:r w:rsidR="007B425B">
        <w:rPr>
          <w:spacing w:val="-2"/>
          <w:sz w:val="22"/>
          <w:szCs w:val="22"/>
        </w:rPr>
        <w:t>Cerritos</w:t>
      </w:r>
      <w:r w:rsidR="007148AF" w:rsidRPr="00752EA4">
        <w:rPr>
          <w:spacing w:val="-2"/>
          <w:sz w:val="22"/>
          <w:szCs w:val="22"/>
        </w:rPr>
        <w:t xml:space="preserve">, CA </w:t>
      </w:r>
      <w:r w:rsidR="007148AF" w:rsidRPr="00CB4791">
        <w:rPr>
          <w:spacing w:val="-2"/>
          <w:sz w:val="22"/>
          <w:szCs w:val="22"/>
        </w:rPr>
        <w:t>90703</w:t>
      </w:r>
      <w:r w:rsidR="00F30E61" w:rsidRPr="00CB4791">
        <w:rPr>
          <w:spacing w:val="-2"/>
          <w:sz w:val="22"/>
          <w:szCs w:val="22"/>
        </w:rPr>
        <w:t>,</w:t>
      </w:r>
      <w:r w:rsidR="00050854" w:rsidRPr="00CB4791">
        <w:rPr>
          <w:spacing w:val="-2"/>
          <w:sz w:val="22"/>
          <w:szCs w:val="22"/>
        </w:rPr>
        <w:t xml:space="preserve"> and</w:t>
      </w:r>
      <w:r w:rsidR="00050854" w:rsidRPr="00752EA4">
        <w:rPr>
          <w:spacing w:val="-2"/>
          <w:sz w:val="22"/>
          <w:szCs w:val="22"/>
        </w:rPr>
        <w:t xml:space="preserve"> include the NAL/Acct. No. referenced in the caption.</w:t>
      </w:r>
      <w:r w:rsidR="00683F6F" w:rsidRPr="00752EA4">
        <w:rPr>
          <w:spacing w:val="-2"/>
          <w:sz w:val="22"/>
          <w:szCs w:val="22"/>
        </w:rPr>
        <w:t xml:space="preserve">  </w:t>
      </w:r>
      <w:r w:rsidR="0033284E">
        <w:rPr>
          <w:spacing w:val="-2"/>
          <w:sz w:val="22"/>
          <w:szCs w:val="22"/>
        </w:rPr>
        <w:t>AT&amp;T Services</w:t>
      </w:r>
      <w:r w:rsidR="00683F6F" w:rsidRPr="00752EA4">
        <w:rPr>
          <w:spacing w:val="-2"/>
          <w:sz w:val="22"/>
          <w:szCs w:val="22"/>
        </w:rPr>
        <w:t xml:space="preserve"> </w:t>
      </w:r>
      <w:r w:rsidR="005F67D7" w:rsidRPr="00752EA4">
        <w:rPr>
          <w:spacing w:val="-2"/>
          <w:sz w:val="22"/>
          <w:szCs w:val="22"/>
        </w:rPr>
        <w:t xml:space="preserve">also </w:t>
      </w:r>
      <w:r w:rsidR="00683F6F" w:rsidRPr="00752EA4">
        <w:rPr>
          <w:spacing w:val="-2"/>
          <w:sz w:val="22"/>
          <w:szCs w:val="22"/>
        </w:rPr>
        <w:t>shall e</w:t>
      </w:r>
      <w:r w:rsidR="00C009F7" w:rsidRPr="00752EA4">
        <w:rPr>
          <w:spacing w:val="-2"/>
          <w:sz w:val="22"/>
          <w:szCs w:val="22"/>
        </w:rPr>
        <w:t>-</w:t>
      </w:r>
      <w:r w:rsidR="00683F6F" w:rsidRPr="00752EA4">
        <w:rPr>
          <w:spacing w:val="-2"/>
          <w:sz w:val="22"/>
          <w:szCs w:val="22"/>
        </w:rPr>
        <w:t xml:space="preserve">mail the written response to </w:t>
      </w:r>
      <w:smartTag w:uri="urn:schemas-microsoft-com:office:smarttags" w:element="PersonName">
        <w:r w:rsidR="00683F6F" w:rsidRPr="00752EA4">
          <w:rPr>
            <w:sz w:val="22"/>
            <w:szCs w:val="22"/>
          </w:rPr>
          <w:t>WR-Response</w:t>
        </w:r>
      </w:smartTag>
      <w:r w:rsidR="00683F6F" w:rsidRPr="00752EA4">
        <w:rPr>
          <w:sz w:val="22"/>
          <w:szCs w:val="22"/>
        </w:rPr>
        <w:t>@fcc.gov.</w:t>
      </w:r>
    </w:p>
    <w:p w:rsidR="00050854" w:rsidRPr="00752EA4" w:rsidRDefault="00050854"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spacing w:val="-2"/>
          <w:sz w:val="22"/>
          <w:szCs w:val="22"/>
        </w:rPr>
        <w:t xml:space="preserve">The Commission will not consider reducing or canceling a forfeiture in response to a claim of inability to pay unless the petitioner submits: </w:t>
      </w:r>
      <w:r w:rsidR="00F30E61" w:rsidRPr="00752EA4">
        <w:rPr>
          <w:spacing w:val="-2"/>
          <w:sz w:val="22"/>
          <w:szCs w:val="22"/>
        </w:rPr>
        <w:t xml:space="preserve"> </w:t>
      </w:r>
      <w:r w:rsidRPr="00752EA4">
        <w:rPr>
          <w:spacing w:val="-2"/>
          <w:sz w:val="22"/>
          <w:szCs w:val="22"/>
        </w:rPr>
        <w:t>(1) federal tax returns for the most recent three-year period; (2) financial statements prepared according to generally accepted accounting pr</w:t>
      </w:r>
      <w:r w:rsidR="00D13FA6" w:rsidRPr="00752EA4">
        <w:rPr>
          <w:spacing w:val="-2"/>
          <w:sz w:val="22"/>
          <w:szCs w:val="22"/>
        </w:rPr>
        <w:t>inciples</w:t>
      </w:r>
      <w:r w:rsidRPr="00752EA4">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752EA4" w:rsidRDefault="00050854" w:rsidP="00E505E0">
      <w:pPr>
        <w:widowControl/>
        <w:numPr>
          <w:ilvl w:val="0"/>
          <w:numId w:val="22"/>
        </w:numPr>
        <w:tabs>
          <w:tab w:val="clear" w:pos="1260"/>
          <w:tab w:val="left" w:pos="0"/>
          <w:tab w:val="num" w:pos="1440"/>
        </w:tabs>
        <w:suppressAutoHyphens/>
        <w:spacing w:after="120"/>
        <w:ind w:left="0"/>
        <w:rPr>
          <w:spacing w:val="-2"/>
          <w:sz w:val="22"/>
          <w:szCs w:val="22"/>
        </w:rPr>
      </w:pPr>
      <w:r w:rsidRPr="00752EA4">
        <w:rPr>
          <w:b/>
          <w:spacing w:val="-2"/>
          <w:sz w:val="22"/>
          <w:szCs w:val="22"/>
        </w:rPr>
        <w:t>IT IS FURTHER ORDERED</w:t>
      </w:r>
      <w:r w:rsidRPr="00752EA4">
        <w:rPr>
          <w:spacing w:val="-2"/>
          <w:sz w:val="22"/>
          <w:szCs w:val="22"/>
        </w:rPr>
        <w:t xml:space="preserve"> </w:t>
      </w:r>
      <w:r w:rsidR="003F3CFD" w:rsidRPr="0017678C">
        <w:rPr>
          <w:spacing w:val="-2"/>
          <w:sz w:val="22"/>
          <w:szCs w:val="22"/>
        </w:rPr>
        <w:t>that</w:t>
      </w:r>
      <w:r w:rsidRPr="0017678C">
        <w:rPr>
          <w:spacing w:val="-2"/>
          <w:sz w:val="22"/>
          <w:szCs w:val="22"/>
        </w:rPr>
        <w:t xml:space="preserve"> a copy of this Notice of Apparent Liability for Forfeiture shall be sent by </w:t>
      </w:r>
      <w:r w:rsidR="00683F6F" w:rsidRPr="0017678C">
        <w:rPr>
          <w:spacing w:val="-2"/>
          <w:sz w:val="22"/>
          <w:szCs w:val="22"/>
        </w:rPr>
        <w:t xml:space="preserve">both </w:t>
      </w:r>
      <w:r w:rsidRPr="0017678C">
        <w:rPr>
          <w:spacing w:val="-2"/>
          <w:sz w:val="22"/>
          <w:szCs w:val="22"/>
        </w:rPr>
        <w:t xml:space="preserve">Certified Mail, Return Receipt Requested, and </w:t>
      </w:r>
      <w:r w:rsidR="008C26F7" w:rsidRPr="0017678C">
        <w:rPr>
          <w:spacing w:val="-2"/>
          <w:sz w:val="22"/>
          <w:szCs w:val="22"/>
        </w:rPr>
        <w:t xml:space="preserve">first class </w:t>
      </w:r>
      <w:r w:rsidRPr="0017678C">
        <w:rPr>
          <w:spacing w:val="-2"/>
          <w:sz w:val="22"/>
          <w:szCs w:val="22"/>
        </w:rPr>
        <w:t xml:space="preserve">mail to </w:t>
      </w:r>
      <w:r w:rsidR="0033284E">
        <w:rPr>
          <w:spacing w:val="-2"/>
          <w:sz w:val="22"/>
          <w:szCs w:val="22"/>
        </w:rPr>
        <w:t>AT&amp;T Services</w:t>
      </w:r>
      <w:r w:rsidR="00E505E0">
        <w:rPr>
          <w:spacing w:val="-2"/>
          <w:sz w:val="22"/>
          <w:szCs w:val="22"/>
        </w:rPr>
        <w:t>,</w:t>
      </w:r>
      <w:r w:rsidR="007148AF" w:rsidRPr="0017678C">
        <w:rPr>
          <w:spacing w:val="-2"/>
          <w:sz w:val="22"/>
          <w:szCs w:val="22"/>
        </w:rPr>
        <w:t xml:space="preserve"> Inc., 1120 20</w:t>
      </w:r>
      <w:r w:rsidR="007148AF" w:rsidRPr="0017678C">
        <w:rPr>
          <w:spacing w:val="-2"/>
          <w:sz w:val="22"/>
          <w:szCs w:val="22"/>
          <w:vertAlign w:val="superscript"/>
        </w:rPr>
        <w:t>th</w:t>
      </w:r>
      <w:r w:rsidR="007148AF" w:rsidRPr="0017678C">
        <w:rPr>
          <w:spacing w:val="-2"/>
          <w:sz w:val="22"/>
          <w:szCs w:val="22"/>
        </w:rPr>
        <w:t xml:space="preserve"> St. N.W., Suite 1000, Washington, D.C. 20036</w:t>
      </w:r>
      <w:r w:rsidR="00716561" w:rsidRPr="0017678C">
        <w:rPr>
          <w:spacing w:val="-2"/>
          <w:sz w:val="22"/>
          <w:szCs w:val="22"/>
        </w:rPr>
        <w:t>.</w:t>
      </w:r>
      <w:r w:rsidRPr="00752EA4">
        <w:rPr>
          <w:b/>
          <w:spacing w:val="-2"/>
          <w:sz w:val="22"/>
          <w:szCs w:val="22"/>
        </w:rPr>
        <w:t xml:space="preserve"> </w:t>
      </w:r>
    </w:p>
    <w:p w:rsidR="00331410" w:rsidRPr="00752EA4" w:rsidRDefault="00331410" w:rsidP="00E505E0">
      <w:pPr>
        <w:widowControl/>
        <w:tabs>
          <w:tab w:val="left" w:pos="0"/>
        </w:tabs>
        <w:suppressAutoHyphens/>
        <w:rPr>
          <w:spacing w:val="-2"/>
          <w:sz w:val="22"/>
          <w:szCs w:val="22"/>
        </w:rPr>
      </w:pPr>
    </w:p>
    <w:p w:rsidR="00050854" w:rsidRPr="00752EA4" w:rsidRDefault="00050854" w:rsidP="00E505E0">
      <w:pPr>
        <w:widowControl/>
        <w:tabs>
          <w:tab w:val="left" w:pos="0"/>
          <w:tab w:val="num" w:pos="1440"/>
        </w:tabs>
        <w:suppressAutoHyphens/>
        <w:jc w:val="both"/>
        <w:rPr>
          <w:spacing w:val="-2"/>
          <w:sz w:val="22"/>
          <w:szCs w:val="22"/>
        </w:rPr>
      </w:pPr>
    </w:p>
    <w:p w:rsidR="00050854" w:rsidRPr="00752EA4" w:rsidRDefault="00331410" w:rsidP="00E505E0">
      <w:pPr>
        <w:widowControl/>
        <w:tabs>
          <w:tab w:val="left" w:pos="0"/>
          <w:tab w:val="num" w:pos="1440"/>
        </w:tabs>
        <w:suppressAutoHyphens/>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00050854" w:rsidRPr="00752EA4">
        <w:rPr>
          <w:spacing w:val="-2"/>
          <w:sz w:val="22"/>
          <w:szCs w:val="22"/>
        </w:rPr>
        <w:t>FEDERAL COMMUNICATIONS COMMISSION</w:t>
      </w:r>
    </w:p>
    <w:p w:rsidR="00050854" w:rsidRPr="00752EA4" w:rsidRDefault="00050854" w:rsidP="00E505E0">
      <w:pPr>
        <w:widowControl/>
        <w:tabs>
          <w:tab w:val="left" w:pos="0"/>
          <w:tab w:val="num" w:pos="1440"/>
        </w:tabs>
        <w:suppressAutoHyphens/>
        <w:jc w:val="both"/>
        <w:rPr>
          <w:spacing w:val="-2"/>
          <w:sz w:val="22"/>
          <w:szCs w:val="22"/>
        </w:rPr>
      </w:pPr>
    </w:p>
    <w:p w:rsidR="00050854" w:rsidRPr="00752EA4" w:rsidRDefault="00050854" w:rsidP="00E505E0">
      <w:pPr>
        <w:widowControl/>
        <w:tabs>
          <w:tab w:val="left" w:pos="0"/>
          <w:tab w:val="num" w:pos="1440"/>
        </w:tabs>
        <w:suppressAutoHyphens/>
        <w:jc w:val="both"/>
        <w:rPr>
          <w:spacing w:val="-2"/>
          <w:sz w:val="22"/>
          <w:szCs w:val="22"/>
        </w:rPr>
      </w:pPr>
    </w:p>
    <w:p w:rsidR="00050854" w:rsidRPr="00752EA4" w:rsidRDefault="00050854" w:rsidP="00E505E0">
      <w:pPr>
        <w:widowControl/>
        <w:tabs>
          <w:tab w:val="left" w:pos="0"/>
          <w:tab w:val="num" w:pos="1440"/>
        </w:tabs>
        <w:suppressAutoHyphens/>
        <w:jc w:val="both"/>
        <w:rPr>
          <w:spacing w:val="-2"/>
          <w:sz w:val="22"/>
          <w:szCs w:val="22"/>
        </w:rPr>
      </w:pPr>
    </w:p>
    <w:p w:rsidR="00331410" w:rsidRPr="00752EA4" w:rsidRDefault="00050854" w:rsidP="00E505E0">
      <w:pPr>
        <w:widowControl/>
        <w:tabs>
          <w:tab w:val="left" w:pos="0"/>
          <w:tab w:val="num" w:pos="1440"/>
        </w:tabs>
        <w:suppressAutoHyphens/>
        <w:jc w:val="both"/>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p>
    <w:p w:rsidR="00050854" w:rsidRPr="00752EA4" w:rsidRDefault="00331410" w:rsidP="00E505E0">
      <w:pPr>
        <w:widowControl/>
        <w:tabs>
          <w:tab w:val="left" w:pos="0"/>
          <w:tab w:val="num" w:pos="1440"/>
        </w:tabs>
        <w:suppressAutoHyphens/>
        <w:jc w:val="both"/>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00050854" w:rsidRPr="00752EA4">
        <w:rPr>
          <w:spacing w:val="-2"/>
          <w:sz w:val="22"/>
          <w:szCs w:val="22"/>
        </w:rPr>
        <w:tab/>
      </w:r>
      <w:r w:rsidR="007148AF" w:rsidRPr="00752EA4">
        <w:rPr>
          <w:spacing w:val="-2"/>
          <w:sz w:val="22"/>
          <w:szCs w:val="22"/>
        </w:rPr>
        <w:t>Charles A. Cooper</w:t>
      </w:r>
    </w:p>
    <w:p w:rsidR="00050854" w:rsidRPr="00752EA4" w:rsidRDefault="00050854" w:rsidP="00E505E0">
      <w:pPr>
        <w:widowControl/>
        <w:tabs>
          <w:tab w:val="left" w:pos="0"/>
          <w:tab w:val="num" w:pos="1440"/>
        </w:tabs>
        <w:suppressAutoHyphens/>
        <w:jc w:val="both"/>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00331410" w:rsidRPr="00752EA4">
        <w:rPr>
          <w:spacing w:val="-2"/>
          <w:sz w:val="22"/>
          <w:szCs w:val="22"/>
        </w:rPr>
        <w:tab/>
      </w:r>
      <w:r w:rsidR="007148AF" w:rsidRPr="00752EA4">
        <w:rPr>
          <w:spacing w:val="-2"/>
          <w:sz w:val="22"/>
          <w:szCs w:val="22"/>
        </w:rPr>
        <w:t>District Director</w:t>
      </w:r>
      <w:r w:rsidRPr="00752EA4">
        <w:rPr>
          <w:spacing w:val="-2"/>
          <w:sz w:val="22"/>
          <w:szCs w:val="22"/>
        </w:rPr>
        <w:t xml:space="preserve"> </w:t>
      </w:r>
    </w:p>
    <w:p w:rsidR="00050854" w:rsidRPr="00752EA4" w:rsidRDefault="00050854" w:rsidP="00E505E0">
      <w:pPr>
        <w:widowControl/>
        <w:tabs>
          <w:tab w:val="left" w:pos="0"/>
          <w:tab w:val="num" w:pos="1440"/>
        </w:tabs>
        <w:suppressAutoHyphens/>
        <w:jc w:val="both"/>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smartTag w:uri="urn:schemas-microsoft-com:office:smarttags" w:element="City">
        <w:smartTag w:uri="urn:schemas-microsoft-com:office:smarttags" w:element="place">
          <w:r w:rsidR="007148AF" w:rsidRPr="00752EA4">
            <w:rPr>
              <w:spacing w:val="-2"/>
              <w:sz w:val="22"/>
              <w:szCs w:val="22"/>
            </w:rPr>
            <w:t>Los Angeles</w:t>
          </w:r>
        </w:smartTag>
      </w:smartTag>
      <w:r w:rsidR="007148AF" w:rsidRPr="00752EA4">
        <w:rPr>
          <w:spacing w:val="-2"/>
          <w:sz w:val="22"/>
          <w:szCs w:val="22"/>
        </w:rPr>
        <w:t xml:space="preserve"> </w:t>
      </w:r>
      <w:r w:rsidRPr="00752EA4">
        <w:rPr>
          <w:spacing w:val="-2"/>
          <w:sz w:val="22"/>
          <w:szCs w:val="22"/>
        </w:rPr>
        <w:t>Office</w:t>
      </w:r>
    </w:p>
    <w:p w:rsidR="00050854" w:rsidRPr="00752EA4" w:rsidRDefault="000A0EEE" w:rsidP="00E505E0">
      <w:pPr>
        <w:widowControl/>
        <w:tabs>
          <w:tab w:val="left" w:pos="0"/>
          <w:tab w:val="num" w:pos="1440"/>
        </w:tabs>
        <w:suppressAutoHyphens/>
        <w:jc w:val="both"/>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00336687" w:rsidRPr="00752EA4">
        <w:rPr>
          <w:spacing w:val="-2"/>
          <w:sz w:val="22"/>
          <w:szCs w:val="22"/>
        </w:rPr>
        <w:t xml:space="preserve">Western </w:t>
      </w:r>
      <w:r w:rsidR="00050854" w:rsidRPr="00752EA4">
        <w:rPr>
          <w:spacing w:val="-2"/>
          <w:sz w:val="22"/>
          <w:szCs w:val="22"/>
        </w:rPr>
        <w:t>Region</w:t>
      </w:r>
    </w:p>
    <w:p w:rsidR="00050854" w:rsidRPr="00752EA4" w:rsidRDefault="00050854" w:rsidP="00E505E0">
      <w:pPr>
        <w:widowControl/>
        <w:tabs>
          <w:tab w:val="left" w:pos="0"/>
          <w:tab w:val="num" w:pos="1440"/>
        </w:tabs>
        <w:suppressAutoHyphens/>
        <w:jc w:val="both"/>
        <w:rPr>
          <w:spacing w:val="-2"/>
          <w:sz w:val="22"/>
          <w:szCs w:val="22"/>
        </w:rPr>
      </w:pP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r>
      <w:r w:rsidRPr="00752EA4">
        <w:rPr>
          <w:spacing w:val="-2"/>
          <w:sz w:val="22"/>
          <w:szCs w:val="22"/>
        </w:rPr>
        <w:tab/>
        <w:t>Enforcement Bureau</w:t>
      </w:r>
    </w:p>
    <w:p w:rsidR="00050854" w:rsidRPr="00752EA4" w:rsidRDefault="00050854" w:rsidP="00E505E0">
      <w:pPr>
        <w:widowControl/>
        <w:tabs>
          <w:tab w:val="left" w:pos="0"/>
          <w:tab w:val="num" w:pos="1440"/>
        </w:tabs>
        <w:suppressAutoHyphens/>
        <w:jc w:val="both"/>
        <w:rPr>
          <w:spacing w:val="-2"/>
          <w:sz w:val="22"/>
          <w:szCs w:val="22"/>
        </w:rPr>
      </w:pPr>
    </w:p>
    <w:p w:rsidR="009F6C24" w:rsidRPr="00752EA4" w:rsidRDefault="009F6C24" w:rsidP="00E505E0">
      <w:pPr>
        <w:widowControl/>
        <w:tabs>
          <w:tab w:val="num" w:pos="1440"/>
        </w:tabs>
        <w:jc w:val="both"/>
        <w:rPr>
          <w:sz w:val="22"/>
          <w:szCs w:val="22"/>
        </w:rPr>
      </w:pPr>
    </w:p>
    <w:sectPr w:rsidR="009F6C24" w:rsidRPr="00752EA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1D" w:rsidRDefault="006D031D">
      <w:r>
        <w:separator/>
      </w:r>
    </w:p>
  </w:endnote>
  <w:endnote w:type="continuationSeparator" w:id="0">
    <w:p w:rsidR="006D031D" w:rsidRDefault="006D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1D" w:rsidRDefault="00C6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70" w:rsidRDefault="00E43D7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B479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1D" w:rsidRDefault="00C6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1D" w:rsidRDefault="006D031D">
      <w:r>
        <w:separator/>
      </w:r>
    </w:p>
  </w:footnote>
  <w:footnote w:type="continuationSeparator" w:id="0">
    <w:p w:rsidR="006D031D" w:rsidRDefault="006D031D">
      <w:r>
        <w:separator/>
      </w:r>
    </w:p>
    <w:p w:rsidR="006D031D" w:rsidRDefault="006D031D">
      <w:r>
        <w:t>(...continued from previous page)</w:t>
      </w:r>
    </w:p>
  </w:footnote>
  <w:footnote w:type="continuationNotice" w:id="1">
    <w:p w:rsidR="006D031D" w:rsidRDefault="006D031D">
      <w:pPr>
        <w:jc w:val="right"/>
      </w:pPr>
      <w:r>
        <w:t>(continued....)</w:t>
      </w:r>
    </w:p>
  </w:footnote>
  <w:footnote w:id="2">
    <w:p w:rsidR="00E43D70" w:rsidRDefault="00E43D70" w:rsidP="00BE6E2F">
      <w:pPr>
        <w:pStyle w:val="FootnoteText"/>
        <w:jc w:val="left"/>
      </w:pPr>
      <w:r>
        <w:rPr>
          <w:rStyle w:val="FootnoteReference"/>
        </w:rPr>
        <w:footnoteRef/>
      </w:r>
      <w:r>
        <w:t xml:space="preserve"> 47 U.S.C. § 303(q); 47 C.F.R. §§ 17.4(a), 17.21(a).</w:t>
      </w:r>
    </w:p>
  </w:footnote>
  <w:footnote w:id="3">
    <w:p w:rsidR="00054534" w:rsidRDefault="00054534" w:rsidP="00054534">
      <w:pPr>
        <w:pStyle w:val="FootnoteText"/>
      </w:pPr>
      <w:r>
        <w:rPr>
          <w:rStyle w:val="FootnoteReference"/>
        </w:rPr>
        <w:footnoteRef/>
      </w:r>
      <w:r>
        <w:t xml:space="preserve"> Pursuant to Section 17.2(a) of the Rules, “[t]he term antenna structure includes the radiating and/or receive system, its supporting structures and any appurtenances mounted thereon.”  47 C.F.R. § 17.2(a).</w:t>
      </w:r>
    </w:p>
  </w:footnote>
  <w:footnote w:id="4">
    <w:p w:rsidR="005E1D9B" w:rsidRPr="005E1D9B" w:rsidRDefault="005E1D9B" w:rsidP="00DD485B">
      <w:pPr>
        <w:pStyle w:val="FootnoteText"/>
        <w:jc w:val="left"/>
        <w:rPr>
          <w:i/>
        </w:rPr>
      </w:pPr>
      <w:r>
        <w:rPr>
          <w:rStyle w:val="FootnoteReference"/>
        </w:rPr>
        <w:footnoteRef/>
      </w:r>
      <w:r>
        <w:t xml:space="preserve"> </w:t>
      </w:r>
      <w:r w:rsidR="00E04CC2">
        <w:t>Pacific Bell Telephone Company (PBTC) was listed in Los Angeles County real estate records as the owner of the property where the Antenna Structure was located.  Therefore, the referenced Notice of Violation was issued to PBTC.  AT&amp;T responded to the Notice of Violation, on behalf of its affiliate, PBTC, stating that AT&amp;T Services</w:t>
      </w:r>
      <w:r w:rsidR="00317508">
        <w:t xml:space="preserve">, Inc., has operational control over Pacific Bell Telephone Company’s tower operations. </w:t>
      </w:r>
      <w:r w:rsidR="001A5458">
        <w:t xml:space="preserve"> </w:t>
      </w:r>
      <w:r w:rsidR="00317508">
        <w:t>Consequently, this NAL is being issued to</w:t>
      </w:r>
      <w:r w:rsidR="00E04CC2">
        <w:t xml:space="preserve"> </w:t>
      </w:r>
      <w:r w:rsidR="00317508">
        <w:t xml:space="preserve">AT&amp;T. </w:t>
      </w:r>
      <w:r w:rsidR="001A5458">
        <w:t xml:space="preserve"> </w:t>
      </w:r>
      <w:r w:rsidR="001A5458">
        <w:rPr>
          <w:i/>
        </w:rPr>
        <w:t xml:space="preserve">See </w:t>
      </w:r>
      <w:r w:rsidR="00317508" w:rsidRPr="00317508">
        <w:t>Response to Notice of Violation by AT&amp;T Services, Inc. (June 12, 2013) (on file in EB-FIEL</w:t>
      </w:r>
      <w:r w:rsidR="00317508">
        <w:t xml:space="preserve">DWR-13-00008160) (NOV Response) at 3. </w:t>
      </w:r>
    </w:p>
  </w:footnote>
  <w:footnote w:id="5">
    <w:p w:rsidR="00E43D70" w:rsidRDefault="00E43D70">
      <w:pPr>
        <w:pStyle w:val="FootnoteText"/>
      </w:pPr>
      <w:r>
        <w:rPr>
          <w:rStyle w:val="FootnoteReference"/>
        </w:rPr>
        <w:footnoteRef/>
      </w:r>
      <w:r>
        <w:t xml:space="preserve"> </w:t>
      </w:r>
      <w:r w:rsidR="005E1D9B">
        <w:rPr>
          <w:i/>
        </w:rPr>
        <w:t xml:space="preserve">Pacific </w:t>
      </w:r>
      <w:r w:rsidR="001B7EE9">
        <w:rPr>
          <w:i/>
        </w:rPr>
        <w:t>B</w:t>
      </w:r>
      <w:r w:rsidR="005E1D9B">
        <w:rPr>
          <w:i/>
        </w:rPr>
        <w:t>ell Telephone Company</w:t>
      </w:r>
      <w:r>
        <w:t>, Notice of Violation, V201232900020 (May 9, 2013)</w:t>
      </w:r>
      <w:r w:rsidR="005E1D9B">
        <w:t>.</w:t>
      </w:r>
      <w:r>
        <w:t xml:space="preserve"> </w:t>
      </w:r>
      <w:r w:rsidR="001B7EE9">
        <w:t xml:space="preserve"> Section 17.7 of the Rules requires, among other things, a “notification to the Federal Aviation Administration is required, except as set forth in </w:t>
      </w:r>
      <w:r w:rsidR="001B7EE9" w:rsidRPr="001B7EE9">
        <w:t>§</w:t>
      </w:r>
      <w:r w:rsidR="001B7EE9">
        <w:t>17.14, for any of the following construction or alteration: (a) Any construction or alteration of more than 60.96 meters (200 feet) height above ground level at its site.”</w:t>
      </w:r>
    </w:p>
  </w:footnote>
  <w:footnote w:id="6">
    <w:p w:rsidR="001B7EE9" w:rsidRDefault="001B7EE9">
      <w:pPr>
        <w:pStyle w:val="FootnoteText"/>
      </w:pPr>
      <w:r>
        <w:rPr>
          <w:rStyle w:val="FootnoteReference"/>
        </w:rPr>
        <w:footnoteRef/>
      </w:r>
      <w:r w:rsidR="00D602B9">
        <w:t xml:space="preserve"> NOV Response</w:t>
      </w:r>
      <w:r w:rsidR="00317508">
        <w:t xml:space="preserve"> at 2</w:t>
      </w:r>
      <w:r w:rsidR="00D602B9">
        <w:t>.</w:t>
      </w:r>
    </w:p>
  </w:footnote>
  <w:footnote w:id="7">
    <w:p w:rsidR="001B7EE9" w:rsidRDefault="001B7EE9">
      <w:pPr>
        <w:pStyle w:val="FootnoteText"/>
      </w:pPr>
      <w:r>
        <w:rPr>
          <w:rStyle w:val="FootnoteReference"/>
        </w:rPr>
        <w:footnoteRef/>
      </w:r>
      <w:r>
        <w:t xml:space="preserve"> </w:t>
      </w:r>
      <w:r w:rsidR="00D602B9">
        <w:t xml:space="preserve">NOV Response at </w:t>
      </w:r>
      <w:r w:rsidR="00317508">
        <w:t>2</w:t>
      </w:r>
      <w:r w:rsidR="00D602B9">
        <w:t>.</w:t>
      </w:r>
    </w:p>
  </w:footnote>
  <w:footnote w:id="8">
    <w:p w:rsidR="00E43D70" w:rsidRDefault="00E43D70" w:rsidP="00BE6E2F">
      <w:pPr>
        <w:pStyle w:val="FootnoteText"/>
      </w:pPr>
      <w:r>
        <w:rPr>
          <w:rStyle w:val="FootnoteReference"/>
        </w:rPr>
        <w:footnoteRef/>
      </w:r>
      <w:r>
        <w:t xml:space="preserve"> 47 U.S.C. § 503(b).</w:t>
      </w:r>
    </w:p>
  </w:footnote>
  <w:footnote w:id="9">
    <w:p w:rsidR="00E43D70" w:rsidRDefault="00E43D70" w:rsidP="00BF1922">
      <w:pPr>
        <w:pStyle w:val="FootnoteText"/>
        <w:widowControl/>
      </w:pPr>
      <w:r>
        <w:rPr>
          <w:rStyle w:val="FootnoteReference"/>
        </w:rPr>
        <w:footnoteRef/>
      </w:r>
      <w:r>
        <w:t xml:space="preserve"> 47 U.S.C. § 312(f)(1).</w:t>
      </w:r>
    </w:p>
  </w:footnote>
  <w:footnote w:id="10">
    <w:p w:rsidR="00E43D70" w:rsidRDefault="00E43D70" w:rsidP="00BE6E2F">
      <w:pPr>
        <w:pStyle w:val="FootnoteText"/>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1">
    <w:p w:rsidR="00E43D70" w:rsidRPr="00484313" w:rsidRDefault="00E43D70" w:rsidP="00BE6E2F">
      <w:pPr>
        <w:pStyle w:val="FootnoteText"/>
        <w:jc w:val="left"/>
      </w:pPr>
      <w:r>
        <w:rPr>
          <w:rStyle w:val="FootnoteReference"/>
        </w:rPr>
        <w:footnoteRef/>
      </w:r>
      <w:r>
        <w:t xml:space="preserve"> </w:t>
      </w:r>
      <w:r>
        <w:rPr>
          <w:i/>
        </w:rPr>
        <w:t>See, e.g., Southern California Broadcasting Co.</w:t>
      </w:r>
      <w:r>
        <w:t xml:space="preserve">, Memorandum Opinion and Order, 6 FCC Rcd 4387, 4388 (1991), </w:t>
      </w:r>
      <w:r>
        <w:rPr>
          <w:i/>
        </w:rPr>
        <w:t xml:space="preserve">recons. denied, </w:t>
      </w:r>
      <w:r>
        <w:t>7 FCC Rcd 3454 (1992).</w:t>
      </w:r>
    </w:p>
  </w:footnote>
  <w:footnote w:id="12">
    <w:p w:rsidR="00E43D70" w:rsidRDefault="00E43D70" w:rsidP="00BE6E2F">
      <w:pPr>
        <w:pStyle w:val="FootnoteText"/>
        <w:jc w:val="left"/>
      </w:pPr>
      <w:r>
        <w:rPr>
          <w:rStyle w:val="FootnoteReference"/>
        </w:rPr>
        <w:footnoteRef/>
      </w:r>
      <w:r>
        <w:t xml:space="preserve"> </w:t>
      </w:r>
      <w:r>
        <w:rPr>
          <w:i/>
        </w:rPr>
        <w:t>See, e.g.,</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13">
    <w:p w:rsidR="00E43D70" w:rsidRDefault="00E43D70" w:rsidP="00BE6E2F">
      <w:pPr>
        <w:pStyle w:val="FootnoteText"/>
        <w:jc w:val="left"/>
      </w:pPr>
      <w:r>
        <w:rPr>
          <w:rStyle w:val="FootnoteReference"/>
        </w:rPr>
        <w:footnoteRef/>
      </w:r>
      <w:r>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 xml:space="preserve">at 1362. </w:t>
      </w:r>
    </w:p>
  </w:footnote>
  <w:footnote w:id="14">
    <w:p w:rsidR="00901096" w:rsidRPr="005F515C" w:rsidRDefault="00901096" w:rsidP="00901096">
      <w:pPr>
        <w:pStyle w:val="FootnoteText"/>
        <w:jc w:val="left"/>
        <w:rPr>
          <w:color w:val="000000"/>
        </w:rPr>
      </w:pPr>
      <w:r w:rsidRPr="005F515C">
        <w:rPr>
          <w:rStyle w:val="FootnoteReference"/>
          <w:color w:val="000000"/>
        </w:rPr>
        <w:footnoteRef/>
      </w:r>
      <w:r w:rsidRPr="005F515C">
        <w:rPr>
          <w:color w:val="000000"/>
        </w:rPr>
        <w:t xml:space="preserve"> 47 U.S.C. § 303(q).</w:t>
      </w:r>
    </w:p>
  </w:footnote>
  <w:footnote w:id="15">
    <w:p w:rsidR="00901096" w:rsidRDefault="00901096" w:rsidP="00901096">
      <w:pPr>
        <w:pStyle w:val="FootnoteText"/>
        <w:jc w:val="left"/>
      </w:pPr>
      <w:r>
        <w:rPr>
          <w:rStyle w:val="FootnoteReference"/>
        </w:rPr>
        <w:footnoteRef/>
      </w:r>
      <w:r>
        <w:t xml:space="preserve"> </w:t>
      </w:r>
      <w:r w:rsidRPr="005F515C">
        <w:rPr>
          <w:color w:val="000000"/>
        </w:rPr>
        <w:t xml:space="preserve">47 </w:t>
      </w:r>
      <w:r>
        <w:rPr>
          <w:color w:val="000000"/>
        </w:rPr>
        <w:t xml:space="preserve">C.F.R. </w:t>
      </w:r>
      <w:r w:rsidRPr="005F515C">
        <w:rPr>
          <w:color w:val="000000"/>
        </w:rPr>
        <w:t xml:space="preserve">§ </w:t>
      </w:r>
      <w:r>
        <w:rPr>
          <w:color w:val="000000"/>
        </w:rPr>
        <w:t>17.4(a)</w:t>
      </w:r>
      <w:r w:rsidRPr="005F515C">
        <w:rPr>
          <w:color w:val="000000"/>
        </w:rPr>
        <w:t>.</w:t>
      </w:r>
    </w:p>
  </w:footnote>
  <w:footnote w:id="16">
    <w:p w:rsidR="00901096" w:rsidRDefault="00901096" w:rsidP="00C90376">
      <w:pPr>
        <w:pStyle w:val="FootnoteText"/>
        <w:jc w:val="left"/>
      </w:pPr>
      <w:r>
        <w:rPr>
          <w:rStyle w:val="FootnoteReference"/>
        </w:rPr>
        <w:footnoteRef/>
      </w:r>
      <w:r>
        <w:t xml:space="preserve"> </w:t>
      </w:r>
      <w:r w:rsidRPr="005F515C">
        <w:rPr>
          <w:color w:val="000000"/>
        </w:rPr>
        <w:t xml:space="preserve">47 </w:t>
      </w:r>
      <w:r>
        <w:rPr>
          <w:color w:val="000000"/>
        </w:rPr>
        <w:t xml:space="preserve">C.F.R. </w:t>
      </w:r>
      <w:r w:rsidRPr="005F515C">
        <w:rPr>
          <w:color w:val="000000"/>
        </w:rPr>
        <w:t xml:space="preserve">§ </w:t>
      </w:r>
      <w:r w:rsidR="00C90376">
        <w:rPr>
          <w:color w:val="000000"/>
        </w:rPr>
        <w:t>17.21</w:t>
      </w:r>
      <w:r>
        <w:rPr>
          <w:color w:val="000000"/>
        </w:rPr>
        <w:t>(a)</w:t>
      </w:r>
      <w:r w:rsidRPr="005F515C">
        <w:rPr>
          <w:color w:val="000000"/>
        </w:rPr>
        <w:t>.</w:t>
      </w:r>
    </w:p>
  </w:footnote>
  <w:footnote w:id="17">
    <w:p w:rsidR="003261FF" w:rsidRDefault="003261FF" w:rsidP="003261FF">
      <w:pPr>
        <w:pStyle w:val="FootnoteText"/>
        <w:jc w:val="left"/>
      </w:pPr>
      <w:r>
        <w:rPr>
          <w:rStyle w:val="FootnoteReference"/>
        </w:rPr>
        <w:footnoteRef/>
      </w:r>
      <w:r>
        <w:t xml:space="preserve"> </w:t>
      </w:r>
      <w:r>
        <w:rPr>
          <w:i/>
        </w:rPr>
        <w:t>The Commission’s Forfeiture Policy Statement and Amendment of Section 1.80 of the Rules to Incorporate the Forfeiture Guidelines</w:t>
      </w:r>
      <w:r>
        <w:t>, Report and Order, 12 FCC Rcd 17087 (1997) (</w:t>
      </w:r>
      <w:r>
        <w:rPr>
          <w:i/>
        </w:rPr>
        <w:t>Forfeiture Policy Statement</w:t>
      </w:r>
      <w:r>
        <w:t xml:space="preserve">), </w:t>
      </w:r>
      <w:r>
        <w:rPr>
          <w:i/>
        </w:rPr>
        <w:t>recons. denied</w:t>
      </w:r>
      <w:r>
        <w:t>, 15 FCC Rcd 303 (1999); 47 C.F.R. § 1.80.</w:t>
      </w:r>
    </w:p>
  </w:footnote>
  <w:footnote w:id="18">
    <w:p w:rsidR="00860B4D" w:rsidRPr="003261FF" w:rsidRDefault="00860B4D" w:rsidP="003261FF">
      <w:pPr>
        <w:pStyle w:val="FootnoteText"/>
        <w:jc w:val="left"/>
      </w:pPr>
      <w:r>
        <w:rPr>
          <w:rStyle w:val="FootnoteReference"/>
        </w:rPr>
        <w:footnoteRef/>
      </w:r>
      <w:r w:rsidR="003261FF">
        <w:t xml:space="preserve"> </w:t>
      </w:r>
      <w:r w:rsidR="003261FF">
        <w:rPr>
          <w:i/>
        </w:rPr>
        <w:t>See Verizon Wireless (VAW) LLC,</w:t>
      </w:r>
      <w:r w:rsidR="003261FF">
        <w:t xml:space="preserve"> Forfeiture Order, 25 FCC Rcd 102 (Enf. Bur. 2010) (assessing a forfeiture of $13,000 for failure to register, </w:t>
      </w:r>
      <w:r w:rsidR="00920906">
        <w:t xml:space="preserve">and </w:t>
      </w:r>
      <w:r w:rsidR="003261FF">
        <w:t>paint and light, an antenna structure that exceeded 200 feet).</w:t>
      </w:r>
    </w:p>
  </w:footnote>
  <w:footnote w:id="19">
    <w:p w:rsidR="00F94C5F" w:rsidRDefault="00F94C5F" w:rsidP="00F94C5F">
      <w:pPr>
        <w:pStyle w:val="FootnoteText"/>
        <w:jc w:val="left"/>
      </w:pPr>
      <w:r>
        <w:rPr>
          <w:rStyle w:val="FootnoteReference"/>
        </w:rPr>
        <w:footnoteRef/>
      </w:r>
      <w:r>
        <w:t xml:space="preserve"> 47 U.S.C. § 503(b)(2)(E).</w:t>
      </w:r>
    </w:p>
  </w:footnote>
  <w:footnote w:id="20">
    <w:p w:rsidR="00BC763A" w:rsidRDefault="00BC763A">
      <w:pPr>
        <w:pStyle w:val="FootnoteText"/>
      </w:pPr>
      <w:r>
        <w:rPr>
          <w:rStyle w:val="FootnoteReference"/>
        </w:rPr>
        <w:footnoteRef/>
      </w:r>
      <w:r>
        <w:t xml:space="preserve"> </w:t>
      </w:r>
      <w:r w:rsidR="00F22E31">
        <w:t>AT&amp;T</w:t>
      </w:r>
      <w:r w:rsidR="0060653E">
        <w:t>, Inc.</w:t>
      </w:r>
      <w:r w:rsidR="00580FD1">
        <w:t>,</w:t>
      </w:r>
      <w:r w:rsidR="0060653E">
        <w:t xml:space="preserve"> reported operating revenues of $127,434,000,000 for 2012.</w:t>
      </w:r>
      <w:r w:rsidR="00E505E0">
        <w:t xml:space="preserve"> </w:t>
      </w:r>
      <w:r w:rsidR="0060653E">
        <w:t xml:space="preserve"> </w:t>
      </w:r>
      <w:r w:rsidR="0060653E">
        <w:rPr>
          <w:i/>
        </w:rPr>
        <w:t xml:space="preserve">See </w:t>
      </w:r>
      <w:r w:rsidR="0060653E">
        <w:t>AT&amp;T 2012 Annual Report at 30.</w:t>
      </w:r>
    </w:p>
  </w:footnote>
  <w:footnote w:id="21">
    <w:p w:rsidR="00BC763A" w:rsidRDefault="00BC763A" w:rsidP="00E505E0">
      <w:pPr>
        <w:pStyle w:val="FootnoteText"/>
        <w:jc w:val="left"/>
      </w:pPr>
      <w:r>
        <w:rPr>
          <w:rStyle w:val="FootnoteReference"/>
        </w:rPr>
        <w:footnoteRef/>
      </w:r>
      <w:r>
        <w:t xml:space="preserve"> </w:t>
      </w:r>
      <w:r w:rsidR="00E505E0" w:rsidRPr="0025429B">
        <w:rPr>
          <w:i/>
        </w:rPr>
        <w:t>See</w:t>
      </w:r>
      <w:r w:rsidR="00E505E0">
        <w:rPr>
          <w:i/>
        </w:rPr>
        <w:t>, e.g.</w:t>
      </w:r>
      <w:r w:rsidR="00E505E0">
        <w:t>,</w:t>
      </w:r>
      <w:r w:rsidR="00E505E0" w:rsidRPr="0025429B">
        <w:rPr>
          <w:i/>
        </w:rPr>
        <w:t xml:space="preserve"> Forfeiture Policy Statement</w:t>
      </w:r>
      <w:r w:rsidR="00E505E0" w:rsidRPr="0025429B">
        <w:t>, 12 FCC Rcd at 17099-100, paras. 23-24 (cautioning all entities and individuals that, independent from the uniform base forfeiture amounts, the Commission will take in</w:t>
      </w:r>
      <w:r w:rsidR="00E505E0">
        <w:t>to account the subject violator’</w:t>
      </w:r>
      <w:r w:rsidR="00E505E0" w:rsidRPr="0025429B">
        <w:t xml:space="preserve">s ability to pay in determining the amount of a forfeiture to guarantee that forfeitures issued against large or highly profitable entities are not considered merely an affordable cost of doing business, and noting that such large or highly profitable entities should expect that the forfeiture amount set out in a Notice of Apparent Liability against them may in many cases be above, or even well above, the relevant base amount); </w:t>
      </w:r>
      <w:r w:rsidR="00E505E0" w:rsidRPr="0025429B">
        <w:rPr>
          <w:i/>
        </w:rPr>
        <w:t>Google Inc.</w:t>
      </w:r>
      <w:r w:rsidR="00E505E0" w:rsidRPr="0025429B">
        <w:t>, Notice of Apparent Liability for Forfeiture, 27 FCC Rcd 4012 (Enf. Bur. 2012) (upwardly adjusting the base forfeiture due to the deliberate nature o</w:t>
      </w:r>
      <w:r w:rsidR="00E505E0">
        <w:t>f the violation and the company’</w:t>
      </w:r>
      <w:r w:rsidR="00E505E0" w:rsidRPr="0025429B">
        <w:t xml:space="preserve">s gross revenues); </w:t>
      </w:r>
      <w:r w:rsidR="00E505E0" w:rsidRPr="0025429B">
        <w:rPr>
          <w:i/>
        </w:rPr>
        <w:t>America Movil, S.A.B. de C.V., Parent of Puerto Rico Telephone Company, Inc.</w:t>
      </w:r>
      <w:r w:rsidR="00E505E0" w:rsidRPr="0025429B">
        <w:t>, Notice of Apparent Liability for Forfeiture, 26 FCC Rcd 8672 (Enf. Bur. 2011) (doubling the bas</w:t>
      </w:r>
      <w:r w:rsidR="00E505E0">
        <w:t>e forfeiture due to the company’</w:t>
      </w:r>
      <w:r w:rsidR="00E505E0" w:rsidRPr="0025429B">
        <w:t xml:space="preserve">s size and gross revenues); </w:t>
      </w:r>
      <w:r w:rsidR="00E505E0" w:rsidRPr="00EA6D11">
        <w:rPr>
          <w:i/>
        </w:rPr>
        <w:t>Fox Television Stations Inc.</w:t>
      </w:r>
      <w:r w:rsidR="00E505E0" w:rsidRPr="0025429B">
        <w:t>, Notice of Apparent Liability for Forfeiture, 25 FCC Rcd 7074 (Enf. Bur. 2010) (upwardly adjusting the base forfeiture based on the egregiousness o</w:t>
      </w:r>
      <w:r w:rsidR="00E505E0">
        <w:t>f the violation and the company’</w:t>
      </w:r>
      <w:r w:rsidR="00E505E0" w:rsidRPr="0025429B">
        <w:t>s substantial revenues).</w:t>
      </w:r>
    </w:p>
  </w:footnote>
  <w:footnote w:id="22">
    <w:p w:rsidR="00E43D70" w:rsidRPr="00C17F42" w:rsidRDefault="00E43D70" w:rsidP="00BE6E2F">
      <w:pPr>
        <w:pStyle w:val="FootnoteText"/>
        <w:jc w:val="left"/>
      </w:pPr>
      <w:r>
        <w:rPr>
          <w:rStyle w:val="FootnoteReference"/>
        </w:rPr>
        <w:footnoteRef/>
      </w:r>
      <w:r>
        <w:t xml:space="preserve"> 47 U.S.C. §</w:t>
      </w:r>
      <w:r w:rsidR="00E505E0">
        <w:t>§</w:t>
      </w:r>
      <w:r>
        <w:t xml:space="preserve"> </w:t>
      </w:r>
      <w:r w:rsidR="00E505E0">
        <w:t xml:space="preserve">303(q), </w:t>
      </w:r>
      <w:r>
        <w:t>503(b); 47 C.F.R. §§ 0.111, 0.204, 0.311, 0.314, 1.80, 17.4(a), 17.21(a).</w:t>
      </w:r>
    </w:p>
  </w:footnote>
  <w:footnote w:id="23">
    <w:p w:rsidR="00E43D70" w:rsidRDefault="00E43D70" w:rsidP="00A66F85">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4">
    <w:p w:rsidR="00E43D70" w:rsidRDefault="00E43D70" w:rsidP="00A66F85">
      <w:pPr>
        <w:pStyle w:val="FootnoteText"/>
      </w:pPr>
      <w:r>
        <w:rPr>
          <w:rStyle w:val="FootnoteReference"/>
        </w:rPr>
        <w:footnoteRef/>
      </w:r>
      <w:r>
        <w:t xml:space="preserve"> </w:t>
      </w:r>
      <w:r w:rsidRPr="00D70F1F">
        <w:rPr>
          <w:i/>
        </w:rPr>
        <w:t>See</w:t>
      </w:r>
      <w:r>
        <w:t xml:space="preserve"> 47 C.F.R. § 1.1914.</w:t>
      </w:r>
    </w:p>
  </w:footnote>
  <w:footnote w:id="25">
    <w:p w:rsidR="00E43D70" w:rsidRDefault="00E43D70" w:rsidP="00BE6E2F">
      <w:pPr>
        <w:pStyle w:val="FootnoteTex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1D" w:rsidRDefault="00C6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70" w:rsidRPr="00331410" w:rsidRDefault="00E43D70">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3A73E8">
      <w:rPr>
        <w:b/>
        <w:sz w:val="22"/>
        <w:szCs w:val="22"/>
      </w:rPr>
      <w:t>4</w:t>
    </w:r>
    <w:r>
      <w:rPr>
        <w:b/>
        <w:sz w:val="22"/>
        <w:szCs w:val="22"/>
      </w:rPr>
      <w:t>-</w:t>
    </w:r>
    <w:r w:rsidR="003A4718">
      <w:rPr>
        <w:b/>
        <w:sz w:val="22"/>
        <w:szCs w:val="22"/>
      </w:rPr>
      <w:t>255</w:t>
    </w:r>
  </w:p>
  <w:p w:rsidR="00E43D70" w:rsidRDefault="00CC4D2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3F0A32C" wp14:editId="21B0B45D">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43D70" w:rsidRDefault="00E43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70" w:rsidRPr="00331410" w:rsidRDefault="00E43D70">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3A73E8">
      <w:rPr>
        <w:b/>
        <w:sz w:val="22"/>
        <w:szCs w:val="22"/>
      </w:rPr>
      <w:t>4</w:t>
    </w:r>
    <w:r>
      <w:rPr>
        <w:b/>
        <w:sz w:val="22"/>
        <w:szCs w:val="22"/>
      </w:rPr>
      <w:t>-</w:t>
    </w:r>
    <w:r w:rsidR="003A4718">
      <w:rPr>
        <w:b/>
        <w:sz w:val="22"/>
        <w:szCs w:val="22"/>
      </w:rPr>
      <w:t>255</w:t>
    </w:r>
  </w:p>
  <w:p w:rsidR="00E43D70" w:rsidRDefault="00CC4D2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43EB"/>
    <w:rsid w:val="00017CDA"/>
    <w:rsid w:val="00022679"/>
    <w:rsid w:val="00037295"/>
    <w:rsid w:val="00050854"/>
    <w:rsid w:val="00054534"/>
    <w:rsid w:val="00055980"/>
    <w:rsid w:val="00071484"/>
    <w:rsid w:val="00077F92"/>
    <w:rsid w:val="0008184F"/>
    <w:rsid w:val="00081F98"/>
    <w:rsid w:val="000875B1"/>
    <w:rsid w:val="000A0EEE"/>
    <w:rsid w:val="000A5F92"/>
    <w:rsid w:val="000A71AC"/>
    <w:rsid w:val="000B0489"/>
    <w:rsid w:val="000B3C45"/>
    <w:rsid w:val="000D12C3"/>
    <w:rsid w:val="000E0451"/>
    <w:rsid w:val="000E2560"/>
    <w:rsid w:val="000E5272"/>
    <w:rsid w:val="00105973"/>
    <w:rsid w:val="0011114B"/>
    <w:rsid w:val="0011170C"/>
    <w:rsid w:val="00120233"/>
    <w:rsid w:val="00122329"/>
    <w:rsid w:val="0012454E"/>
    <w:rsid w:val="00124920"/>
    <w:rsid w:val="001253C3"/>
    <w:rsid w:val="00125A4D"/>
    <w:rsid w:val="00145224"/>
    <w:rsid w:val="001516CF"/>
    <w:rsid w:val="001526A2"/>
    <w:rsid w:val="00154417"/>
    <w:rsid w:val="001665F5"/>
    <w:rsid w:val="00167C29"/>
    <w:rsid w:val="00174A12"/>
    <w:rsid w:val="00175E71"/>
    <w:rsid w:val="0017678C"/>
    <w:rsid w:val="00183593"/>
    <w:rsid w:val="00190523"/>
    <w:rsid w:val="00191E1C"/>
    <w:rsid w:val="00193AED"/>
    <w:rsid w:val="00195A65"/>
    <w:rsid w:val="001A5458"/>
    <w:rsid w:val="001B58D0"/>
    <w:rsid w:val="001B7EE9"/>
    <w:rsid w:val="001C0B1F"/>
    <w:rsid w:val="001E2733"/>
    <w:rsid w:val="001E2A65"/>
    <w:rsid w:val="001F51AC"/>
    <w:rsid w:val="001F566B"/>
    <w:rsid w:val="001F77A5"/>
    <w:rsid w:val="00211D85"/>
    <w:rsid w:val="00237F81"/>
    <w:rsid w:val="00247D79"/>
    <w:rsid w:val="002511FB"/>
    <w:rsid w:val="00256422"/>
    <w:rsid w:val="00260C08"/>
    <w:rsid w:val="002778CF"/>
    <w:rsid w:val="002A732B"/>
    <w:rsid w:val="002B3F84"/>
    <w:rsid w:val="002C62DA"/>
    <w:rsid w:val="002D6065"/>
    <w:rsid w:val="002E1BE8"/>
    <w:rsid w:val="002F4E8B"/>
    <w:rsid w:val="003003E1"/>
    <w:rsid w:val="00317508"/>
    <w:rsid w:val="003206CF"/>
    <w:rsid w:val="00321805"/>
    <w:rsid w:val="00323513"/>
    <w:rsid w:val="003261FF"/>
    <w:rsid w:val="0033085D"/>
    <w:rsid w:val="00331410"/>
    <w:rsid w:val="0033284E"/>
    <w:rsid w:val="00333FF5"/>
    <w:rsid w:val="003357E7"/>
    <w:rsid w:val="00336687"/>
    <w:rsid w:val="0033797D"/>
    <w:rsid w:val="00337B75"/>
    <w:rsid w:val="003422DF"/>
    <w:rsid w:val="00347CA1"/>
    <w:rsid w:val="00371336"/>
    <w:rsid w:val="003740F2"/>
    <w:rsid w:val="00390F1B"/>
    <w:rsid w:val="00392410"/>
    <w:rsid w:val="00394A3E"/>
    <w:rsid w:val="003A2112"/>
    <w:rsid w:val="003A4718"/>
    <w:rsid w:val="003A5706"/>
    <w:rsid w:val="003A73E8"/>
    <w:rsid w:val="003A7878"/>
    <w:rsid w:val="003C349F"/>
    <w:rsid w:val="003C7EEA"/>
    <w:rsid w:val="003E2AD5"/>
    <w:rsid w:val="003F3CFD"/>
    <w:rsid w:val="003F745D"/>
    <w:rsid w:val="00402147"/>
    <w:rsid w:val="004071B7"/>
    <w:rsid w:val="004110FC"/>
    <w:rsid w:val="0041443C"/>
    <w:rsid w:val="00416A5C"/>
    <w:rsid w:val="00425706"/>
    <w:rsid w:val="00447AAD"/>
    <w:rsid w:val="00450AD3"/>
    <w:rsid w:val="004562F8"/>
    <w:rsid w:val="00466DD2"/>
    <w:rsid w:val="0047073C"/>
    <w:rsid w:val="00473791"/>
    <w:rsid w:val="00484313"/>
    <w:rsid w:val="004930F5"/>
    <w:rsid w:val="004A3BCD"/>
    <w:rsid w:val="004B0F80"/>
    <w:rsid w:val="004C6D99"/>
    <w:rsid w:val="004E00D3"/>
    <w:rsid w:val="004E544D"/>
    <w:rsid w:val="004F0033"/>
    <w:rsid w:val="004F0283"/>
    <w:rsid w:val="00502239"/>
    <w:rsid w:val="00510919"/>
    <w:rsid w:val="00512D71"/>
    <w:rsid w:val="00516D93"/>
    <w:rsid w:val="005216BD"/>
    <w:rsid w:val="005373A1"/>
    <w:rsid w:val="00556647"/>
    <w:rsid w:val="00560E36"/>
    <w:rsid w:val="00562A69"/>
    <w:rsid w:val="00571009"/>
    <w:rsid w:val="00574A7A"/>
    <w:rsid w:val="00580FD1"/>
    <w:rsid w:val="00592F44"/>
    <w:rsid w:val="005D19E6"/>
    <w:rsid w:val="005E1D9B"/>
    <w:rsid w:val="005E587D"/>
    <w:rsid w:val="005F002F"/>
    <w:rsid w:val="005F326A"/>
    <w:rsid w:val="005F483B"/>
    <w:rsid w:val="005F67D7"/>
    <w:rsid w:val="0060653E"/>
    <w:rsid w:val="00607D4F"/>
    <w:rsid w:val="00624E7D"/>
    <w:rsid w:val="006278F7"/>
    <w:rsid w:val="00651DE2"/>
    <w:rsid w:val="00683F6F"/>
    <w:rsid w:val="0068529A"/>
    <w:rsid w:val="006868B5"/>
    <w:rsid w:val="00694B50"/>
    <w:rsid w:val="006A7312"/>
    <w:rsid w:val="006C5CEF"/>
    <w:rsid w:val="006C72D8"/>
    <w:rsid w:val="006D031D"/>
    <w:rsid w:val="007101CF"/>
    <w:rsid w:val="00710F3C"/>
    <w:rsid w:val="007148AF"/>
    <w:rsid w:val="00716561"/>
    <w:rsid w:val="00744632"/>
    <w:rsid w:val="00746A64"/>
    <w:rsid w:val="00752EA4"/>
    <w:rsid w:val="00777560"/>
    <w:rsid w:val="00777E77"/>
    <w:rsid w:val="00780C18"/>
    <w:rsid w:val="00787C4B"/>
    <w:rsid w:val="007907B0"/>
    <w:rsid w:val="007931BF"/>
    <w:rsid w:val="00794C59"/>
    <w:rsid w:val="00795813"/>
    <w:rsid w:val="007A3595"/>
    <w:rsid w:val="007B3FA1"/>
    <w:rsid w:val="007B425B"/>
    <w:rsid w:val="007C5718"/>
    <w:rsid w:val="007E2E05"/>
    <w:rsid w:val="007E3545"/>
    <w:rsid w:val="007F0EBB"/>
    <w:rsid w:val="008024F6"/>
    <w:rsid w:val="00832D6C"/>
    <w:rsid w:val="00840A6A"/>
    <w:rsid w:val="008444CA"/>
    <w:rsid w:val="00852A75"/>
    <w:rsid w:val="008553F6"/>
    <w:rsid w:val="00856437"/>
    <w:rsid w:val="00860B4D"/>
    <w:rsid w:val="00860D05"/>
    <w:rsid w:val="00866084"/>
    <w:rsid w:val="00871A67"/>
    <w:rsid w:val="00875DB2"/>
    <w:rsid w:val="00887660"/>
    <w:rsid w:val="00890911"/>
    <w:rsid w:val="008B58B7"/>
    <w:rsid w:val="008C26F7"/>
    <w:rsid w:val="008C4978"/>
    <w:rsid w:val="008D235A"/>
    <w:rsid w:val="008E064A"/>
    <w:rsid w:val="008F5D2C"/>
    <w:rsid w:val="00901096"/>
    <w:rsid w:val="0091686F"/>
    <w:rsid w:val="00920906"/>
    <w:rsid w:val="00920C19"/>
    <w:rsid w:val="00934B0B"/>
    <w:rsid w:val="00936190"/>
    <w:rsid w:val="009423ED"/>
    <w:rsid w:val="0095119D"/>
    <w:rsid w:val="009578B1"/>
    <w:rsid w:val="00967758"/>
    <w:rsid w:val="009711A7"/>
    <w:rsid w:val="009712F4"/>
    <w:rsid w:val="00980DFC"/>
    <w:rsid w:val="00981ADA"/>
    <w:rsid w:val="0098369B"/>
    <w:rsid w:val="009848D7"/>
    <w:rsid w:val="00986009"/>
    <w:rsid w:val="00990FB6"/>
    <w:rsid w:val="009A61D4"/>
    <w:rsid w:val="009D1F23"/>
    <w:rsid w:val="009D7325"/>
    <w:rsid w:val="009E4540"/>
    <w:rsid w:val="009E46FA"/>
    <w:rsid w:val="009F018F"/>
    <w:rsid w:val="009F69DE"/>
    <w:rsid w:val="009F6C24"/>
    <w:rsid w:val="009F77B4"/>
    <w:rsid w:val="00A074DD"/>
    <w:rsid w:val="00A10DA6"/>
    <w:rsid w:val="00A12D37"/>
    <w:rsid w:val="00A15C9F"/>
    <w:rsid w:val="00A16AF9"/>
    <w:rsid w:val="00A37420"/>
    <w:rsid w:val="00A379C4"/>
    <w:rsid w:val="00A424B6"/>
    <w:rsid w:val="00A546FC"/>
    <w:rsid w:val="00A54C3C"/>
    <w:rsid w:val="00A66F85"/>
    <w:rsid w:val="00A76BC5"/>
    <w:rsid w:val="00A873F1"/>
    <w:rsid w:val="00AB3F15"/>
    <w:rsid w:val="00AE3A0F"/>
    <w:rsid w:val="00B01F07"/>
    <w:rsid w:val="00B04DF4"/>
    <w:rsid w:val="00B36F46"/>
    <w:rsid w:val="00B60A35"/>
    <w:rsid w:val="00B711FC"/>
    <w:rsid w:val="00B943BA"/>
    <w:rsid w:val="00BA6DFF"/>
    <w:rsid w:val="00BB34F3"/>
    <w:rsid w:val="00BB4E8D"/>
    <w:rsid w:val="00BB54FE"/>
    <w:rsid w:val="00BB5A17"/>
    <w:rsid w:val="00BC763A"/>
    <w:rsid w:val="00BD24E7"/>
    <w:rsid w:val="00BE6E2F"/>
    <w:rsid w:val="00BF1922"/>
    <w:rsid w:val="00BF4DA8"/>
    <w:rsid w:val="00C009F7"/>
    <w:rsid w:val="00C14880"/>
    <w:rsid w:val="00C24414"/>
    <w:rsid w:val="00C46A39"/>
    <w:rsid w:val="00C55AF9"/>
    <w:rsid w:val="00C5634A"/>
    <w:rsid w:val="00C600C5"/>
    <w:rsid w:val="00C6511D"/>
    <w:rsid w:val="00C812B4"/>
    <w:rsid w:val="00C8210C"/>
    <w:rsid w:val="00C90376"/>
    <w:rsid w:val="00C91804"/>
    <w:rsid w:val="00C9312F"/>
    <w:rsid w:val="00CA7010"/>
    <w:rsid w:val="00CB4791"/>
    <w:rsid w:val="00CC2A5F"/>
    <w:rsid w:val="00CC4D20"/>
    <w:rsid w:val="00CD5AA2"/>
    <w:rsid w:val="00CD6C14"/>
    <w:rsid w:val="00CE1311"/>
    <w:rsid w:val="00D01B29"/>
    <w:rsid w:val="00D02F61"/>
    <w:rsid w:val="00D13FA6"/>
    <w:rsid w:val="00D15A5F"/>
    <w:rsid w:val="00D2160A"/>
    <w:rsid w:val="00D24820"/>
    <w:rsid w:val="00D52690"/>
    <w:rsid w:val="00D57AE2"/>
    <w:rsid w:val="00D602B9"/>
    <w:rsid w:val="00D63E1D"/>
    <w:rsid w:val="00D70166"/>
    <w:rsid w:val="00D71B7A"/>
    <w:rsid w:val="00D7437C"/>
    <w:rsid w:val="00D91C56"/>
    <w:rsid w:val="00D95096"/>
    <w:rsid w:val="00DC75BC"/>
    <w:rsid w:val="00DC7D2B"/>
    <w:rsid w:val="00DD485B"/>
    <w:rsid w:val="00DF64C1"/>
    <w:rsid w:val="00E04CC2"/>
    <w:rsid w:val="00E16103"/>
    <w:rsid w:val="00E43D70"/>
    <w:rsid w:val="00E458B2"/>
    <w:rsid w:val="00E505E0"/>
    <w:rsid w:val="00E52C78"/>
    <w:rsid w:val="00E847E3"/>
    <w:rsid w:val="00E92EAB"/>
    <w:rsid w:val="00EA4240"/>
    <w:rsid w:val="00EB1FE1"/>
    <w:rsid w:val="00EB57F9"/>
    <w:rsid w:val="00EC0A33"/>
    <w:rsid w:val="00EC6F31"/>
    <w:rsid w:val="00EE28D3"/>
    <w:rsid w:val="00EE7962"/>
    <w:rsid w:val="00F114C6"/>
    <w:rsid w:val="00F1178E"/>
    <w:rsid w:val="00F22E31"/>
    <w:rsid w:val="00F25F9A"/>
    <w:rsid w:val="00F30E61"/>
    <w:rsid w:val="00F33550"/>
    <w:rsid w:val="00F4123C"/>
    <w:rsid w:val="00F46870"/>
    <w:rsid w:val="00F511A5"/>
    <w:rsid w:val="00F6189B"/>
    <w:rsid w:val="00F634DD"/>
    <w:rsid w:val="00F71B85"/>
    <w:rsid w:val="00F82954"/>
    <w:rsid w:val="00F94C5F"/>
    <w:rsid w:val="00FA5948"/>
    <w:rsid w:val="00FA6C99"/>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1739</Words>
  <Characters>9351</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11156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2014-02-26T16:37:00Z</cp:lastPrinted>
  <dcterms:created xsi:type="dcterms:W3CDTF">2014-02-27T01:39:00Z</dcterms:created>
  <dcterms:modified xsi:type="dcterms:W3CDTF">2014-02-27T01:39:00Z</dcterms:modified>
  <cp:category> </cp:category>
  <cp:contentStatus> </cp:contentStatus>
</cp:coreProperties>
</file>