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 D.C. 20554</w:t>
      </w:r>
    </w:p>
    <w:p w:rsidR="00050854" w:rsidRPr="005F515C" w:rsidRDefault="00050854" w:rsidP="00BF1922">
      <w:pPr>
        <w:widowControl/>
        <w:tabs>
          <w:tab w:val="center" w:pos="4680"/>
        </w:tabs>
        <w:suppressAutoHyphens/>
        <w:spacing w:line="240" w:lineRule="atLeast"/>
        <w:jc w:val="both"/>
        <w:outlineLvl w:val="0"/>
        <w:rPr>
          <w:b/>
          <w:color w:val="000000"/>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5F515C" w:rsidTr="00571009">
        <w:trPr>
          <w:jc w:val="center"/>
        </w:trPr>
        <w:tc>
          <w:tcPr>
            <w:tcW w:w="4770" w:type="dxa"/>
          </w:tcPr>
          <w:p w:rsidR="00050854" w:rsidRPr="00382E20" w:rsidRDefault="00050854" w:rsidP="00BF1922">
            <w:pPr>
              <w:widowControl/>
              <w:rPr>
                <w:color w:val="000000"/>
                <w:sz w:val="22"/>
                <w:szCs w:val="22"/>
              </w:rPr>
            </w:pPr>
            <w:r w:rsidRPr="00382E20">
              <w:rPr>
                <w:color w:val="000000"/>
                <w:spacing w:val="-2"/>
                <w:sz w:val="22"/>
                <w:szCs w:val="22"/>
              </w:rPr>
              <w:t>In the Matter of</w:t>
            </w:r>
            <w:r w:rsidRPr="00382E20">
              <w:rPr>
                <w:color w:val="000000"/>
                <w:sz w:val="22"/>
                <w:szCs w:val="22"/>
              </w:rPr>
              <w:t xml:space="preserve"> </w:t>
            </w:r>
          </w:p>
          <w:p w:rsidR="00050854" w:rsidRPr="00382E20" w:rsidRDefault="00050854" w:rsidP="00BF1922">
            <w:pPr>
              <w:widowControl/>
              <w:rPr>
                <w:color w:val="000000"/>
                <w:sz w:val="22"/>
                <w:szCs w:val="22"/>
              </w:rPr>
            </w:pPr>
          </w:p>
          <w:p w:rsidR="00050854" w:rsidRPr="00382E20" w:rsidRDefault="003A5C36" w:rsidP="00571009">
            <w:pPr>
              <w:widowControl/>
              <w:spacing w:after="120"/>
              <w:rPr>
                <w:color w:val="000000"/>
                <w:sz w:val="22"/>
                <w:szCs w:val="22"/>
              </w:rPr>
            </w:pPr>
            <w:r w:rsidRPr="00382E20">
              <w:rPr>
                <w:color w:val="000000"/>
                <w:spacing w:val="-2"/>
                <w:sz w:val="22"/>
                <w:szCs w:val="22"/>
              </w:rPr>
              <w:t>Kemp Broadcasting, Inc</w:t>
            </w:r>
            <w:r w:rsidR="004975C0" w:rsidRPr="00382E20">
              <w:rPr>
                <w:color w:val="000000"/>
                <w:spacing w:val="-2"/>
                <w:sz w:val="22"/>
                <w:szCs w:val="22"/>
              </w:rPr>
              <w:t>.</w:t>
            </w:r>
          </w:p>
          <w:p w:rsidR="00050854" w:rsidRPr="00382E20" w:rsidRDefault="00A8715E" w:rsidP="00BF1922">
            <w:pPr>
              <w:widowControl/>
              <w:rPr>
                <w:color w:val="000000"/>
                <w:sz w:val="22"/>
                <w:szCs w:val="22"/>
              </w:rPr>
            </w:pPr>
            <w:r w:rsidRPr="00382E20">
              <w:rPr>
                <w:color w:val="000000"/>
                <w:sz w:val="22"/>
                <w:szCs w:val="22"/>
              </w:rPr>
              <w:t>Owner</w:t>
            </w:r>
            <w:r w:rsidR="006F651C" w:rsidRPr="00382E20">
              <w:rPr>
                <w:color w:val="000000"/>
                <w:sz w:val="22"/>
                <w:szCs w:val="22"/>
              </w:rPr>
              <w:t xml:space="preserve"> </w:t>
            </w:r>
            <w:r w:rsidR="00050854" w:rsidRPr="00382E20">
              <w:rPr>
                <w:color w:val="000000"/>
                <w:sz w:val="22"/>
                <w:szCs w:val="22"/>
              </w:rPr>
              <w:t xml:space="preserve">of </w:t>
            </w:r>
            <w:r w:rsidR="006F651C" w:rsidRPr="00382E20">
              <w:rPr>
                <w:color w:val="000000"/>
                <w:sz w:val="22"/>
                <w:szCs w:val="22"/>
              </w:rPr>
              <w:t xml:space="preserve">Antenna Structure </w:t>
            </w:r>
            <w:r w:rsidR="009D7AE1" w:rsidRPr="00382E20">
              <w:rPr>
                <w:color w:val="000000"/>
                <w:sz w:val="22"/>
                <w:szCs w:val="22"/>
              </w:rPr>
              <w:t>No.</w:t>
            </w:r>
            <w:r w:rsidR="005F515C" w:rsidRPr="00382E20">
              <w:rPr>
                <w:color w:val="000000"/>
                <w:sz w:val="22"/>
                <w:szCs w:val="22"/>
              </w:rPr>
              <w:t xml:space="preserve"> </w:t>
            </w:r>
            <w:r w:rsidR="006F651C" w:rsidRPr="00382E20">
              <w:rPr>
                <w:color w:val="000000"/>
                <w:sz w:val="22"/>
                <w:szCs w:val="22"/>
              </w:rPr>
              <w:t>1</w:t>
            </w:r>
            <w:r w:rsidR="003A5C36" w:rsidRPr="00382E20">
              <w:rPr>
                <w:color w:val="000000"/>
                <w:sz w:val="22"/>
                <w:szCs w:val="22"/>
              </w:rPr>
              <w:t>061958</w:t>
            </w:r>
          </w:p>
          <w:p w:rsidR="00050854" w:rsidRPr="00382E20" w:rsidRDefault="003A5C36" w:rsidP="00BF1922">
            <w:pPr>
              <w:widowControl/>
              <w:rPr>
                <w:color w:val="000000"/>
                <w:sz w:val="22"/>
                <w:szCs w:val="22"/>
              </w:rPr>
            </w:pPr>
            <w:r w:rsidRPr="00382E20">
              <w:rPr>
                <w:color w:val="000000"/>
                <w:sz w:val="22"/>
                <w:szCs w:val="22"/>
              </w:rPr>
              <w:t>Moapa</w:t>
            </w:r>
            <w:r w:rsidR="006F651C" w:rsidRPr="00382E20">
              <w:rPr>
                <w:color w:val="000000"/>
                <w:sz w:val="22"/>
                <w:szCs w:val="22"/>
              </w:rPr>
              <w:t xml:space="preserve">, </w:t>
            </w:r>
            <w:r w:rsidRPr="00382E20">
              <w:rPr>
                <w:color w:val="000000"/>
                <w:sz w:val="22"/>
                <w:szCs w:val="22"/>
              </w:rPr>
              <w:t>Nevada</w:t>
            </w:r>
          </w:p>
          <w:p w:rsidR="00050854" w:rsidRPr="00382E20" w:rsidRDefault="00050854" w:rsidP="00BF1922">
            <w:pPr>
              <w:widowControl/>
              <w:rPr>
                <w:color w:val="000000"/>
                <w:spacing w:val="-2"/>
                <w:sz w:val="22"/>
                <w:szCs w:val="22"/>
              </w:rPr>
            </w:pPr>
          </w:p>
        </w:tc>
        <w:tc>
          <w:tcPr>
            <w:tcW w:w="270" w:type="dxa"/>
          </w:tcPr>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p w:rsidR="00050854" w:rsidRPr="00382E20" w:rsidRDefault="00050854" w:rsidP="00BF1922">
            <w:pPr>
              <w:widowControl/>
              <w:tabs>
                <w:tab w:val="center" w:pos="4680"/>
              </w:tabs>
              <w:suppressAutoHyphens/>
              <w:spacing w:line="240" w:lineRule="atLeast"/>
              <w:jc w:val="both"/>
              <w:outlineLvl w:val="0"/>
              <w:rPr>
                <w:color w:val="000000"/>
                <w:sz w:val="22"/>
                <w:szCs w:val="22"/>
              </w:rPr>
            </w:pPr>
            <w:r w:rsidRPr="00382E20">
              <w:rPr>
                <w:color w:val="000000"/>
                <w:sz w:val="22"/>
                <w:szCs w:val="22"/>
              </w:rPr>
              <w:t>)</w:t>
            </w:r>
          </w:p>
        </w:tc>
        <w:tc>
          <w:tcPr>
            <w:tcW w:w="4680" w:type="dxa"/>
          </w:tcPr>
          <w:p w:rsidR="003E2AD5" w:rsidRPr="00382E20" w:rsidRDefault="003E2AD5" w:rsidP="00BF1922">
            <w:pPr>
              <w:widowControl/>
              <w:rPr>
                <w:color w:val="000000"/>
                <w:spacing w:val="-2"/>
                <w:sz w:val="22"/>
                <w:szCs w:val="22"/>
              </w:rPr>
            </w:pPr>
          </w:p>
          <w:p w:rsidR="005F002F" w:rsidRPr="00382E20" w:rsidRDefault="005F002F" w:rsidP="00BF1922">
            <w:pPr>
              <w:widowControl/>
              <w:ind w:left="702"/>
              <w:rPr>
                <w:color w:val="000000"/>
                <w:spacing w:val="-2"/>
                <w:sz w:val="22"/>
                <w:szCs w:val="22"/>
              </w:rPr>
            </w:pPr>
          </w:p>
          <w:p w:rsidR="00780C18" w:rsidRPr="00382E20" w:rsidRDefault="00050854" w:rsidP="00BF1922">
            <w:pPr>
              <w:widowControl/>
              <w:ind w:left="702"/>
              <w:rPr>
                <w:color w:val="000000"/>
                <w:sz w:val="22"/>
                <w:szCs w:val="22"/>
              </w:rPr>
            </w:pPr>
            <w:r w:rsidRPr="00382E20">
              <w:rPr>
                <w:color w:val="000000"/>
                <w:sz w:val="22"/>
                <w:szCs w:val="22"/>
              </w:rPr>
              <w:t>File N</w:t>
            </w:r>
            <w:r w:rsidR="00A16AF9" w:rsidRPr="00382E20">
              <w:rPr>
                <w:color w:val="000000"/>
                <w:sz w:val="22"/>
                <w:szCs w:val="22"/>
              </w:rPr>
              <w:t>o.</w:t>
            </w:r>
            <w:r w:rsidR="003E2AD5" w:rsidRPr="00382E20">
              <w:rPr>
                <w:color w:val="000000"/>
                <w:sz w:val="22"/>
                <w:szCs w:val="22"/>
              </w:rPr>
              <w:t xml:space="preserve">:  </w:t>
            </w:r>
            <w:r w:rsidR="00780C18" w:rsidRPr="00382E20">
              <w:rPr>
                <w:color w:val="000000"/>
                <w:sz w:val="22"/>
                <w:szCs w:val="22"/>
              </w:rPr>
              <w:t>EB-FIELD</w:t>
            </w:r>
            <w:r w:rsidR="006F651C" w:rsidRPr="00382E20">
              <w:rPr>
                <w:color w:val="000000"/>
                <w:sz w:val="22"/>
                <w:szCs w:val="22"/>
              </w:rPr>
              <w:t>WR</w:t>
            </w:r>
            <w:r w:rsidR="00780C18" w:rsidRPr="00382E20">
              <w:rPr>
                <w:color w:val="000000"/>
                <w:sz w:val="22"/>
                <w:szCs w:val="22"/>
              </w:rPr>
              <w:t>-1</w:t>
            </w:r>
            <w:r w:rsidR="003A5C36" w:rsidRPr="00382E20">
              <w:rPr>
                <w:color w:val="000000"/>
                <w:sz w:val="22"/>
                <w:szCs w:val="22"/>
              </w:rPr>
              <w:t>3</w:t>
            </w:r>
            <w:r w:rsidR="00780C18" w:rsidRPr="00382E20">
              <w:rPr>
                <w:color w:val="000000"/>
                <w:sz w:val="22"/>
                <w:szCs w:val="22"/>
              </w:rPr>
              <w:t>-0000</w:t>
            </w:r>
            <w:r w:rsidR="003A5C36" w:rsidRPr="00382E20">
              <w:rPr>
                <w:color w:val="000000"/>
                <w:sz w:val="22"/>
                <w:szCs w:val="22"/>
              </w:rPr>
              <w:t>8283</w:t>
            </w:r>
          </w:p>
          <w:p w:rsidR="00050854" w:rsidRPr="00382E20" w:rsidRDefault="00050854" w:rsidP="00BF1922">
            <w:pPr>
              <w:widowControl/>
              <w:ind w:left="702"/>
              <w:rPr>
                <w:color w:val="000000"/>
                <w:sz w:val="22"/>
                <w:szCs w:val="22"/>
              </w:rPr>
            </w:pPr>
            <w:r w:rsidRPr="00382E20">
              <w:rPr>
                <w:color w:val="000000"/>
                <w:sz w:val="22"/>
                <w:szCs w:val="22"/>
              </w:rPr>
              <w:t>NAL/Acct. No.</w:t>
            </w:r>
            <w:r w:rsidR="003E2AD5" w:rsidRPr="00382E20">
              <w:rPr>
                <w:color w:val="000000"/>
                <w:sz w:val="22"/>
                <w:szCs w:val="22"/>
              </w:rPr>
              <w:t>:</w:t>
            </w:r>
            <w:r w:rsidR="00E847E3" w:rsidRPr="00382E20">
              <w:rPr>
                <w:color w:val="000000"/>
                <w:sz w:val="22"/>
                <w:szCs w:val="22"/>
              </w:rPr>
              <w:t xml:space="preserve"> </w:t>
            </w:r>
            <w:r w:rsidR="009D7AE1" w:rsidRPr="00382E20">
              <w:rPr>
                <w:color w:val="000000"/>
                <w:sz w:val="22"/>
                <w:szCs w:val="22"/>
              </w:rPr>
              <w:t xml:space="preserve"> </w:t>
            </w:r>
            <w:r w:rsidR="006F651C" w:rsidRPr="00D8692D">
              <w:rPr>
                <w:color w:val="000000"/>
                <w:sz w:val="22"/>
                <w:szCs w:val="22"/>
              </w:rPr>
              <w:t>20</w:t>
            </w:r>
            <w:r w:rsidR="00DA71B0" w:rsidRPr="00D8692D">
              <w:rPr>
                <w:color w:val="000000"/>
                <w:sz w:val="22"/>
                <w:szCs w:val="22"/>
              </w:rPr>
              <w:t>1</w:t>
            </w:r>
            <w:r w:rsidR="004975C0" w:rsidRPr="00D8692D">
              <w:rPr>
                <w:color w:val="000000"/>
                <w:sz w:val="22"/>
                <w:szCs w:val="22"/>
              </w:rPr>
              <w:t>4</w:t>
            </w:r>
            <w:r w:rsidR="006F651C" w:rsidRPr="00D8692D">
              <w:rPr>
                <w:color w:val="000000"/>
                <w:sz w:val="22"/>
                <w:szCs w:val="22"/>
              </w:rPr>
              <w:t>32</w:t>
            </w:r>
            <w:r w:rsidR="003A5C36" w:rsidRPr="00D8692D">
              <w:rPr>
                <w:color w:val="000000"/>
                <w:sz w:val="22"/>
                <w:szCs w:val="22"/>
              </w:rPr>
              <w:t>90</w:t>
            </w:r>
            <w:r w:rsidR="00672EE9">
              <w:rPr>
                <w:color w:val="000000"/>
                <w:sz w:val="22"/>
                <w:szCs w:val="22"/>
              </w:rPr>
              <w:t>0003</w:t>
            </w:r>
          </w:p>
          <w:p w:rsidR="00050854" w:rsidRPr="00F355DD" w:rsidRDefault="00050854" w:rsidP="00BF1922">
            <w:pPr>
              <w:widowControl/>
              <w:ind w:left="702"/>
              <w:rPr>
                <w:color w:val="000000"/>
                <w:sz w:val="22"/>
                <w:szCs w:val="22"/>
              </w:rPr>
            </w:pPr>
            <w:r w:rsidRPr="00F355DD">
              <w:rPr>
                <w:color w:val="000000"/>
                <w:sz w:val="22"/>
                <w:szCs w:val="22"/>
              </w:rPr>
              <w:t>FRN</w:t>
            </w:r>
            <w:r w:rsidR="009D7AE1" w:rsidRPr="00F355DD">
              <w:rPr>
                <w:color w:val="000000"/>
                <w:sz w:val="22"/>
                <w:szCs w:val="22"/>
              </w:rPr>
              <w:t xml:space="preserve">:  </w:t>
            </w:r>
            <w:r w:rsidR="006F651C" w:rsidRPr="00F355DD">
              <w:rPr>
                <w:color w:val="000000"/>
                <w:sz w:val="22"/>
                <w:szCs w:val="22"/>
              </w:rPr>
              <w:t>000</w:t>
            </w:r>
            <w:r w:rsidR="003A5C36" w:rsidRPr="00F355DD">
              <w:rPr>
                <w:color w:val="000000"/>
                <w:sz w:val="22"/>
                <w:szCs w:val="22"/>
              </w:rPr>
              <w:t>7648348</w:t>
            </w:r>
          </w:p>
          <w:p w:rsidR="00050854" w:rsidRPr="00F032E7" w:rsidRDefault="008B58B7" w:rsidP="00BF1922">
            <w:pPr>
              <w:widowControl/>
              <w:rPr>
                <w:color w:val="000000"/>
                <w:sz w:val="22"/>
                <w:szCs w:val="22"/>
              </w:rPr>
            </w:pPr>
            <w:r w:rsidRPr="00F032E7">
              <w:rPr>
                <w:color w:val="000000"/>
                <w:sz w:val="22"/>
                <w:szCs w:val="22"/>
              </w:rPr>
              <w:t xml:space="preserve">    </w:t>
            </w:r>
          </w:p>
        </w:tc>
      </w:tr>
    </w:tbl>
    <w:p w:rsidR="00050854" w:rsidRPr="005F515C" w:rsidRDefault="00050854" w:rsidP="00BF1922">
      <w:pPr>
        <w:widowControl/>
        <w:tabs>
          <w:tab w:val="left" w:pos="0"/>
        </w:tabs>
        <w:suppressAutoHyphens/>
        <w:spacing w:line="240" w:lineRule="atLeast"/>
        <w:jc w:val="both"/>
        <w:rPr>
          <w:color w:val="000000"/>
          <w:spacing w:val="-3"/>
          <w:sz w:val="24"/>
        </w:rPr>
      </w:pPr>
    </w:p>
    <w:p w:rsidR="00050854" w:rsidRPr="005F515C" w:rsidRDefault="00050854" w:rsidP="00BF1922">
      <w:pPr>
        <w:pStyle w:val="Heading2"/>
        <w:widowControl/>
        <w:numPr>
          <w:ilvl w:val="0"/>
          <w:numId w:val="0"/>
        </w:numPr>
        <w:ind w:left="720"/>
        <w:jc w:val="center"/>
        <w:rPr>
          <w:color w:val="000000"/>
          <w:sz w:val="22"/>
          <w:szCs w:val="22"/>
        </w:rPr>
      </w:pPr>
      <w:r w:rsidRPr="005F515C">
        <w:rPr>
          <w:color w:val="000000"/>
          <w:sz w:val="22"/>
          <w:szCs w:val="22"/>
        </w:rPr>
        <w:t>NOTICE OF APPARENT LIABILITY FOR FORFEITURE</w:t>
      </w:r>
      <w:r w:rsidR="001C679F">
        <w:rPr>
          <w:color w:val="000000"/>
          <w:sz w:val="22"/>
          <w:szCs w:val="22"/>
        </w:rPr>
        <w:t xml:space="preserve"> AND ORDER</w:t>
      </w:r>
    </w:p>
    <w:p w:rsidR="003E2AD5" w:rsidRPr="005F515C" w:rsidRDefault="003E2AD5" w:rsidP="00BF1922">
      <w:pPr>
        <w:widowControl/>
        <w:rPr>
          <w:color w:val="000000"/>
          <w:sz w:val="22"/>
          <w:szCs w:val="22"/>
        </w:rPr>
      </w:pPr>
    </w:p>
    <w:p w:rsidR="00050854" w:rsidRPr="00C66D57" w:rsidRDefault="007E2E05" w:rsidP="00795D84">
      <w:pPr>
        <w:widowControl/>
        <w:rPr>
          <w:b/>
          <w:color w:val="000000"/>
          <w:spacing w:val="-2"/>
          <w:sz w:val="22"/>
          <w:szCs w:val="22"/>
        </w:rPr>
      </w:pPr>
      <w:r w:rsidRPr="00C66D57">
        <w:rPr>
          <w:b/>
          <w:color w:val="000000"/>
          <w:sz w:val="22"/>
          <w:szCs w:val="22"/>
        </w:rPr>
        <w:t>Adopted:</w:t>
      </w:r>
      <w:r w:rsidR="003E2AD5" w:rsidRPr="00C66D57">
        <w:rPr>
          <w:b/>
          <w:color w:val="000000"/>
          <w:sz w:val="22"/>
          <w:szCs w:val="22"/>
        </w:rPr>
        <w:t xml:space="preserve">  </w:t>
      </w:r>
      <w:r w:rsidR="00C66D57">
        <w:rPr>
          <w:b/>
          <w:color w:val="000000"/>
          <w:sz w:val="22"/>
          <w:szCs w:val="22"/>
        </w:rPr>
        <w:t>February 26, 2014</w:t>
      </w:r>
      <w:r w:rsidR="00795D84" w:rsidRPr="00C66D57">
        <w:rPr>
          <w:b/>
          <w:color w:val="000000"/>
          <w:sz w:val="22"/>
          <w:szCs w:val="22"/>
        </w:rPr>
        <w:tab/>
      </w:r>
      <w:r w:rsidR="00795D84" w:rsidRPr="00C66D57">
        <w:rPr>
          <w:b/>
          <w:color w:val="000000"/>
          <w:sz w:val="22"/>
          <w:szCs w:val="22"/>
        </w:rPr>
        <w:tab/>
      </w:r>
      <w:r w:rsidR="00795D84" w:rsidRPr="00C66D57">
        <w:rPr>
          <w:b/>
          <w:color w:val="000000"/>
          <w:sz w:val="22"/>
          <w:szCs w:val="22"/>
        </w:rPr>
        <w:tab/>
      </w:r>
      <w:r w:rsidR="00795D84" w:rsidRPr="00C66D57">
        <w:rPr>
          <w:b/>
          <w:color w:val="000000"/>
          <w:sz w:val="22"/>
          <w:szCs w:val="22"/>
        </w:rPr>
        <w:tab/>
      </w:r>
      <w:r w:rsidR="00795D84" w:rsidRPr="00C66D57">
        <w:rPr>
          <w:b/>
          <w:color w:val="000000"/>
          <w:sz w:val="22"/>
          <w:szCs w:val="22"/>
        </w:rPr>
        <w:tab/>
      </w:r>
      <w:r w:rsidR="00827C06">
        <w:rPr>
          <w:b/>
          <w:color w:val="000000"/>
          <w:sz w:val="22"/>
          <w:szCs w:val="22"/>
        </w:rPr>
        <w:tab/>
      </w:r>
      <w:r w:rsidR="00050854" w:rsidRPr="00C66D57">
        <w:rPr>
          <w:b/>
          <w:color w:val="000000"/>
          <w:sz w:val="22"/>
          <w:szCs w:val="22"/>
        </w:rPr>
        <w:t xml:space="preserve">Released: </w:t>
      </w:r>
      <w:r w:rsidR="006C7CD3" w:rsidRPr="00C66D57">
        <w:rPr>
          <w:b/>
          <w:color w:val="000000"/>
          <w:sz w:val="22"/>
          <w:szCs w:val="22"/>
        </w:rPr>
        <w:t xml:space="preserve"> </w:t>
      </w:r>
      <w:r w:rsidR="00C66D57">
        <w:rPr>
          <w:b/>
          <w:color w:val="000000"/>
          <w:sz w:val="22"/>
          <w:szCs w:val="22"/>
        </w:rPr>
        <w:t>February 27, 2014</w:t>
      </w:r>
    </w:p>
    <w:p w:rsidR="00050854" w:rsidRPr="005F515C" w:rsidRDefault="00050854" w:rsidP="00BF1922">
      <w:pPr>
        <w:widowControl/>
        <w:tabs>
          <w:tab w:val="left" w:pos="0"/>
          <w:tab w:val="left" w:pos="720"/>
          <w:tab w:val="left" w:pos="5760"/>
        </w:tabs>
        <w:suppressAutoHyphens/>
        <w:spacing w:line="240" w:lineRule="atLeast"/>
        <w:jc w:val="both"/>
        <w:rPr>
          <w:color w:val="000000"/>
          <w:spacing w:val="-2"/>
          <w:sz w:val="22"/>
          <w:szCs w:val="22"/>
        </w:rPr>
      </w:pPr>
    </w:p>
    <w:p w:rsidR="00050854" w:rsidRPr="005F515C" w:rsidRDefault="00050854" w:rsidP="00BF1922">
      <w:pPr>
        <w:widowControl/>
        <w:tabs>
          <w:tab w:val="left" w:pos="0"/>
          <w:tab w:val="left" w:pos="720"/>
          <w:tab w:val="left" w:pos="5760"/>
        </w:tabs>
        <w:suppressAutoHyphens/>
        <w:spacing w:line="240" w:lineRule="atLeast"/>
        <w:rPr>
          <w:color w:val="000000"/>
          <w:spacing w:val="-2"/>
          <w:sz w:val="22"/>
          <w:szCs w:val="22"/>
        </w:rPr>
      </w:pPr>
      <w:r w:rsidRPr="005F515C">
        <w:rPr>
          <w:color w:val="000000"/>
          <w:spacing w:val="-2"/>
          <w:sz w:val="22"/>
          <w:szCs w:val="22"/>
        </w:rPr>
        <w:t xml:space="preserve">By the </w:t>
      </w:r>
      <w:r w:rsidR="003A5C36">
        <w:rPr>
          <w:color w:val="000000"/>
          <w:spacing w:val="-2"/>
          <w:sz w:val="22"/>
          <w:szCs w:val="22"/>
        </w:rPr>
        <w:t>District Director</w:t>
      </w:r>
      <w:r w:rsidRPr="005F515C">
        <w:rPr>
          <w:color w:val="000000"/>
          <w:spacing w:val="-2"/>
          <w:sz w:val="22"/>
          <w:szCs w:val="22"/>
        </w:rPr>
        <w:t xml:space="preserve">, </w:t>
      </w:r>
      <w:r w:rsidR="003A5C36">
        <w:rPr>
          <w:color w:val="000000"/>
          <w:spacing w:val="-2"/>
          <w:sz w:val="22"/>
          <w:szCs w:val="22"/>
        </w:rPr>
        <w:t xml:space="preserve">Los Angeles </w:t>
      </w:r>
      <w:r w:rsidRPr="005F515C">
        <w:rPr>
          <w:color w:val="000000"/>
          <w:spacing w:val="-2"/>
          <w:sz w:val="22"/>
          <w:szCs w:val="22"/>
        </w:rPr>
        <w:t xml:space="preserve">Office, </w:t>
      </w:r>
      <w:r w:rsidR="00FA14FA" w:rsidRPr="005F515C">
        <w:rPr>
          <w:color w:val="000000"/>
          <w:spacing w:val="-2"/>
          <w:sz w:val="22"/>
          <w:szCs w:val="22"/>
        </w:rPr>
        <w:t>Western</w:t>
      </w:r>
      <w:r w:rsidR="00EB57F9" w:rsidRPr="005F515C">
        <w:rPr>
          <w:color w:val="000000"/>
          <w:spacing w:val="-2"/>
          <w:sz w:val="22"/>
          <w:szCs w:val="22"/>
        </w:rPr>
        <w:t xml:space="preserve"> </w:t>
      </w:r>
      <w:r w:rsidR="00A546FC" w:rsidRPr="005F515C">
        <w:rPr>
          <w:color w:val="000000"/>
          <w:spacing w:val="-2"/>
          <w:sz w:val="22"/>
          <w:szCs w:val="22"/>
        </w:rPr>
        <w:t>Region,</w:t>
      </w:r>
      <w:r w:rsidRPr="005F515C">
        <w:rPr>
          <w:color w:val="000000"/>
          <w:spacing w:val="-2"/>
          <w:sz w:val="22"/>
          <w:szCs w:val="22"/>
        </w:rPr>
        <w:t xml:space="preserve"> Enforcement Bureau:</w:t>
      </w:r>
    </w:p>
    <w:p w:rsidR="00AE3A0F" w:rsidRPr="005F515C" w:rsidRDefault="00AE3A0F" w:rsidP="00BF1922">
      <w:pPr>
        <w:widowControl/>
        <w:tabs>
          <w:tab w:val="left" w:pos="0"/>
        </w:tabs>
        <w:suppressAutoHyphens/>
        <w:spacing w:line="240" w:lineRule="atLeast"/>
        <w:jc w:val="both"/>
        <w:rPr>
          <w:color w:val="000000"/>
          <w:sz w:val="22"/>
          <w:szCs w:val="22"/>
        </w:rPr>
      </w:pPr>
    </w:p>
    <w:p w:rsidR="00990FB6" w:rsidRPr="005F515C" w:rsidRDefault="00990FB6" w:rsidP="00BF1922">
      <w:pPr>
        <w:pStyle w:val="Heading1"/>
        <w:widowControl/>
        <w:rPr>
          <w:color w:val="000000"/>
          <w:sz w:val="22"/>
          <w:szCs w:val="22"/>
        </w:rPr>
      </w:pPr>
      <w:r w:rsidRPr="005F515C">
        <w:rPr>
          <w:color w:val="000000"/>
          <w:sz w:val="22"/>
          <w:szCs w:val="22"/>
        </w:rPr>
        <w:t>INTRODUCTION</w:t>
      </w:r>
    </w:p>
    <w:p w:rsidR="00DA71B0" w:rsidRPr="007210B3" w:rsidRDefault="00050854" w:rsidP="00DA71B0">
      <w:pPr>
        <w:widowControl/>
        <w:numPr>
          <w:ilvl w:val="0"/>
          <w:numId w:val="22"/>
        </w:numPr>
        <w:tabs>
          <w:tab w:val="clear" w:pos="1260"/>
          <w:tab w:val="left" w:pos="0"/>
          <w:tab w:val="num" w:pos="1440"/>
        </w:tabs>
        <w:suppressAutoHyphens/>
        <w:spacing w:line="240" w:lineRule="atLeast"/>
        <w:ind w:left="0"/>
        <w:rPr>
          <w:color w:val="000000"/>
          <w:spacing w:val="-2"/>
          <w:sz w:val="22"/>
          <w:szCs w:val="22"/>
        </w:rPr>
      </w:pPr>
      <w:r w:rsidRPr="007210B3">
        <w:rPr>
          <w:color w:val="000000"/>
          <w:sz w:val="22"/>
          <w:szCs w:val="22"/>
        </w:rPr>
        <w:t>In this Notice of Apparent Liability for Forfeiture</w:t>
      </w:r>
      <w:r w:rsidR="009711A7" w:rsidRPr="007210B3">
        <w:rPr>
          <w:color w:val="000000"/>
          <w:sz w:val="22"/>
          <w:szCs w:val="22"/>
        </w:rPr>
        <w:t xml:space="preserve"> </w:t>
      </w:r>
      <w:r w:rsidR="001C679F" w:rsidRPr="007210B3">
        <w:rPr>
          <w:color w:val="000000"/>
          <w:sz w:val="22"/>
          <w:szCs w:val="22"/>
        </w:rPr>
        <w:t xml:space="preserve">and Order </w:t>
      </w:r>
      <w:r w:rsidRPr="007210B3">
        <w:rPr>
          <w:color w:val="000000"/>
          <w:sz w:val="22"/>
          <w:szCs w:val="22"/>
        </w:rPr>
        <w:t xml:space="preserve">(NAL), we find that </w:t>
      </w:r>
      <w:r w:rsidR="00E93C56" w:rsidRPr="007210B3">
        <w:rPr>
          <w:color w:val="000000"/>
          <w:sz w:val="22"/>
          <w:szCs w:val="22"/>
        </w:rPr>
        <w:t>Kemp Broadcasting, Inc</w:t>
      </w:r>
      <w:r w:rsidR="004975C0" w:rsidRPr="007210B3">
        <w:rPr>
          <w:color w:val="000000"/>
          <w:sz w:val="22"/>
          <w:szCs w:val="22"/>
        </w:rPr>
        <w:t>.</w:t>
      </w:r>
      <w:r w:rsidRPr="007210B3">
        <w:rPr>
          <w:color w:val="000000"/>
          <w:sz w:val="22"/>
          <w:szCs w:val="22"/>
        </w:rPr>
        <w:t xml:space="preserve"> (</w:t>
      </w:r>
      <w:r w:rsidR="003A5C36" w:rsidRPr="007210B3">
        <w:rPr>
          <w:color w:val="000000"/>
          <w:sz w:val="22"/>
          <w:szCs w:val="22"/>
        </w:rPr>
        <w:t>Kemp</w:t>
      </w:r>
      <w:r w:rsidR="008B58B7" w:rsidRPr="007210B3">
        <w:rPr>
          <w:color w:val="000000"/>
          <w:sz w:val="22"/>
          <w:szCs w:val="22"/>
        </w:rPr>
        <w:t xml:space="preserve">), </w:t>
      </w:r>
      <w:r w:rsidR="00A8715E" w:rsidRPr="007210B3">
        <w:rPr>
          <w:color w:val="000000"/>
          <w:sz w:val="22"/>
          <w:szCs w:val="22"/>
        </w:rPr>
        <w:t>owner</w:t>
      </w:r>
      <w:r w:rsidR="006F651C" w:rsidRPr="007210B3">
        <w:rPr>
          <w:color w:val="000000"/>
          <w:sz w:val="22"/>
          <w:szCs w:val="22"/>
        </w:rPr>
        <w:t xml:space="preserve"> of antenna structure </w:t>
      </w:r>
      <w:r w:rsidR="009D7AE1" w:rsidRPr="007210B3">
        <w:rPr>
          <w:color w:val="000000"/>
          <w:sz w:val="22"/>
          <w:szCs w:val="22"/>
        </w:rPr>
        <w:t xml:space="preserve">number </w:t>
      </w:r>
      <w:r w:rsidR="003A5C36" w:rsidRPr="007210B3">
        <w:rPr>
          <w:color w:val="000000"/>
          <w:sz w:val="22"/>
          <w:szCs w:val="22"/>
        </w:rPr>
        <w:t>1061958</w:t>
      </w:r>
      <w:r w:rsidR="009D7AE1" w:rsidRPr="007210B3">
        <w:rPr>
          <w:color w:val="000000"/>
          <w:sz w:val="22"/>
          <w:szCs w:val="22"/>
        </w:rPr>
        <w:t xml:space="preserve"> (the Antenna Structure), located</w:t>
      </w:r>
      <w:r w:rsidR="006F651C" w:rsidRPr="007210B3">
        <w:rPr>
          <w:color w:val="000000"/>
          <w:sz w:val="22"/>
          <w:szCs w:val="22"/>
        </w:rPr>
        <w:t xml:space="preserve"> </w:t>
      </w:r>
      <w:r w:rsidR="003A5C36" w:rsidRPr="007210B3">
        <w:rPr>
          <w:color w:val="000000"/>
          <w:sz w:val="22"/>
          <w:szCs w:val="22"/>
        </w:rPr>
        <w:t>in Moapa</w:t>
      </w:r>
      <w:r w:rsidR="006F651C" w:rsidRPr="007210B3">
        <w:rPr>
          <w:color w:val="000000"/>
          <w:sz w:val="22"/>
          <w:szCs w:val="22"/>
        </w:rPr>
        <w:t xml:space="preserve">, </w:t>
      </w:r>
      <w:r w:rsidR="003A5C36" w:rsidRPr="007210B3">
        <w:rPr>
          <w:color w:val="000000"/>
          <w:sz w:val="22"/>
          <w:szCs w:val="22"/>
        </w:rPr>
        <w:t>Nevada</w:t>
      </w:r>
      <w:r w:rsidRPr="007210B3">
        <w:rPr>
          <w:color w:val="000000"/>
          <w:sz w:val="22"/>
          <w:szCs w:val="22"/>
        </w:rPr>
        <w:t xml:space="preserve">, apparently willfully and repeatedly violated </w:t>
      </w:r>
      <w:r w:rsidR="00337B75" w:rsidRPr="007210B3">
        <w:rPr>
          <w:color w:val="000000"/>
          <w:sz w:val="22"/>
          <w:szCs w:val="22"/>
        </w:rPr>
        <w:t>Section</w:t>
      </w:r>
      <w:r w:rsidR="002144FA" w:rsidRPr="007210B3">
        <w:rPr>
          <w:color w:val="000000"/>
          <w:sz w:val="22"/>
          <w:szCs w:val="22"/>
        </w:rPr>
        <w:t xml:space="preserve"> 303(q)</w:t>
      </w:r>
      <w:r w:rsidR="00337B75" w:rsidRPr="007210B3">
        <w:rPr>
          <w:color w:val="000000"/>
          <w:sz w:val="22"/>
          <w:szCs w:val="22"/>
        </w:rPr>
        <w:t xml:space="preserve"> of the Communications Act of 1934, as amended (Act),</w:t>
      </w:r>
      <w:r w:rsidR="009D7AE1" w:rsidRPr="007210B3">
        <w:rPr>
          <w:rStyle w:val="FootnoteReference"/>
          <w:color w:val="000000"/>
          <w:spacing w:val="-2"/>
          <w:sz w:val="22"/>
          <w:szCs w:val="22"/>
        </w:rPr>
        <w:footnoteReference w:id="2"/>
      </w:r>
      <w:r w:rsidR="00337B75" w:rsidRPr="007210B3">
        <w:rPr>
          <w:color w:val="000000"/>
          <w:sz w:val="22"/>
          <w:szCs w:val="22"/>
        </w:rPr>
        <w:t xml:space="preserve"> and </w:t>
      </w:r>
      <w:r w:rsidR="008B58B7" w:rsidRPr="007210B3">
        <w:rPr>
          <w:color w:val="000000"/>
          <w:sz w:val="22"/>
          <w:szCs w:val="22"/>
        </w:rPr>
        <w:t>S</w:t>
      </w:r>
      <w:r w:rsidRPr="007210B3">
        <w:rPr>
          <w:color w:val="000000"/>
          <w:sz w:val="22"/>
          <w:szCs w:val="22"/>
        </w:rPr>
        <w:t xml:space="preserve">ections </w:t>
      </w:r>
      <w:r w:rsidR="00C42B47" w:rsidRPr="007210B3">
        <w:rPr>
          <w:color w:val="000000"/>
          <w:sz w:val="22"/>
          <w:szCs w:val="22"/>
        </w:rPr>
        <w:t>17.47</w:t>
      </w:r>
      <w:r w:rsidR="003A5C36" w:rsidRPr="007210B3">
        <w:rPr>
          <w:color w:val="000000"/>
          <w:sz w:val="22"/>
          <w:szCs w:val="22"/>
        </w:rPr>
        <w:t>(a)</w:t>
      </w:r>
      <w:r w:rsidR="009638E9" w:rsidRPr="007210B3">
        <w:rPr>
          <w:color w:val="000000"/>
          <w:spacing w:val="-2"/>
          <w:sz w:val="22"/>
          <w:szCs w:val="22"/>
        </w:rPr>
        <w:t>, 17.48</w:t>
      </w:r>
      <w:r w:rsidR="00EB33E4" w:rsidRPr="007210B3">
        <w:rPr>
          <w:color w:val="000000"/>
          <w:spacing w:val="-2"/>
          <w:sz w:val="22"/>
          <w:szCs w:val="22"/>
        </w:rPr>
        <w:t>(a)</w:t>
      </w:r>
      <w:r w:rsidR="009638E9" w:rsidRPr="007210B3">
        <w:rPr>
          <w:color w:val="000000"/>
          <w:spacing w:val="-2"/>
          <w:sz w:val="22"/>
          <w:szCs w:val="22"/>
        </w:rPr>
        <w:t>,</w:t>
      </w:r>
      <w:r w:rsidR="009D7AE1" w:rsidRPr="007210B3">
        <w:rPr>
          <w:color w:val="000000"/>
          <w:sz w:val="22"/>
          <w:szCs w:val="22"/>
        </w:rPr>
        <w:t xml:space="preserve"> </w:t>
      </w:r>
      <w:r w:rsidR="004975C0" w:rsidRPr="007210B3">
        <w:rPr>
          <w:color w:val="000000"/>
          <w:sz w:val="22"/>
          <w:szCs w:val="22"/>
        </w:rPr>
        <w:t xml:space="preserve">and </w:t>
      </w:r>
      <w:r w:rsidR="00EB33E4" w:rsidRPr="007210B3">
        <w:rPr>
          <w:color w:val="000000"/>
          <w:sz w:val="22"/>
          <w:szCs w:val="22"/>
        </w:rPr>
        <w:t>17.51</w:t>
      </w:r>
      <w:r w:rsidR="00672EE9">
        <w:rPr>
          <w:color w:val="000000"/>
          <w:sz w:val="22"/>
          <w:szCs w:val="22"/>
        </w:rPr>
        <w:t>(b)</w:t>
      </w:r>
      <w:r w:rsidRPr="007210B3">
        <w:rPr>
          <w:b/>
          <w:color w:val="000000"/>
          <w:sz w:val="22"/>
          <w:szCs w:val="22"/>
        </w:rPr>
        <w:t xml:space="preserve"> </w:t>
      </w:r>
      <w:r w:rsidR="00875DB2" w:rsidRPr="007210B3">
        <w:rPr>
          <w:color w:val="000000"/>
          <w:sz w:val="22"/>
          <w:szCs w:val="22"/>
        </w:rPr>
        <w:t>of the Commission</w:t>
      </w:r>
      <w:r w:rsidR="007E2E05" w:rsidRPr="007210B3">
        <w:rPr>
          <w:color w:val="000000"/>
          <w:sz w:val="22"/>
          <w:szCs w:val="22"/>
        </w:rPr>
        <w:t>’</w:t>
      </w:r>
      <w:r w:rsidR="00E847E3" w:rsidRPr="007210B3">
        <w:rPr>
          <w:color w:val="000000"/>
          <w:sz w:val="22"/>
          <w:szCs w:val="22"/>
        </w:rPr>
        <w:t>s r</w:t>
      </w:r>
      <w:r w:rsidR="00F46870" w:rsidRPr="007210B3">
        <w:rPr>
          <w:color w:val="000000"/>
          <w:sz w:val="22"/>
          <w:szCs w:val="22"/>
        </w:rPr>
        <w:t>ules (Rules</w:t>
      </w:r>
      <w:r w:rsidRPr="007210B3">
        <w:rPr>
          <w:color w:val="000000"/>
          <w:sz w:val="22"/>
          <w:szCs w:val="22"/>
        </w:rPr>
        <w:t>)</w:t>
      </w:r>
      <w:r w:rsidR="009711A7" w:rsidRPr="007210B3">
        <w:rPr>
          <w:color w:val="000000"/>
          <w:sz w:val="22"/>
          <w:szCs w:val="22"/>
        </w:rPr>
        <w:t>,</w:t>
      </w:r>
      <w:r w:rsidRPr="007210B3">
        <w:rPr>
          <w:rStyle w:val="FootnoteReference"/>
          <w:color w:val="000000"/>
          <w:spacing w:val="-2"/>
          <w:sz w:val="22"/>
          <w:szCs w:val="22"/>
        </w:rPr>
        <w:footnoteReference w:id="3"/>
      </w:r>
      <w:r w:rsidRPr="007210B3">
        <w:rPr>
          <w:color w:val="000000"/>
          <w:sz w:val="22"/>
          <w:szCs w:val="22"/>
        </w:rPr>
        <w:t xml:space="preserve"> by failing to</w:t>
      </w:r>
      <w:r w:rsidR="007210B3" w:rsidRPr="007210B3">
        <w:rPr>
          <w:color w:val="000000"/>
          <w:sz w:val="22"/>
          <w:szCs w:val="22"/>
        </w:rPr>
        <w:t xml:space="preserve">: </w:t>
      </w:r>
      <w:r w:rsidR="007210B3" w:rsidRPr="007210B3">
        <w:rPr>
          <w:color w:val="000000"/>
          <w:spacing w:val="-2"/>
          <w:sz w:val="22"/>
          <w:szCs w:val="22"/>
        </w:rPr>
        <w:t xml:space="preserve">(1) monitor obstruction lighting on a daily basis or maintain an alarm system; (2) </w:t>
      </w:r>
      <w:r w:rsidR="007210B3" w:rsidRPr="007210B3">
        <w:rPr>
          <w:sz w:val="22"/>
          <w:szCs w:val="22"/>
        </w:rPr>
        <w:t xml:space="preserve">notify the Federal Aviation Administration (FAA) of a known lighting outage, </w:t>
      </w:r>
      <w:r w:rsidR="007210B3" w:rsidRPr="007210B3">
        <w:rPr>
          <w:color w:val="000000"/>
          <w:spacing w:val="-2"/>
          <w:sz w:val="22"/>
          <w:szCs w:val="22"/>
        </w:rPr>
        <w:t>and (3) exhibit required obstruction lighting</w:t>
      </w:r>
      <w:r w:rsidR="004975C0" w:rsidRPr="007210B3">
        <w:rPr>
          <w:color w:val="000000"/>
          <w:sz w:val="22"/>
          <w:szCs w:val="22"/>
        </w:rPr>
        <w:t>.</w:t>
      </w:r>
      <w:r w:rsidRPr="007210B3">
        <w:rPr>
          <w:color w:val="000000"/>
          <w:sz w:val="22"/>
          <w:szCs w:val="22"/>
        </w:rPr>
        <w:t xml:space="preserve">  We conclude that </w:t>
      </w:r>
      <w:r w:rsidR="003A5C36" w:rsidRPr="007210B3">
        <w:rPr>
          <w:color w:val="000000"/>
          <w:sz w:val="22"/>
          <w:szCs w:val="22"/>
        </w:rPr>
        <w:t>K</w:t>
      </w:r>
      <w:r w:rsidR="00A40A06" w:rsidRPr="007210B3">
        <w:rPr>
          <w:color w:val="000000"/>
          <w:sz w:val="22"/>
          <w:szCs w:val="22"/>
        </w:rPr>
        <w:t>emp</w:t>
      </w:r>
      <w:r w:rsidRPr="007210B3">
        <w:rPr>
          <w:color w:val="000000"/>
          <w:sz w:val="22"/>
          <w:szCs w:val="22"/>
        </w:rPr>
        <w:t xml:space="preserve"> is apparently liable for a forfeiture in the amount of </w:t>
      </w:r>
      <w:r w:rsidR="00702532">
        <w:rPr>
          <w:color w:val="000000"/>
          <w:sz w:val="22"/>
          <w:szCs w:val="22"/>
        </w:rPr>
        <w:t>fourteen</w:t>
      </w:r>
      <w:r w:rsidR="003D297F" w:rsidRPr="007210B3">
        <w:rPr>
          <w:color w:val="000000"/>
          <w:sz w:val="22"/>
          <w:szCs w:val="22"/>
        </w:rPr>
        <w:t xml:space="preserve"> </w:t>
      </w:r>
      <w:r w:rsidRPr="007210B3">
        <w:rPr>
          <w:color w:val="000000"/>
          <w:sz w:val="22"/>
          <w:szCs w:val="22"/>
        </w:rPr>
        <w:t>thousand dollars ($</w:t>
      </w:r>
      <w:r w:rsidR="003D297F" w:rsidRPr="007210B3">
        <w:rPr>
          <w:color w:val="000000"/>
          <w:sz w:val="22"/>
          <w:szCs w:val="22"/>
        </w:rPr>
        <w:t>1</w:t>
      </w:r>
      <w:r w:rsidR="00702532">
        <w:rPr>
          <w:color w:val="000000"/>
          <w:sz w:val="22"/>
          <w:szCs w:val="22"/>
        </w:rPr>
        <w:t>4</w:t>
      </w:r>
      <w:r w:rsidRPr="007210B3">
        <w:rPr>
          <w:color w:val="000000"/>
          <w:sz w:val="22"/>
          <w:szCs w:val="22"/>
        </w:rPr>
        <w:t>,000</w:t>
      </w:r>
      <w:r w:rsidR="000A0EEE" w:rsidRPr="007210B3">
        <w:rPr>
          <w:color w:val="000000"/>
          <w:sz w:val="22"/>
          <w:szCs w:val="22"/>
        </w:rPr>
        <w:t>).</w:t>
      </w:r>
    </w:p>
    <w:p w:rsidR="00181DC9" w:rsidRPr="005F515C" w:rsidRDefault="00DA71B0" w:rsidP="00DA71B0">
      <w:pPr>
        <w:pStyle w:val="Heading1"/>
        <w:spacing w:before="220"/>
        <w:rPr>
          <w:bCs/>
          <w:color w:val="000000"/>
          <w:spacing w:val="-2"/>
          <w:sz w:val="22"/>
          <w:szCs w:val="22"/>
        </w:rPr>
      </w:pPr>
      <w:r w:rsidRPr="005F515C">
        <w:rPr>
          <w:bCs/>
          <w:color w:val="000000"/>
          <w:sz w:val="22"/>
          <w:szCs w:val="22"/>
        </w:rPr>
        <w:t>BACKground</w:t>
      </w:r>
      <w:r w:rsidR="003A7878" w:rsidRPr="005F515C">
        <w:rPr>
          <w:bCs/>
          <w:color w:val="000000"/>
          <w:sz w:val="22"/>
          <w:szCs w:val="22"/>
        </w:rPr>
        <w:t xml:space="preserve">  </w:t>
      </w:r>
    </w:p>
    <w:p w:rsidR="00181DC9" w:rsidRPr="005F515C" w:rsidRDefault="009D7AE1" w:rsidP="00181DC9">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z w:val="22"/>
          <w:szCs w:val="22"/>
        </w:rPr>
        <w:t>T</w:t>
      </w:r>
      <w:r w:rsidR="00083414" w:rsidRPr="005F515C">
        <w:rPr>
          <w:color w:val="000000"/>
          <w:sz w:val="22"/>
          <w:szCs w:val="22"/>
        </w:rPr>
        <w:t xml:space="preserve">he Antenna Structure </w:t>
      </w:r>
      <w:r w:rsidRPr="005F515C">
        <w:rPr>
          <w:color w:val="000000"/>
          <w:sz w:val="22"/>
          <w:szCs w:val="22"/>
        </w:rPr>
        <w:t xml:space="preserve">is </w:t>
      </w:r>
      <w:r w:rsidR="008D4799">
        <w:rPr>
          <w:color w:val="000000"/>
          <w:sz w:val="22"/>
          <w:szCs w:val="22"/>
        </w:rPr>
        <w:t>401</w:t>
      </w:r>
      <w:r w:rsidRPr="005F515C">
        <w:rPr>
          <w:color w:val="000000"/>
          <w:sz w:val="22"/>
          <w:szCs w:val="22"/>
        </w:rPr>
        <w:t xml:space="preserve"> meters in</w:t>
      </w:r>
      <w:r w:rsidR="00083414" w:rsidRPr="005F515C">
        <w:rPr>
          <w:color w:val="000000"/>
          <w:sz w:val="22"/>
          <w:szCs w:val="22"/>
        </w:rPr>
        <w:t xml:space="preserve"> overall height </w:t>
      </w:r>
      <w:r w:rsidRPr="005F515C">
        <w:rPr>
          <w:color w:val="000000"/>
          <w:sz w:val="22"/>
          <w:szCs w:val="22"/>
        </w:rPr>
        <w:t xml:space="preserve">above ground level and is required to be </w:t>
      </w:r>
      <w:r w:rsidR="00076610">
        <w:rPr>
          <w:color w:val="000000"/>
          <w:sz w:val="22"/>
          <w:szCs w:val="22"/>
        </w:rPr>
        <w:t xml:space="preserve">painted and </w:t>
      </w:r>
      <w:r w:rsidRPr="005F515C">
        <w:rPr>
          <w:color w:val="000000"/>
          <w:sz w:val="22"/>
          <w:szCs w:val="22"/>
        </w:rPr>
        <w:t>lighted.</w:t>
      </w:r>
      <w:r w:rsidRPr="005F515C">
        <w:rPr>
          <w:rStyle w:val="FootnoteReference"/>
          <w:color w:val="000000"/>
          <w:sz w:val="22"/>
          <w:szCs w:val="22"/>
        </w:rPr>
        <w:footnoteReference w:id="4"/>
      </w:r>
      <w:r w:rsidRPr="005F515C">
        <w:rPr>
          <w:color w:val="000000"/>
          <w:sz w:val="22"/>
          <w:szCs w:val="22"/>
        </w:rPr>
        <w:t xml:space="preserve"> </w:t>
      </w:r>
      <w:r w:rsidR="00EE4297">
        <w:rPr>
          <w:color w:val="000000"/>
          <w:sz w:val="22"/>
          <w:szCs w:val="22"/>
        </w:rPr>
        <w:t xml:space="preserve"> </w:t>
      </w:r>
      <w:r w:rsidR="009F3595">
        <w:rPr>
          <w:color w:val="000000"/>
          <w:sz w:val="22"/>
          <w:szCs w:val="22"/>
        </w:rPr>
        <w:t>Specifically, t</w:t>
      </w:r>
      <w:r w:rsidRPr="005F515C">
        <w:rPr>
          <w:color w:val="000000"/>
          <w:sz w:val="22"/>
          <w:szCs w:val="22"/>
        </w:rPr>
        <w:t xml:space="preserve">he Antenna Structure is required to have dual lighting, </w:t>
      </w:r>
      <w:r w:rsidRPr="005F515C">
        <w:rPr>
          <w:i/>
          <w:color w:val="000000"/>
          <w:sz w:val="22"/>
          <w:szCs w:val="22"/>
        </w:rPr>
        <w:t>i.e.</w:t>
      </w:r>
      <w:r w:rsidRPr="005F515C">
        <w:rPr>
          <w:color w:val="000000"/>
          <w:sz w:val="22"/>
          <w:szCs w:val="22"/>
        </w:rPr>
        <w:t xml:space="preserve">, red lights at </w:t>
      </w:r>
      <w:r w:rsidR="00AF1004" w:rsidRPr="005F515C">
        <w:rPr>
          <w:color w:val="000000"/>
          <w:sz w:val="22"/>
          <w:szCs w:val="22"/>
        </w:rPr>
        <w:t>nighttime</w:t>
      </w:r>
      <w:r w:rsidRPr="005F515C">
        <w:rPr>
          <w:color w:val="000000"/>
          <w:sz w:val="22"/>
          <w:szCs w:val="22"/>
        </w:rPr>
        <w:t xml:space="preserve"> and white lights during the daytime and twilight.</w:t>
      </w:r>
    </w:p>
    <w:p w:rsidR="00A54F90" w:rsidRPr="00A54F90" w:rsidRDefault="009D7AE1" w:rsidP="00F14BB1">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z w:val="22"/>
          <w:szCs w:val="22"/>
        </w:rPr>
        <w:t xml:space="preserve">On </w:t>
      </w:r>
      <w:r w:rsidR="009F3595">
        <w:rPr>
          <w:color w:val="000000"/>
          <w:sz w:val="22"/>
          <w:szCs w:val="22"/>
        </w:rPr>
        <w:t>April 17</w:t>
      </w:r>
      <w:r w:rsidR="00181DC9" w:rsidRPr="005F515C">
        <w:rPr>
          <w:color w:val="000000"/>
          <w:sz w:val="22"/>
          <w:szCs w:val="22"/>
        </w:rPr>
        <w:t>,</w:t>
      </w:r>
      <w:r w:rsidRPr="005F515C">
        <w:rPr>
          <w:color w:val="000000"/>
          <w:sz w:val="22"/>
          <w:szCs w:val="22"/>
        </w:rPr>
        <w:t xml:space="preserve"> 201</w:t>
      </w:r>
      <w:r w:rsidR="009F3595">
        <w:rPr>
          <w:color w:val="000000"/>
          <w:sz w:val="22"/>
          <w:szCs w:val="22"/>
        </w:rPr>
        <w:t>3</w:t>
      </w:r>
      <w:r w:rsidRPr="005F515C">
        <w:rPr>
          <w:color w:val="000000"/>
          <w:sz w:val="22"/>
          <w:szCs w:val="22"/>
        </w:rPr>
        <w:t>, agent</w:t>
      </w:r>
      <w:r w:rsidR="009F3595">
        <w:rPr>
          <w:color w:val="000000"/>
          <w:sz w:val="22"/>
          <w:szCs w:val="22"/>
        </w:rPr>
        <w:t>s</w:t>
      </w:r>
      <w:r w:rsidRPr="005F515C">
        <w:rPr>
          <w:color w:val="000000"/>
          <w:sz w:val="22"/>
          <w:szCs w:val="22"/>
        </w:rPr>
        <w:t xml:space="preserve"> from the Enforcement Burea</w:t>
      </w:r>
      <w:r w:rsidR="00181DC9" w:rsidRPr="005F515C">
        <w:rPr>
          <w:color w:val="000000"/>
          <w:sz w:val="22"/>
          <w:szCs w:val="22"/>
        </w:rPr>
        <w:t xml:space="preserve">u’s </w:t>
      </w:r>
      <w:r w:rsidR="009F3595">
        <w:rPr>
          <w:color w:val="000000"/>
          <w:sz w:val="22"/>
          <w:szCs w:val="22"/>
        </w:rPr>
        <w:t>Los Angeles</w:t>
      </w:r>
      <w:r w:rsidR="00181DC9" w:rsidRPr="005F515C">
        <w:rPr>
          <w:color w:val="000000"/>
          <w:sz w:val="22"/>
          <w:szCs w:val="22"/>
        </w:rPr>
        <w:t xml:space="preserve"> Office</w:t>
      </w:r>
      <w:r w:rsidR="00AF1004">
        <w:rPr>
          <w:color w:val="000000"/>
          <w:sz w:val="22"/>
          <w:szCs w:val="22"/>
        </w:rPr>
        <w:t xml:space="preserve"> inspected the </w:t>
      </w:r>
      <w:r w:rsidRPr="005F515C">
        <w:rPr>
          <w:color w:val="000000"/>
          <w:sz w:val="22"/>
          <w:szCs w:val="22"/>
        </w:rPr>
        <w:t xml:space="preserve">Antenna Structure </w:t>
      </w:r>
      <w:r w:rsidR="00AF1004" w:rsidRPr="005F515C">
        <w:rPr>
          <w:color w:val="000000"/>
          <w:sz w:val="22"/>
          <w:szCs w:val="22"/>
        </w:rPr>
        <w:t xml:space="preserve">during </w:t>
      </w:r>
      <w:r w:rsidR="00AF1004">
        <w:rPr>
          <w:color w:val="000000"/>
          <w:sz w:val="22"/>
          <w:szCs w:val="22"/>
        </w:rPr>
        <w:t xml:space="preserve">the </w:t>
      </w:r>
      <w:r w:rsidR="00AF1004" w:rsidRPr="005F515C">
        <w:rPr>
          <w:color w:val="000000"/>
          <w:sz w:val="22"/>
          <w:szCs w:val="22"/>
        </w:rPr>
        <w:t>daytime</w:t>
      </w:r>
      <w:r w:rsidR="00AF1004">
        <w:rPr>
          <w:color w:val="000000"/>
          <w:sz w:val="22"/>
          <w:szCs w:val="22"/>
        </w:rPr>
        <w:t>, and observed</w:t>
      </w:r>
      <w:r w:rsidR="00382E20">
        <w:rPr>
          <w:color w:val="000000"/>
          <w:sz w:val="22"/>
          <w:szCs w:val="22"/>
        </w:rPr>
        <w:t xml:space="preserve">: 1) </w:t>
      </w:r>
      <w:r w:rsidR="00AF1004">
        <w:rPr>
          <w:color w:val="000000"/>
          <w:sz w:val="22"/>
          <w:szCs w:val="22"/>
        </w:rPr>
        <w:t xml:space="preserve"> </w:t>
      </w:r>
      <w:r w:rsidR="00C428B3">
        <w:rPr>
          <w:color w:val="000000"/>
          <w:sz w:val="22"/>
          <w:szCs w:val="22"/>
        </w:rPr>
        <w:t xml:space="preserve">no </w:t>
      </w:r>
      <w:r w:rsidR="00371BEE">
        <w:rPr>
          <w:color w:val="000000"/>
          <w:sz w:val="22"/>
          <w:szCs w:val="22"/>
        </w:rPr>
        <w:t xml:space="preserve">white flashing </w:t>
      </w:r>
      <w:r w:rsidR="00C428B3">
        <w:rPr>
          <w:color w:val="000000"/>
          <w:sz w:val="22"/>
          <w:szCs w:val="22"/>
        </w:rPr>
        <w:t xml:space="preserve">lights functioning on the top of the </w:t>
      </w:r>
      <w:r w:rsidR="009E229B">
        <w:rPr>
          <w:color w:val="000000"/>
          <w:sz w:val="22"/>
          <w:szCs w:val="22"/>
        </w:rPr>
        <w:t xml:space="preserve">400 meter </w:t>
      </w:r>
      <w:r w:rsidR="00C428B3">
        <w:rPr>
          <w:color w:val="000000"/>
          <w:sz w:val="22"/>
          <w:szCs w:val="22"/>
        </w:rPr>
        <w:t>Antenna Structure</w:t>
      </w:r>
      <w:r w:rsidR="00382E20">
        <w:rPr>
          <w:color w:val="000000"/>
          <w:sz w:val="22"/>
          <w:szCs w:val="22"/>
        </w:rPr>
        <w:t xml:space="preserve">; 2) </w:t>
      </w:r>
      <w:r w:rsidR="00C428B3">
        <w:rPr>
          <w:color w:val="000000"/>
          <w:sz w:val="22"/>
          <w:szCs w:val="22"/>
        </w:rPr>
        <w:t xml:space="preserve"> no white </w:t>
      </w:r>
      <w:r w:rsidR="00371BEE">
        <w:rPr>
          <w:color w:val="000000"/>
          <w:sz w:val="22"/>
          <w:szCs w:val="22"/>
        </w:rPr>
        <w:t xml:space="preserve">flashing </w:t>
      </w:r>
      <w:r w:rsidR="00C428B3">
        <w:rPr>
          <w:color w:val="000000"/>
          <w:sz w:val="22"/>
          <w:szCs w:val="22"/>
        </w:rPr>
        <w:t xml:space="preserve">lights functioning on the ¾ level </w:t>
      </w:r>
      <w:r w:rsidR="009E229B">
        <w:rPr>
          <w:color w:val="000000"/>
          <w:sz w:val="22"/>
          <w:szCs w:val="22"/>
        </w:rPr>
        <w:t xml:space="preserve">(300 </w:t>
      </w:r>
      <w:r w:rsidR="009E229B">
        <w:rPr>
          <w:color w:val="000000"/>
          <w:sz w:val="22"/>
          <w:szCs w:val="22"/>
        </w:rPr>
        <w:lastRenderedPageBreak/>
        <w:t>meter)</w:t>
      </w:r>
      <w:r w:rsidR="009E0E39">
        <w:rPr>
          <w:color w:val="000000"/>
          <w:sz w:val="22"/>
          <w:szCs w:val="22"/>
        </w:rPr>
        <w:t xml:space="preserve"> </w:t>
      </w:r>
      <w:r w:rsidR="00F355DD">
        <w:rPr>
          <w:color w:val="000000"/>
          <w:sz w:val="22"/>
          <w:szCs w:val="22"/>
        </w:rPr>
        <w:t>o</w:t>
      </w:r>
      <w:r w:rsidR="00C428B3">
        <w:rPr>
          <w:color w:val="000000"/>
          <w:sz w:val="22"/>
          <w:szCs w:val="22"/>
        </w:rPr>
        <w:t>f the Antenna Structure</w:t>
      </w:r>
      <w:r w:rsidR="00382E20">
        <w:rPr>
          <w:color w:val="000000"/>
          <w:sz w:val="22"/>
          <w:szCs w:val="22"/>
        </w:rPr>
        <w:t>;</w:t>
      </w:r>
      <w:r w:rsidR="00C428B3">
        <w:rPr>
          <w:color w:val="000000"/>
          <w:sz w:val="22"/>
          <w:szCs w:val="22"/>
        </w:rPr>
        <w:t xml:space="preserve">  </w:t>
      </w:r>
      <w:r w:rsidR="00382E20">
        <w:rPr>
          <w:color w:val="000000"/>
          <w:sz w:val="22"/>
          <w:szCs w:val="22"/>
        </w:rPr>
        <w:t xml:space="preserve">3) </w:t>
      </w:r>
      <w:r w:rsidR="009E229B">
        <w:rPr>
          <w:color w:val="000000"/>
          <w:sz w:val="22"/>
          <w:szCs w:val="22"/>
        </w:rPr>
        <w:t xml:space="preserve">only one of </w:t>
      </w:r>
      <w:r w:rsidR="00382E20">
        <w:rPr>
          <w:color w:val="000000"/>
          <w:sz w:val="22"/>
          <w:szCs w:val="22"/>
        </w:rPr>
        <w:t>t</w:t>
      </w:r>
      <w:r w:rsidR="009E229B">
        <w:rPr>
          <w:color w:val="000000"/>
          <w:sz w:val="22"/>
          <w:szCs w:val="22"/>
        </w:rPr>
        <w:t>he</w:t>
      </w:r>
      <w:r w:rsidR="00382E20">
        <w:rPr>
          <w:color w:val="000000"/>
          <w:sz w:val="22"/>
          <w:szCs w:val="22"/>
        </w:rPr>
        <w:t xml:space="preserve"> required</w:t>
      </w:r>
      <w:r w:rsidR="00A656B4">
        <w:rPr>
          <w:color w:val="000000"/>
          <w:sz w:val="22"/>
          <w:szCs w:val="22"/>
        </w:rPr>
        <w:t xml:space="preserve"> </w:t>
      </w:r>
      <w:r w:rsidR="00C3548A">
        <w:rPr>
          <w:color w:val="000000"/>
          <w:sz w:val="22"/>
          <w:szCs w:val="22"/>
        </w:rPr>
        <w:t xml:space="preserve">white </w:t>
      </w:r>
      <w:r w:rsidR="00371BEE">
        <w:rPr>
          <w:color w:val="000000"/>
          <w:sz w:val="22"/>
          <w:szCs w:val="22"/>
        </w:rPr>
        <w:t xml:space="preserve">flashing </w:t>
      </w:r>
      <w:r w:rsidR="00C3548A">
        <w:rPr>
          <w:color w:val="000000"/>
          <w:sz w:val="22"/>
          <w:szCs w:val="22"/>
        </w:rPr>
        <w:t>light</w:t>
      </w:r>
      <w:r w:rsidR="00A656B4">
        <w:rPr>
          <w:color w:val="000000"/>
          <w:sz w:val="22"/>
          <w:szCs w:val="22"/>
        </w:rPr>
        <w:t>s</w:t>
      </w:r>
      <w:r w:rsidR="00382E20">
        <w:rPr>
          <w:color w:val="000000"/>
          <w:sz w:val="22"/>
          <w:szCs w:val="22"/>
        </w:rPr>
        <w:t xml:space="preserve"> </w:t>
      </w:r>
      <w:r w:rsidR="009E229B">
        <w:rPr>
          <w:color w:val="000000"/>
          <w:sz w:val="22"/>
          <w:szCs w:val="22"/>
        </w:rPr>
        <w:t>functioning at the ½ level (200 meters); and 4) only one of the required white flashing lights functioning at the ¼ level (100 meters).</w:t>
      </w:r>
      <w:r w:rsidR="00C3548A">
        <w:rPr>
          <w:color w:val="000000"/>
          <w:sz w:val="22"/>
          <w:szCs w:val="22"/>
        </w:rPr>
        <w:t xml:space="preserve">  </w:t>
      </w:r>
      <w:r w:rsidR="000E5654">
        <w:rPr>
          <w:color w:val="000000"/>
          <w:sz w:val="22"/>
          <w:szCs w:val="22"/>
        </w:rPr>
        <w:t>While</w:t>
      </w:r>
      <w:r w:rsidR="0081563B">
        <w:rPr>
          <w:spacing w:val="-2"/>
          <w:sz w:val="22"/>
          <w:szCs w:val="22"/>
        </w:rPr>
        <w:t xml:space="preserve"> on the premises, the agents encountered an employee of Kemp who had driven up to the site in a motor vehicle.   The agents identified themselves as FCC agents conducting an inspection of the Antenna Structure, and informed </w:t>
      </w:r>
      <w:r w:rsidR="00720ACB">
        <w:rPr>
          <w:spacing w:val="-2"/>
          <w:sz w:val="22"/>
          <w:szCs w:val="22"/>
        </w:rPr>
        <w:t xml:space="preserve">the </w:t>
      </w:r>
      <w:r w:rsidR="00594F29">
        <w:rPr>
          <w:spacing w:val="-2"/>
          <w:sz w:val="22"/>
          <w:szCs w:val="22"/>
        </w:rPr>
        <w:t>Kemp employee</w:t>
      </w:r>
      <w:r w:rsidR="0081563B">
        <w:rPr>
          <w:spacing w:val="-2"/>
          <w:sz w:val="22"/>
          <w:szCs w:val="22"/>
        </w:rPr>
        <w:t xml:space="preserve"> that the extinguished lights were a violation of FCC rules</w:t>
      </w:r>
      <w:r w:rsidR="0081563B">
        <w:rPr>
          <w:sz w:val="22"/>
          <w:szCs w:val="22"/>
        </w:rPr>
        <w:t>.</w:t>
      </w:r>
      <w:r w:rsidR="00C3548A">
        <w:rPr>
          <w:sz w:val="22"/>
          <w:szCs w:val="22"/>
        </w:rPr>
        <w:t xml:space="preserve">  The agents then left the area, but returned at </w:t>
      </w:r>
      <w:r w:rsidR="00C3548A">
        <w:rPr>
          <w:spacing w:val="-2"/>
          <w:sz w:val="22"/>
          <w:szCs w:val="22"/>
        </w:rPr>
        <w:t xml:space="preserve">nighttime and observed </w:t>
      </w:r>
      <w:r w:rsidR="00382E20">
        <w:rPr>
          <w:spacing w:val="-2"/>
          <w:sz w:val="22"/>
          <w:szCs w:val="22"/>
        </w:rPr>
        <w:t xml:space="preserve">no flashing red lights on the ¼ level.  </w:t>
      </w:r>
      <w:r w:rsidR="00C3548A" w:rsidRPr="005F515C">
        <w:rPr>
          <w:color w:val="000000"/>
          <w:sz w:val="22"/>
          <w:szCs w:val="22"/>
        </w:rPr>
        <w:t>The agent</w:t>
      </w:r>
      <w:r w:rsidR="00C3548A">
        <w:rPr>
          <w:color w:val="000000"/>
          <w:sz w:val="22"/>
          <w:szCs w:val="22"/>
        </w:rPr>
        <w:t>s</w:t>
      </w:r>
      <w:r w:rsidR="00C3548A" w:rsidRPr="005F515C">
        <w:rPr>
          <w:color w:val="000000"/>
          <w:sz w:val="22"/>
          <w:szCs w:val="22"/>
        </w:rPr>
        <w:t xml:space="preserve"> contacted the FAA and learned that no Notice to Airmen (NOTAM) had been issued for the Antenna Structure.</w:t>
      </w:r>
      <w:r w:rsidR="00C3548A" w:rsidRPr="005F515C">
        <w:rPr>
          <w:rStyle w:val="FootnoteReference"/>
          <w:color w:val="000000"/>
          <w:spacing w:val="-2"/>
          <w:sz w:val="22"/>
          <w:szCs w:val="22"/>
        </w:rPr>
        <w:footnoteReference w:id="5"/>
      </w:r>
    </w:p>
    <w:p w:rsidR="00CF4B7B" w:rsidRPr="005F515C" w:rsidRDefault="00CF4B7B" w:rsidP="00F14BB1">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Pr>
          <w:spacing w:val="-2"/>
          <w:sz w:val="22"/>
          <w:szCs w:val="22"/>
        </w:rPr>
        <w:t xml:space="preserve">On April 29, 2013, a Los Angeles Office agent called Kemp </w:t>
      </w:r>
      <w:r w:rsidR="008D4F34">
        <w:rPr>
          <w:spacing w:val="-2"/>
          <w:sz w:val="22"/>
          <w:szCs w:val="22"/>
        </w:rPr>
        <w:t xml:space="preserve">to </w:t>
      </w:r>
      <w:r>
        <w:rPr>
          <w:spacing w:val="-2"/>
          <w:sz w:val="22"/>
          <w:szCs w:val="22"/>
        </w:rPr>
        <w:t xml:space="preserve">inform them </w:t>
      </w:r>
      <w:r w:rsidR="008D4F34">
        <w:rPr>
          <w:spacing w:val="-2"/>
          <w:sz w:val="22"/>
          <w:szCs w:val="22"/>
        </w:rPr>
        <w:t xml:space="preserve">of </w:t>
      </w:r>
      <w:r>
        <w:rPr>
          <w:spacing w:val="-2"/>
          <w:sz w:val="22"/>
          <w:szCs w:val="22"/>
        </w:rPr>
        <w:t>the FCC’s NOTAM report, and to request</w:t>
      </w:r>
      <w:r w:rsidR="00A27E6B">
        <w:rPr>
          <w:spacing w:val="-2"/>
          <w:sz w:val="22"/>
          <w:szCs w:val="22"/>
        </w:rPr>
        <w:t xml:space="preserve"> that</w:t>
      </w:r>
      <w:r>
        <w:rPr>
          <w:spacing w:val="-2"/>
          <w:sz w:val="22"/>
          <w:szCs w:val="22"/>
        </w:rPr>
        <w:t xml:space="preserve"> Kemp renew the NOTAM if the lights had not been restored b</w:t>
      </w:r>
      <w:r w:rsidR="00A27E6B">
        <w:rPr>
          <w:spacing w:val="-2"/>
          <w:sz w:val="22"/>
          <w:szCs w:val="22"/>
        </w:rPr>
        <w:t xml:space="preserve">efore the </w:t>
      </w:r>
      <w:r w:rsidR="00A95396">
        <w:rPr>
          <w:spacing w:val="-2"/>
          <w:sz w:val="22"/>
          <w:szCs w:val="22"/>
        </w:rPr>
        <w:t xml:space="preserve">May 3, 2013, </w:t>
      </w:r>
      <w:r w:rsidR="00A27E6B">
        <w:rPr>
          <w:spacing w:val="-2"/>
          <w:sz w:val="22"/>
          <w:szCs w:val="22"/>
        </w:rPr>
        <w:t>expiration</w:t>
      </w:r>
      <w:r w:rsidR="00A95396">
        <w:rPr>
          <w:spacing w:val="-2"/>
          <w:sz w:val="22"/>
          <w:szCs w:val="22"/>
        </w:rPr>
        <w:t xml:space="preserve"> date</w:t>
      </w:r>
      <w:r w:rsidR="00A27E6B">
        <w:rPr>
          <w:spacing w:val="-2"/>
          <w:sz w:val="22"/>
          <w:szCs w:val="22"/>
        </w:rPr>
        <w:t>.</w:t>
      </w:r>
      <w:r w:rsidR="00B93D93">
        <w:rPr>
          <w:spacing w:val="-2"/>
          <w:sz w:val="22"/>
          <w:szCs w:val="22"/>
        </w:rPr>
        <w:t xml:space="preserve">  A Kemp representative stated</w:t>
      </w:r>
      <w:r w:rsidR="003915AF">
        <w:rPr>
          <w:spacing w:val="-2"/>
          <w:sz w:val="22"/>
          <w:szCs w:val="22"/>
        </w:rPr>
        <w:t xml:space="preserve"> </w:t>
      </w:r>
      <w:r w:rsidR="006E0617">
        <w:rPr>
          <w:spacing w:val="-2"/>
          <w:sz w:val="22"/>
          <w:szCs w:val="22"/>
        </w:rPr>
        <w:t>they had not reported a NOTAM, but would report one if the lights were not fixed before the expiration date</w:t>
      </w:r>
      <w:r w:rsidR="00A95396">
        <w:rPr>
          <w:spacing w:val="-2"/>
          <w:sz w:val="22"/>
          <w:szCs w:val="22"/>
        </w:rPr>
        <w:t>.</w:t>
      </w:r>
    </w:p>
    <w:p w:rsidR="005F73C7" w:rsidRDefault="00921EBC" w:rsidP="00F14BB1">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pacing w:val="-2"/>
          <w:sz w:val="22"/>
          <w:szCs w:val="22"/>
        </w:rPr>
        <w:t xml:space="preserve">On </w:t>
      </w:r>
      <w:r w:rsidR="00A1119C">
        <w:rPr>
          <w:color w:val="000000"/>
          <w:spacing w:val="-2"/>
          <w:sz w:val="22"/>
          <w:szCs w:val="22"/>
        </w:rPr>
        <w:t>May 16</w:t>
      </w:r>
      <w:r w:rsidRPr="005F515C">
        <w:rPr>
          <w:color w:val="000000"/>
          <w:spacing w:val="-2"/>
          <w:sz w:val="22"/>
          <w:szCs w:val="22"/>
        </w:rPr>
        <w:t>, 201</w:t>
      </w:r>
      <w:r w:rsidR="00A1119C">
        <w:rPr>
          <w:color w:val="000000"/>
          <w:spacing w:val="-2"/>
          <w:sz w:val="22"/>
          <w:szCs w:val="22"/>
        </w:rPr>
        <w:t>3</w:t>
      </w:r>
      <w:r w:rsidRPr="005F515C">
        <w:rPr>
          <w:color w:val="000000"/>
          <w:spacing w:val="-2"/>
          <w:sz w:val="22"/>
          <w:szCs w:val="22"/>
        </w:rPr>
        <w:t xml:space="preserve">, the </w:t>
      </w:r>
      <w:r w:rsidR="00A1119C">
        <w:rPr>
          <w:color w:val="000000"/>
          <w:spacing w:val="-2"/>
          <w:sz w:val="22"/>
          <w:szCs w:val="22"/>
        </w:rPr>
        <w:t xml:space="preserve">Los Angeles </w:t>
      </w:r>
      <w:r w:rsidRPr="005F515C">
        <w:rPr>
          <w:color w:val="000000"/>
          <w:spacing w:val="-2"/>
          <w:sz w:val="22"/>
          <w:szCs w:val="22"/>
        </w:rPr>
        <w:t xml:space="preserve">Office issued a Notice of Violation (NOV) to </w:t>
      </w:r>
      <w:r w:rsidR="003A5C36">
        <w:rPr>
          <w:color w:val="000000"/>
          <w:spacing w:val="-2"/>
          <w:sz w:val="22"/>
          <w:szCs w:val="22"/>
        </w:rPr>
        <w:t>K</w:t>
      </w:r>
      <w:r w:rsidR="00A1119C">
        <w:rPr>
          <w:color w:val="000000"/>
          <w:spacing w:val="-2"/>
          <w:sz w:val="22"/>
          <w:szCs w:val="22"/>
        </w:rPr>
        <w:t>emp</w:t>
      </w:r>
      <w:r w:rsidR="001746CC" w:rsidRPr="005F515C">
        <w:rPr>
          <w:color w:val="000000"/>
          <w:spacing w:val="-2"/>
          <w:sz w:val="22"/>
          <w:szCs w:val="22"/>
        </w:rPr>
        <w:t xml:space="preserve"> concerning the extinguished light</w:t>
      </w:r>
      <w:r w:rsidR="00A1119C">
        <w:rPr>
          <w:color w:val="000000"/>
          <w:spacing w:val="-2"/>
          <w:sz w:val="22"/>
          <w:szCs w:val="22"/>
        </w:rPr>
        <w:t>s</w:t>
      </w:r>
      <w:r w:rsidR="001746CC" w:rsidRPr="005F515C">
        <w:rPr>
          <w:color w:val="000000"/>
          <w:spacing w:val="-2"/>
          <w:sz w:val="22"/>
          <w:szCs w:val="22"/>
        </w:rPr>
        <w:t xml:space="preserve"> and failure to notify the FAA and initiate a NOTAM</w:t>
      </w:r>
      <w:r w:rsidRPr="005F515C">
        <w:rPr>
          <w:color w:val="000000"/>
          <w:spacing w:val="-2"/>
          <w:sz w:val="22"/>
          <w:szCs w:val="22"/>
        </w:rPr>
        <w:t>.</w:t>
      </w:r>
      <w:r w:rsidRPr="005F515C">
        <w:rPr>
          <w:rStyle w:val="FootnoteReference"/>
          <w:color w:val="000000"/>
          <w:spacing w:val="-2"/>
          <w:sz w:val="22"/>
          <w:szCs w:val="22"/>
        </w:rPr>
        <w:footnoteReference w:id="6"/>
      </w:r>
      <w:r w:rsidR="00DA71B0" w:rsidRPr="005F515C">
        <w:rPr>
          <w:color w:val="000000"/>
          <w:spacing w:val="-2"/>
          <w:sz w:val="22"/>
          <w:szCs w:val="22"/>
        </w:rPr>
        <w:t xml:space="preserve">  In the NOV Response,</w:t>
      </w:r>
      <w:r w:rsidR="00DA71B0" w:rsidRPr="005F515C">
        <w:rPr>
          <w:rStyle w:val="FootnoteReference"/>
          <w:color w:val="000000"/>
          <w:spacing w:val="-2"/>
          <w:sz w:val="22"/>
          <w:szCs w:val="22"/>
        </w:rPr>
        <w:footnoteReference w:id="7"/>
      </w:r>
      <w:r w:rsidR="00DA71B0" w:rsidRPr="005F515C">
        <w:rPr>
          <w:color w:val="000000"/>
          <w:spacing w:val="-2"/>
          <w:sz w:val="22"/>
          <w:szCs w:val="22"/>
        </w:rPr>
        <w:t xml:space="preserve"> </w:t>
      </w:r>
      <w:r w:rsidR="003A5C36">
        <w:rPr>
          <w:color w:val="000000"/>
          <w:spacing w:val="-2"/>
          <w:sz w:val="22"/>
          <w:szCs w:val="22"/>
        </w:rPr>
        <w:t>K</w:t>
      </w:r>
      <w:r w:rsidR="00AA0FD3">
        <w:rPr>
          <w:color w:val="000000"/>
          <w:spacing w:val="-2"/>
          <w:sz w:val="22"/>
          <w:szCs w:val="22"/>
        </w:rPr>
        <w:t>emp</w:t>
      </w:r>
      <w:r w:rsidR="00F14BB1" w:rsidRPr="005F515C">
        <w:rPr>
          <w:color w:val="000000"/>
          <w:spacing w:val="-2"/>
          <w:sz w:val="22"/>
          <w:szCs w:val="22"/>
        </w:rPr>
        <w:t xml:space="preserve"> acknowledged the violation</w:t>
      </w:r>
      <w:r w:rsidR="00AA0FD3">
        <w:rPr>
          <w:color w:val="000000"/>
          <w:spacing w:val="-2"/>
          <w:sz w:val="22"/>
          <w:szCs w:val="22"/>
        </w:rPr>
        <w:t>s</w:t>
      </w:r>
      <w:r w:rsidR="00F14BB1" w:rsidRPr="005F515C">
        <w:rPr>
          <w:color w:val="000000"/>
          <w:spacing w:val="-2"/>
          <w:sz w:val="22"/>
          <w:szCs w:val="22"/>
        </w:rPr>
        <w:t xml:space="preserve">. </w:t>
      </w:r>
      <w:r w:rsidR="00EE4297">
        <w:rPr>
          <w:color w:val="000000"/>
          <w:spacing w:val="-2"/>
          <w:sz w:val="22"/>
          <w:szCs w:val="22"/>
        </w:rPr>
        <w:t xml:space="preserve"> </w:t>
      </w:r>
      <w:r w:rsidR="003A5C36">
        <w:rPr>
          <w:color w:val="000000"/>
          <w:spacing w:val="-2"/>
          <w:sz w:val="22"/>
          <w:szCs w:val="22"/>
        </w:rPr>
        <w:t>K</w:t>
      </w:r>
      <w:r w:rsidR="00AA0FD3">
        <w:rPr>
          <w:color w:val="000000"/>
          <w:spacing w:val="-2"/>
          <w:sz w:val="22"/>
          <w:szCs w:val="22"/>
        </w:rPr>
        <w:t>emp</w:t>
      </w:r>
      <w:r w:rsidR="00384336">
        <w:rPr>
          <w:color w:val="000000"/>
          <w:spacing w:val="-2"/>
          <w:sz w:val="22"/>
          <w:szCs w:val="22"/>
        </w:rPr>
        <w:t xml:space="preserve"> stated the red lights were restored on June 1, 2013, and the white lights would be restored by June 24, 2013.</w:t>
      </w:r>
      <w:r w:rsidR="005F48BD">
        <w:rPr>
          <w:rStyle w:val="FootnoteReference"/>
          <w:color w:val="000000"/>
          <w:spacing w:val="-2"/>
          <w:sz w:val="22"/>
          <w:szCs w:val="22"/>
        </w:rPr>
        <w:footnoteReference w:id="8"/>
      </w:r>
      <w:r w:rsidR="00384336">
        <w:rPr>
          <w:color w:val="000000"/>
          <w:spacing w:val="-2"/>
          <w:sz w:val="22"/>
          <w:szCs w:val="22"/>
        </w:rPr>
        <w:t xml:space="preserve">   Kemp </w:t>
      </w:r>
      <w:r w:rsidR="00F138E4">
        <w:rPr>
          <w:color w:val="000000"/>
          <w:spacing w:val="-2"/>
          <w:sz w:val="22"/>
          <w:szCs w:val="22"/>
        </w:rPr>
        <w:t xml:space="preserve">also </w:t>
      </w:r>
      <w:r w:rsidR="00384336">
        <w:rPr>
          <w:color w:val="000000"/>
          <w:spacing w:val="-2"/>
          <w:sz w:val="22"/>
          <w:szCs w:val="22"/>
        </w:rPr>
        <w:t>stated the lights</w:t>
      </w:r>
      <w:r w:rsidR="00F138E4">
        <w:rPr>
          <w:color w:val="000000"/>
          <w:spacing w:val="-2"/>
          <w:sz w:val="22"/>
          <w:szCs w:val="22"/>
        </w:rPr>
        <w:t xml:space="preserve"> on the Antenna Structure</w:t>
      </w:r>
      <w:r w:rsidR="00384336">
        <w:rPr>
          <w:color w:val="000000"/>
          <w:spacing w:val="-2"/>
          <w:sz w:val="22"/>
          <w:szCs w:val="22"/>
        </w:rPr>
        <w:t xml:space="preserve"> were monitored by visual inspection, typically twice a month</w:t>
      </w:r>
      <w:r w:rsidR="00F14BB1" w:rsidRPr="005F515C">
        <w:rPr>
          <w:color w:val="000000"/>
          <w:spacing w:val="-2"/>
          <w:sz w:val="22"/>
          <w:szCs w:val="22"/>
        </w:rPr>
        <w:t>.</w:t>
      </w:r>
      <w:r w:rsidR="005F48BD">
        <w:rPr>
          <w:rStyle w:val="FootnoteReference"/>
          <w:color w:val="000000"/>
          <w:spacing w:val="-2"/>
          <w:sz w:val="22"/>
          <w:szCs w:val="22"/>
        </w:rPr>
        <w:footnoteReference w:id="9"/>
      </w:r>
      <w:r w:rsidR="00F138E4">
        <w:rPr>
          <w:color w:val="000000"/>
          <w:spacing w:val="-2"/>
          <w:sz w:val="22"/>
          <w:szCs w:val="22"/>
        </w:rPr>
        <w:t xml:space="preserve">  In terms of the duration of the outage prior to the inspection by the Los Angeles agents on April 17, 2013, Kemp was “unable to state with any assurance of accuracy the last date upon which all lighting on the antenna were operational.”</w:t>
      </w:r>
      <w:r w:rsidR="002C3076">
        <w:rPr>
          <w:rStyle w:val="FootnoteReference"/>
          <w:color w:val="000000"/>
          <w:spacing w:val="-2"/>
          <w:sz w:val="22"/>
          <w:szCs w:val="22"/>
        </w:rPr>
        <w:footnoteReference w:id="10"/>
      </w:r>
    </w:p>
    <w:p w:rsidR="00AD6365" w:rsidRPr="00E16795" w:rsidRDefault="00AD6365" w:rsidP="00F14BB1">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E16795">
        <w:rPr>
          <w:color w:val="000000"/>
          <w:spacing w:val="-2"/>
          <w:sz w:val="22"/>
          <w:szCs w:val="22"/>
        </w:rPr>
        <w:t>On September 12, 2013, Los Angeles Office agents observed no white lights on the ¼ level of the Antenna Structure during the daytime.  An agent contacted the FAA and learned that no NOTAM had been issued for the Antenna Structure.</w:t>
      </w:r>
      <w:r w:rsidRPr="0040353A">
        <w:rPr>
          <w:color w:val="000000"/>
          <w:spacing w:val="-2"/>
          <w:sz w:val="22"/>
          <w:szCs w:val="22"/>
          <w:vertAlign w:val="superscript"/>
        </w:rPr>
        <w:footnoteReference w:id="11"/>
      </w:r>
      <w:r w:rsidR="009E0E39">
        <w:rPr>
          <w:color w:val="000000"/>
          <w:spacing w:val="-2"/>
          <w:sz w:val="22"/>
          <w:szCs w:val="22"/>
        </w:rPr>
        <w:t xml:space="preserve"> </w:t>
      </w:r>
      <w:r w:rsidR="00E16795" w:rsidRPr="00E16795">
        <w:rPr>
          <w:color w:val="000000"/>
          <w:spacing w:val="-2"/>
          <w:sz w:val="22"/>
          <w:szCs w:val="22"/>
        </w:rPr>
        <w:t xml:space="preserve"> Subsequently, o</w:t>
      </w:r>
      <w:r w:rsidRPr="00E16795">
        <w:rPr>
          <w:color w:val="000000"/>
          <w:spacing w:val="-2"/>
          <w:sz w:val="22"/>
          <w:szCs w:val="22"/>
        </w:rPr>
        <w:t>n September 20, 2013, a Los Angeles Office agent called Kemp to inform them of the FCC’s NOTAM report, and to request that Kemp renew the NOTAM if the lights had not been restored before the expiration date.  A Kemp representative stated they were aware of the light outage and believed that a NOTAM had been issued.</w:t>
      </w:r>
      <w:r w:rsidRPr="0040353A">
        <w:rPr>
          <w:color w:val="000000"/>
          <w:spacing w:val="-2"/>
          <w:sz w:val="22"/>
          <w:szCs w:val="22"/>
          <w:vertAlign w:val="superscript"/>
        </w:rPr>
        <w:footnoteReference w:id="12"/>
      </w:r>
    </w:p>
    <w:p w:rsidR="00050854" w:rsidRPr="005F515C" w:rsidRDefault="00050854" w:rsidP="00BF1922">
      <w:pPr>
        <w:pStyle w:val="Heading1"/>
        <w:widowControl/>
        <w:spacing w:before="220"/>
        <w:rPr>
          <w:color w:val="000000"/>
          <w:sz w:val="22"/>
          <w:szCs w:val="22"/>
        </w:rPr>
      </w:pPr>
      <w:r w:rsidRPr="005F515C">
        <w:rPr>
          <w:color w:val="000000"/>
          <w:sz w:val="22"/>
          <w:szCs w:val="22"/>
        </w:rPr>
        <w:t>DISCUSSION</w:t>
      </w:r>
    </w:p>
    <w:p w:rsidR="00050854" w:rsidRPr="00BA56DF" w:rsidRDefault="00050854" w:rsidP="00BF1922">
      <w:pPr>
        <w:widowControl/>
        <w:numPr>
          <w:ilvl w:val="0"/>
          <w:numId w:val="22"/>
        </w:numPr>
        <w:tabs>
          <w:tab w:val="clear" w:pos="1260"/>
          <w:tab w:val="num" w:pos="1440"/>
          <w:tab w:val="left" w:pos="4680"/>
          <w:tab w:val="left" w:pos="5760"/>
        </w:tabs>
        <w:spacing w:line="226" w:lineRule="auto"/>
        <w:ind w:left="0"/>
        <w:rPr>
          <w:color w:val="000000"/>
          <w:sz w:val="22"/>
          <w:szCs w:val="22"/>
        </w:rPr>
      </w:pPr>
      <w:r w:rsidRPr="005F515C">
        <w:rPr>
          <w:color w:val="000000"/>
          <w:spacing w:val="-3"/>
          <w:sz w:val="22"/>
          <w:szCs w:val="22"/>
        </w:rPr>
        <w:t xml:space="preserve">Section 503(b) of the </w:t>
      </w:r>
      <w:r w:rsidR="00DC7D2B" w:rsidRPr="005F515C">
        <w:rPr>
          <w:color w:val="000000"/>
          <w:spacing w:val="-3"/>
          <w:sz w:val="22"/>
          <w:szCs w:val="22"/>
        </w:rPr>
        <w:t>Act</w:t>
      </w:r>
      <w:r w:rsidR="007E2E05" w:rsidRPr="005F515C">
        <w:rPr>
          <w:color w:val="000000"/>
          <w:spacing w:val="-3"/>
          <w:sz w:val="22"/>
          <w:szCs w:val="22"/>
        </w:rPr>
        <w:t xml:space="preserve"> </w:t>
      </w:r>
      <w:r w:rsidRPr="005F515C">
        <w:rPr>
          <w:color w:val="000000"/>
          <w:spacing w:val="-3"/>
          <w:sz w:val="22"/>
          <w:szCs w:val="22"/>
        </w:rPr>
        <w:t xml:space="preserve">provides that any person who willfully </w:t>
      </w:r>
      <w:r w:rsidR="0011170C" w:rsidRPr="005F515C">
        <w:rPr>
          <w:color w:val="000000"/>
          <w:spacing w:val="-3"/>
          <w:sz w:val="22"/>
          <w:szCs w:val="22"/>
        </w:rPr>
        <w:t xml:space="preserve">or repeatedly </w:t>
      </w:r>
      <w:r w:rsidRPr="005F515C">
        <w:rPr>
          <w:color w:val="000000"/>
          <w:spacing w:val="-3"/>
          <w:sz w:val="22"/>
          <w:szCs w:val="22"/>
        </w:rPr>
        <w:t xml:space="preserve">fails to comply substantially with the terms and conditions of any license, or willfully </w:t>
      </w:r>
      <w:r w:rsidR="0011170C" w:rsidRPr="005F515C">
        <w:rPr>
          <w:color w:val="000000"/>
          <w:spacing w:val="-3"/>
          <w:sz w:val="22"/>
          <w:szCs w:val="22"/>
        </w:rPr>
        <w:t xml:space="preserve">or repeatedly </w:t>
      </w:r>
      <w:r w:rsidRPr="005F515C">
        <w:rPr>
          <w:color w:val="000000"/>
          <w:spacing w:val="-3"/>
          <w:sz w:val="22"/>
          <w:szCs w:val="22"/>
        </w:rPr>
        <w:t>fails to comply with any of the provisions of the Act or of any rule, regulation</w:t>
      </w:r>
      <w:r w:rsidR="009711A7" w:rsidRPr="005F515C">
        <w:rPr>
          <w:color w:val="000000"/>
          <w:spacing w:val="-3"/>
          <w:sz w:val="22"/>
          <w:szCs w:val="22"/>
        </w:rPr>
        <w:t>,</w:t>
      </w:r>
      <w:r w:rsidRPr="005F515C">
        <w:rPr>
          <w:color w:val="000000"/>
          <w:spacing w:val="-3"/>
          <w:sz w:val="22"/>
          <w:szCs w:val="22"/>
        </w:rPr>
        <w:t xml:space="preserve"> or order issued by the Commission thereunder, shall be liable for a forfeiture penalty.</w:t>
      </w:r>
      <w:r w:rsidR="009711A7" w:rsidRPr="005F515C">
        <w:rPr>
          <w:rStyle w:val="FootnoteReference"/>
          <w:color w:val="000000"/>
          <w:spacing w:val="-3"/>
          <w:sz w:val="22"/>
          <w:szCs w:val="22"/>
        </w:rPr>
        <w:footnoteReference w:id="13"/>
      </w:r>
      <w:r w:rsidRPr="005F515C">
        <w:rPr>
          <w:color w:val="000000"/>
          <w:spacing w:val="-3"/>
          <w:sz w:val="22"/>
          <w:szCs w:val="22"/>
        </w:rPr>
        <w:t xml:space="preserve">  </w:t>
      </w:r>
      <w:r w:rsidR="001665F5" w:rsidRPr="005F515C">
        <w:rPr>
          <w:color w:val="000000"/>
          <w:spacing w:val="-3"/>
          <w:sz w:val="22"/>
          <w:szCs w:val="22"/>
        </w:rPr>
        <w:t xml:space="preserve">Section 312(f)(1) of the Act defines </w:t>
      </w:r>
      <w:r w:rsidR="009711A7" w:rsidRPr="005F515C">
        <w:rPr>
          <w:color w:val="000000"/>
          <w:spacing w:val="-3"/>
          <w:sz w:val="22"/>
          <w:szCs w:val="22"/>
        </w:rPr>
        <w:t>“</w:t>
      </w:r>
      <w:r w:rsidR="001665F5" w:rsidRPr="005F515C">
        <w:rPr>
          <w:color w:val="000000"/>
          <w:spacing w:val="-3"/>
          <w:sz w:val="22"/>
          <w:szCs w:val="22"/>
        </w:rPr>
        <w:t>willful</w:t>
      </w:r>
      <w:r w:rsidR="009711A7" w:rsidRPr="005F515C">
        <w:rPr>
          <w:color w:val="000000"/>
          <w:spacing w:val="-3"/>
          <w:sz w:val="22"/>
          <w:szCs w:val="22"/>
        </w:rPr>
        <w:t>”</w:t>
      </w:r>
      <w:r w:rsidR="001665F5" w:rsidRPr="005F515C">
        <w:rPr>
          <w:color w:val="000000"/>
          <w:spacing w:val="-3"/>
          <w:sz w:val="22"/>
          <w:szCs w:val="22"/>
        </w:rPr>
        <w:t xml:space="preserve"> as the “conscious and deliberate commission or omission of [any] act, irrespective of any intent to violate” the law.</w:t>
      </w:r>
      <w:r w:rsidR="001665F5" w:rsidRPr="005F515C">
        <w:rPr>
          <w:rStyle w:val="FootnoteReference"/>
          <w:color w:val="000000"/>
          <w:spacing w:val="-3"/>
          <w:sz w:val="22"/>
          <w:szCs w:val="22"/>
        </w:rPr>
        <w:footnoteReference w:id="14"/>
      </w:r>
      <w:r w:rsidR="001665F5" w:rsidRPr="005F515C">
        <w:rPr>
          <w:color w:val="000000"/>
          <w:spacing w:val="-3"/>
          <w:sz w:val="22"/>
          <w:szCs w:val="22"/>
        </w:rPr>
        <w:t xml:space="preserve">  The legislative history to </w:t>
      </w:r>
      <w:r w:rsidR="009711A7" w:rsidRPr="005F515C">
        <w:rPr>
          <w:color w:val="000000"/>
          <w:spacing w:val="-3"/>
          <w:sz w:val="22"/>
          <w:szCs w:val="22"/>
        </w:rPr>
        <w:t>S</w:t>
      </w:r>
      <w:r w:rsidR="001665F5" w:rsidRPr="005F515C">
        <w:rPr>
          <w:color w:val="000000"/>
          <w:spacing w:val="-3"/>
          <w:sz w:val="22"/>
          <w:szCs w:val="22"/>
        </w:rPr>
        <w:t xml:space="preserve">ection 312(f)(1) of the Act clarifies that this definition of willful applies to both </w:t>
      </w:r>
      <w:r w:rsidR="00174A12" w:rsidRPr="005F515C">
        <w:rPr>
          <w:color w:val="000000"/>
          <w:spacing w:val="-3"/>
          <w:sz w:val="22"/>
          <w:szCs w:val="22"/>
        </w:rPr>
        <w:t>S</w:t>
      </w:r>
      <w:r w:rsidR="001665F5" w:rsidRPr="005F515C">
        <w:rPr>
          <w:color w:val="000000"/>
          <w:spacing w:val="-3"/>
          <w:sz w:val="22"/>
          <w:szCs w:val="22"/>
        </w:rPr>
        <w:t>ection</w:t>
      </w:r>
      <w:r w:rsidR="00174A12" w:rsidRPr="005F515C">
        <w:rPr>
          <w:color w:val="000000"/>
          <w:spacing w:val="-3"/>
          <w:sz w:val="22"/>
          <w:szCs w:val="22"/>
        </w:rPr>
        <w:t>s</w:t>
      </w:r>
      <w:r w:rsidR="001665F5" w:rsidRPr="005F515C">
        <w:rPr>
          <w:color w:val="000000"/>
          <w:spacing w:val="-3"/>
          <w:sz w:val="22"/>
          <w:szCs w:val="22"/>
        </w:rPr>
        <w:t xml:space="preserve"> 312 and 503(b) of the Act</w:t>
      </w:r>
      <w:r w:rsidR="00174A12" w:rsidRPr="005F515C">
        <w:rPr>
          <w:color w:val="000000"/>
          <w:spacing w:val="-3"/>
          <w:sz w:val="22"/>
          <w:szCs w:val="22"/>
        </w:rPr>
        <w:t>,</w:t>
      </w:r>
      <w:r w:rsidR="001665F5" w:rsidRPr="005F515C">
        <w:rPr>
          <w:rStyle w:val="FootnoteReference"/>
          <w:color w:val="000000"/>
          <w:spacing w:val="-3"/>
          <w:sz w:val="22"/>
          <w:szCs w:val="22"/>
        </w:rPr>
        <w:footnoteReference w:id="15"/>
      </w:r>
      <w:r w:rsidR="001665F5" w:rsidRPr="005F515C">
        <w:rPr>
          <w:color w:val="000000"/>
          <w:spacing w:val="-3"/>
          <w:sz w:val="22"/>
          <w:szCs w:val="22"/>
        </w:rPr>
        <w:t xml:space="preserve"> and the Commission has so interpreted the term in the </w:t>
      </w:r>
      <w:r w:rsidR="00174A12" w:rsidRPr="005F515C">
        <w:rPr>
          <w:color w:val="000000"/>
          <w:spacing w:val="-3"/>
          <w:sz w:val="22"/>
          <w:szCs w:val="22"/>
        </w:rPr>
        <w:t>S</w:t>
      </w:r>
      <w:r w:rsidR="001665F5" w:rsidRPr="005F515C">
        <w:rPr>
          <w:color w:val="000000"/>
          <w:spacing w:val="-3"/>
          <w:sz w:val="22"/>
          <w:szCs w:val="22"/>
        </w:rPr>
        <w:t>ection 503(b) context.</w:t>
      </w:r>
      <w:r w:rsidR="001665F5" w:rsidRPr="005F515C">
        <w:rPr>
          <w:rStyle w:val="FootnoteReference"/>
          <w:color w:val="000000"/>
          <w:spacing w:val="-3"/>
          <w:sz w:val="22"/>
          <w:szCs w:val="22"/>
        </w:rPr>
        <w:footnoteReference w:id="16"/>
      </w:r>
      <w:r w:rsidR="001665F5" w:rsidRPr="005F515C">
        <w:rPr>
          <w:color w:val="000000"/>
          <w:spacing w:val="-3"/>
          <w:sz w:val="22"/>
          <w:szCs w:val="22"/>
        </w:rPr>
        <w:t xml:space="preserve">  </w:t>
      </w:r>
      <w:r w:rsidR="001665F5" w:rsidRPr="005F515C">
        <w:rPr>
          <w:color w:val="000000"/>
          <w:sz w:val="22"/>
          <w:szCs w:val="22"/>
        </w:rPr>
        <w:t>The Commission may also assess a forfeiture for violations that are merely repeated, and not willful.</w:t>
      </w:r>
      <w:r w:rsidR="001665F5" w:rsidRPr="005F515C">
        <w:rPr>
          <w:rStyle w:val="FootnoteReference"/>
          <w:color w:val="000000"/>
          <w:sz w:val="22"/>
          <w:szCs w:val="22"/>
        </w:rPr>
        <w:footnoteReference w:id="17"/>
      </w:r>
      <w:r w:rsidR="001665F5" w:rsidRPr="005F515C">
        <w:rPr>
          <w:color w:val="000000"/>
          <w:sz w:val="22"/>
          <w:szCs w:val="22"/>
        </w:rPr>
        <w:t xml:space="preserve">  </w:t>
      </w:r>
      <w:r w:rsidRPr="005F515C">
        <w:rPr>
          <w:color w:val="000000"/>
          <w:spacing w:val="-3"/>
          <w:sz w:val="22"/>
          <w:szCs w:val="22"/>
        </w:rPr>
        <w:t>The term “repeated” means the commission or omission of such act more than on</w:t>
      </w:r>
      <w:r w:rsidR="00FB30D7" w:rsidRPr="005F515C">
        <w:rPr>
          <w:color w:val="000000"/>
          <w:spacing w:val="-3"/>
          <w:sz w:val="22"/>
          <w:szCs w:val="22"/>
        </w:rPr>
        <w:t>c</w:t>
      </w:r>
      <w:r w:rsidRPr="005F515C">
        <w:rPr>
          <w:color w:val="000000"/>
          <w:spacing w:val="-3"/>
          <w:sz w:val="22"/>
          <w:szCs w:val="22"/>
        </w:rPr>
        <w:t>e or for more than one day.</w:t>
      </w:r>
      <w:r w:rsidRPr="005F515C">
        <w:rPr>
          <w:rStyle w:val="FootnoteReference"/>
          <w:color w:val="000000"/>
          <w:spacing w:val="-3"/>
          <w:sz w:val="22"/>
          <w:szCs w:val="22"/>
        </w:rPr>
        <w:footnoteReference w:id="18"/>
      </w:r>
    </w:p>
    <w:p w:rsidR="00BA56DF" w:rsidRDefault="00BA56DF" w:rsidP="00BA56DF">
      <w:pPr>
        <w:widowControl/>
        <w:tabs>
          <w:tab w:val="left" w:pos="4680"/>
          <w:tab w:val="left" w:pos="5760"/>
        </w:tabs>
        <w:spacing w:line="226" w:lineRule="auto"/>
        <w:rPr>
          <w:color w:val="000000"/>
          <w:spacing w:val="-3"/>
          <w:sz w:val="22"/>
          <w:szCs w:val="22"/>
        </w:rPr>
      </w:pPr>
    </w:p>
    <w:p w:rsidR="00BA56DF" w:rsidRPr="00E07A83" w:rsidRDefault="00BA56DF" w:rsidP="00E07A83">
      <w:pPr>
        <w:pStyle w:val="Heading2"/>
        <w:jc w:val="left"/>
        <w:rPr>
          <w:sz w:val="22"/>
          <w:szCs w:val="22"/>
        </w:rPr>
      </w:pPr>
      <w:r w:rsidRPr="00E07A83">
        <w:rPr>
          <w:sz w:val="22"/>
          <w:szCs w:val="22"/>
        </w:rPr>
        <w:t>Failure to Observe Lights on a Daily Basis, Failure to Notify the FAA, and Failure to Exhibit Required Lighting</w:t>
      </w:r>
    </w:p>
    <w:p w:rsidR="00F138E4" w:rsidRDefault="00374160" w:rsidP="00F138E4">
      <w:pPr>
        <w:numPr>
          <w:ilvl w:val="0"/>
          <w:numId w:val="22"/>
        </w:numPr>
        <w:tabs>
          <w:tab w:val="clear" w:pos="1260"/>
          <w:tab w:val="num" w:pos="1440"/>
          <w:tab w:val="left" w:pos="1926"/>
          <w:tab w:val="left" w:pos="3978"/>
          <w:tab w:val="left" w:pos="4680"/>
          <w:tab w:val="left" w:pos="5760"/>
        </w:tabs>
        <w:spacing w:after="120" w:line="226" w:lineRule="auto"/>
        <w:ind w:left="0"/>
        <w:rPr>
          <w:b/>
          <w:color w:val="000000"/>
          <w:spacing w:val="-2"/>
          <w:sz w:val="22"/>
          <w:szCs w:val="22"/>
        </w:rPr>
      </w:pPr>
      <w:r w:rsidRPr="00374160">
        <w:rPr>
          <w:color w:val="000000"/>
          <w:spacing w:val="-3"/>
          <w:sz w:val="22"/>
          <w:szCs w:val="22"/>
        </w:rPr>
        <w:t>The</w:t>
      </w:r>
      <w:r w:rsidRPr="00374160">
        <w:rPr>
          <w:color w:val="000000"/>
          <w:spacing w:val="-2"/>
          <w:sz w:val="22"/>
          <w:szCs w:val="22"/>
        </w:rPr>
        <w:t xml:space="preserve"> evidence in this case establish</w:t>
      </w:r>
      <w:r w:rsidR="00720ACB">
        <w:rPr>
          <w:color w:val="000000"/>
          <w:spacing w:val="-2"/>
          <w:sz w:val="22"/>
          <w:szCs w:val="22"/>
        </w:rPr>
        <w:t>es</w:t>
      </w:r>
      <w:r w:rsidRPr="00374160">
        <w:rPr>
          <w:color w:val="000000"/>
          <w:spacing w:val="-2"/>
          <w:sz w:val="22"/>
          <w:szCs w:val="22"/>
        </w:rPr>
        <w:t xml:space="preserve"> that Kemp violated Section 303(q) of the Act and Sections 17.47(a), 17.48(a), and 17.51(b) of the Rules.  </w:t>
      </w:r>
      <w:r w:rsidRPr="00374160">
        <w:rPr>
          <w:color w:val="000000"/>
          <w:sz w:val="22"/>
          <w:szCs w:val="22"/>
        </w:rPr>
        <w:t xml:space="preserve">Section 303(q) of the Act states that </w:t>
      </w:r>
      <w:r w:rsidRPr="00374160">
        <w:rPr>
          <w:color w:val="000000"/>
          <w:spacing w:val="-2"/>
          <w:sz w:val="22"/>
          <w:szCs w:val="22"/>
        </w:rPr>
        <w:t>antenna</w:t>
      </w:r>
      <w:r w:rsidRPr="00374160">
        <w:rPr>
          <w:color w:val="000000"/>
          <w:sz w:val="22"/>
          <w:szCs w:val="22"/>
        </w:rPr>
        <w:t xml:space="preserve"> structure owners shall maintain the painting and lighting of antenna structures as prescribed by the Commission.  </w:t>
      </w:r>
      <w:r w:rsidR="005F48BD" w:rsidRPr="005F48BD">
        <w:rPr>
          <w:color w:val="000000"/>
          <w:sz w:val="22"/>
          <w:szCs w:val="22"/>
        </w:rPr>
        <w:t>Section 17.47(a) of the Rules requires antenna structure owners to observe the lights on antenna structures visually once every 24 hours or alternatively to install and properly maintain an automatic alarm system designed to detect any failure of such lights and to provide indication of such failure to the owner.</w:t>
      </w:r>
      <w:r w:rsidR="005F48BD" w:rsidRPr="005F48BD">
        <w:rPr>
          <w:color w:val="000000"/>
          <w:sz w:val="22"/>
          <w:szCs w:val="22"/>
          <w:vertAlign w:val="superscript"/>
        </w:rPr>
        <w:footnoteReference w:id="19"/>
      </w:r>
      <w:r w:rsidR="005F48BD" w:rsidRPr="005F48BD">
        <w:rPr>
          <w:color w:val="000000"/>
          <w:sz w:val="22"/>
          <w:szCs w:val="22"/>
        </w:rPr>
        <w:t xml:space="preserve"> </w:t>
      </w:r>
      <w:r w:rsidR="007210B3">
        <w:rPr>
          <w:color w:val="000000"/>
          <w:sz w:val="22"/>
          <w:szCs w:val="22"/>
        </w:rPr>
        <w:t xml:space="preserve"> </w:t>
      </w:r>
      <w:r w:rsidR="005F48BD" w:rsidRPr="005F48BD">
        <w:rPr>
          <w:sz w:val="22"/>
          <w:szCs w:val="22"/>
        </w:rPr>
        <w:t>Section 17.48(a) of the Rules states that owners of antenna structures “shall</w:t>
      </w:r>
      <w:r w:rsidR="005F48BD" w:rsidRPr="005F48BD">
        <w:rPr>
          <w:color w:val="000000"/>
          <w:sz w:val="22"/>
          <w:szCs w:val="22"/>
        </w:rPr>
        <w:t xml:space="preserve">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 . . .”</w:t>
      </w:r>
      <w:r w:rsidR="005F48BD" w:rsidRPr="005F48BD">
        <w:rPr>
          <w:color w:val="000000"/>
          <w:sz w:val="22"/>
          <w:szCs w:val="22"/>
          <w:vertAlign w:val="superscript"/>
        </w:rPr>
        <w:footnoteReference w:id="20"/>
      </w:r>
      <w:r w:rsidR="005F48BD" w:rsidRPr="005F48BD">
        <w:rPr>
          <w:sz w:val="22"/>
          <w:szCs w:val="22"/>
        </w:rPr>
        <w:t xml:space="preserve">  </w:t>
      </w:r>
      <w:r w:rsidR="005F48BD" w:rsidRPr="005F48BD">
        <w:rPr>
          <w:color w:val="000000"/>
          <w:spacing w:val="-2"/>
          <w:sz w:val="22"/>
          <w:szCs w:val="22"/>
        </w:rPr>
        <w:t>Section 17.51(</w:t>
      </w:r>
      <w:r w:rsidR="00E16795">
        <w:rPr>
          <w:color w:val="000000"/>
          <w:spacing w:val="-2"/>
          <w:sz w:val="22"/>
          <w:szCs w:val="22"/>
        </w:rPr>
        <w:t>b</w:t>
      </w:r>
      <w:r w:rsidR="005F48BD" w:rsidRPr="005F48BD">
        <w:rPr>
          <w:color w:val="000000"/>
          <w:spacing w:val="-2"/>
          <w:sz w:val="22"/>
          <w:szCs w:val="22"/>
        </w:rPr>
        <w:t xml:space="preserve">) of the Rules requires the </w:t>
      </w:r>
      <w:r w:rsidR="00AD6365">
        <w:rPr>
          <w:color w:val="000000"/>
          <w:spacing w:val="-2"/>
          <w:sz w:val="22"/>
          <w:szCs w:val="22"/>
        </w:rPr>
        <w:t xml:space="preserve">continuous </w:t>
      </w:r>
      <w:r w:rsidR="005F48BD" w:rsidRPr="005F48BD">
        <w:rPr>
          <w:color w:val="000000"/>
          <w:spacing w:val="-2"/>
          <w:sz w:val="22"/>
          <w:szCs w:val="22"/>
        </w:rPr>
        <w:t xml:space="preserve">exhibition </w:t>
      </w:r>
      <w:r w:rsidR="00AD6365">
        <w:rPr>
          <w:color w:val="000000"/>
          <w:spacing w:val="-2"/>
          <w:sz w:val="22"/>
          <w:szCs w:val="22"/>
        </w:rPr>
        <w:t xml:space="preserve">of </w:t>
      </w:r>
      <w:r w:rsidR="00AD6365" w:rsidRPr="00AD6365">
        <w:rPr>
          <w:color w:val="000000"/>
          <w:spacing w:val="-2"/>
          <w:sz w:val="22"/>
          <w:szCs w:val="22"/>
        </w:rPr>
        <w:t>all high intensity and medium intensity obstruction lighting</w:t>
      </w:r>
      <w:r w:rsidR="005F48BD" w:rsidRPr="005F48BD">
        <w:rPr>
          <w:color w:val="000000"/>
          <w:sz w:val="22"/>
          <w:szCs w:val="22"/>
        </w:rPr>
        <w:t xml:space="preserve"> unless otherwise specified.</w:t>
      </w:r>
    </w:p>
    <w:p w:rsidR="00124A59" w:rsidRDefault="00AD6365" w:rsidP="00124A59">
      <w:pPr>
        <w:numPr>
          <w:ilvl w:val="0"/>
          <w:numId w:val="22"/>
        </w:numPr>
        <w:tabs>
          <w:tab w:val="clear" w:pos="1260"/>
          <w:tab w:val="num" w:pos="1440"/>
          <w:tab w:val="left" w:pos="1926"/>
          <w:tab w:val="left" w:pos="3978"/>
          <w:tab w:val="left" w:pos="4680"/>
          <w:tab w:val="left" w:pos="5760"/>
        </w:tabs>
        <w:spacing w:line="226" w:lineRule="auto"/>
        <w:ind w:left="0"/>
        <w:rPr>
          <w:color w:val="000000"/>
          <w:spacing w:val="-2"/>
          <w:sz w:val="22"/>
          <w:szCs w:val="22"/>
        </w:rPr>
      </w:pPr>
      <w:r w:rsidRPr="00124A59">
        <w:rPr>
          <w:color w:val="000000"/>
          <w:sz w:val="22"/>
          <w:szCs w:val="22"/>
        </w:rPr>
        <w:t>The Antenna Structure</w:t>
      </w:r>
      <w:r w:rsidRPr="00124A59">
        <w:rPr>
          <w:color w:val="000000"/>
          <w:spacing w:val="-2"/>
          <w:sz w:val="22"/>
          <w:szCs w:val="22"/>
        </w:rPr>
        <w:t xml:space="preserve"> is</w:t>
      </w:r>
      <w:r w:rsidR="00E16795" w:rsidRPr="00124A59">
        <w:rPr>
          <w:color w:val="000000"/>
          <w:spacing w:val="-2"/>
          <w:sz w:val="22"/>
          <w:szCs w:val="22"/>
        </w:rPr>
        <w:t xml:space="preserve"> 401</w:t>
      </w:r>
      <w:r w:rsidRPr="00124A59">
        <w:rPr>
          <w:color w:val="000000"/>
          <w:spacing w:val="-2"/>
          <w:sz w:val="22"/>
          <w:szCs w:val="22"/>
        </w:rPr>
        <w:t xml:space="preserve"> meters above ground in overall height and is required to be lighted with red </w:t>
      </w:r>
      <w:r w:rsidR="00E16795" w:rsidRPr="00124A59">
        <w:rPr>
          <w:color w:val="000000"/>
          <w:spacing w:val="-2"/>
          <w:sz w:val="22"/>
          <w:szCs w:val="22"/>
        </w:rPr>
        <w:t>obstruction lighting during nighttime hours</w:t>
      </w:r>
      <w:r w:rsidR="007210B3">
        <w:rPr>
          <w:color w:val="000000"/>
          <w:spacing w:val="-2"/>
          <w:sz w:val="22"/>
          <w:szCs w:val="22"/>
        </w:rPr>
        <w:t>,</w:t>
      </w:r>
      <w:r w:rsidR="00E16795" w:rsidRPr="00124A59">
        <w:rPr>
          <w:color w:val="000000"/>
          <w:spacing w:val="-2"/>
          <w:sz w:val="22"/>
          <w:szCs w:val="22"/>
        </w:rPr>
        <w:t xml:space="preserve"> and white obstruction lighting during twilight and daytime hours</w:t>
      </w:r>
      <w:r w:rsidRPr="00124A59">
        <w:rPr>
          <w:color w:val="000000"/>
          <w:spacing w:val="-2"/>
          <w:sz w:val="22"/>
          <w:szCs w:val="22"/>
        </w:rPr>
        <w:t>.</w:t>
      </w:r>
      <w:r w:rsidRPr="00B724D4">
        <w:rPr>
          <w:rStyle w:val="FootnoteReference"/>
          <w:color w:val="000000"/>
          <w:spacing w:val="-2"/>
          <w:sz w:val="22"/>
          <w:szCs w:val="22"/>
        </w:rPr>
        <w:footnoteReference w:id="21"/>
      </w:r>
      <w:r w:rsidRPr="00124A59">
        <w:rPr>
          <w:color w:val="000000"/>
          <w:spacing w:val="-2"/>
          <w:sz w:val="22"/>
          <w:szCs w:val="22"/>
        </w:rPr>
        <w:t xml:space="preserve">  On </w:t>
      </w:r>
      <w:r w:rsidR="00E16795" w:rsidRPr="00124A59">
        <w:rPr>
          <w:color w:val="000000"/>
          <w:spacing w:val="-2"/>
          <w:sz w:val="22"/>
          <w:szCs w:val="22"/>
        </w:rPr>
        <w:t xml:space="preserve">April 17, 2013, </w:t>
      </w:r>
      <w:r w:rsidRPr="00124A59">
        <w:rPr>
          <w:color w:val="000000"/>
          <w:spacing w:val="-2"/>
          <w:sz w:val="22"/>
          <w:szCs w:val="22"/>
        </w:rPr>
        <w:t>agent</w:t>
      </w:r>
      <w:r w:rsidR="00E16795" w:rsidRPr="00124A59">
        <w:rPr>
          <w:color w:val="000000"/>
          <w:spacing w:val="-2"/>
          <w:sz w:val="22"/>
          <w:szCs w:val="22"/>
        </w:rPr>
        <w:t>s</w:t>
      </w:r>
      <w:r w:rsidRPr="00124A59">
        <w:rPr>
          <w:color w:val="000000"/>
          <w:spacing w:val="-2"/>
          <w:sz w:val="22"/>
          <w:szCs w:val="22"/>
        </w:rPr>
        <w:t xml:space="preserve"> from the </w:t>
      </w:r>
      <w:r w:rsidR="00E16795" w:rsidRPr="00124A59">
        <w:rPr>
          <w:color w:val="000000"/>
          <w:spacing w:val="-2"/>
          <w:sz w:val="22"/>
          <w:szCs w:val="22"/>
        </w:rPr>
        <w:t>Los Angeles</w:t>
      </w:r>
      <w:r w:rsidRPr="00124A59">
        <w:rPr>
          <w:color w:val="000000"/>
          <w:spacing w:val="-2"/>
          <w:sz w:val="22"/>
          <w:szCs w:val="22"/>
        </w:rPr>
        <w:t xml:space="preserve"> Office observed that </w:t>
      </w:r>
      <w:r w:rsidR="00E16795" w:rsidRPr="00124A59">
        <w:rPr>
          <w:color w:val="000000"/>
          <w:spacing w:val="-2"/>
          <w:sz w:val="22"/>
          <w:szCs w:val="22"/>
        </w:rPr>
        <w:t xml:space="preserve">multiple </w:t>
      </w:r>
      <w:r w:rsidR="007210B3">
        <w:rPr>
          <w:color w:val="000000"/>
          <w:spacing w:val="-2"/>
          <w:sz w:val="22"/>
          <w:szCs w:val="22"/>
        </w:rPr>
        <w:t xml:space="preserve">obstruction </w:t>
      </w:r>
      <w:r w:rsidR="00E16795" w:rsidRPr="00124A59">
        <w:rPr>
          <w:color w:val="000000"/>
          <w:spacing w:val="-2"/>
          <w:sz w:val="22"/>
          <w:szCs w:val="22"/>
        </w:rPr>
        <w:t xml:space="preserve">lights, including the top lights, were not functioning on </w:t>
      </w:r>
      <w:r w:rsidRPr="00124A59">
        <w:rPr>
          <w:color w:val="000000"/>
          <w:spacing w:val="-2"/>
          <w:sz w:val="22"/>
          <w:szCs w:val="22"/>
        </w:rPr>
        <w:t>the Antenna Structure</w:t>
      </w:r>
      <w:r w:rsidR="00F138E4" w:rsidRPr="00124A59">
        <w:rPr>
          <w:color w:val="000000"/>
          <w:spacing w:val="-2"/>
          <w:sz w:val="22"/>
          <w:szCs w:val="22"/>
        </w:rPr>
        <w:t xml:space="preserve">, </w:t>
      </w:r>
      <w:r w:rsidRPr="00124A59">
        <w:rPr>
          <w:color w:val="000000"/>
          <w:spacing w:val="-2"/>
          <w:sz w:val="22"/>
          <w:szCs w:val="22"/>
        </w:rPr>
        <w:t xml:space="preserve">and determined that </w:t>
      </w:r>
      <w:r w:rsidR="00F138E4" w:rsidRPr="00124A59">
        <w:rPr>
          <w:color w:val="000000"/>
          <w:spacing w:val="-2"/>
          <w:sz w:val="22"/>
          <w:szCs w:val="22"/>
        </w:rPr>
        <w:t>Kemp</w:t>
      </w:r>
      <w:r w:rsidRPr="00124A59">
        <w:rPr>
          <w:color w:val="000000"/>
          <w:spacing w:val="-2"/>
          <w:sz w:val="22"/>
          <w:szCs w:val="22"/>
        </w:rPr>
        <w:t xml:space="preserve"> had failed to notify the FAA of the outage.  </w:t>
      </w:r>
      <w:r w:rsidR="00E16795" w:rsidRPr="00124A59">
        <w:rPr>
          <w:color w:val="000000"/>
          <w:spacing w:val="-2"/>
          <w:sz w:val="22"/>
          <w:szCs w:val="22"/>
        </w:rPr>
        <w:t xml:space="preserve">Kemp acknowledged that it </w:t>
      </w:r>
      <w:r w:rsidR="001D2FEB" w:rsidRPr="00124A59">
        <w:rPr>
          <w:color w:val="000000"/>
          <w:spacing w:val="-2"/>
          <w:sz w:val="22"/>
          <w:szCs w:val="22"/>
        </w:rPr>
        <w:t xml:space="preserve">did not have a remote monitoring system in place </w:t>
      </w:r>
      <w:r w:rsidR="001D2FEB">
        <w:rPr>
          <w:color w:val="000000"/>
          <w:spacing w:val="-2"/>
          <w:sz w:val="22"/>
          <w:szCs w:val="22"/>
        </w:rPr>
        <w:t xml:space="preserve">and </w:t>
      </w:r>
      <w:r w:rsidR="00E16795" w:rsidRPr="00124A59">
        <w:rPr>
          <w:color w:val="000000"/>
          <w:spacing w:val="-2"/>
          <w:sz w:val="22"/>
          <w:szCs w:val="22"/>
        </w:rPr>
        <w:t>observed the lights on the tower only twice a month</w:t>
      </w:r>
      <w:r w:rsidR="00F138E4" w:rsidRPr="00124A59">
        <w:rPr>
          <w:color w:val="000000"/>
          <w:spacing w:val="-2"/>
          <w:sz w:val="22"/>
          <w:szCs w:val="22"/>
        </w:rPr>
        <w:t>.  Kemp was also “unable to s</w:t>
      </w:r>
      <w:r w:rsidR="007210B3">
        <w:rPr>
          <w:color w:val="000000"/>
          <w:spacing w:val="-2"/>
          <w:sz w:val="22"/>
          <w:szCs w:val="22"/>
        </w:rPr>
        <w:t>t</w:t>
      </w:r>
      <w:r w:rsidR="00F138E4" w:rsidRPr="00124A59">
        <w:rPr>
          <w:color w:val="000000"/>
          <w:spacing w:val="-2"/>
          <w:sz w:val="22"/>
          <w:szCs w:val="22"/>
        </w:rPr>
        <w:t xml:space="preserve">ate with any assurance </w:t>
      </w:r>
      <w:r w:rsidR="001D2FEB">
        <w:rPr>
          <w:color w:val="000000"/>
          <w:spacing w:val="-2"/>
          <w:sz w:val="22"/>
          <w:szCs w:val="22"/>
        </w:rPr>
        <w:t xml:space="preserve">of </w:t>
      </w:r>
      <w:r w:rsidR="00F138E4" w:rsidRPr="00124A59">
        <w:rPr>
          <w:color w:val="000000"/>
          <w:spacing w:val="-2"/>
          <w:sz w:val="22"/>
          <w:szCs w:val="22"/>
        </w:rPr>
        <w:t xml:space="preserve">accuracy” when all the lights on the </w:t>
      </w:r>
      <w:r w:rsidR="00124A59">
        <w:rPr>
          <w:color w:val="000000"/>
          <w:spacing w:val="-2"/>
          <w:sz w:val="22"/>
          <w:szCs w:val="22"/>
        </w:rPr>
        <w:t>Antenna Struc</w:t>
      </w:r>
      <w:r w:rsidR="00F138E4" w:rsidRPr="00124A59">
        <w:rPr>
          <w:color w:val="000000"/>
          <w:spacing w:val="-2"/>
          <w:sz w:val="22"/>
          <w:szCs w:val="22"/>
        </w:rPr>
        <w:t>t</w:t>
      </w:r>
      <w:r w:rsidR="00124A59">
        <w:rPr>
          <w:color w:val="000000"/>
          <w:spacing w:val="-2"/>
          <w:sz w:val="22"/>
          <w:szCs w:val="22"/>
        </w:rPr>
        <w:t>u</w:t>
      </w:r>
      <w:r w:rsidR="00F138E4" w:rsidRPr="00124A59">
        <w:rPr>
          <w:color w:val="000000"/>
          <w:spacing w:val="-2"/>
          <w:sz w:val="22"/>
          <w:szCs w:val="22"/>
        </w:rPr>
        <w:t xml:space="preserve">re had been operational prior to the April 17, 2013 inspection.  </w:t>
      </w:r>
      <w:r w:rsidR="00124A59" w:rsidRPr="00124A59">
        <w:rPr>
          <w:color w:val="000000"/>
          <w:spacing w:val="-2"/>
          <w:sz w:val="22"/>
          <w:szCs w:val="22"/>
        </w:rPr>
        <w:t xml:space="preserve">On September 12, 2013, a subsequent inspection by Los Angeles agents revealed that </w:t>
      </w:r>
      <w:r w:rsidR="00B67506">
        <w:rPr>
          <w:color w:val="000000"/>
          <w:spacing w:val="-2"/>
          <w:sz w:val="22"/>
          <w:szCs w:val="22"/>
        </w:rPr>
        <w:t xml:space="preserve">again, some of the required </w:t>
      </w:r>
      <w:r w:rsidR="00124A59" w:rsidRPr="00124A59">
        <w:rPr>
          <w:color w:val="000000"/>
          <w:spacing w:val="-2"/>
          <w:sz w:val="22"/>
          <w:szCs w:val="22"/>
        </w:rPr>
        <w:t>obst</w:t>
      </w:r>
      <w:r w:rsidR="00124A59">
        <w:rPr>
          <w:color w:val="000000"/>
          <w:spacing w:val="-2"/>
          <w:sz w:val="22"/>
          <w:szCs w:val="22"/>
        </w:rPr>
        <w:t>ruction</w:t>
      </w:r>
      <w:r w:rsidR="00124A59" w:rsidRPr="00124A59">
        <w:rPr>
          <w:color w:val="000000"/>
          <w:spacing w:val="-2"/>
          <w:sz w:val="22"/>
          <w:szCs w:val="22"/>
        </w:rPr>
        <w:t xml:space="preserve"> lights were exti</w:t>
      </w:r>
      <w:r w:rsidR="00124A59">
        <w:rPr>
          <w:color w:val="000000"/>
          <w:spacing w:val="-2"/>
          <w:sz w:val="22"/>
          <w:szCs w:val="22"/>
        </w:rPr>
        <w:t>n</w:t>
      </w:r>
      <w:r w:rsidR="00124A59" w:rsidRPr="00124A59">
        <w:rPr>
          <w:color w:val="000000"/>
          <w:spacing w:val="-2"/>
          <w:sz w:val="22"/>
          <w:szCs w:val="22"/>
        </w:rPr>
        <w:t>guished</w:t>
      </w:r>
      <w:r w:rsidR="00124A59">
        <w:rPr>
          <w:color w:val="000000"/>
          <w:spacing w:val="-2"/>
          <w:sz w:val="22"/>
          <w:szCs w:val="22"/>
        </w:rPr>
        <w:t xml:space="preserve"> </w:t>
      </w:r>
      <w:r w:rsidR="00124A59" w:rsidRPr="00124A59">
        <w:rPr>
          <w:color w:val="000000"/>
          <w:spacing w:val="-2"/>
          <w:sz w:val="22"/>
          <w:szCs w:val="22"/>
        </w:rPr>
        <w:t>on th</w:t>
      </w:r>
      <w:r w:rsidR="00124A59">
        <w:rPr>
          <w:color w:val="000000"/>
          <w:spacing w:val="-2"/>
          <w:sz w:val="22"/>
          <w:szCs w:val="22"/>
        </w:rPr>
        <w:t>e</w:t>
      </w:r>
      <w:r w:rsidR="00124A59" w:rsidRPr="00124A59">
        <w:rPr>
          <w:color w:val="000000"/>
          <w:spacing w:val="-2"/>
          <w:sz w:val="22"/>
          <w:szCs w:val="22"/>
        </w:rPr>
        <w:t xml:space="preserve"> structure, </w:t>
      </w:r>
      <w:r w:rsidR="00B67506">
        <w:rPr>
          <w:color w:val="000000"/>
          <w:spacing w:val="-2"/>
          <w:sz w:val="22"/>
          <w:szCs w:val="22"/>
        </w:rPr>
        <w:t>and that</w:t>
      </w:r>
      <w:r w:rsidR="00124A59" w:rsidRPr="00124A59">
        <w:rPr>
          <w:color w:val="000000"/>
          <w:spacing w:val="-2"/>
          <w:sz w:val="22"/>
          <w:szCs w:val="22"/>
        </w:rPr>
        <w:t xml:space="preserve"> Kemp had made no notification to the FAA concerning the outage.  </w:t>
      </w:r>
      <w:r w:rsidRPr="00124A59">
        <w:rPr>
          <w:color w:val="000000"/>
          <w:spacing w:val="-2"/>
          <w:sz w:val="22"/>
          <w:szCs w:val="22"/>
        </w:rPr>
        <w:t xml:space="preserve">Therefore, based on the evidence before us, we find that </w:t>
      </w:r>
      <w:r w:rsidR="00124A59">
        <w:rPr>
          <w:color w:val="000000"/>
          <w:spacing w:val="-2"/>
          <w:sz w:val="22"/>
          <w:szCs w:val="22"/>
        </w:rPr>
        <w:t>Kemp</w:t>
      </w:r>
      <w:r w:rsidRPr="00124A59">
        <w:rPr>
          <w:b/>
          <w:color w:val="000000"/>
          <w:spacing w:val="-2"/>
          <w:sz w:val="22"/>
          <w:szCs w:val="22"/>
        </w:rPr>
        <w:t xml:space="preserve"> </w:t>
      </w:r>
      <w:r w:rsidRPr="00124A59">
        <w:rPr>
          <w:color w:val="000000"/>
          <w:spacing w:val="-2"/>
          <w:sz w:val="22"/>
          <w:szCs w:val="22"/>
        </w:rPr>
        <w:t>apparently willfully and repeatedly violated Section 303(q) of the Act and Sections 17.47, 17.48</w:t>
      </w:r>
      <w:r w:rsidR="00371BEE">
        <w:rPr>
          <w:color w:val="000000"/>
          <w:spacing w:val="-2"/>
          <w:sz w:val="22"/>
          <w:szCs w:val="22"/>
        </w:rPr>
        <w:t>(a)</w:t>
      </w:r>
      <w:r w:rsidRPr="00124A59">
        <w:rPr>
          <w:color w:val="000000"/>
          <w:spacing w:val="-2"/>
          <w:sz w:val="22"/>
          <w:szCs w:val="22"/>
        </w:rPr>
        <w:t>, and 17.51(</w:t>
      </w:r>
      <w:r w:rsidR="00124A59">
        <w:rPr>
          <w:color w:val="000000"/>
          <w:spacing w:val="-2"/>
          <w:sz w:val="22"/>
          <w:szCs w:val="22"/>
        </w:rPr>
        <w:t>b</w:t>
      </w:r>
      <w:r w:rsidRPr="00124A59">
        <w:rPr>
          <w:color w:val="000000"/>
          <w:spacing w:val="-2"/>
          <w:sz w:val="22"/>
          <w:szCs w:val="22"/>
        </w:rPr>
        <w:t>) of the Rules by failing to monitor the lighting on the Antenna Structure or maintain a properly functioning automatic alarm system, failing to exhibit required obstruction lighting on the Antenna Structure, and failing to notify the FAA of the outage</w:t>
      </w:r>
      <w:r w:rsidR="00720ACB">
        <w:rPr>
          <w:color w:val="000000"/>
          <w:spacing w:val="-2"/>
          <w:sz w:val="22"/>
          <w:szCs w:val="22"/>
        </w:rPr>
        <w:t>s</w:t>
      </w:r>
      <w:r w:rsidRPr="00124A59">
        <w:rPr>
          <w:color w:val="000000"/>
          <w:spacing w:val="-2"/>
          <w:sz w:val="22"/>
          <w:szCs w:val="22"/>
        </w:rPr>
        <w:t>.</w:t>
      </w:r>
    </w:p>
    <w:p w:rsidR="004B28B4" w:rsidRPr="005F515C" w:rsidRDefault="00F46870" w:rsidP="00124A59">
      <w:pPr>
        <w:tabs>
          <w:tab w:val="left" w:pos="1926"/>
          <w:tab w:val="left" w:pos="3978"/>
          <w:tab w:val="left" w:pos="4680"/>
          <w:tab w:val="left" w:pos="5760"/>
        </w:tabs>
        <w:spacing w:line="226" w:lineRule="auto"/>
        <w:ind w:left="720"/>
        <w:rPr>
          <w:color w:val="000000"/>
          <w:spacing w:val="-2"/>
          <w:sz w:val="22"/>
          <w:szCs w:val="22"/>
        </w:rPr>
      </w:pPr>
      <w:r w:rsidRPr="005F515C">
        <w:rPr>
          <w:color w:val="000000"/>
          <w:spacing w:val="-3"/>
          <w:sz w:val="22"/>
          <w:szCs w:val="22"/>
        </w:rPr>
        <w:tab/>
      </w:r>
    </w:p>
    <w:p w:rsidR="00F46870" w:rsidRPr="005F515C" w:rsidRDefault="00D43F13" w:rsidP="00B14C65">
      <w:pPr>
        <w:widowControl/>
        <w:tabs>
          <w:tab w:val="left" w:pos="0"/>
          <w:tab w:val="left" w:pos="720"/>
        </w:tabs>
        <w:suppressAutoHyphens/>
        <w:spacing w:line="240" w:lineRule="atLeast"/>
        <w:ind w:left="720"/>
        <w:rPr>
          <w:b/>
          <w:color w:val="000000"/>
          <w:spacing w:val="-2"/>
          <w:sz w:val="22"/>
          <w:szCs w:val="22"/>
        </w:rPr>
      </w:pPr>
      <w:r>
        <w:rPr>
          <w:b/>
          <w:color w:val="000000"/>
          <w:spacing w:val="-2"/>
          <w:sz w:val="22"/>
          <w:szCs w:val="22"/>
        </w:rPr>
        <w:t>B</w:t>
      </w:r>
      <w:r w:rsidR="00B14C65" w:rsidRPr="005F515C">
        <w:rPr>
          <w:b/>
          <w:color w:val="000000"/>
          <w:spacing w:val="-2"/>
          <w:sz w:val="22"/>
          <w:szCs w:val="22"/>
        </w:rPr>
        <w:t>.</w:t>
      </w:r>
      <w:r w:rsidR="00B14C65" w:rsidRPr="005F515C">
        <w:rPr>
          <w:b/>
          <w:color w:val="000000"/>
          <w:spacing w:val="-2"/>
          <w:sz w:val="22"/>
          <w:szCs w:val="22"/>
        </w:rPr>
        <w:tab/>
      </w:r>
      <w:r w:rsidR="00F46870" w:rsidRPr="005F515C">
        <w:rPr>
          <w:b/>
          <w:color w:val="000000"/>
          <w:spacing w:val="-2"/>
          <w:sz w:val="22"/>
          <w:szCs w:val="22"/>
        </w:rPr>
        <w:t>Propo</w:t>
      </w:r>
      <w:r w:rsidR="001C679F">
        <w:rPr>
          <w:b/>
          <w:color w:val="000000"/>
          <w:spacing w:val="-2"/>
          <w:sz w:val="22"/>
          <w:szCs w:val="22"/>
        </w:rPr>
        <w:t>sed Forfeiture and Reporting Requirement</w:t>
      </w:r>
    </w:p>
    <w:p w:rsidR="00F46870" w:rsidRPr="005F515C" w:rsidRDefault="00F46870" w:rsidP="00BF1922">
      <w:pPr>
        <w:widowControl/>
        <w:tabs>
          <w:tab w:val="left" w:pos="0"/>
          <w:tab w:val="left" w:pos="720"/>
        </w:tabs>
        <w:suppressAutoHyphens/>
        <w:spacing w:line="240" w:lineRule="atLeast"/>
        <w:ind w:left="720"/>
        <w:jc w:val="both"/>
        <w:rPr>
          <w:b/>
          <w:color w:val="000000"/>
          <w:spacing w:val="-2"/>
          <w:sz w:val="22"/>
          <w:szCs w:val="22"/>
        </w:rPr>
      </w:pPr>
    </w:p>
    <w:p w:rsidR="00124A59" w:rsidRDefault="007E2E05" w:rsidP="00124A59">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124A59">
        <w:rPr>
          <w:color w:val="000000"/>
          <w:spacing w:val="-2"/>
          <w:sz w:val="22"/>
          <w:szCs w:val="22"/>
        </w:rPr>
        <w:t>Pursuant to the Commission’s</w:t>
      </w:r>
      <w:r w:rsidRPr="00124A59">
        <w:rPr>
          <w:i/>
          <w:color w:val="000000"/>
          <w:spacing w:val="-2"/>
          <w:sz w:val="22"/>
          <w:szCs w:val="22"/>
        </w:rPr>
        <w:t xml:space="preserve"> Forfeiture Policy Statement</w:t>
      </w:r>
      <w:r w:rsidR="00D57AE2" w:rsidRPr="00124A59">
        <w:rPr>
          <w:color w:val="000000"/>
          <w:spacing w:val="-2"/>
          <w:sz w:val="22"/>
          <w:szCs w:val="22"/>
        </w:rPr>
        <w:t xml:space="preserve"> and S</w:t>
      </w:r>
      <w:r w:rsidRPr="00124A59">
        <w:rPr>
          <w:color w:val="000000"/>
          <w:spacing w:val="-2"/>
          <w:sz w:val="22"/>
          <w:szCs w:val="22"/>
        </w:rPr>
        <w:t xml:space="preserve">ection 1.80 of the Rules, </w:t>
      </w:r>
      <w:r w:rsidR="00124A59" w:rsidRPr="00124A59">
        <w:rPr>
          <w:spacing w:val="-2"/>
          <w:sz w:val="22"/>
          <w:szCs w:val="22"/>
        </w:rPr>
        <w:t>the base forfeiture amount for failing to comply with prescribed lighting is $10,000.</w:t>
      </w:r>
      <w:r w:rsidR="00050854" w:rsidRPr="005F515C">
        <w:rPr>
          <w:rStyle w:val="FootnoteReference"/>
          <w:color w:val="000000"/>
          <w:spacing w:val="-2"/>
          <w:sz w:val="22"/>
          <w:szCs w:val="22"/>
        </w:rPr>
        <w:footnoteReference w:id="22"/>
      </w:r>
      <w:r w:rsidR="00050854" w:rsidRPr="00124A59">
        <w:rPr>
          <w:color w:val="000000"/>
          <w:spacing w:val="-2"/>
          <w:sz w:val="22"/>
          <w:szCs w:val="22"/>
        </w:rPr>
        <w:t xml:space="preserve">  In assessing the monetary forfeiture amount, we must also take into account the statutory factors </w:t>
      </w:r>
      <w:r w:rsidR="00D57AE2" w:rsidRPr="00124A59">
        <w:rPr>
          <w:color w:val="000000"/>
          <w:spacing w:val="-2"/>
          <w:sz w:val="22"/>
          <w:szCs w:val="22"/>
        </w:rPr>
        <w:t>set forth in S</w:t>
      </w:r>
      <w:r w:rsidR="00D15A5F" w:rsidRPr="00124A59">
        <w:rPr>
          <w:color w:val="000000"/>
          <w:spacing w:val="-2"/>
          <w:sz w:val="22"/>
          <w:szCs w:val="22"/>
        </w:rPr>
        <w:t>ection 503(b)(2)(E</w:t>
      </w:r>
      <w:r w:rsidR="00050854" w:rsidRPr="00124A59">
        <w:rPr>
          <w:color w:val="000000"/>
          <w:spacing w:val="-2"/>
          <w:sz w:val="22"/>
          <w:szCs w:val="22"/>
        </w:rPr>
        <w:t>) of the Act, which include the nature, circumstances, extent, and gravity of the violations, and with respect to the violator</w:t>
      </w:r>
      <w:r w:rsidR="003E2AD5" w:rsidRPr="00124A59">
        <w:rPr>
          <w:color w:val="000000"/>
          <w:spacing w:val="-2"/>
          <w:sz w:val="22"/>
          <w:szCs w:val="22"/>
        </w:rPr>
        <w:t>, the degree of culpability, any</w:t>
      </w:r>
      <w:r w:rsidR="00050854" w:rsidRPr="00124A59">
        <w:rPr>
          <w:color w:val="000000"/>
          <w:spacing w:val="-2"/>
          <w:sz w:val="22"/>
          <w:szCs w:val="22"/>
        </w:rPr>
        <w:t xml:space="preserve"> history of prior offenses, ability to pay, and other such matters as justice may require.</w:t>
      </w:r>
      <w:r w:rsidR="00050854" w:rsidRPr="005F515C">
        <w:rPr>
          <w:rStyle w:val="FootnoteReference"/>
          <w:color w:val="000000"/>
          <w:spacing w:val="-2"/>
          <w:sz w:val="22"/>
          <w:szCs w:val="22"/>
        </w:rPr>
        <w:footnoteReference w:id="23"/>
      </w:r>
      <w:r w:rsidR="00050854" w:rsidRPr="00124A59">
        <w:rPr>
          <w:color w:val="000000"/>
          <w:spacing w:val="-2"/>
          <w:sz w:val="22"/>
          <w:szCs w:val="22"/>
        </w:rPr>
        <w:t xml:space="preserve">  </w:t>
      </w:r>
      <w:r w:rsidR="009D127A">
        <w:rPr>
          <w:spacing w:val="-2"/>
          <w:sz w:val="22"/>
          <w:szCs w:val="22"/>
        </w:rPr>
        <w:t>Considering the totality of the evidence</w:t>
      </w:r>
      <w:r w:rsidR="00702532">
        <w:rPr>
          <w:spacing w:val="-2"/>
          <w:sz w:val="22"/>
          <w:szCs w:val="22"/>
        </w:rPr>
        <w:t xml:space="preserve">, including Kemp’s repeated failure to notify the FAA of obstruction light outages, in both April 2013, and in September 2013, after being issued the NOV, </w:t>
      </w:r>
      <w:r w:rsidR="009D127A">
        <w:rPr>
          <w:spacing w:val="-2"/>
          <w:sz w:val="22"/>
          <w:szCs w:val="22"/>
        </w:rPr>
        <w:t>we find that an upward adjustment of $</w:t>
      </w:r>
      <w:r w:rsidR="00702532">
        <w:rPr>
          <w:spacing w:val="-2"/>
          <w:sz w:val="22"/>
          <w:szCs w:val="22"/>
        </w:rPr>
        <w:t>4</w:t>
      </w:r>
      <w:r w:rsidR="009D127A">
        <w:rPr>
          <w:spacing w:val="-2"/>
          <w:sz w:val="22"/>
          <w:szCs w:val="22"/>
        </w:rPr>
        <w:t>,000 is warranted</w:t>
      </w:r>
      <w:r w:rsidR="00702532">
        <w:rPr>
          <w:spacing w:val="-2"/>
          <w:sz w:val="22"/>
          <w:szCs w:val="22"/>
        </w:rPr>
        <w:t>.</w:t>
      </w:r>
      <w:r w:rsidR="00702532">
        <w:rPr>
          <w:rStyle w:val="FootnoteReference"/>
          <w:spacing w:val="-2"/>
          <w:sz w:val="22"/>
          <w:szCs w:val="22"/>
        </w:rPr>
        <w:footnoteReference w:id="24"/>
      </w:r>
      <w:r w:rsidR="009D127A">
        <w:rPr>
          <w:spacing w:val="-2"/>
          <w:sz w:val="22"/>
          <w:szCs w:val="22"/>
        </w:rPr>
        <w:t xml:space="preserve"> </w:t>
      </w:r>
      <w:r w:rsidR="00702532">
        <w:rPr>
          <w:spacing w:val="-2"/>
          <w:sz w:val="22"/>
          <w:szCs w:val="22"/>
        </w:rPr>
        <w:t xml:space="preserve"> </w:t>
      </w:r>
      <w:r w:rsidR="00050854" w:rsidRPr="00124A59">
        <w:rPr>
          <w:color w:val="000000"/>
          <w:spacing w:val="-2"/>
          <w:sz w:val="22"/>
          <w:szCs w:val="22"/>
        </w:rPr>
        <w:t xml:space="preserve">Applying the </w:t>
      </w:r>
      <w:r w:rsidR="00050854" w:rsidRPr="00124A59">
        <w:rPr>
          <w:i/>
          <w:color w:val="000000"/>
          <w:spacing w:val="-2"/>
          <w:sz w:val="22"/>
          <w:szCs w:val="22"/>
        </w:rPr>
        <w:t>Forfeiture Policy Statement</w:t>
      </w:r>
      <w:r w:rsidR="00D57AE2" w:rsidRPr="00124A59">
        <w:rPr>
          <w:color w:val="000000"/>
          <w:spacing w:val="-2"/>
          <w:sz w:val="22"/>
          <w:szCs w:val="22"/>
        </w:rPr>
        <w:t>, S</w:t>
      </w:r>
      <w:r w:rsidR="00260C08" w:rsidRPr="00124A59">
        <w:rPr>
          <w:color w:val="000000"/>
          <w:spacing w:val="-2"/>
          <w:sz w:val="22"/>
          <w:szCs w:val="22"/>
        </w:rPr>
        <w:t>ection 1.80</w:t>
      </w:r>
      <w:r w:rsidR="000E2560" w:rsidRPr="00124A59">
        <w:rPr>
          <w:color w:val="000000"/>
          <w:spacing w:val="-2"/>
          <w:sz w:val="22"/>
          <w:szCs w:val="22"/>
        </w:rPr>
        <w:t xml:space="preserve"> of the Rules</w:t>
      </w:r>
      <w:r w:rsidR="00260C08" w:rsidRPr="00124A59">
        <w:rPr>
          <w:color w:val="000000"/>
          <w:spacing w:val="-2"/>
          <w:sz w:val="22"/>
          <w:szCs w:val="22"/>
        </w:rPr>
        <w:t xml:space="preserve">, and </w:t>
      </w:r>
      <w:r w:rsidR="00050854" w:rsidRPr="00124A59">
        <w:rPr>
          <w:color w:val="000000"/>
          <w:spacing w:val="-2"/>
          <w:sz w:val="22"/>
          <w:szCs w:val="22"/>
        </w:rPr>
        <w:t>the statutory factors</w:t>
      </w:r>
      <w:r w:rsidR="00787C4B" w:rsidRPr="00124A59">
        <w:rPr>
          <w:color w:val="000000"/>
          <w:spacing w:val="-2"/>
          <w:sz w:val="22"/>
          <w:szCs w:val="22"/>
        </w:rPr>
        <w:t xml:space="preserve"> to the instant case, we conclude that </w:t>
      </w:r>
      <w:r w:rsidR="003A5C36" w:rsidRPr="00124A59">
        <w:rPr>
          <w:color w:val="000000"/>
          <w:spacing w:val="-2"/>
          <w:sz w:val="22"/>
          <w:szCs w:val="22"/>
        </w:rPr>
        <w:t>K</w:t>
      </w:r>
      <w:r w:rsidR="00694B96" w:rsidRPr="00124A59">
        <w:rPr>
          <w:color w:val="000000"/>
          <w:spacing w:val="-2"/>
          <w:sz w:val="22"/>
          <w:szCs w:val="22"/>
        </w:rPr>
        <w:t>emp</w:t>
      </w:r>
      <w:r w:rsidR="00787C4B" w:rsidRPr="00124A59">
        <w:rPr>
          <w:color w:val="000000"/>
          <w:spacing w:val="-2"/>
          <w:sz w:val="22"/>
          <w:szCs w:val="22"/>
        </w:rPr>
        <w:t xml:space="preserve"> is apparently liable for a </w:t>
      </w:r>
      <w:r w:rsidR="00E847E3" w:rsidRPr="00124A59">
        <w:rPr>
          <w:color w:val="000000"/>
          <w:spacing w:val="-2"/>
          <w:sz w:val="22"/>
          <w:szCs w:val="22"/>
        </w:rPr>
        <w:t>total</w:t>
      </w:r>
      <w:r w:rsidR="00050854" w:rsidRPr="00124A59">
        <w:rPr>
          <w:color w:val="000000"/>
          <w:spacing w:val="-2"/>
          <w:sz w:val="22"/>
          <w:szCs w:val="22"/>
        </w:rPr>
        <w:t xml:space="preserve"> forfeiture</w:t>
      </w:r>
      <w:r w:rsidR="00E847E3" w:rsidRPr="00124A59">
        <w:rPr>
          <w:color w:val="000000"/>
          <w:spacing w:val="-2"/>
          <w:sz w:val="22"/>
          <w:szCs w:val="22"/>
        </w:rPr>
        <w:t xml:space="preserve"> </w:t>
      </w:r>
      <w:r w:rsidR="00337B75" w:rsidRPr="00124A59">
        <w:rPr>
          <w:color w:val="000000"/>
          <w:spacing w:val="-2"/>
          <w:sz w:val="22"/>
          <w:szCs w:val="22"/>
        </w:rPr>
        <w:t xml:space="preserve">in the amount </w:t>
      </w:r>
      <w:r w:rsidR="00E847E3" w:rsidRPr="00124A59">
        <w:rPr>
          <w:color w:val="000000"/>
          <w:spacing w:val="-2"/>
          <w:sz w:val="22"/>
          <w:szCs w:val="22"/>
        </w:rPr>
        <w:t>of $</w:t>
      </w:r>
      <w:r w:rsidR="00B14C65" w:rsidRPr="00124A59">
        <w:rPr>
          <w:color w:val="000000"/>
          <w:spacing w:val="-2"/>
          <w:sz w:val="22"/>
          <w:szCs w:val="22"/>
        </w:rPr>
        <w:t>1</w:t>
      </w:r>
      <w:r w:rsidR="00702532">
        <w:rPr>
          <w:color w:val="000000"/>
          <w:spacing w:val="-2"/>
          <w:sz w:val="22"/>
          <w:szCs w:val="22"/>
        </w:rPr>
        <w:t>4</w:t>
      </w:r>
      <w:r w:rsidR="00E847E3" w:rsidRPr="00124A59">
        <w:rPr>
          <w:color w:val="000000"/>
          <w:spacing w:val="-2"/>
          <w:sz w:val="22"/>
          <w:szCs w:val="22"/>
        </w:rPr>
        <w:t>,000</w:t>
      </w:r>
      <w:r w:rsidR="00D8508C" w:rsidRPr="00124A59">
        <w:rPr>
          <w:color w:val="000000"/>
          <w:spacing w:val="-2"/>
          <w:sz w:val="22"/>
          <w:szCs w:val="22"/>
        </w:rPr>
        <w:t>.</w:t>
      </w:r>
      <w:r w:rsidR="00124A59">
        <w:rPr>
          <w:color w:val="000000"/>
          <w:spacing w:val="-2"/>
          <w:sz w:val="22"/>
          <w:szCs w:val="22"/>
        </w:rPr>
        <w:t xml:space="preserve"> </w:t>
      </w:r>
    </w:p>
    <w:p w:rsidR="001C679F" w:rsidRPr="00124A59" w:rsidRDefault="001C679F" w:rsidP="00124A59">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124A59">
        <w:rPr>
          <w:color w:val="000000"/>
          <w:spacing w:val="-2"/>
          <w:sz w:val="22"/>
          <w:szCs w:val="22"/>
        </w:rPr>
        <w:t>We further order Kemp to submit a written statement, pursuant to Section 1.16 of the Rules, signed under penalty of perjury by an officer or director of Kemp, stating</w:t>
      </w:r>
      <w:r w:rsidR="002C3076">
        <w:rPr>
          <w:color w:val="000000"/>
          <w:spacing w:val="-2"/>
          <w:sz w:val="22"/>
          <w:szCs w:val="22"/>
        </w:rPr>
        <w:t xml:space="preserve"> that</w:t>
      </w:r>
      <w:r w:rsidR="005709DE">
        <w:rPr>
          <w:color w:val="000000"/>
          <w:spacing w:val="-2"/>
          <w:sz w:val="22"/>
          <w:szCs w:val="22"/>
        </w:rPr>
        <w:t>:</w:t>
      </w:r>
      <w:r w:rsidRPr="00124A59">
        <w:rPr>
          <w:color w:val="000000"/>
          <w:spacing w:val="-2"/>
          <w:sz w:val="22"/>
          <w:szCs w:val="22"/>
        </w:rPr>
        <w:t xml:space="preserve"> </w:t>
      </w:r>
      <w:r w:rsidR="00C70498" w:rsidRPr="00124A59">
        <w:rPr>
          <w:color w:val="000000"/>
          <w:spacing w:val="-2"/>
          <w:sz w:val="22"/>
          <w:szCs w:val="22"/>
        </w:rPr>
        <w:t>(</w:t>
      </w:r>
      <w:r w:rsidR="008B4529" w:rsidRPr="00124A59">
        <w:rPr>
          <w:color w:val="000000"/>
          <w:spacing w:val="-2"/>
          <w:sz w:val="22"/>
          <w:szCs w:val="22"/>
        </w:rPr>
        <w:t>1)</w:t>
      </w:r>
      <w:r w:rsidR="002C3076">
        <w:rPr>
          <w:color w:val="000000"/>
          <w:spacing w:val="-2"/>
          <w:sz w:val="22"/>
          <w:szCs w:val="22"/>
        </w:rPr>
        <w:t xml:space="preserve"> </w:t>
      </w:r>
      <w:r w:rsidR="005709DE">
        <w:rPr>
          <w:color w:val="000000"/>
          <w:spacing w:val="-2"/>
          <w:sz w:val="22"/>
          <w:szCs w:val="22"/>
        </w:rPr>
        <w:t xml:space="preserve">Kemp has updated the ASR for the Antenna Structure to reflect the FAA Study </w:t>
      </w:r>
      <w:r w:rsidR="005709DE" w:rsidRPr="005709DE">
        <w:rPr>
          <w:color w:val="000000"/>
          <w:spacing w:val="-2"/>
          <w:sz w:val="22"/>
          <w:szCs w:val="22"/>
        </w:rPr>
        <w:t>2001-AWP-485-OE</w:t>
      </w:r>
      <w:r w:rsidR="005709DE">
        <w:rPr>
          <w:color w:val="000000"/>
          <w:spacing w:val="-2"/>
          <w:sz w:val="22"/>
          <w:szCs w:val="22"/>
        </w:rPr>
        <w:t xml:space="preserve"> and that the Antenna Struc</w:t>
      </w:r>
      <w:r w:rsidR="006C7CD3">
        <w:rPr>
          <w:color w:val="000000"/>
          <w:spacing w:val="-2"/>
          <w:sz w:val="22"/>
          <w:szCs w:val="22"/>
        </w:rPr>
        <w:t>t</w:t>
      </w:r>
      <w:r w:rsidR="005709DE">
        <w:rPr>
          <w:color w:val="000000"/>
          <w:spacing w:val="-2"/>
          <w:sz w:val="22"/>
          <w:szCs w:val="22"/>
        </w:rPr>
        <w:t xml:space="preserve">ure is in compliance with the requirements of FAA </w:t>
      </w:r>
      <w:r w:rsidR="005709DE" w:rsidRPr="005709DE">
        <w:rPr>
          <w:color w:val="000000"/>
          <w:spacing w:val="-2"/>
          <w:sz w:val="22"/>
          <w:szCs w:val="22"/>
        </w:rPr>
        <w:t>Study 2001-AWP-485-OE</w:t>
      </w:r>
      <w:r w:rsidR="005709DE">
        <w:rPr>
          <w:color w:val="000000"/>
          <w:spacing w:val="-2"/>
          <w:sz w:val="22"/>
          <w:szCs w:val="22"/>
        </w:rPr>
        <w:t xml:space="preserve">; and </w:t>
      </w:r>
      <w:r w:rsidR="00C70498" w:rsidRPr="00124A59">
        <w:rPr>
          <w:color w:val="000000"/>
          <w:spacing w:val="-2"/>
          <w:sz w:val="22"/>
          <w:szCs w:val="22"/>
        </w:rPr>
        <w:t>(</w:t>
      </w:r>
      <w:r w:rsidR="008B4529" w:rsidRPr="00124A59">
        <w:rPr>
          <w:color w:val="000000"/>
          <w:spacing w:val="-2"/>
          <w:sz w:val="22"/>
          <w:szCs w:val="22"/>
        </w:rPr>
        <w:t>2)</w:t>
      </w:r>
      <w:r w:rsidR="00C70498" w:rsidRPr="00124A59">
        <w:rPr>
          <w:color w:val="000000"/>
          <w:spacing w:val="-2"/>
          <w:sz w:val="22"/>
          <w:szCs w:val="22"/>
        </w:rPr>
        <w:t xml:space="preserve"> </w:t>
      </w:r>
      <w:r w:rsidR="002C3076">
        <w:rPr>
          <w:color w:val="000000"/>
          <w:spacing w:val="-2"/>
          <w:sz w:val="22"/>
          <w:szCs w:val="22"/>
        </w:rPr>
        <w:t>Kemp</w:t>
      </w:r>
      <w:r w:rsidR="00124A59" w:rsidRPr="00124A59">
        <w:rPr>
          <w:color w:val="000000"/>
          <w:spacing w:val="-2"/>
          <w:sz w:val="22"/>
          <w:szCs w:val="22"/>
        </w:rPr>
        <w:t xml:space="preserve"> has ensured that its monitoring of the Antenna Structure now complies with the requirements of Section 17.47(a) of the Rule</w:t>
      </w:r>
      <w:r w:rsidR="00722674" w:rsidRPr="00124A59">
        <w:rPr>
          <w:color w:val="000000"/>
          <w:spacing w:val="-2"/>
          <w:sz w:val="22"/>
          <w:szCs w:val="22"/>
        </w:rPr>
        <w:t>s</w:t>
      </w:r>
      <w:r w:rsidR="00C70498" w:rsidRPr="00124A59">
        <w:rPr>
          <w:color w:val="000000"/>
          <w:spacing w:val="-2"/>
          <w:sz w:val="22"/>
          <w:szCs w:val="22"/>
        </w:rPr>
        <w:t>.</w:t>
      </w:r>
      <w:r w:rsidR="00722674" w:rsidRPr="00124A59">
        <w:rPr>
          <w:color w:val="000000"/>
          <w:spacing w:val="-2"/>
          <w:sz w:val="22"/>
          <w:szCs w:val="22"/>
        </w:rPr>
        <w:t xml:space="preserve">  </w:t>
      </w:r>
      <w:r w:rsidRPr="00124A59">
        <w:rPr>
          <w:color w:val="000000"/>
          <w:spacing w:val="-2"/>
          <w:sz w:val="22"/>
          <w:szCs w:val="22"/>
        </w:rPr>
        <w:t xml:space="preserve">This statement must be provided to the Los Angeles Office at the address listed in paragraph </w:t>
      </w:r>
      <w:r w:rsidR="00795D84" w:rsidRPr="00124A59">
        <w:rPr>
          <w:color w:val="000000"/>
          <w:spacing w:val="-2"/>
          <w:sz w:val="22"/>
          <w:szCs w:val="22"/>
        </w:rPr>
        <w:t>1</w:t>
      </w:r>
      <w:r w:rsidR="00124A59">
        <w:rPr>
          <w:color w:val="000000"/>
          <w:spacing w:val="-2"/>
          <w:sz w:val="22"/>
          <w:szCs w:val="22"/>
        </w:rPr>
        <w:t>6</w:t>
      </w:r>
      <w:r w:rsidRPr="00124A59">
        <w:rPr>
          <w:color w:val="000000"/>
          <w:spacing w:val="-2"/>
          <w:sz w:val="22"/>
          <w:szCs w:val="22"/>
        </w:rPr>
        <w:t xml:space="preserve"> within thirty (30) calendar days of the release date of this NAL.</w:t>
      </w:r>
    </w:p>
    <w:p w:rsidR="00050854" w:rsidRPr="005F515C" w:rsidRDefault="00050854" w:rsidP="00BF1922">
      <w:pPr>
        <w:pStyle w:val="Heading1"/>
        <w:widowControl/>
        <w:rPr>
          <w:color w:val="000000"/>
          <w:sz w:val="22"/>
          <w:szCs w:val="22"/>
        </w:rPr>
      </w:pPr>
      <w:r w:rsidRPr="005F515C">
        <w:rPr>
          <w:color w:val="000000"/>
          <w:sz w:val="22"/>
          <w:szCs w:val="22"/>
        </w:rPr>
        <w:t>ORDERING CLAUSES</w:t>
      </w:r>
    </w:p>
    <w:p w:rsidR="00050854" w:rsidRPr="005F515C" w:rsidRDefault="00050854" w:rsidP="00BF1922">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pacing w:val="-2"/>
          <w:sz w:val="22"/>
          <w:szCs w:val="22"/>
        </w:rPr>
        <w:t>Accordingly,</w:t>
      </w:r>
      <w:r w:rsidRPr="005F515C">
        <w:rPr>
          <w:b/>
          <w:color w:val="000000"/>
          <w:spacing w:val="-2"/>
          <w:sz w:val="22"/>
          <w:szCs w:val="22"/>
        </w:rPr>
        <w:t xml:space="preserve"> IT IS ORDERED</w:t>
      </w:r>
      <w:r w:rsidR="003F3CFD" w:rsidRPr="005F515C">
        <w:rPr>
          <w:color w:val="000000"/>
          <w:spacing w:val="-2"/>
          <w:sz w:val="22"/>
          <w:szCs w:val="22"/>
        </w:rPr>
        <w:t xml:space="preserve"> that</w:t>
      </w:r>
      <w:r w:rsidR="00D57AE2" w:rsidRPr="005F515C">
        <w:rPr>
          <w:color w:val="000000"/>
          <w:spacing w:val="-2"/>
          <w:sz w:val="22"/>
          <w:szCs w:val="22"/>
        </w:rPr>
        <w:t>, pursuant to S</w:t>
      </w:r>
      <w:r w:rsidRPr="005F515C">
        <w:rPr>
          <w:color w:val="000000"/>
          <w:spacing w:val="-2"/>
          <w:sz w:val="22"/>
          <w:szCs w:val="22"/>
        </w:rPr>
        <w:t>ection 503(b) of the Communication</w:t>
      </w:r>
      <w:r w:rsidR="00D57AE2" w:rsidRPr="005F515C">
        <w:rPr>
          <w:color w:val="000000"/>
          <w:spacing w:val="-2"/>
          <w:sz w:val="22"/>
          <w:szCs w:val="22"/>
        </w:rPr>
        <w:t>s Act of 1934, as amended, and S</w:t>
      </w:r>
      <w:r w:rsidRPr="005F515C">
        <w:rPr>
          <w:color w:val="000000"/>
          <w:spacing w:val="-2"/>
          <w:sz w:val="22"/>
          <w:szCs w:val="22"/>
        </w:rPr>
        <w:t xml:space="preserve">ections 0.111, </w:t>
      </w:r>
      <w:r w:rsidR="00856437" w:rsidRPr="005F515C">
        <w:rPr>
          <w:color w:val="000000"/>
          <w:spacing w:val="-2"/>
          <w:sz w:val="22"/>
          <w:szCs w:val="22"/>
        </w:rPr>
        <w:t xml:space="preserve">0.204, </w:t>
      </w:r>
      <w:r w:rsidRPr="005F515C">
        <w:rPr>
          <w:color w:val="000000"/>
          <w:spacing w:val="-2"/>
          <w:sz w:val="22"/>
          <w:szCs w:val="22"/>
        </w:rPr>
        <w:t>0.311</w:t>
      </w:r>
      <w:r w:rsidR="00716561" w:rsidRPr="005F515C">
        <w:rPr>
          <w:color w:val="000000"/>
          <w:spacing w:val="-2"/>
          <w:sz w:val="22"/>
          <w:szCs w:val="22"/>
        </w:rPr>
        <w:t>, 0.314</w:t>
      </w:r>
      <w:r w:rsidR="002C62DA" w:rsidRPr="005F515C">
        <w:rPr>
          <w:color w:val="000000"/>
          <w:spacing w:val="-2"/>
          <w:sz w:val="22"/>
          <w:szCs w:val="22"/>
        </w:rPr>
        <w:t>,</w:t>
      </w:r>
      <w:r w:rsidR="003E2AD5" w:rsidRPr="005F515C">
        <w:rPr>
          <w:color w:val="000000"/>
          <w:spacing w:val="-2"/>
          <w:sz w:val="22"/>
          <w:szCs w:val="22"/>
        </w:rPr>
        <w:t xml:space="preserve"> and 1.80 of the Commission’s r</w:t>
      </w:r>
      <w:r w:rsidRPr="005F515C">
        <w:rPr>
          <w:color w:val="000000"/>
          <w:spacing w:val="-2"/>
          <w:sz w:val="22"/>
          <w:szCs w:val="22"/>
        </w:rPr>
        <w:t xml:space="preserve">ules, </w:t>
      </w:r>
      <w:r w:rsidR="003A5C36">
        <w:rPr>
          <w:color w:val="000000"/>
          <w:spacing w:val="-2"/>
          <w:sz w:val="22"/>
          <w:szCs w:val="22"/>
        </w:rPr>
        <w:t>Kemp Broadcasting, Inc</w:t>
      </w:r>
      <w:r w:rsidR="00672EE9">
        <w:rPr>
          <w:color w:val="000000"/>
          <w:spacing w:val="-2"/>
          <w:sz w:val="22"/>
          <w:szCs w:val="22"/>
        </w:rPr>
        <w:t>.,</w:t>
      </w:r>
      <w:r w:rsidRPr="005F515C">
        <w:rPr>
          <w:color w:val="000000"/>
          <w:spacing w:val="-2"/>
          <w:sz w:val="22"/>
          <w:szCs w:val="22"/>
        </w:rPr>
        <w:t xml:space="preserve"> is hereby </w:t>
      </w:r>
      <w:r w:rsidRPr="005F515C">
        <w:rPr>
          <w:b/>
          <w:color w:val="000000"/>
          <w:spacing w:val="-2"/>
          <w:sz w:val="22"/>
          <w:szCs w:val="22"/>
        </w:rPr>
        <w:t xml:space="preserve">NOTIFIED </w:t>
      </w:r>
      <w:r w:rsidRPr="005F515C">
        <w:rPr>
          <w:color w:val="000000"/>
          <w:spacing w:val="-2"/>
          <w:sz w:val="22"/>
          <w:szCs w:val="22"/>
        </w:rPr>
        <w:t xml:space="preserve">of this </w:t>
      </w:r>
      <w:r w:rsidRPr="005F515C">
        <w:rPr>
          <w:b/>
          <w:color w:val="000000"/>
          <w:spacing w:val="-2"/>
          <w:sz w:val="22"/>
          <w:szCs w:val="22"/>
        </w:rPr>
        <w:t>APPARENT LIABILITY FOR A FORFEITURE</w:t>
      </w:r>
      <w:r w:rsidR="00484313" w:rsidRPr="005F515C">
        <w:rPr>
          <w:b/>
          <w:color w:val="000000"/>
          <w:spacing w:val="-2"/>
          <w:sz w:val="22"/>
          <w:szCs w:val="22"/>
        </w:rPr>
        <w:t xml:space="preserve"> </w:t>
      </w:r>
      <w:r w:rsidRPr="005F515C">
        <w:rPr>
          <w:color w:val="000000"/>
          <w:spacing w:val="-2"/>
          <w:sz w:val="22"/>
          <w:szCs w:val="22"/>
        </w:rPr>
        <w:t>in the amount of</w:t>
      </w:r>
      <w:r w:rsidR="00702532">
        <w:rPr>
          <w:color w:val="000000"/>
          <w:spacing w:val="-2"/>
          <w:sz w:val="22"/>
          <w:szCs w:val="22"/>
        </w:rPr>
        <w:t xml:space="preserve"> fourteen</w:t>
      </w:r>
      <w:r w:rsidR="00D8508C" w:rsidRPr="005F515C">
        <w:rPr>
          <w:color w:val="000000"/>
          <w:sz w:val="22"/>
          <w:szCs w:val="22"/>
        </w:rPr>
        <w:t xml:space="preserve"> </w:t>
      </w:r>
      <w:r w:rsidRPr="005F515C">
        <w:rPr>
          <w:color w:val="000000"/>
          <w:sz w:val="22"/>
          <w:szCs w:val="22"/>
        </w:rPr>
        <w:t>thousand dollars ($</w:t>
      </w:r>
      <w:r w:rsidR="00D8508C" w:rsidRPr="005F515C">
        <w:rPr>
          <w:color w:val="000000"/>
          <w:sz w:val="22"/>
          <w:szCs w:val="22"/>
        </w:rPr>
        <w:t>1</w:t>
      </w:r>
      <w:r w:rsidR="00702532">
        <w:rPr>
          <w:color w:val="000000"/>
          <w:sz w:val="22"/>
          <w:szCs w:val="22"/>
        </w:rPr>
        <w:t>4</w:t>
      </w:r>
      <w:r w:rsidRPr="005F515C">
        <w:rPr>
          <w:color w:val="000000"/>
          <w:sz w:val="22"/>
          <w:szCs w:val="22"/>
        </w:rPr>
        <w:t xml:space="preserve">,000) for violations of </w:t>
      </w:r>
      <w:r w:rsidR="00D57AE2" w:rsidRPr="005F515C">
        <w:rPr>
          <w:color w:val="000000"/>
          <w:sz w:val="22"/>
          <w:szCs w:val="22"/>
        </w:rPr>
        <w:t>S</w:t>
      </w:r>
      <w:r w:rsidRPr="005F515C">
        <w:rPr>
          <w:color w:val="000000"/>
          <w:sz w:val="22"/>
          <w:szCs w:val="22"/>
        </w:rPr>
        <w:t>ection</w:t>
      </w:r>
      <w:r w:rsidR="00252EC0" w:rsidRPr="005F515C">
        <w:rPr>
          <w:color w:val="000000"/>
          <w:sz w:val="22"/>
          <w:szCs w:val="22"/>
        </w:rPr>
        <w:t xml:space="preserve"> 303(q) of the Act and Sections</w:t>
      </w:r>
      <w:r w:rsidR="00D8508C" w:rsidRPr="005F515C">
        <w:rPr>
          <w:color w:val="000000"/>
          <w:sz w:val="22"/>
          <w:szCs w:val="22"/>
        </w:rPr>
        <w:t xml:space="preserve"> </w:t>
      </w:r>
      <w:r w:rsidR="00252EC0" w:rsidRPr="005F515C">
        <w:rPr>
          <w:color w:val="000000"/>
          <w:sz w:val="22"/>
          <w:szCs w:val="22"/>
        </w:rPr>
        <w:t>1</w:t>
      </w:r>
      <w:r w:rsidR="00D8508C" w:rsidRPr="005F515C">
        <w:rPr>
          <w:color w:val="000000"/>
          <w:sz w:val="22"/>
          <w:szCs w:val="22"/>
        </w:rPr>
        <w:t>7.47</w:t>
      </w:r>
      <w:r w:rsidR="00694B96">
        <w:rPr>
          <w:color w:val="000000"/>
          <w:sz w:val="22"/>
          <w:szCs w:val="22"/>
        </w:rPr>
        <w:t>(a)(1)</w:t>
      </w:r>
      <w:r w:rsidR="006C74C4">
        <w:rPr>
          <w:color w:val="000000"/>
          <w:sz w:val="22"/>
          <w:szCs w:val="22"/>
        </w:rPr>
        <w:t>, 17.48</w:t>
      </w:r>
      <w:r w:rsidR="00694B96">
        <w:rPr>
          <w:color w:val="000000"/>
          <w:sz w:val="22"/>
          <w:szCs w:val="22"/>
        </w:rPr>
        <w:t>(a)</w:t>
      </w:r>
      <w:r w:rsidR="006C74C4">
        <w:rPr>
          <w:color w:val="000000"/>
          <w:sz w:val="22"/>
          <w:szCs w:val="22"/>
        </w:rPr>
        <w:t>,</w:t>
      </w:r>
      <w:r w:rsidR="00D8508C" w:rsidRPr="005F515C">
        <w:rPr>
          <w:color w:val="000000"/>
          <w:sz w:val="22"/>
          <w:szCs w:val="22"/>
        </w:rPr>
        <w:t xml:space="preserve"> and 17.51(b) </w:t>
      </w:r>
      <w:r w:rsidRPr="005F515C">
        <w:rPr>
          <w:color w:val="000000"/>
          <w:spacing w:val="-2"/>
          <w:sz w:val="22"/>
          <w:szCs w:val="22"/>
        </w:rPr>
        <w:t>o</w:t>
      </w:r>
      <w:r w:rsidRPr="005F515C">
        <w:rPr>
          <w:color w:val="000000"/>
          <w:sz w:val="22"/>
          <w:szCs w:val="22"/>
        </w:rPr>
        <w:t xml:space="preserve">f the </w:t>
      </w:r>
      <w:r w:rsidR="00484313" w:rsidRPr="005F515C">
        <w:rPr>
          <w:color w:val="000000"/>
          <w:sz w:val="22"/>
          <w:szCs w:val="22"/>
        </w:rPr>
        <w:t>R</w:t>
      </w:r>
      <w:r w:rsidRPr="005F515C">
        <w:rPr>
          <w:color w:val="000000"/>
          <w:sz w:val="22"/>
          <w:szCs w:val="22"/>
        </w:rPr>
        <w:t>ules.</w:t>
      </w:r>
      <w:r w:rsidRPr="005F515C">
        <w:rPr>
          <w:rStyle w:val="FootnoteReference"/>
          <w:color w:val="000000"/>
          <w:sz w:val="22"/>
          <w:szCs w:val="22"/>
        </w:rPr>
        <w:footnoteReference w:id="25"/>
      </w:r>
    </w:p>
    <w:p w:rsidR="00A12D37" w:rsidRPr="005F515C" w:rsidRDefault="00050854" w:rsidP="00BF1922">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b/>
          <w:color w:val="000000"/>
          <w:spacing w:val="-2"/>
          <w:sz w:val="22"/>
          <w:szCs w:val="22"/>
        </w:rPr>
        <w:t>IT IS FURTHER ORDERED</w:t>
      </w:r>
      <w:r w:rsidRPr="005F515C">
        <w:rPr>
          <w:color w:val="000000"/>
          <w:spacing w:val="-2"/>
          <w:sz w:val="22"/>
          <w:szCs w:val="22"/>
        </w:rPr>
        <w:t xml:space="preserve"> </w:t>
      </w:r>
      <w:r w:rsidR="003F3CFD" w:rsidRPr="005F515C">
        <w:rPr>
          <w:color w:val="000000"/>
          <w:spacing w:val="-2"/>
          <w:sz w:val="22"/>
          <w:szCs w:val="22"/>
        </w:rPr>
        <w:t>that</w:t>
      </w:r>
      <w:r w:rsidR="00D57AE2" w:rsidRPr="005F515C">
        <w:rPr>
          <w:color w:val="000000"/>
          <w:spacing w:val="-2"/>
          <w:sz w:val="22"/>
          <w:szCs w:val="22"/>
        </w:rPr>
        <w:t>, pursuant to S</w:t>
      </w:r>
      <w:r w:rsidR="003E2AD5" w:rsidRPr="005F515C">
        <w:rPr>
          <w:color w:val="000000"/>
          <w:spacing w:val="-2"/>
          <w:sz w:val="22"/>
          <w:szCs w:val="22"/>
        </w:rPr>
        <w:t>ection 1.80 of the Commission’s r</w:t>
      </w:r>
      <w:r w:rsidRPr="005F515C">
        <w:rPr>
          <w:color w:val="000000"/>
          <w:spacing w:val="-2"/>
          <w:sz w:val="22"/>
          <w:szCs w:val="22"/>
        </w:rPr>
        <w:t>ules</w:t>
      </w:r>
      <w:r w:rsidR="002C62DA" w:rsidRPr="005F515C">
        <w:rPr>
          <w:color w:val="000000"/>
          <w:spacing w:val="-2"/>
          <w:sz w:val="22"/>
          <w:szCs w:val="22"/>
        </w:rPr>
        <w:t>,</w:t>
      </w:r>
      <w:r w:rsidRPr="005F515C">
        <w:rPr>
          <w:color w:val="000000"/>
          <w:spacing w:val="-2"/>
          <w:sz w:val="22"/>
          <w:szCs w:val="22"/>
        </w:rPr>
        <w:t xml:space="preserve"> within thirty </w:t>
      </w:r>
      <w:r w:rsidR="003A7878" w:rsidRPr="005F515C">
        <w:rPr>
          <w:color w:val="000000"/>
          <w:spacing w:val="-2"/>
          <w:sz w:val="22"/>
          <w:szCs w:val="22"/>
        </w:rPr>
        <w:t xml:space="preserve">(30) calendar </w:t>
      </w:r>
      <w:r w:rsidRPr="005F515C">
        <w:rPr>
          <w:color w:val="000000"/>
          <w:spacing w:val="-2"/>
          <w:sz w:val="22"/>
          <w:szCs w:val="22"/>
        </w:rPr>
        <w:t>days of the release date of this Notice of Apparent Liability for Forfeiture</w:t>
      </w:r>
      <w:r w:rsidR="00672EE9">
        <w:rPr>
          <w:color w:val="000000"/>
          <w:spacing w:val="-2"/>
          <w:sz w:val="22"/>
          <w:szCs w:val="22"/>
        </w:rPr>
        <w:t xml:space="preserve"> and Order</w:t>
      </w:r>
      <w:r w:rsidRPr="005F515C">
        <w:rPr>
          <w:color w:val="000000"/>
          <w:spacing w:val="-2"/>
          <w:sz w:val="22"/>
          <w:szCs w:val="22"/>
        </w:rPr>
        <w:t xml:space="preserve">, </w:t>
      </w:r>
      <w:r w:rsidR="003A5C36">
        <w:rPr>
          <w:color w:val="000000"/>
          <w:spacing w:val="-2"/>
          <w:sz w:val="22"/>
          <w:szCs w:val="22"/>
        </w:rPr>
        <w:t>Kemp Broadcasting, Inc</w:t>
      </w:r>
      <w:r w:rsidR="00672EE9">
        <w:rPr>
          <w:color w:val="000000"/>
          <w:spacing w:val="-2"/>
          <w:sz w:val="22"/>
          <w:szCs w:val="22"/>
        </w:rPr>
        <w:t>.,</w:t>
      </w:r>
      <w:r w:rsidRPr="005F515C">
        <w:rPr>
          <w:color w:val="000000"/>
          <w:spacing w:val="-2"/>
          <w:sz w:val="22"/>
          <w:szCs w:val="22"/>
        </w:rPr>
        <w:t xml:space="preserve"> </w:t>
      </w:r>
      <w:r w:rsidR="00145224" w:rsidRPr="005F515C">
        <w:rPr>
          <w:b/>
          <w:color w:val="000000"/>
          <w:spacing w:val="-2"/>
          <w:sz w:val="22"/>
          <w:szCs w:val="22"/>
        </w:rPr>
        <w:t>SHALL PAY</w:t>
      </w:r>
      <w:r w:rsidRPr="005F515C">
        <w:rPr>
          <w:color w:val="000000"/>
          <w:spacing w:val="-2"/>
          <w:sz w:val="22"/>
          <w:szCs w:val="22"/>
        </w:rPr>
        <w:t xml:space="preserve"> the full amount of the proposed forfeiture or </w:t>
      </w:r>
      <w:r w:rsidR="00145224" w:rsidRPr="005F515C">
        <w:rPr>
          <w:b/>
          <w:color w:val="000000"/>
          <w:spacing w:val="-2"/>
          <w:sz w:val="22"/>
          <w:szCs w:val="22"/>
        </w:rPr>
        <w:t>SHALL FILE</w:t>
      </w:r>
      <w:r w:rsidRPr="005F515C">
        <w:rPr>
          <w:color w:val="000000"/>
          <w:spacing w:val="-2"/>
          <w:sz w:val="22"/>
          <w:szCs w:val="22"/>
        </w:rPr>
        <w:t xml:space="preserve"> a written statement seeking reduction or cancellation of the proposed forfeiture.</w:t>
      </w:r>
    </w:p>
    <w:p w:rsidR="00A66F85" w:rsidRPr="005F515C" w:rsidRDefault="00A66F85" w:rsidP="00A66F85">
      <w:pPr>
        <w:widowControl/>
        <w:numPr>
          <w:ilvl w:val="0"/>
          <w:numId w:val="22"/>
        </w:numPr>
        <w:tabs>
          <w:tab w:val="clear" w:pos="1260"/>
          <w:tab w:val="left" w:pos="0"/>
          <w:tab w:val="num" w:pos="1440"/>
        </w:tabs>
        <w:suppressAutoHyphens/>
        <w:spacing w:after="120" w:line="240" w:lineRule="atLeast"/>
        <w:ind w:left="0"/>
        <w:rPr>
          <w:rFonts w:eastAsia="MS Mincho" w:cs="Arial"/>
          <w:color w:val="000000"/>
          <w:sz w:val="22"/>
          <w:szCs w:val="22"/>
        </w:rPr>
      </w:pPr>
      <w:r w:rsidRPr="005F515C">
        <w:rPr>
          <w:rFonts w:eastAsia="MS Mincho" w:cs="Arial"/>
          <w:color w:val="000000"/>
          <w:sz w:val="22"/>
          <w:szCs w:val="22"/>
        </w:rPr>
        <w:t xml:space="preserve">Payment of the forfeiture must be made by check or similar instrument, wire transfer, or credit card, and must include the NAL/Account number and FRN referenced above.  </w:t>
      </w:r>
      <w:r w:rsidR="003A5C36">
        <w:rPr>
          <w:color w:val="000000"/>
          <w:sz w:val="22"/>
          <w:szCs w:val="22"/>
          <w:lang w:bidi="he-IL"/>
        </w:rPr>
        <w:t>K</w:t>
      </w:r>
      <w:r w:rsidR="00694B96">
        <w:rPr>
          <w:color w:val="000000"/>
          <w:sz w:val="22"/>
          <w:szCs w:val="22"/>
          <w:lang w:bidi="he-IL"/>
        </w:rPr>
        <w:t>emp</w:t>
      </w:r>
      <w:r w:rsidR="0095119D" w:rsidRPr="005F515C">
        <w:rPr>
          <w:color w:val="000000"/>
          <w:sz w:val="22"/>
          <w:szCs w:val="22"/>
          <w:lang w:bidi="he-IL"/>
        </w:rPr>
        <w:t xml:space="preserve"> shall also send electronic notification on the date said payment is made to </w:t>
      </w:r>
      <w:r w:rsidR="0095119D" w:rsidRPr="005F515C">
        <w:rPr>
          <w:color w:val="000000"/>
          <w:sz w:val="22"/>
          <w:szCs w:val="22"/>
        </w:rPr>
        <w:t xml:space="preserve">WR-Response@fcc.gov.  </w:t>
      </w:r>
      <w:r w:rsidRPr="005F515C">
        <w:rPr>
          <w:rFonts w:eastAsia="MS Mincho" w:cs="Arial"/>
          <w:color w:val="000000"/>
          <w:sz w:val="22"/>
          <w:szCs w:val="22"/>
        </w:rPr>
        <w:t>Regardless of the form of payment, a completed FCC Form 159 (Remittance Advice) must be submitted.</w:t>
      </w:r>
      <w:r w:rsidRPr="005F515C">
        <w:rPr>
          <w:rStyle w:val="FootnoteReference"/>
          <w:rFonts w:eastAsia="MS Mincho" w:cs="Arial"/>
          <w:color w:val="000000"/>
          <w:sz w:val="22"/>
          <w:szCs w:val="22"/>
        </w:rPr>
        <w:footnoteReference w:id="26"/>
      </w:r>
      <w:r w:rsidRPr="005F515C">
        <w:rPr>
          <w:rFonts w:eastAsia="MS Mincho" w:cs="Arial"/>
          <w:color w:val="000000"/>
          <w:sz w:val="22"/>
          <w:szCs w:val="22"/>
        </w:rPr>
        <w:t xml:space="preserve">  When completing the FCC Form 159, enter the Account Number in block number 23A (call sign/other ID) and enter the letters “FORF” in block number 24A (payment type code).   </w:t>
      </w:r>
      <w:r w:rsidRPr="005F515C">
        <w:rPr>
          <w:color w:val="000000"/>
          <w:sz w:val="22"/>
          <w:szCs w:val="22"/>
        </w:rPr>
        <w:t>Below are additional instructions you should follow based on the form of payment you select:</w:t>
      </w:r>
    </w:p>
    <w:p w:rsidR="00A66F85" w:rsidRPr="005F515C" w:rsidRDefault="00A66F85" w:rsidP="00A66F85">
      <w:pPr>
        <w:pStyle w:val="ParaNum"/>
        <w:numPr>
          <w:ilvl w:val="0"/>
          <w:numId w:val="27"/>
        </w:numPr>
        <w:tabs>
          <w:tab w:val="clear" w:pos="1440"/>
        </w:tabs>
        <w:autoSpaceDE/>
        <w:autoSpaceDN/>
        <w:adjustRightInd/>
        <w:spacing w:after="120"/>
        <w:jc w:val="left"/>
        <w:rPr>
          <w:rFonts w:eastAsia="MS Mincho"/>
          <w:color w:val="000000"/>
          <w:sz w:val="22"/>
          <w:szCs w:val="22"/>
        </w:rPr>
      </w:pPr>
      <w:r w:rsidRPr="005F515C">
        <w:rPr>
          <w:rFonts w:eastAsia="MS Mincho"/>
          <w:color w:val="000000"/>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A66F85" w:rsidRPr="005F515C" w:rsidRDefault="00A66F85" w:rsidP="00A66F85">
      <w:pPr>
        <w:pStyle w:val="ParaNum"/>
        <w:numPr>
          <w:ilvl w:val="0"/>
          <w:numId w:val="27"/>
        </w:numPr>
        <w:tabs>
          <w:tab w:val="clear" w:pos="1440"/>
        </w:tabs>
        <w:autoSpaceDE/>
        <w:autoSpaceDN/>
        <w:adjustRightInd/>
        <w:spacing w:after="120"/>
        <w:jc w:val="left"/>
        <w:rPr>
          <w:rFonts w:eastAsia="MS Mincho"/>
          <w:color w:val="000000"/>
          <w:sz w:val="22"/>
          <w:szCs w:val="22"/>
        </w:rPr>
      </w:pPr>
      <w:r w:rsidRPr="005F515C">
        <w:rPr>
          <w:rFonts w:eastAsia="MS Mincho"/>
          <w:color w:val="000000"/>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5F515C" w:rsidRDefault="00A66F85" w:rsidP="00A66F85">
      <w:pPr>
        <w:pStyle w:val="ParaNum"/>
        <w:numPr>
          <w:ilvl w:val="0"/>
          <w:numId w:val="27"/>
        </w:numPr>
        <w:tabs>
          <w:tab w:val="clear" w:pos="1440"/>
        </w:tabs>
        <w:autoSpaceDE/>
        <w:autoSpaceDN/>
        <w:adjustRightInd/>
        <w:spacing w:after="120"/>
        <w:jc w:val="left"/>
        <w:rPr>
          <w:rFonts w:eastAsia="MS Mincho"/>
          <w:color w:val="000000"/>
          <w:sz w:val="22"/>
          <w:szCs w:val="22"/>
        </w:rPr>
      </w:pPr>
      <w:r w:rsidRPr="005F515C">
        <w:rPr>
          <w:rFonts w:eastAsia="MS Mincho"/>
          <w:color w:val="000000"/>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A66F85" w:rsidRPr="005F515C" w:rsidRDefault="004B28B4" w:rsidP="00392410">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1A0B41">
        <w:rPr>
          <w:rFonts w:eastAsia="MS Mincho"/>
          <w:color w:val="000000"/>
          <w:sz w:val="22"/>
          <w:szCs w:val="22"/>
        </w:rPr>
        <w:t xml:space="preserve">Any request for </w:t>
      </w:r>
      <w:r>
        <w:rPr>
          <w:rFonts w:eastAsia="MS Mincho"/>
          <w:color w:val="000000"/>
          <w:sz w:val="22"/>
          <w:szCs w:val="22"/>
        </w:rPr>
        <w:t xml:space="preserve">making </w:t>
      </w:r>
      <w:r w:rsidRPr="001A0B41">
        <w:rPr>
          <w:rFonts w:eastAsia="MS Mincho"/>
          <w:color w:val="000000"/>
          <w:sz w:val="22"/>
          <w:szCs w:val="22"/>
        </w:rPr>
        <w:t xml:space="preserve">full payment </w:t>
      </w:r>
      <w:r>
        <w:rPr>
          <w:rFonts w:eastAsia="MS Mincho"/>
          <w:color w:val="000000"/>
          <w:sz w:val="22"/>
          <w:szCs w:val="22"/>
        </w:rPr>
        <w:t xml:space="preserve">over time </w:t>
      </w:r>
      <w:r w:rsidRPr="001A0B41">
        <w:rPr>
          <w:rFonts w:eastAsia="MS Mincho" w:cs="Arial"/>
          <w:color w:val="000000"/>
          <w:sz w:val="22"/>
          <w:szCs w:val="22"/>
        </w:rPr>
        <w:t>under</w:t>
      </w:r>
      <w:r w:rsidRPr="001A0B41">
        <w:rPr>
          <w:rFonts w:eastAsia="MS Mincho"/>
          <w:color w:val="000000"/>
          <w:sz w:val="22"/>
          <w:szCs w:val="22"/>
        </w:rPr>
        <w:t xml:space="preserve"> an installment plan should be sent to:  Chief Financial Officer—Financial Operations, </w:t>
      </w:r>
      <w:r w:rsidRPr="001A0B41">
        <w:rPr>
          <w:rFonts w:eastAsia="MS Mincho" w:cs="Arial"/>
          <w:color w:val="000000"/>
          <w:sz w:val="22"/>
          <w:szCs w:val="22"/>
        </w:rPr>
        <w:t>Federal</w:t>
      </w:r>
      <w:r w:rsidRPr="001A0B41">
        <w:rPr>
          <w:rFonts w:eastAsia="MS Mincho"/>
          <w:color w:val="000000"/>
          <w:sz w:val="22"/>
          <w:szCs w:val="22"/>
        </w:rPr>
        <w:t xml:space="preserve"> Communications Commission, 445 12th Street, S.W., Room 1-A625, Washington, D.C.  20554.</w:t>
      </w:r>
      <w:r w:rsidRPr="001A0B41">
        <w:rPr>
          <w:rStyle w:val="FootnoteReference"/>
          <w:rFonts w:eastAsia="MS Mincho"/>
          <w:color w:val="000000"/>
          <w:sz w:val="22"/>
          <w:szCs w:val="22"/>
        </w:rPr>
        <w:footnoteReference w:id="27"/>
      </w:r>
      <w:r w:rsidRPr="001A0B41">
        <w:rPr>
          <w:rFonts w:eastAsia="MS Mincho"/>
          <w:color w:val="000000"/>
          <w:sz w:val="22"/>
          <w:szCs w:val="22"/>
        </w:rPr>
        <w:t>  If you have questions regarding payment procedures, please contact the Financial Operations Group Help Desk by phone, 1-877-480-3201, or by e</w:t>
      </w:r>
      <w:r w:rsidRPr="001A0B41">
        <w:rPr>
          <w:rFonts w:eastAsia="MS Mincho"/>
          <w:color w:val="000000"/>
          <w:sz w:val="22"/>
          <w:szCs w:val="22"/>
        </w:rPr>
        <w:noBreakHyphen/>
        <w:t xml:space="preserve">mail, </w:t>
      </w:r>
      <w:r w:rsidRPr="001A0B41">
        <w:rPr>
          <w:rFonts w:eastAsia="MS Mincho" w:cs="Arial"/>
          <w:color w:val="000000"/>
          <w:sz w:val="22"/>
          <w:szCs w:val="22"/>
        </w:rPr>
        <w:t>ARINQUIRIES@fcc.gov</w:t>
      </w:r>
      <w:r w:rsidRPr="001A0B41">
        <w:rPr>
          <w:rFonts w:eastAsia="MS Mincho"/>
          <w:color w:val="000000"/>
          <w:sz w:val="22"/>
          <w:szCs w:val="22"/>
        </w:rPr>
        <w:t>.</w:t>
      </w:r>
      <w:r w:rsidR="00A66F85" w:rsidRPr="005F515C">
        <w:rPr>
          <w:rFonts w:eastAsia="MS Mincho"/>
          <w:color w:val="000000"/>
          <w:sz w:val="22"/>
          <w:szCs w:val="22"/>
        </w:rPr>
        <w:t xml:space="preserve">   </w:t>
      </w:r>
    </w:p>
    <w:p w:rsidR="00050854" w:rsidRPr="005F515C" w:rsidRDefault="007E2E05" w:rsidP="00392410">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z w:val="22"/>
          <w:szCs w:val="22"/>
        </w:rPr>
        <w:t>The written statement seeking reduction or cancellation of the proposed forfeiture, if any, must include a detailed factual statement supported by appropriate documentat</w:t>
      </w:r>
      <w:r w:rsidR="00D57AE2" w:rsidRPr="005F515C">
        <w:rPr>
          <w:color w:val="000000"/>
          <w:sz w:val="22"/>
          <w:szCs w:val="22"/>
        </w:rPr>
        <w:t>ion and affidavits pursuant to S</w:t>
      </w:r>
      <w:r w:rsidRPr="005F515C">
        <w:rPr>
          <w:color w:val="000000"/>
          <w:sz w:val="22"/>
          <w:szCs w:val="22"/>
        </w:rPr>
        <w:t xml:space="preserve">ections </w:t>
      </w:r>
      <w:r w:rsidR="00F30E61" w:rsidRPr="005F515C">
        <w:rPr>
          <w:color w:val="000000"/>
          <w:sz w:val="22"/>
          <w:szCs w:val="22"/>
        </w:rPr>
        <w:t xml:space="preserve">1.16 and </w:t>
      </w:r>
      <w:r w:rsidRPr="005F515C">
        <w:rPr>
          <w:color w:val="000000"/>
          <w:sz w:val="22"/>
          <w:szCs w:val="22"/>
        </w:rPr>
        <w:t>1.80(f)(3) of the Rules.</w:t>
      </w:r>
      <w:r w:rsidR="003E2AD5" w:rsidRPr="005F515C">
        <w:rPr>
          <w:rStyle w:val="FootnoteReference"/>
          <w:color w:val="000000"/>
          <w:sz w:val="22"/>
          <w:szCs w:val="22"/>
        </w:rPr>
        <w:footnoteReference w:id="28"/>
      </w:r>
      <w:r w:rsidRPr="005F515C">
        <w:rPr>
          <w:color w:val="000000"/>
          <w:sz w:val="22"/>
          <w:szCs w:val="22"/>
        </w:rPr>
        <w:t xml:space="preserve">  Mail the written statement to Federal Communications Commission, Enforcement Bureau,</w:t>
      </w:r>
      <w:r w:rsidR="00050854" w:rsidRPr="005F515C">
        <w:rPr>
          <w:color w:val="000000"/>
          <w:spacing w:val="-2"/>
          <w:sz w:val="22"/>
          <w:szCs w:val="22"/>
        </w:rPr>
        <w:t xml:space="preserve"> </w:t>
      </w:r>
      <w:r w:rsidR="00FA14FA" w:rsidRPr="005F515C">
        <w:rPr>
          <w:color w:val="000000"/>
          <w:spacing w:val="-2"/>
          <w:sz w:val="22"/>
          <w:szCs w:val="22"/>
        </w:rPr>
        <w:t>Western</w:t>
      </w:r>
      <w:r w:rsidR="00EB57F9" w:rsidRPr="005F515C">
        <w:rPr>
          <w:color w:val="000000"/>
          <w:spacing w:val="-2"/>
          <w:sz w:val="22"/>
          <w:szCs w:val="22"/>
        </w:rPr>
        <w:t xml:space="preserve"> </w:t>
      </w:r>
      <w:r w:rsidR="00050854" w:rsidRPr="005F515C">
        <w:rPr>
          <w:color w:val="000000"/>
          <w:spacing w:val="-2"/>
          <w:sz w:val="22"/>
          <w:szCs w:val="22"/>
        </w:rPr>
        <w:t xml:space="preserve">Region, </w:t>
      </w:r>
      <w:r w:rsidR="00694B96">
        <w:rPr>
          <w:color w:val="000000"/>
          <w:spacing w:val="-2"/>
          <w:sz w:val="22"/>
          <w:szCs w:val="22"/>
        </w:rPr>
        <w:t>Los Angeles</w:t>
      </w:r>
      <w:r w:rsidR="00D8508C" w:rsidRPr="005F515C">
        <w:rPr>
          <w:color w:val="000000"/>
          <w:spacing w:val="-2"/>
          <w:sz w:val="22"/>
          <w:szCs w:val="22"/>
        </w:rPr>
        <w:t xml:space="preserve"> Office, </w:t>
      </w:r>
      <w:r w:rsidR="00694B96">
        <w:rPr>
          <w:color w:val="000000"/>
          <w:spacing w:val="-2"/>
          <w:sz w:val="22"/>
          <w:szCs w:val="22"/>
        </w:rPr>
        <w:t xml:space="preserve">18000 Studebaker Road, Suite 660, </w:t>
      </w:r>
      <w:r w:rsidR="00672EE9">
        <w:rPr>
          <w:color w:val="000000"/>
          <w:spacing w:val="-2"/>
          <w:sz w:val="22"/>
          <w:szCs w:val="22"/>
        </w:rPr>
        <w:t xml:space="preserve">Cerritos, </w:t>
      </w:r>
      <w:r w:rsidR="00694B96">
        <w:rPr>
          <w:color w:val="000000"/>
          <w:spacing w:val="-2"/>
          <w:sz w:val="22"/>
          <w:szCs w:val="22"/>
        </w:rPr>
        <w:t>California 90703</w:t>
      </w:r>
      <w:r w:rsidR="00F30E61" w:rsidRPr="005F515C">
        <w:rPr>
          <w:color w:val="000000"/>
          <w:spacing w:val="-2"/>
          <w:sz w:val="22"/>
          <w:szCs w:val="22"/>
        </w:rPr>
        <w:t>,</w:t>
      </w:r>
      <w:r w:rsidR="00050854" w:rsidRPr="005F515C">
        <w:rPr>
          <w:color w:val="000000"/>
          <w:spacing w:val="-2"/>
          <w:sz w:val="22"/>
          <w:szCs w:val="22"/>
        </w:rPr>
        <w:t xml:space="preserve"> and include the NAL/Acct. No. referenced in the caption.</w:t>
      </w:r>
      <w:r w:rsidR="00683F6F" w:rsidRPr="005F515C">
        <w:rPr>
          <w:color w:val="000000"/>
          <w:spacing w:val="-2"/>
          <w:sz w:val="22"/>
          <w:szCs w:val="22"/>
        </w:rPr>
        <w:t xml:space="preserve">  </w:t>
      </w:r>
      <w:r w:rsidR="003A5C36">
        <w:rPr>
          <w:color w:val="000000"/>
          <w:spacing w:val="-2"/>
          <w:sz w:val="22"/>
          <w:szCs w:val="22"/>
        </w:rPr>
        <w:t>K</w:t>
      </w:r>
      <w:r w:rsidR="00694B96">
        <w:rPr>
          <w:color w:val="000000"/>
          <w:spacing w:val="-2"/>
          <w:sz w:val="22"/>
          <w:szCs w:val="22"/>
        </w:rPr>
        <w:t>emp Broadcasting, Inc</w:t>
      </w:r>
      <w:r w:rsidR="00672EE9">
        <w:rPr>
          <w:color w:val="000000"/>
          <w:spacing w:val="-2"/>
          <w:sz w:val="22"/>
          <w:szCs w:val="22"/>
        </w:rPr>
        <w:t>.,</w:t>
      </w:r>
      <w:r w:rsidR="00694B96">
        <w:rPr>
          <w:color w:val="000000"/>
          <w:spacing w:val="-2"/>
          <w:sz w:val="22"/>
          <w:szCs w:val="22"/>
        </w:rPr>
        <w:t xml:space="preserve"> </w:t>
      </w:r>
      <w:r w:rsidR="005F67D7" w:rsidRPr="005F515C">
        <w:rPr>
          <w:color w:val="000000"/>
          <w:spacing w:val="-2"/>
          <w:sz w:val="22"/>
          <w:szCs w:val="22"/>
        </w:rPr>
        <w:t xml:space="preserve">also </w:t>
      </w:r>
      <w:r w:rsidR="00683F6F" w:rsidRPr="005F515C">
        <w:rPr>
          <w:color w:val="000000"/>
          <w:spacing w:val="-2"/>
          <w:sz w:val="22"/>
          <w:szCs w:val="22"/>
        </w:rPr>
        <w:t>shall e</w:t>
      </w:r>
      <w:r w:rsidR="00C009F7" w:rsidRPr="005F515C">
        <w:rPr>
          <w:color w:val="000000"/>
          <w:spacing w:val="-2"/>
          <w:sz w:val="22"/>
          <w:szCs w:val="22"/>
        </w:rPr>
        <w:t>-</w:t>
      </w:r>
      <w:r w:rsidR="00683F6F" w:rsidRPr="005F515C">
        <w:rPr>
          <w:color w:val="000000"/>
          <w:spacing w:val="-2"/>
          <w:sz w:val="22"/>
          <w:szCs w:val="22"/>
        </w:rPr>
        <w:t>mail the written response to</w:t>
      </w:r>
      <w:r w:rsidR="00FA14FA" w:rsidRPr="005F515C">
        <w:rPr>
          <w:color w:val="000000"/>
          <w:spacing w:val="-2"/>
          <w:sz w:val="22"/>
          <w:szCs w:val="22"/>
        </w:rPr>
        <w:t xml:space="preserve"> </w:t>
      </w:r>
      <w:r w:rsidR="00683F6F" w:rsidRPr="005F515C">
        <w:rPr>
          <w:color w:val="000000"/>
          <w:sz w:val="22"/>
          <w:szCs w:val="22"/>
        </w:rPr>
        <w:t>WR-Response@fcc.gov.</w:t>
      </w:r>
    </w:p>
    <w:p w:rsidR="00F44481" w:rsidRPr="005F515C" w:rsidRDefault="00050854" w:rsidP="005F515C">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color w:val="000000"/>
          <w:spacing w:val="-2"/>
          <w:sz w:val="22"/>
          <w:szCs w:val="22"/>
        </w:rPr>
        <w:t xml:space="preserve">The Commission will not consider reducing or canceling a forfeiture in response to a claim of inability to pay unless the petitioner submits: </w:t>
      </w:r>
      <w:r w:rsidR="00F30E61" w:rsidRPr="005F515C">
        <w:rPr>
          <w:color w:val="000000"/>
          <w:spacing w:val="-2"/>
          <w:sz w:val="22"/>
          <w:szCs w:val="22"/>
        </w:rPr>
        <w:t xml:space="preserve"> </w:t>
      </w:r>
      <w:r w:rsidRPr="005F515C">
        <w:rPr>
          <w:color w:val="000000"/>
          <w:spacing w:val="-2"/>
          <w:sz w:val="22"/>
          <w:szCs w:val="22"/>
        </w:rPr>
        <w:t>(1) federal tax returns for the most recent three-year period; (2) financial statements prepared according to generally accepted accounting practices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050854" w:rsidRPr="005F515C" w:rsidRDefault="00050854" w:rsidP="008C26F7">
      <w:pPr>
        <w:widowControl/>
        <w:numPr>
          <w:ilvl w:val="0"/>
          <w:numId w:val="22"/>
        </w:numPr>
        <w:tabs>
          <w:tab w:val="clear" w:pos="1260"/>
          <w:tab w:val="left" w:pos="0"/>
          <w:tab w:val="num" w:pos="1440"/>
        </w:tabs>
        <w:suppressAutoHyphens/>
        <w:spacing w:after="120" w:line="240" w:lineRule="atLeast"/>
        <w:ind w:left="0"/>
        <w:rPr>
          <w:color w:val="000000"/>
          <w:spacing w:val="-2"/>
          <w:sz w:val="22"/>
          <w:szCs w:val="22"/>
        </w:rPr>
      </w:pPr>
      <w:r w:rsidRPr="005F515C">
        <w:rPr>
          <w:b/>
          <w:color w:val="000000"/>
          <w:spacing w:val="-2"/>
          <w:sz w:val="22"/>
          <w:szCs w:val="22"/>
        </w:rPr>
        <w:t>IT IS FURTHER ORDERED</w:t>
      </w:r>
      <w:r w:rsidRPr="005F515C">
        <w:rPr>
          <w:color w:val="000000"/>
          <w:spacing w:val="-2"/>
          <w:sz w:val="22"/>
          <w:szCs w:val="22"/>
        </w:rPr>
        <w:t xml:space="preserve"> </w:t>
      </w:r>
      <w:r w:rsidR="003F3CFD" w:rsidRPr="005F515C">
        <w:rPr>
          <w:color w:val="000000"/>
          <w:spacing w:val="-2"/>
          <w:sz w:val="22"/>
          <w:szCs w:val="22"/>
        </w:rPr>
        <w:t>that</w:t>
      </w:r>
      <w:r w:rsidRPr="005F515C">
        <w:rPr>
          <w:color w:val="000000"/>
          <w:spacing w:val="-2"/>
          <w:sz w:val="22"/>
          <w:szCs w:val="22"/>
        </w:rPr>
        <w:t xml:space="preserve"> a copy of this Notice of Apparent Liability for Forfeiture </w:t>
      </w:r>
      <w:r w:rsidR="00672EE9">
        <w:rPr>
          <w:color w:val="000000"/>
          <w:spacing w:val="-2"/>
          <w:sz w:val="22"/>
          <w:szCs w:val="22"/>
        </w:rPr>
        <w:t xml:space="preserve">and Order </w:t>
      </w:r>
      <w:r w:rsidRPr="005F515C">
        <w:rPr>
          <w:color w:val="000000"/>
          <w:spacing w:val="-2"/>
          <w:sz w:val="22"/>
          <w:szCs w:val="22"/>
        </w:rPr>
        <w:t xml:space="preserve">shall be sent by </w:t>
      </w:r>
      <w:r w:rsidR="00683F6F" w:rsidRPr="005F515C">
        <w:rPr>
          <w:color w:val="000000"/>
          <w:spacing w:val="-2"/>
          <w:sz w:val="22"/>
          <w:szCs w:val="22"/>
        </w:rPr>
        <w:t xml:space="preserve">both </w:t>
      </w:r>
      <w:r w:rsidRPr="005F515C">
        <w:rPr>
          <w:color w:val="000000"/>
          <w:spacing w:val="-2"/>
          <w:sz w:val="22"/>
          <w:szCs w:val="22"/>
        </w:rPr>
        <w:t xml:space="preserve">Certified Mail, Return Receipt Requested, and </w:t>
      </w:r>
      <w:r w:rsidR="008C26F7" w:rsidRPr="005F515C">
        <w:rPr>
          <w:color w:val="000000"/>
          <w:spacing w:val="-2"/>
          <w:sz w:val="22"/>
          <w:szCs w:val="22"/>
        </w:rPr>
        <w:t xml:space="preserve">first class </w:t>
      </w:r>
      <w:r w:rsidRPr="005F515C">
        <w:rPr>
          <w:color w:val="000000"/>
          <w:spacing w:val="-2"/>
          <w:sz w:val="22"/>
          <w:szCs w:val="22"/>
        </w:rPr>
        <w:t xml:space="preserve">mail to </w:t>
      </w:r>
      <w:r w:rsidR="003A5C36">
        <w:rPr>
          <w:color w:val="000000"/>
          <w:spacing w:val="-2"/>
          <w:sz w:val="22"/>
          <w:szCs w:val="22"/>
        </w:rPr>
        <w:t>Kemp Broadcasting, Inc</w:t>
      </w:r>
      <w:r w:rsidR="00672EE9">
        <w:rPr>
          <w:color w:val="000000"/>
          <w:spacing w:val="-2"/>
          <w:sz w:val="22"/>
          <w:szCs w:val="22"/>
        </w:rPr>
        <w:t>.</w:t>
      </w:r>
      <w:r w:rsidR="00D43F13">
        <w:rPr>
          <w:color w:val="000000"/>
          <w:spacing w:val="-2"/>
          <w:sz w:val="22"/>
          <w:szCs w:val="22"/>
        </w:rPr>
        <w:t>,</w:t>
      </w:r>
      <w:r w:rsidR="000A0EEE" w:rsidRPr="005F515C">
        <w:rPr>
          <w:color w:val="000000"/>
          <w:spacing w:val="-2"/>
          <w:sz w:val="22"/>
          <w:szCs w:val="22"/>
        </w:rPr>
        <w:t xml:space="preserve"> </w:t>
      </w:r>
      <w:r w:rsidR="00EB44D9">
        <w:rPr>
          <w:color w:val="000000"/>
          <w:spacing w:val="-2"/>
          <w:sz w:val="22"/>
          <w:szCs w:val="22"/>
        </w:rPr>
        <w:t>at 3800 Howard Hughes Parkway, 17</w:t>
      </w:r>
      <w:r w:rsidR="00EB44D9" w:rsidRPr="00EB44D9">
        <w:rPr>
          <w:color w:val="000000"/>
          <w:spacing w:val="-2"/>
          <w:sz w:val="22"/>
          <w:szCs w:val="22"/>
          <w:vertAlign w:val="superscript"/>
        </w:rPr>
        <w:t>th</w:t>
      </w:r>
      <w:r w:rsidR="00EB44D9">
        <w:rPr>
          <w:color w:val="000000"/>
          <w:spacing w:val="-2"/>
          <w:sz w:val="22"/>
          <w:szCs w:val="22"/>
        </w:rPr>
        <w:t xml:space="preserve"> Floor, Las Vegas, NV 89169</w:t>
      </w:r>
      <w:r w:rsidR="00AA708E" w:rsidRPr="005F515C">
        <w:rPr>
          <w:color w:val="000000"/>
          <w:spacing w:val="-2"/>
          <w:sz w:val="22"/>
          <w:szCs w:val="22"/>
        </w:rPr>
        <w:t>.</w:t>
      </w:r>
    </w:p>
    <w:p w:rsidR="00331410" w:rsidRPr="005F515C" w:rsidRDefault="00331410" w:rsidP="00BF1922">
      <w:pPr>
        <w:widowControl/>
        <w:tabs>
          <w:tab w:val="left" w:pos="0"/>
        </w:tabs>
        <w:suppressAutoHyphens/>
        <w:spacing w:line="240" w:lineRule="atLeast"/>
        <w:rPr>
          <w:color w:val="000000"/>
          <w:spacing w:val="-2"/>
          <w:sz w:val="22"/>
          <w:szCs w:val="22"/>
        </w:rPr>
      </w:pP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5F515C" w:rsidRDefault="00331410" w:rsidP="00BF1922">
      <w:pPr>
        <w:widowControl/>
        <w:tabs>
          <w:tab w:val="left" w:pos="0"/>
          <w:tab w:val="num" w:pos="1440"/>
        </w:tabs>
        <w:suppressAutoHyphens/>
        <w:spacing w:line="240" w:lineRule="atLeast"/>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00050854" w:rsidRPr="005F515C">
        <w:rPr>
          <w:color w:val="000000"/>
          <w:spacing w:val="-2"/>
          <w:sz w:val="22"/>
          <w:szCs w:val="22"/>
        </w:rPr>
        <w:t>FEDERAL COMMUNICATIONS COMMISSION</w:t>
      </w: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p>
    <w:p w:rsidR="00331410" w:rsidRPr="005F515C" w:rsidRDefault="00050854" w:rsidP="00BF1922">
      <w:pPr>
        <w:widowControl/>
        <w:tabs>
          <w:tab w:val="left" w:pos="0"/>
          <w:tab w:val="num" w:pos="1440"/>
        </w:tabs>
        <w:suppressAutoHyphens/>
        <w:spacing w:line="240" w:lineRule="atLeast"/>
        <w:jc w:val="both"/>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p>
    <w:p w:rsidR="00AA708E" w:rsidRPr="005F515C" w:rsidRDefault="00331410" w:rsidP="00BF1922">
      <w:pPr>
        <w:widowControl/>
        <w:tabs>
          <w:tab w:val="left" w:pos="0"/>
          <w:tab w:val="num" w:pos="1440"/>
        </w:tabs>
        <w:suppressAutoHyphens/>
        <w:spacing w:line="240" w:lineRule="atLeast"/>
        <w:jc w:val="both"/>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00050854" w:rsidRPr="005F515C">
        <w:rPr>
          <w:color w:val="000000"/>
          <w:spacing w:val="-2"/>
          <w:sz w:val="22"/>
          <w:szCs w:val="22"/>
        </w:rPr>
        <w:tab/>
      </w:r>
      <w:r w:rsidR="00EB44D9">
        <w:rPr>
          <w:color w:val="000000"/>
          <w:spacing w:val="-2"/>
          <w:sz w:val="22"/>
          <w:szCs w:val="22"/>
        </w:rPr>
        <w:t>Charles A. Cooper</w:t>
      </w: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00331410" w:rsidRPr="005F515C">
        <w:rPr>
          <w:color w:val="000000"/>
          <w:spacing w:val="-2"/>
          <w:sz w:val="22"/>
          <w:szCs w:val="22"/>
        </w:rPr>
        <w:tab/>
      </w:r>
      <w:r w:rsidR="00EB44D9">
        <w:rPr>
          <w:color w:val="000000"/>
          <w:spacing w:val="-2"/>
          <w:sz w:val="22"/>
          <w:szCs w:val="22"/>
        </w:rPr>
        <w:t>District Director</w:t>
      </w:r>
      <w:r w:rsidRPr="005F515C">
        <w:rPr>
          <w:color w:val="000000"/>
          <w:spacing w:val="-2"/>
          <w:sz w:val="22"/>
          <w:szCs w:val="22"/>
        </w:rPr>
        <w:t xml:space="preserve"> </w:t>
      </w:r>
    </w:p>
    <w:p w:rsidR="00050854" w:rsidRPr="005F515C" w:rsidRDefault="00050854" w:rsidP="00BF1922">
      <w:pPr>
        <w:widowControl/>
        <w:tabs>
          <w:tab w:val="left" w:pos="0"/>
          <w:tab w:val="num" w:pos="1440"/>
        </w:tabs>
        <w:suppressAutoHyphens/>
        <w:spacing w:line="240" w:lineRule="atLeast"/>
        <w:jc w:val="both"/>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00EB44D9">
        <w:rPr>
          <w:color w:val="000000"/>
          <w:spacing w:val="-2"/>
          <w:sz w:val="22"/>
          <w:szCs w:val="22"/>
        </w:rPr>
        <w:t>Los Angeles</w:t>
      </w:r>
      <w:r w:rsidR="00AA708E" w:rsidRPr="005F515C">
        <w:rPr>
          <w:color w:val="000000"/>
          <w:spacing w:val="-2"/>
          <w:sz w:val="22"/>
          <w:szCs w:val="22"/>
        </w:rPr>
        <w:t xml:space="preserve"> Office</w:t>
      </w:r>
    </w:p>
    <w:p w:rsidR="00050854" w:rsidRPr="005F515C" w:rsidRDefault="000A0EEE" w:rsidP="00BF1922">
      <w:pPr>
        <w:widowControl/>
        <w:tabs>
          <w:tab w:val="left" w:pos="0"/>
          <w:tab w:val="num" w:pos="1440"/>
        </w:tabs>
        <w:suppressAutoHyphens/>
        <w:spacing w:line="240" w:lineRule="atLeast"/>
        <w:jc w:val="both"/>
        <w:rPr>
          <w:color w:val="000000"/>
          <w:spacing w:val="-2"/>
          <w:sz w:val="22"/>
          <w:szCs w:val="22"/>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00FA14FA" w:rsidRPr="005F515C">
        <w:rPr>
          <w:color w:val="000000"/>
          <w:spacing w:val="-2"/>
          <w:sz w:val="22"/>
          <w:szCs w:val="22"/>
        </w:rPr>
        <w:t xml:space="preserve">Western </w:t>
      </w:r>
      <w:r w:rsidR="00050854" w:rsidRPr="005F515C">
        <w:rPr>
          <w:color w:val="000000"/>
          <w:spacing w:val="-2"/>
          <w:sz w:val="22"/>
          <w:szCs w:val="22"/>
        </w:rPr>
        <w:t>Region</w:t>
      </w:r>
    </w:p>
    <w:p w:rsidR="009F6C24" w:rsidRPr="005F515C" w:rsidRDefault="00050854" w:rsidP="004B28B4">
      <w:pPr>
        <w:widowControl/>
        <w:tabs>
          <w:tab w:val="num" w:pos="1440"/>
        </w:tabs>
        <w:jc w:val="both"/>
        <w:rPr>
          <w:color w:val="000000"/>
        </w:rPr>
      </w:pP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r>
      <w:r w:rsidRPr="005F515C">
        <w:rPr>
          <w:color w:val="000000"/>
          <w:spacing w:val="-2"/>
          <w:sz w:val="22"/>
          <w:szCs w:val="22"/>
        </w:rPr>
        <w:tab/>
        <w:t>Enforcement Bureau</w:t>
      </w:r>
    </w:p>
    <w:sectPr w:rsidR="009F6C24" w:rsidRPr="005F515C"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64" w:rsidRDefault="00D43D64">
      <w:r>
        <w:separator/>
      </w:r>
    </w:p>
  </w:endnote>
  <w:endnote w:type="continuationSeparator" w:id="0">
    <w:p w:rsidR="00D43D64" w:rsidRDefault="00D4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51" w:rsidRDefault="0090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8A" w:rsidRDefault="009F268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3641">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51" w:rsidRDefault="0090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64" w:rsidRDefault="00D43D64">
      <w:r>
        <w:separator/>
      </w:r>
    </w:p>
  </w:footnote>
  <w:footnote w:type="continuationSeparator" w:id="0">
    <w:p w:rsidR="00D43D64" w:rsidRDefault="00D43D64">
      <w:r>
        <w:separator/>
      </w:r>
    </w:p>
    <w:p w:rsidR="00D43D64" w:rsidRDefault="00D43D64">
      <w:r>
        <w:t>(...continued from previous page)</w:t>
      </w:r>
    </w:p>
  </w:footnote>
  <w:footnote w:type="continuationNotice" w:id="1">
    <w:p w:rsidR="00D43D64" w:rsidRDefault="00D43D64">
      <w:pPr>
        <w:jc w:val="right"/>
      </w:pPr>
      <w:r>
        <w:t>(continued....)</w:t>
      </w:r>
    </w:p>
  </w:footnote>
  <w:footnote w:id="2">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U.S.C. § 303(q).</w:t>
      </w:r>
    </w:p>
  </w:footnote>
  <w:footnote w:id="3">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C.F.R. §</w:t>
      </w:r>
      <w:r w:rsidR="007210B3" w:rsidRPr="007210B3">
        <w:rPr>
          <w:color w:val="000000"/>
        </w:rPr>
        <w:t>§</w:t>
      </w:r>
      <w:r w:rsidRPr="005F515C">
        <w:rPr>
          <w:color w:val="000000"/>
        </w:rPr>
        <w:t xml:space="preserve"> 17.47</w:t>
      </w:r>
      <w:r>
        <w:rPr>
          <w:color w:val="000000"/>
        </w:rPr>
        <w:t>(a)</w:t>
      </w:r>
      <w:r w:rsidRPr="005F515C">
        <w:rPr>
          <w:color w:val="000000"/>
        </w:rPr>
        <w:t xml:space="preserve">, </w:t>
      </w:r>
      <w:r>
        <w:rPr>
          <w:color w:val="000000"/>
        </w:rPr>
        <w:t xml:space="preserve">17.48(a), </w:t>
      </w:r>
      <w:r w:rsidRPr="005F515C">
        <w:rPr>
          <w:color w:val="000000"/>
        </w:rPr>
        <w:t>17.51(b).</w:t>
      </w:r>
    </w:p>
  </w:footnote>
  <w:footnote w:id="4">
    <w:p w:rsidR="009F268A" w:rsidRPr="005F515C" w:rsidRDefault="009F268A" w:rsidP="00594F29">
      <w:pPr>
        <w:pStyle w:val="ParaNum"/>
        <w:numPr>
          <w:ilvl w:val="0"/>
          <w:numId w:val="0"/>
        </w:numPr>
        <w:spacing w:after="120"/>
        <w:jc w:val="left"/>
      </w:pPr>
      <w:r w:rsidRPr="005F515C">
        <w:rPr>
          <w:rStyle w:val="FootnoteReference"/>
          <w:color w:val="000000"/>
        </w:rPr>
        <w:footnoteRef/>
      </w:r>
      <w:r w:rsidRPr="005F515C">
        <w:t xml:space="preserve"> </w:t>
      </w:r>
      <w:r w:rsidRPr="00380C91">
        <w:rPr>
          <w:rStyle w:val="FootnoteTextChar2"/>
          <w:i/>
        </w:rPr>
        <w:t>See</w:t>
      </w:r>
      <w:r>
        <w:rPr>
          <w:rStyle w:val="FootnoteTextChar2"/>
        </w:rPr>
        <w:t xml:space="preserve"> </w:t>
      </w:r>
      <w:r w:rsidRPr="00380C91">
        <w:rPr>
          <w:rStyle w:val="FootnoteTextChar2"/>
        </w:rPr>
        <w:t>Antenna Structure Registration (ASR) database for antenna structure number 1061958.</w:t>
      </w:r>
      <w:r w:rsidR="00076610">
        <w:rPr>
          <w:rStyle w:val="FootnoteTextChar2"/>
        </w:rPr>
        <w:t xml:space="preserve">  The FAA Study (19</w:t>
      </w:r>
      <w:r w:rsidR="00076610" w:rsidRPr="00076610">
        <w:rPr>
          <w:rStyle w:val="FootnoteTextChar2"/>
        </w:rPr>
        <w:t>98-AWP-1961-OE</w:t>
      </w:r>
      <w:r w:rsidR="00076610">
        <w:rPr>
          <w:rStyle w:val="FootnoteTextChar2"/>
        </w:rPr>
        <w:t>) listed on the Antenna Structure’s ASR does not list any painting an</w:t>
      </w:r>
      <w:r w:rsidR="00594F29">
        <w:rPr>
          <w:rStyle w:val="FootnoteTextChar2"/>
        </w:rPr>
        <w:t>d</w:t>
      </w:r>
      <w:r w:rsidR="00076610">
        <w:rPr>
          <w:rStyle w:val="FootnoteTextChar2"/>
        </w:rPr>
        <w:t xml:space="preserve"> lighting requirements, consequently, the</w:t>
      </w:r>
      <w:r w:rsidR="00CB13E7">
        <w:rPr>
          <w:rStyle w:val="FootnoteTextChar2"/>
        </w:rPr>
        <w:t xml:space="preserve"> FCC assigned </w:t>
      </w:r>
      <w:r w:rsidR="00076610">
        <w:rPr>
          <w:rStyle w:val="FootnoteTextChar2"/>
        </w:rPr>
        <w:t xml:space="preserve">Chapters </w:t>
      </w:r>
      <w:r w:rsidR="00CB13E7">
        <w:rPr>
          <w:rStyle w:val="FootnoteTextChar2"/>
        </w:rPr>
        <w:t>3, 4, 8 and 13</w:t>
      </w:r>
      <w:r w:rsidR="00076610">
        <w:rPr>
          <w:rStyle w:val="FootnoteTextChar2"/>
        </w:rPr>
        <w:t xml:space="preserve"> of </w:t>
      </w:r>
      <w:r w:rsidR="00076610" w:rsidRPr="00076610">
        <w:rPr>
          <w:rStyle w:val="FootnoteTextChar2"/>
        </w:rPr>
        <w:t>FAA Circular Number 70/7460-1J</w:t>
      </w:r>
      <w:r w:rsidR="00076610">
        <w:rPr>
          <w:rStyle w:val="FootnoteTextChar2"/>
        </w:rPr>
        <w:t xml:space="preserve"> to the </w:t>
      </w:r>
      <w:r w:rsidR="00594F29">
        <w:rPr>
          <w:rStyle w:val="FootnoteTextChar2"/>
        </w:rPr>
        <w:t xml:space="preserve">Antenna </w:t>
      </w:r>
      <w:r w:rsidR="00076610">
        <w:rPr>
          <w:rStyle w:val="FootnoteTextChar2"/>
        </w:rPr>
        <w:t>Structure</w:t>
      </w:r>
      <w:r w:rsidR="00CB13E7" w:rsidRPr="00CB13E7">
        <w:t xml:space="preserve">. </w:t>
      </w:r>
      <w:r w:rsidR="00076610">
        <w:t xml:space="preserve"> Chapter 3 requires painting, Chapter 4 requires red lights</w:t>
      </w:r>
      <w:r w:rsidR="007210B3">
        <w:t>,</w:t>
      </w:r>
      <w:r w:rsidR="00076610">
        <w:t xml:space="preserve"> and Chapter 8 requires dual lighting with m</w:t>
      </w:r>
      <w:r w:rsidR="00594F29">
        <w:t xml:space="preserve">edium </w:t>
      </w:r>
      <w:r w:rsidR="00076610">
        <w:t>intensity red lighting at nighttime and m</w:t>
      </w:r>
      <w:r w:rsidR="00594F29">
        <w:t xml:space="preserve">edium </w:t>
      </w:r>
      <w:r w:rsidR="00076610">
        <w:t xml:space="preserve">intensity white lighting for daytime and twilight.  We note that a subsequent FAA Study </w:t>
      </w:r>
      <w:r w:rsidR="00076610" w:rsidRPr="00076610">
        <w:t xml:space="preserve">(2001-AWP-485-OE) </w:t>
      </w:r>
      <w:r w:rsidR="00076610">
        <w:t xml:space="preserve">was issued for </w:t>
      </w:r>
      <w:r w:rsidR="007210B3">
        <w:t>the Antenna s</w:t>
      </w:r>
      <w:r w:rsidR="00076610">
        <w:t>tructure</w:t>
      </w:r>
      <w:r w:rsidR="00594F29">
        <w:t xml:space="preserve">. </w:t>
      </w:r>
      <w:r w:rsidR="00076610">
        <w:t xml:space="preserve"> </w:t>
      </w:r>
      <w:r w:rsidR="00594F29" w:rsidRPr="00594F29">
        <w:t>Th</w:t>
      </w:r>
      <w:r w:rsidR="00594F29">
        <w:t>is study</w:t>
      </w:r>
      <w:r w:rsidR="00594F29" w:rsidRPr="00594F29">
        <w:t xml:space="preserve"> requir</w:t>
      </w:r>
      <w:r w:rsidR="00594F29">
        <w:t xml:space="preserve">es </w:t>
      </w:r>
      <w:r w:rsidR="00594F29" w:rsidRPr="00594F29">
        <w:t xml:space="preserve">“Dual-red and high intensity white” </w:t>
      </w:r>
      <w:r w:rsidR="007210B3">
        <w:t xml:space="preserve">lighting </w:t>
      </w:r>
      <w:r w:rsidR="00594F29">
        <w:t xml:space="preserve">but does </w:t>
      </w:r>
      <w:r w:rsidR="00594F29" w:rsidRPr="00594F29">
        <w:t>not require the structure to be painted.  See also 47 C.F.R. § 17.23 (antenna structures requiring notice to the Federal Aviation Administration (FAA) must comply with the FAA’s painting a</w:t>
      </w:r>
      <w:r w:rsidR="00594F29">
        <w:t xml:space="preserve">nd lighting recommendations).  </w:t>
      </w:r>
      <w:r w:rsidR="00C428B3">
        <w:t>We note that Kemp has failed to update the ASR for the Antenna Structure with the most recent FAA Study.</w:t>
      </w:r>
    </w:p>
  </w:footnote>
  <w:footnote w:id="5">
    <w:p w:rsidR="009F268A" w:rsidRPr="005F515C" w:rsidRDefault="009F268A" w:rsidP="00C3548A">
      <w:pPr>
        <w:pStyle w:val="FootnoteText"/>
        <w:widowControl/>
        <w:jc w:val="left"/>
        <w:rPr>
          <w:color w:val="000000"/>
        </w:rPr>
      </w:pPr>
      <w:r w:rsidRPr="005F515C">
        <w:rPr>
          <w:rStyle w:val="FootnoteReference"/>
          <w:color w:val="000000"/>
        </w:rPr>
        <w:footnoteRef/>
      </w:r>
      <w:r w:rsidRPr="005F515C">
        <w:rPr>
          <w:color w:val="000000"/>
        </w:rPr>
        <w:t xml:space="preserve"> </w:t>
      </w:r>
      <w:r w:rsidRPr="005F515C">
        <w:rPr>
          <w:i/>
          <w:color w:val="000000"/>
        </w:rPr>
        <w:t xml:space="preserve">See </w:t>
      </w:r>
      <w:r w:rsidRPr="005F515C">
        <w:rPr>
          <w:color w:val="000000"/>
        </w:rPr>
        <w:t>47 C.F.R. § 17.48 (requiring antenna structure owners to notify the FAA immediately of any known outages of tower lighting lasting more than 30 minutes).  The agent informed the FAA of the lighting outage</w:t>
      </w:r>
      <w:r>
        <w:rPr>
          <w:color w:val="000000"/>
        </w:rPr>
        <w:t>s</w:t>
      </w:r>
      <w:r w:rsidRPr="005F515C">
        <w:rPr>
          <w:color w:val="000000"/>
        </w:rPr>
        <w:t xml:space="preserve"> and the FAA issued a NOTAM for the Antenna Structure on </w:t>
      </w:r>
      <w:r>
        <w:rPr>
          <w:color w:val="000000"/>
        </w:rPr>
        <w:t>April 17,</w:t>
      </w:r>
      <w:r w:rsidRPr="005F515C">
        <w:rPr>
          <w:color w:val="000000"/>
        </w:rPr>
        <w:t xml:space="preserve"> 201</w:t>
      </w:r>
      <w:r>
        <w:rPr>
          <w:color w:val="000000"/>
        </w:rPr>
        <w:t>3</w:t>
      </w:r>
      <w:r w:rsidRPr="005F515C">
        <w:rPr>
          <w:color w:val="000000"/>
        </w:rPr>
        <w:t>.</w:t>
      </w:r>
    </w:p>
  </w:footnote>
  <w:footnote w:id="6">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w:t>
      </w:r>
      <w:r w:rsidRPr="005F515C">
        <w:rPr>
          <w:i/>
          <w:color w:val="000000"/>
        </w:rPr>
        <w:t>See</w:t>
      </w:r>
      <w:r w:rsidRPr="005F515C">
        <w:rPr>
          <w:color w:val="000000"/>
        </w:rPr>
        <w:t xml:space="preserve"> </w:t>
      </w:r>
      <w:r>
        <w:rPr>
          <w:i/>
          <w:color w:val="000000"/>
        </w:rPr>
        <w:t>Kemp Broadcasting, Inc</w:t>
      </w:r>
      <w:r w:rsidR="00172EF9">
        <w:rPr>
          <w:i/>
          <w:color w:val="000000"/>
        </w:rPr>
        <w:t>.</w:t>
      </w:r>
      <w:r>
        <w:rPr>
          <w:i/>
          <w:color w:val="000000"/>
        </w:rPr>
        <w:t xml:space="preserve">, </w:t>
      </w:r>
      <w:r w:rsidRPr="005F515C">
        <w:rPr>
          <w:color w:val="000000"/>
        </w:rPr>
        <w:t>Notice of Violation, V201332</w:t>
      </w:r>
      <w:r>
        <w:rPr>
          <w:color w:val="000000"/>
        </w:rPr>
        <w:t>900025</w:t>
      </w:r>
      <w:r w:rsidRPr="005F515C">
        <w:rPr>
          <w:color w:val="000000"/>
        </w:rPr>
        <w:t xml:space="preserve"> (</w:t>
      </w:r>
      <w:r>
        <w:rPr>
          <w:color w:val="000000"/>
        </w:rPr>
        <w:t>May 16</w:t>
      </w:r>
      <w:r w:rsidRPr="005F515C">
        <w:rPr>
          <w:color w:val="000000"/>
        </w:rPr>
        <w:t>, 201</w:t>
      </w:r>
      <w:r>
        <w:rPr>
          <w:color w:val="000000"/>
        </w:rPr>
        <w:t>3</w:t>
      </w:r>
      <w:r w:rsidRPr="005F515C">
        <w:rPr>
          <w:color w:val="000000"/>
        </w:rPr>
        <w:t>).</w:t>
      </w:r>
    </w:p>
  </w:footnote>
  <w:footnote w:id="7">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w:t>
      </w:r>
      <w:r w:rsidRPr="005F515C">
        <w:rPr>
          <w:i/>
          <w:color w:val="000000"/>
        </w:rPr>
        <w:t>S</w:t>
      </w:r>
      <w:r w:rsidRPr="005F515C">
        <w:rPr>
          <w:i/>
          <w:iCs/>
          <w:color w:val="000000"/>
        </w:rPr>
        <w:t>ee</w:t>
      </w:r>
      <w:r w:rsidRPr="005F515C">
        <w:rPr>
          <w:i/>
          <w:color w:val="000000"/>
        </w:rPr>
        <w:t xml:space="preserve"> </w:t>
      </w:r>
      <w:r w:rsidRPr="005F515C">
        <w:rPr>
          <w:color w:val="000000"/>
        </w:rPr>
        <w:t xml:space="preserve">Response to Notice of Violation of </w:t>
      </w:r>
      <w:r>
        <w:rPr>
          <w:color w:val="000000"/>
        </w:rPr>
        <w:t>Kemp Broadcasting, Inc</w:t>
      </w:r>
      <w:r w:rsidRPr="005F515C">
        <w:rPr>
          <w:color w:val="000000"/>
        </w:rPr>
        <w:t>, (</w:t>
      </w:r>
      <w:r>
        <w:rPr>
          <w:color w:val="000000"/>
        </w:rPr>
        <w:t>June 14, 2013</w:t>
      </w:r>
      <w:r w:rsidRPr="005F515C">
        <w:rPr>
          <w:color w:val="000000"/>
        </w:rPr>
        <w:t>)</w:t>
      </w:r>
      <w:r>
        <w:rPr>
          <w:color w:val="000000"/>
        </w:rPr>
        <w:t xml:space="preserve"> </w:t>
      </w:r>
      <w:r w:rsidRPr="005F515C">
        <w:rPr>
          <w:color w:val="000000"/>
        </w:rPr>
        <w:t>(on file in EB-FIELDWR-1</w:t>
      </w:r>
      <w:r>
        <w:rPr>
          <w:color w:val="000000"/>
        </w:rPr>
        <w:t>3</w:t>
      </w:r>
      <w:r w:rsidRPr="005F515C">
        <w:rPr>
          <w:color w:val="000000"/>
        </w:rPr>
        <w:t>-0000</w:t>
      </w:r>
      <w:r>
        <w:rPr>
          <w:color w:val="000000"/>
        </w:rPr>
        <w:t>8283</w:t>
      </w:r>
      <w:r w:rsidRPr="005F515C">
        <w:rPr>
          <w:color w:val="000000"/>
        </w:rPr>
        <w:t>) (NOV Response).</w:t>
      </w:r>
      <w:r w:rsidRPr="005F515C">
        <w:rPr>
          <w:i/>
          <w:color w:val="000000"/>
        </w:rPr>
        <w:t xml:space="preserve"> </w:t>
      </w:r>
      <w:r w:rsidRPr="005F515C">
        <w:rPr>
          <w:color w:val="000000"/>
        </w:rPr>
        <w:t xml:space="preserve"> </w:t>
      </w:r>
    </w:p>
  </w:footnote>
  <w:footnote w:id="8">
    <w:p w:rsidR="005F48BD" w:rsidRDefault="005F48BD">
      <w:pPr>
        <w:pStyle w:val="FootnoteText"/>
      </w:pPr>
      <w:r>
        <w:rPr>
          <w:rStyle w:val="FootnoteReference"/>
        </w:rPr>
        <w:footnoteRef/>
      </w:r>
      <w:r>
        <w:t xml:space="preserve"> NOV Response at 5–6. </w:t>
      </w:r>
    </w:p>
  </w:footnote>
  <w:footnote w:id="9">
    <w:p w:rsidR="005F48BD" w:rsidRDefault="005F48BD">
      <w:pPr>
        <w:pStyle w:val="FootnoteText"/>
      </w:pPr>
      <w:r>
        <w:rPr>
          <w:rStyle w:val="FootnoteReference"/>
        </w:rPr>
        <w:footnoteRef/>
      </w:r>
      <w:r>
        <w:t xml:space="preserve"> NOV Response at 6.</w:t>
      </w:r>
    </w:p>
  </w:footnote>
  <w:footnote w:id="10">
    <w:p w:rsidR="002C3076" w:rsidRPr="002C3076" w:rsidRDefault="002C3076">
      <w:pPr>
        <w:pStyle w:val="FootnoteText"/>
        <w:rPr>
          <w:i/>
        </w:rPr>
      </w:pPr>
      <w:r>
        <w:rPr>
          <w:rStyle w:val="FootnoteReference"/>
        </w:rPr>
        <w:footnoteRef/>
      </w:r>
      <w:r>
        <w:t xml:space="preserve"> </w:t>
      </w:r>
      <w:r>
        <w:rPr>
          <w:i/>
        </w:rPr>
        <w:t>Id.</w:t>
      </w:r>
    </w:p>
  </w:footnote>
  <w:footnote w:id="11">
    <w:p w:rsidR="00AD6365" w:rsidRDefault="00AD6365" w:rsidP="00AD6365">
      <w:pPr>
        <w:pStyle w:val="FootnoteText"/>
      </w:pPr>
      <w:r>
        <w:rPr>
          <w:rStyle w:val="FootnoteReference"/>
        </w:rPr>
        <w:footnoteRef/>
      </w:r>
      <w:r>
        <w:t xml:space="preserve"> </w:t>
      </w:r>
      <w:r w:rsidRPr="009A11BD">
        <w:t xml:space="preserve">The agent informed the FAA of the lighting outage and the FAA issued a NOTAM for the Antenna Structure on </w:t>
      </w:r>
      <w:r>
        <w:t xml:space="preserve">September </w:t>
      </w:r>
      <w:r w:rsidRPr="009A11BD">
        <w:t>1</w:t>
      </w:r>
      <w:r>
        <w:t>2</w:t>
      </w:r>
      <w:r w:rsidRPr="009A11BD">
        <w:t>, 2013</w:t>
      </w:r>
      <w:r>
        <w:t>.</w:t>
      </w:r>
    </w:p>
  </w:footnote>
  <w:footnote w:id="12">
    <w:p w:rsidR="00AD6365" w:rsidRDefault="00AD6365" w:rsidP="00AD6365">
      <w:pPr>
        <w:pStyle w:val="FootnoteText"/>
        <w:jc w:val="left"/>
      </w:pPr>
      <w:r>
        <w:rPr>
          <w:rStyle w:val="FootnoteReference"/>
        </w:rPr>
        <w:footnoteRef/>
      </w:r>
      <w:r>
        <w:t xml:space="preserve"> The Kemp representative stated another employee had been instructed to report a NOTAM </w:t>
      </w:r>
      <w:r w:rsidRPr="009C052C">
        <w:t>on September 11, 2013</w:t>
      </w:r>
      <w:r>
        <w:t xml:space="preserve">.  However, the FAA record does not list a NOTAM report for September 11, 2013.  The FAA record does list the NOTAM reported by the FCC on September 12, 2013. </w:t>
      </w:r>
    </w:p>
  </w:footnote>
  <w:footnote w:id="13">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U.S.C. § 503(b).</w:t>
      </w:r>
    </w:p>
  </w:footnote>
  <w:footnote w:id="14">
    <w:p w:rsidR="009F268A" w:rsidRPr="005F515C" w:rsidRDefault="009F268A" w:rsidP="008F6F6D">
      <w:pPr>
        <w:pStyle w:val="FootnoteText"/>
        <w:widowControl/>
        <w:jc w:val="left"/>
        <w:rPr>
          <w:color w:val="000000"/>
        </w:rPr>
      </w:pPr>
      <w:r w:rsidRPr="005F515C">
        <w:rPr>
          <w:rStyle w:val="FootnoteReference"/>
          <w:color w:val="000000"/>
        </w:rPr>
        <w:footnoteRef/>
      </w:r>
      <w:r w:rsidRPr="005F515C">
        <w:rPr>
          <w:color w:val="000000"/>
        </w:rPr>
        <w:t xml:space="preserve"> 47 U.S.C. § 312(f)(1).</w:t>
      </w:r>
    </w:p>
  </w:footnote>
  <w:footnote w:id="15">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H.R. Rep. No. 97-765, 97</w:t>
      </w:r>
      <w:r w:rsidRPr="005F515C">
        <w:rPr>
          <w:color w:val="000000"/>
          <w:vertAlign w:val="superscript"/>
        </w:rPr>
        <w:t>th</w:t>
      </w:r>
      <w:r w:rsidRPr="005F515C">
        <w:rPr>
          <w:color w:val="000000"/>
        </w:rPr>
        <w:t xml:space="preserve"> Cong. 2d Sess. 51 (1982) (“</w:t>
      </w:r>
      <w:r w:rsidRPr="005F515C">
        <w:rPr>
          <w:rStyle w:val="documentbody"/>
          <w:color w:val="000000"/>
        </w:rPr>
        <w:t xml:space="preserve">This provision [inserted in Section 312] defines the terms ‘willful’ and ‘repeated’ for purposes of section </w:t>
      </w:r>
      <w:r w:rsidRPr="005F515C">
        <w:rPr>
          <w:rStyle w:val="searchterm"/>
          <w:color w:val="000000"/>
        </w:rPr>
        <w:t>312</w:t>
      </w:r>
      <w:r w:rsidRPr="005F515C">
        <w:rPr>
          <w:rStyle w:val="documentbody"/>
          <w:color w:val="000000"/>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5F515C">
        <w:rPr>
          <w:rStyle w:val="searchterm"/>
          <w:color w:val="000000"/>
        </w:rPr>
        <w:t>312</w:t>
      </w:r>
      <w:r w:rsidRPr="005F515C">
        <w:rPr>
          <w:rStyle w:val="documentbody"/>
          <w:color w:val="000000"/>
        </w:rPr>
        <w:t xml:space="preserve"> and 503, and are consistent with the Commission’s application of those terms . . . .”).</w:t>
      </w:r>
    </w:p>
  </w:footnote>
  <w:footnote w:id="16">
    <w:p w:rsidR="009F268A" w:rsidRPr="005F515C" w:rsidRDefault="009F268A" w:rsidP="008F6F6D">
      <w:pPr>
        <w:pStyle w:val="FootnoteText"/>
        <w:jc w:val="left"/>
        <w:rPr>
          <w:color w:val="000000"/>
        </w:rPr>
      </w:pPr>
      <w:r w:rsidRPr="006C74C4">
        <w:rPr>
          <w:rStyle w:val="FootnoteReference"/>
          <w:color w:val="000000"/>
        </w:rPr>
        <w:footnoteRef/>
      </w:r>
      <w:r w:rsidRPr="006C74C4">
        <w:rPr>
          <w:color w:val="000000"/>
        </w:rPr>
        <w:t xml:space="preserve"> </w:t>
      </w:r>
      <w:r w:rsidRPr="006C74C4">
        <w:rPr>
          <w:i/>
          <w:color w:val="000000"/>
        </w:rPr>
        <w:t>See, e.g., Southern California Broadcasting Co.</w:t>
      </w:r>
      <w:r w:rsidRPr="006C74C4">
        <w:rPr>
          <w:color w:val="000000"/>
        </w:rPr>
        <w:t xml:space="preserve">, Memorandum Opinion and Order, 6 FCC Rcd 4387, 4388 (1991), </w:t>
      </w:r>
      <w:r w:rsidRPr="006C74C4">
        <w:rPr>
          <w:i/>
          <w:color w:val="000000"/>
        </w:rPr>
        <w:t xml:space="preserve">recons. denied, </w:t>
      </w:r>
      <w:r w:rsidRPr="006C74C4">
        <w:rPr>
          <w:color w:val="000000"/>
        </w:rPr>
        <w:t>7 FCC Rcd 3454 (1992).</w:t>
      </w:r>
    </w:p>
  </w:footnote>
  <w:footnote w:id="17">
    <w:p w:rsidR="009F268A" w:rsidRPr="005F515C" w:rsidRDefault="009F268A" w:rsidP="008F6F6D">
      <w:pPr>
        <w:pStyle w:val="FootnoteText"/>
        <w:jc w:val="left"/>
        <w:rPr>
          <w:color w:val="000000"/>
        </w:rPr>
      </w:pPr>
      <w:r w:rsidRPr="006C74C4">
        <w:rPr>
          <w:rStyle w:val="FootnoteReference"/>
          <w:color w:val="000000"/>
        </w:rPr>
        <w:footnoteRef/>
      </w:r>
      <w:r w:rsidRPr="006C74C4">
        <w:rPr>
          <w:color w:val="000000"/>
        </w:rPr>
        <w:t xml:space="preserve"> </w:t>
      </w:r>
      <w:r w:rsidRPr="006C74C4">
        <w:rPr>
          <w:i/>
          <w:color w:val="000000"/>
        </w:rPr>
        <w:t>See, e.g.,</w:t>
      </w:r>
      <w:r w:rsidRPr="006C74C4">
        <w:rPr>
          <w:color w:val="000000"/>
        </w:rPr>
        <w:t xml:space="preserve"> </w:t>
      </w:r>
      <w:r w:rsidRPr="006C74C4">
        <w:rPr>
          <w:i/>
          <w:color w:val="000000"/>
        </w:rPr>
        <w:t>Callais Cablevision, Inc.</w:t>
      </w:r>
      <w:r w:rsidRPr="006C74C4">
        <w:rPr>
          <w:color w:val="000000"/>
        </w:rPr>
        <w:t>, Notice of Apparent Liability for Monetary Forfeiture, 16 FCC Rcd 1359, 1362, para. 10 (2001) (</w:t>
      </w:r>
      <w:r w:rsidRPr="006C74C4">
        <w:rPr>
          <w:i/>
          <w:color w:val="000000"/>
        </w:rPr>
        <w:t>Callais Cablevision, Inc.</w:t>
      </w:r>
      <w:r w:rsidRPr="006C74C4">
        <w:rPr>
          <w:color w:val="000000"/>
        </w:rPr>
        <w:t xml:space="preserve">) (proposing a forfeiture for, </w:t>
      </w:r>
      <w:r w:rsidRPr="006C74C4">
        <w:rPr>
          <w:i/>
          <w:color w:val="000000"/>
        </w:rPr>
        <w:t>inter alia</w:t>
      </w:r>
      <w:r w:rsidRPr="006C74C4">
        <w:rPr>
          <w:color w:val="000000"/>
        </w:rPr>
        <w:t>, a cable television operator’s repeated signal leakage).</w:t>
      </w:r>
      <w:r w:rsidRPr="005F515C">
        <w:rPr>
          <w:color w:val="000000"/>
        </w:rPr>
        <w:t xml:space="preserve"> </w:t>
      </w:r>
    </w:p>
  </w:footnote>
  <w:footnote w:id="18">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F515C">
        <w:rPr>
          <w:i/>
          <w:color w:val="000000"/>
        </w:rPr>
        <w:t>See Callais Cablevision, Inc.</w:t>
      </w:r>
      <w:r w:rsidRPr="005F515C">
        <w:rPr>
          <w:color w:val="000000"/>
        </w:rPr>
        <w:t>, 16 FCC Rcd</w:t>
      </w:r>
      <w:r w:rsidRPr="005F515C">
        <w:rPr>
          <w:i/>
          <w:color w:val="000000"/>
        </w:rPr>
        <w:t xml:space="preserve"> </w:t>
      </w:r>
      <w:r w:rsidRPr="005F515C">
        <w:rPr>
          <w:color w:val="000000"/>
        </w:rPr>
        <w:t xml:space="preserve">at 1362. </w:t>
      </w:r>
    </w:p>
  </w:footnote>
  <w:footnote w:id="19">
    <w:p w:rsidR="005F48BD" w:rsidRPr="009F01EC" w:rsidRDefault="005F48BD" w:rsidP="005F48BD">
      <w:pPr>
        <w:pStyle w:val="FootnoteText"/>
        <w:rPr>
          <w:color w:val="000000"/>
        </w:rPr>
      </w:pPr>
      <w:r w:rsidRPr="009F01EC">
        <w:rPr>
          <w:rStyle w:val="FootnoteReference"/>
          <w:color w:val="000000"/>
        </w:rPr>
        <w:footnoteRef/>
      </w:r>
      <w:r w:rsidRPr="009F01EC">
        <w:rPr>
          <w:color w:val="000000"/>
        </w:rPr>
        <w:t xml:space="preserve"> 47 C.F.R. § 17.47(a).</w:t>
      </w:r>
    </w:p>
  </w:footnote>
  <w:footnote w:id="20">
    <w:p w:rsidR="005F48BD" w:rsidRDefault="005F48BD" w:rsidP="005F48BD">
      <w:pPr>
        <w:pStyle w:val="FootnoteText"/>
        <w:widowControl/>
        <w:jc w:val="left"/>
        <w:rPr>
          <w:szCs w:val="22"/>
        </w:rPr>
      </w:pPr>
      <w:r>
        <w:rPr>
          <w:rStyle w:val="FootnoteReference"/>
        </w:rPr>
        <w:footnoteRef/>
      </w:r>
      <w:r>
        <w:t xml:space="preserve"> 47 C.F.R. § 17.48(a).</w:t>
      </w:r>
    </w:p>
  </w:footnote>
  <w:footnote w:id="21">
    <w:p w:rsidR="00AD6365" w:rsidRPr="005709DE" w:rsidRDefault="00AD6365" w:rsidP="00AD6365">
      <w:pPr>
        <w:pStyle w:val="FootnoteText"/>
        <w:jc w:val="left"/>
        <w:rPr>
          <w:color w:val="000000"/>
        </w:rPr>
      </w:pPr>
      <w:r w:rsidRPr="009F01EC">
        <w:rPr>
          <w:rStyle w:val="FootnoteReference"/>
          <w:color w:val="000000"/>
        </w:rPr>
        <w:footnoteRef/>
      </w:r>
      <w:r w:rsidRPr="009F01EC">
        <w:rPr>
          <w:color w:val="000000"/>
        </w:rPr>
        <w:t xml:space="preserve"> </w:t>
      </w:r>
      <w:r w:rsidRPr="009F01EC">
        <w:rPr>
          <w:i/>
          <w:color w:val="000000"/>
        </w:rPr>
        <w:t>See</w:t>
      </w:r>
      <w:r w:rsidRPr="009F01EC">
        <w:rPr>
          <w:color w:val="000000"/>
        </w:rPr>
        <w:t xml:space="preserve"> A</w:t>
      </w:r>
      <w:r w:rsidR="005709DE">
        <w:rPr>
          <w:color w:val="000000"/>
        </w:rPr>
        <w:t>SR</w:t>
      </w:r>
      <w:r w:rsidRPr="009F01EC">
        <w:rPr>
          <w:color w:val="000000"/>
        </w:rPr>
        <w:t xml:space="preserve"> database for antenna structure number </w:t>
      </w:r>
      <w:r w:rsidR="00672EE9" w:rsidRPr="00672EE9">
        <w:rPr>
          <w:color w:val="000000"/>
        </w:rPr>
        <w:t>1061958</w:t>
      </w:r>
      <w:r w:rsidR="00672EE9">
        <w:rPr>
          <w:color w:val="000000"/>
        </w:rPr>
        <w:t>.</w:t>
      </w:r>
    </w:p>
  </w:footnote>
  <w:footnote w:id="22">
    <w:p w:rsidR="009F268A" w:rsidRPr="005F515C" w:rsidRDefault="009F268A" w:rsidP="008F6F6D">
      <w:pPr>
        <w:pStyle w:val="FootnoteText"/>
        <w:jc w:val="left"/>
        <w:rPr>
          <w:color w:val="000000"/>
        </w:rPr>
      </w:pPr>
      <w:r w:rsidRPr="006C74C4">
        <w:rPr>
          <w:rStyle w:val="FootnoteReference"/>
          <w:color w:val="000000"/>
        </w:rPr>
        <w:footnoteRef/>
      </w:r>
      <w:r w:rsidRPr="006C74C4">
        <w:rPr>
          <w:color w:val="000000"/>
        </w:rPr>
        <w:t xml:space="preserve"> </w:t>
      </w:r>
      <w:r w:rsidRPr="006C74C4">
        <w:rPr>
          <w:i/>
          <w:color w:val="000000"/>
        </w:rPr>
        <w:t>The Commission’s Forfeiture Policy Statement and Amendment of Section 1.80 of the Rules to Incorporate the Forfeiture Guidelines</w:t>
      </w:r>
      <w:r w:rsidRPr="006C74C4">
        <w:rPr>
          <w:color w:val="000000"/>
        </w:rPr>
        <w:t>, Report and Order, 12 FCC Rcd 17087 (1997) (</w:t>
      </w:r>
      <w:r w:rsidRPr="006C74C4">
        <w:rPr>
          <w:i/>
          <w:color w:val="000000"/>
        </w:rPr>
        <w:t>Forfeiture Policy Statement</w:t>
      </w:r>
      <w:r w:rsidRPr="006C74C4">
        <w:rPr>
          <w:color w:val="000000"/>
        </w:rPr>
        <w:t xml:space="preserve">), </w:t>
      </w:r>
      <w:r w:rsidRPr="006C74C4">
        <w:rPr>
          <w:i/>
          <w:color w:val="000000"/>
        </w:rPr>
        <w:t>recons. denied</w:t>
      </w:r>
      <w:r w:rsidRPr="006C74C4">
        <w:rPr>
          <w:color w:val="000000"/>
        </w:rPr>
        <w:t>, 15 FCC Rcd 303 (1999); 47 C.F.R. § 1.80.</w:t>
      </w:r>
    </w:p>
  </w:footnote>
  <w:footnote w:id="23">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U.S.C. § 503(b)(2)(E).</w:t>
      </w:r>
    </w:p>
  </w:footnote>
  <w:footnote w:id="24">
    <w:p w:rsidR="00702532" w:rsidRDefault="00702532" w:rsidP="006811A1">
      <w:pPr>
        <w:pStyle w:val="FootnoteText"/>
        <w:jc w:val="left"/>
      </w:pPr>
      <w:r>
        <w:rPr>
          <w:rStyle w:val="FootnoteReference"/>
        </w:rPr>
        <w:footnoteRef/>
      </w:r>
      <w:r>
        <w:t xml:space="preserve"> </w:t>
      </w:r>
      <w:r w:rsidRPr="00702532">
        <w:t>Section 17.48(a) of the Rules states that owners of antenna structures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 . . .”</w:t>
      </w:r>
      <w:r>
        <w:t xml:space="preserve">  </w:t>
      </w:r>
      <w:r w:rsidRPr="00702532">
        <w:t xml:space="preserve">47 </w:t>
      </w:r>
      <w:r>
        <w:t>C.F.R</w:t>
      </w:r>
      <w:r w:rsidRPr="00702532">
        <w:t xml:space="preserve">. § </w:t>
      </w:r>
      <w:r>
        <w:t>17.48(a).</w:t>
      </w:r>
    </w:p>
  </w:footnote>
  <w:footnote w:id="25">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U.S.C. §§ 303(q), 503(b); 47 C.F.R. §§ 0.111, 0.204, 0.311, 0.314, 1.80, 17.47</w:t>
      </w:r>
      <w:r>
        <w:rPr>
          <w:color w:val="000000"/>
        </w:rPr>
        <w:t>(a)</w:t>
      </w:r>
      <w:r w:rsidRPr="005F515C">
        <w:rPr>
          <w:color w:val="000000"/>
        </w:rPr>
        <w:t xml:space="preserve">, </w:t>
      </w:r>
      <w:r>
        <w:rPr>
          <w:color w:val="000000"/>
        </w:rPr>
        <w:t xml:space="preserve">17.48(a), </w:t>
      </w:r>
      <w:r w:rsidRPr="005F515C">
        <w:rPr>
          <w:color w:val="000000"/>
        </w:rPr>
        <w:t>17.51(b).</w:t>
      </w:r>
    </w:p>
  </w:footnote>
  <w:footnote w:id="26">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w:t>
      </w:r>
      <w:r w:rsidRPr="005F515C">
        <w:rPr>
          <w:rFonts w:eastAsia="MS Mincho" w:cs="Arial"/>
          <w:color w:val="000000"/>
        </w:rPr>
        <w:t>An FCC Form 159 and detailed instructions for completing the form may be obtained at http://www.fcc.gov/Forms/Form159/159.pdf.</w:t>
      </w:r>
    </w:p>
  </w:footnote>
  <w:footnote w:id="27">
    <w:p w:rsidR="009F268A" w:rsidRDefault="009F268A" w:rsidP="004B28B4">
      <w:pPr>
        <w:pStyle w:val="FootnoteText"/>
        <w:jc w:val="left"/>
      </w:pPr>
      <w:r>
        <w:rPr>
          <w:rStyle w:val="FootnoteReference"/>
        </w:rPr>
        <w:footnoteRef/>
      </w:r>
      <w:r>
        <w:t xml:space="preserve"> </w:t>
      </w:r>
      <w:r w:rsidRPr="00D70F1F">
        <w:rPr>
          <w:i/>
        </w:rPr>
        <w:t>See</w:t>
      </w:r>
      <w:r>
        <w:t xml:space="preserve"> 47 C.F.R. § 1.1914.</w:t>
      </w:r>
    </w:p>
  </w:footnote>
  <w:footnote w:id="28">
    <w:p w:rsidR="009F268A" w:rsidRPr="005F515C" w:rsidRDefault="009F268A" w:rsidP="008F6F6D">
      <w:pPr>
        <w:pStyle w:val="FootnoteText"/>
        <w:jc w:val="left"/>
        <w:rPr>
          <w:color w:val="000000"/>
        </w:rPr>
      </w:pPr>
      <w:r w:rsidRPr="005F515C">
        <w:rPr>
          <w:rStyle w:val="FootnoteReference"/>
          <w:color w:val="000000"/>
        </w:rPr>
        <w:footnoteRef/>
      </w:r>
      <w:r w:rsidRPr="005F515C">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51" w:rsidRDefault="0090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8A" w:rsidRPr="00331410" w:rsidRDefault="009F268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6C7CD3">
      <w:rPr>
        <w:b/>
        <w:sz w:val="22"/>
        <w:szCs w:val="22"/>
      </w:rPr>
      <w:t>4</w:t>
    </w:r>
    <w:r>
      <w:rPr>
        <w:b/>
        <w:sz w:val="22"/>
        <w:szCs w:val="22"/>
      </w:rPr>
      <w:t>-</w:t>
    </w:r>
    <w:r w:rsidR="00C66D57">
      <w:rPr>
        <w:b/>
        <w:sz w:val="22"/>
        <w:szCs w:val="22"/>
      </w:rPr>
      <w:t>259</w:t>
    </w:r>
  </w:p>
  <w:p w:rsidR="009F268A" w:rsidRDefault="00F46E4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F268A" w:rsidRDefault="009F2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8A" w:rsidRPr="00331410" w:rsidRDefault="009F268A">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6C7CD3">
      <w:rPr>
        <w:b/>
        <w:sz w:val="22"/>
        <w:szCs w:val="22"/>
      </w:rPr>
      <w:t>4</w:t>
    </w:r>
    <w:r>
      <w:rPr>
        <w:b/>
        <w:sz w:val="22"/>
        <w:szCs w:val="22"/>
      </w:rPr>
      <w:t>-</w:t>
    </w:r>
    <w:r w:rsidR="00C66D57">
      <w:rPr>
        <w:b/>
        <w:sz w:val="22"/>
        <w:szCs w:val="22"/>
      </w:rPr>
      <w:t>259</w:t>
    </w:r>
  </w:p>
  <w:p w:rsidR="009F268A" w:rsidRDefault="00F46E4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5C464C3C"/>
    <w:lvl w:ilvl="0">
      <w:start w:val="1"/>
      <w:numFmt w:val="decimal"/>
      <w:lvlText w:val="%1."/>
      <w:lvlJc w:val="left"/>
      <w:pPr>
        <w:tabs>
          <w:tab w:val="num" w:pos="1260"/>
        </w:tabs>
        <w:ind w:left="180" w:firstLine="720"/>
      </w:pPr>
      <w:rPr>
        <w:rFonts w:ascii="Times New Roman" w:hAnsi="Times New Roman" w:hint="default"/>
        <w:b w:val="0"/>
        <w:i w:val="0"/>
        <w:color w:val="000000"/>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11926"/>
    <w:rsid w:val="00017CDA"/>
    <w:rsid w:val="00022679"/>
    <w:rsid w:val="00022D46"/>
    <w:rsid w:val="00024E66"/>
    <w:rsid w:val="00037295"/>
    <w:rsid w:val="00043641"/>
    <w:rsid w:val="00050854"/>
    <w:rsid w:val="00056126"/>
    <w:rsid w:val="00071484"/>
    <w:rsid w:val="0007152D"/>
    <w:rsid w:val="00076610"/>
    <w:rsid w:val="00077F92"/>
    <w:rsid w:val="00083414"/>
    <w:rsid w:val="000875B1"/>
    <w:rsid w:val="0009443C"/>
    <w:rsid w:val="000A0EEE"/>
    <w:rsid w:val="000A5F92"/>
    <w:rsid w:val="000A637F"/>
    <w:rsid w:val="000A71AC"/>
    <w:rsid w:val="000B0F5D"/>
    <w:rsid w:val="000B3C45"/>
    <w:rsid w:val="000D17A9"/>
    <w:rsid w:val="000E0451"/>
    <w:rsid w:val="000E2560"/>
    <w:rsid w:val="000E447B"/>
    <w:rsid w:val="000E5654"/>
    <w:rsid w:val="00105943"/>
    <w:rsid w:val="00105973"/>
    <w:rsid w:val="0011114B"/>
    <w:rsid w:val="0011170C"/>
    <w:rsid w:val="001148D9"/>
    <w:rsid w:val="00120233"/>
    <w:rsid w:val="00121F65"/>
    <w:rsid w:val="00124A59"/>
    <w:rsid w:val="001253C3"/>
    <w:rsid w:val="00125A4D"/>
    <w:rsid w:val="00130D87"/>
    <w:rsid w:val="00143EE8"/>
    <w:rsid w:val="00145224"/>
    <w:rsid w:val="001526A2"/>
    <w:rsid w:val="00154417"/>
    <w:rsid w:val="00164E3C"/>
    <w:rsid w:val="001665F5"/>
    <w:rsid w:val="00170554"/>
    <w:rsid w:val="00172EF9"/>
    <w:rsid w:val="001746CC"/>
    <w:rsid w:val="00174A12"/>
    <w:rsid w:val="00175E71"/>
    <w:rsid w:val="00181DC9"/>
    <w:rsid w:val="00190523"/>
    <w:rsid w:val="001C0B1F"/>
    <w:rsid w:val="001C5CAA"/>
    <w:rsid w:val="001C679F"/>
    <w:rsid w:val="001D2FEB"/>
    <w:rsid w:val="001E2A65"/>
    <w:rsid w:val="001F566B"/>
    <w:rsid w:val="00211D85"/>
    <w:rsid w:val="002144FA"/>
    <w:rsid w:val="00237F81"/>
    <w:rsid w:val="002511FB"/>
    <w:rsid w:val="00252E05"/>
    <w:rsid w:val="00252EC0"/>
    <w:rsid w:val="00256422"/>
    <w:rsid w:val="0026004F"/>
    <w:rsid w:val="00260C08"/>
    <w:rsid w:val="002804AF"/>
    <w:rsid w:val="00292215"/>
    <w:rsid w:val="00296678"/>
    <w:rsid w:val="002A732B"/>
    <w:rsid w:val="002C3076"/>
    <w:rsid w:val="002C62DA"/>
    <w:rsid w:val="002D4A99"/>
    <w:rsid w:val="0030022D"/>
    <w:rsid w:val="003003E1"/>
    <w:rsid w:val="00314F95"/>
    <w:rsid w:val="00321805"/>
    <w:rsid w:val="00321EA3"/>
    <w:rsid w:val="00323513"/>
    <w:rsid w:val="0033085D"/>
    <w:rsid w:val="00331410"/>
    <w:rsid w:val="0033797D"/>
    <w:rsid w:val="00337B75"/>
    <w:rsid w:val="003422DF"/>
    <w:rsid w:val="00344567"/>
    <w:rsid w:val="003455BA"/>
    <w:rsid w:val="00345D78"/>
    <w:rsid w:val="00347CA1"/>
    <w:rsid w:val="003516FA"/>
    <w:rsid w:val="003671E8"/>
    <w:rsid w:val="00371336"/>
    <w:rsid w:val="00371BEE"/>
    <w:rsid w:val="003740F2"/>
    <w:rsid w:val="00374160"/>
    <w:rsid w:val="00377C61"/>
    <w:rsid w:val="00380C91"/>
    <w:rsid w:val="00382E20"/>
    <w:rsid w:val="00384336"/>
    <w:rsid w:val="00390F1B"/>
    <w:rsid w:val="003915AF"/>
    <w:rsid w:val="00392410"/>
    <w:rsid w:val="003A2112"/>
    <w:rsid w:val="003A5C36"/>
    <w:rsid w:val="003A7878"/>
    <w:rsid w:val="003D297F"/>
    <w:rsid w:val="003E2AD5"/>
    <w:rsid w:val="003F3CFD"/>
    <w:rsid w:val="003F7062"/>
    <w:rsid w:val="00401BE7"/>
    <w:rsid w:val="0040353A"/>
    <w:rsid w:val="004110FC"/>
    <w:rsid w:val="0041443C"/>
    <w:rsid w:val="00414442"/>
    <w:rsid w:val="00415A28"/>
    <w:rsid w:val="00425706"/>
    <w:rsid w:val="004358DE"/>
    <w:rsid w:val="00447AAD"/>
    <w:rsid w:val="0045555E"/>
    <w:rsid w:val="00470573"/>
    <w:rsid w:val="00484313"/>
    <w:rsid w:val="00487594"/>
    <w:rsid w:val="004930F5"/>
    <w:rsid w:val="0049360E"/>
    <w:rsid w:val="004975C0"/>
    <w:rsid w:val="004B28B4"/>
    <w:rsid w:val="004C6D99"/>
    <w:rsid w:val="004D3984"/>
    <w:rsid w:val="004D61D2"/>
    <w:rsid w:val="004D64B8"/>
    <w:rsid w:val="004E00D3"/>
    <w:rsid w:val="004F58D7"/>
    <w:rsid w:val="00502239"/>
    <w:rsid w:val="00510919"/>
    <w:rsid w:val="00512D71"/>
    <w:rsid w:val="00512DFB"/>
    <w:rsid w:val="0053628C"/>
    <w:rsid w:val="005519B8"/>
    <w:rsid w:val="00562A69"/>
    <w:rsid w:val="00563371"/>
    <w:rsid w:val="005709DE"/>
    <w:rsid w:val="00571009"/>
    <w:rsid w:val="00574A7A"/>
    <w:rsid w:val="00594F29"/>
    <w:rsid w:val="005B046C"/>
    <w:rsid w:val="005B1804"/>
    <w:rsid w:val="005D19E6"/>
    <w:rsid w:val="005E587D"/>
    <w:rsid w:val="005E5F00"/>
    <w:rsid w:val="005F002F"/>
    <w:rsid w:val="005F483B"/>
    <w:rsid w:val="005F48BD"/>
    <w:rsid w:val="005F515C"/>
    <w:rsid w:val="005F67D7"/>
    <w:rsid w:val="005F73C7"/>
    <w:rsid w:val="00604ACD"/>
    <w:rsid w:val="00607D4F"/>
    <w:rsid w:val="00611616"/>
    <w:rsid w:val="006247FB"/>
    <w:rsid w:val="00624E7D"/>
    <w:rsid w:val="00647967"/>
    <w:rsid w:val="00651DE2"/>
    <w:rsid w:val="00672EE9"/>
    <w:rsid w:val="006811A1"/>
    <w:rsid w:val="00683F6F"/>
    <w:rsid w:val="006868B5"/>
    <w:rsid w:val="00694B96"/>
    <w:rsid w:val="006B5FE6"/>
    <w:rsid w:val="006C72D8"/>
    <w:rsid w:val="006C74C4"/>
    <w:rsid w:val="006C7CD3"/>
    <w:rsid w:val="006D43FA"/>
    <w:rsid w:val="006D6E3A"/>
    <w:rsid w:val="006E0617"/>
    <w:rsid w:val="006E5678"/>
    <w:rsid w:val="006F1047"/>
    <w:rsid w:val="006F651C"/>
    <w:rsid w:val="006F7C70"/>
    <w:rsid w:val="00702532"/>
    <w:rsid w:val="00706247"/>
    <w:rsid w:val="00716561"/>
    <w:rsid w:val="00720ACB"/>
    <w:rsid w:val="007210B3"/>
    <w:rsid w:val="00722674"/>
    <w:rsid w:val="00723531"/>
    <w:rsid w:val="00744632"/>
    <w:rsid w:val="00745F61"/>
    <w:rsid w:val="00777E77"/>
    <w:rsid w:val="00780C18"/>
    <w:rsid w:val="00787C4B"/>
    <w:rsid w:val="007907B0"/>
    <w:rsid w:val="00794C59"/>
    <w:rsid w:val="00795D84"/>
    <w:rsid w:val="007A2820"/>
    <w:rsid w:val="007E2E05"/>
    <w:rsid w:val="008024F6"/>
    <w:rsid w:val="00811CBE"/>
    <w:rsid w:val="008142DE"/>
    <w:rsid w:val="0081563B"/>
    <w:rsid w:val="00827C06"/>
    <w:rsid w:val="0083179E"/>
    <w:rsid w:val="00832D6C"/>
    <w:rsid w:val="00840A6A"/>
    <w:rsid w:val="00843240"/>
    <w:rsid w:val="00852A75"/>
    <w:rsid w:val="008546AA"/>
    <w:rsid w:val="00856437"/>
    <w:rsid w:val="008610FE"/>
    <w:rsid w:val="00873901"/>
    <w:rsid w:val="0087453E"/>
    <w:rsid w:val="00875DB2"/>
    <w:rsid w:val="00883DF8"/>
    <w:rsid w:val="00887660"/>
    <w:rsid w:val="00890911"/>
    <w:rsid w:val="008A127A"/>
    <w:rsid w:val="008A13E4"/>
    <w:rsid w:val="008A1B86"/>
    <w:rsid w:val="008B4529"/>
    <w:rsid w:val="008B58B7"/>
    <w:rsid w:val="008C26F7"/>
    <w:rsid w:val="008C4978"/>
    <w:rsid w:val="008C74D4"/>
    <w:rsid w:val="008D235A"/>
    <w:rsid w:val="008D4799"/>
    <w:rsid w:val="008D4F34"/>
    <w:rsid w:val="008F6F6D"/>
    <w:rsid w:val="00900559"/>
    <w:rsid w:val="00901C8E"/>
    <w:rsid w:val="00903051"/>
    <w:rsid w:val="00906B5E"/>
    <w:rsid w:val="00914F6C"/>
    <w:rsid w:val="0091686F"/>
    <w:rsid w:val="00920C19"/>
    <w:rsid w:val="00921EBC"/>
    <w:rsid w:val="0092789B"/>
    <w:rsid w:val="009278EE"/>
    <w:rsid w:val="009423ED"/>
    <w:rsid w:val="009459D9"/>
    <w:rsid w:val="00947EBA"/>
    <w:rsid w:val="0095119D"/>
    <w:rsid w:val="009578B1"/>
    <w:rsid w:val="009625D8"/>
    <w:rsid w:val="009638E9"/>
    <w:rsid w:val="00967758"/>
    <w:rsid w:val="00970F98"/>
    <w:rsid w:val="009711A7"/>
    <w:rsid w:val="009712F4"/>
    <w:rsid w:val="009747D9"/>
    <w:rsid w:val="00980DFC"/>
    <w:rsid w:val="00985819"/>
    <w:rsid w:val="00986009"/>
    <w:rsid w:val="00986172"/>
    <w:rsid w:val="00990FB6"/>
    <w:rsid w:val="0099228C"/>
    <w:rsid w:val="00993401"/>
    <w:rsid w:val="009A11BD"/>
    <w:rsid w:val="009C052C"/>
    <w:rsid w:val="009C567F"/>
    <w:rsid w:val="009D127A"/>
    <w:rsid w:val="009D1F23"/>
    <w:rsid w:val="009D2FA2"/>
    <w:rsid w:val="009D7325"/>
    <w:rsid w:val="009D7AE1"/>
    <w:rsid w:val="009E0E39"/>
    <w:rsid w:val="009E229B"/>
    <w:rsid w:val="009E4540"/>
    <w:rsid w:val="009F051A"/>
    <w:rsid w:val="009F268A"/>
    <w:rsid w:val="009F3595"/>
    <w:rsid w:val="009F6C24"/>
    <w:rsid w:val="00A048A7"/>
    <w:rsid w:val="00A10DA6"/>
    <w:rsid w:val="00A1119C"/>
    <w:rsid w:val="00A12D37"/>
    <w:rsid w:val="00A16AF9"/>
    <w:rsid w:val="00A27E6B"/>
    <w:rsid w:val="00A40A06"/>
    <w:rsid w:val="00A45225"/>
    <w:rsid w:val="00A473DC"/>
    <w:rsid w:val="00A546FC"/>
    <w:rsid w:val="00A54F90"/>
    <w:rsid w:val="00A573C1"/>
    <w:rsid w:val="00A57402"/>
    <w:rsid w:val="00A63DC6"/>
    <w:rsid w:val="00A656B4"/>
    <w:rsid w:val="00A66F85"/>
    <w:rsid w:val="00A76BC5"/>
    <w:rsid w:val="00A8715E"/>
    <w:rsid w:val="00A95396"/>
    <w:rsid w:val="00AA0FD3"/>
    <w:rsid w:val="00AA708E"/>
    <w:rsid w:val="00AB3F15"/>
    <w:rsid w:val="00AD0F76"/>
    <w:rsid w:val="00AD6365"/>
    <w:rsid w:val="00AE3A0F"/>
    <w:rsid w:val="00AF1004"/>
    <w:rsid w:val="00B030BC"/>
    <w:rsid w:val="00B04DF4"/>
    <w:rsid w:val="00B07556"/>
    <w:rsid w:val="00B14C65"/>
    <w:rsid w:val="00B33B91"/>
    <w:rsid w:val="00B363A7"/>
    <w:rsid w:val="00B45E78"/>
    <w:rsid w:val="00B67506"/>
    <w:rsid w:val="00B711FC"/>
    <w:rsid w:val="00B75721"/>
    <w:rsid w:val="00B93D93"/>
    <w:rsid w:val="00BA31FC"/>
    <w:rsid w:val="00BA44AD"/>
    <w:rsid w:val="00BA56DF"/>
    <w:rsid w:val="00BA6DFF"/>
    <w:rsid w:val="00BB34F3"/>
    <w:rsid w:val="00BB4E8D"/>
    <w:rsid w:val="00BB5A17"/>
    <w:rsid w:val="00BD24E7"/>
    <w:rsid w:val="00BE2E0C"/>
    <w:rsid w:val="00BE6E2F"/>
    <w:rsid w:val="00BF1922"/>
    <w:rsid w:val="00BF4DA8"/>
    <w:rsid w:val="00BF7390"/>
    <w:rsid w:val="00C0074E"/>
    <w:rsid w:val="00C009F7"/>
    <w:rsid w:val="00C02B1D"/>
    <w:rsid w:val="00C212EF"/>
    <w:rsid w:val="00C24414"/>
    <w:rsid w:val="00C3548A"/>
    <w:rsid w:val="00C4117C"/>
    <w:rsid w:val="00C428B3"/>
    <w:rsid w:val="00C42B47"/>
    <w:rsid w:val="00C46A39"/>
    <w:rsid w:val="00C55AF9"/>
    <w:rsid w:val="00C5634A"/>
    <w:rsid w:val="00C600C5"/>
    <w:rsid w:val="00C64931"/>
    <w:rsid w:val="00C66D57"/>
    <w:rsid w:val="00C672B5"/>
    <w:rsid w:val="00C70498"/>
    <w:rsid w:val="00C71803"/>
    <w:rsid w:val="00C8210C"/>
    <w:rsid w:val="00C85BB6"/>
    <w:rsid w:val="00C91804"/>
    <w:rsid w:val="00CB13E7"/>
    <w:rsid w:val="00CB6B0C"/>
    <w:rsid w:val="00CC2A5F"/>
    <w:rsid w:val="00CD5AA2"/>
    <w:rsid w:val="00CE1311"/>
    <w:rsid w:val="00CF024E"/>
    <w:rsid w:val="00CF4B7B"/>
    <w:rsid w:val="00D026A6"/>
    <w:rsid w:val="00D02F61"/>
    <w:rsid w:val="00D069C0"/>
    <w:rsid w:val="00D15397"/>
    <w:rsid w:val="00D159E6"/>
    <w:rsid w:val="00D15A5F"/>
    <w:rsid w:val="00D24820"/>
    <w:rsid w:val="00D43D64"/>
    <w:rsid w:val="00D43F13"/>
    <w:rsid w:val="00D52690"/>
    <w:rsid w:val="00D54E5D"/>
    <w:rsid w:val="00D57AE2"/>
    <w:rsid w:val="00D647AD"/>
    <w:rsid w:val="00D705FD"/>
    <w:rsid w:val="00D723C9"/>
    <w:rsid w:val="00D7437C"/>
    <w:rsid w:val="00D80B97"/>
    <w:rsid w:val="00D820AC"/>
    <w:rsid w:val="00D8508C"/>
    <w:rsid w:val="00D8692D"/>
    <w:rsid w:val="00D92C4C"/>
    <w:rsid w:val="00D96511"/>
    <w:rsid w:val="00DA71B0"/>
    <w:rsid w:val="00DB1F04"/>
    <w:rsid w:val="00DC7D2B"/>
    <w:rsid w:val="00DE3884"/>
    <w:rsid w:val="00DE5010"/>
    <w:rsid w:val="00DF0FD8"/>
    <w:rsid w:val="00E07A83"/>
    <w:rsid w:val="00E11C9C"/>
    <w:rsid w:val="00E16103"/>
    <w:rsid w:val="00E16560"/>
    <w:rsid w:val="00E16795"/>
    <w:rsid w:val="00E21D2C"/>
    <w:rsid w:val="00E24D54"/>
    <w:rsid w:val="00E35A79"/>
    <w:rsid w:val="00E35D19"/>
    <w:rsid w:val="00E36F2C"/>
    <w:rsid w:val="00E4394B"/>
    <w:rsid w:val="00E458B2"/>
    <w:rsid w:val="00E5274A"/>
    <w:rsid w:val="00E52C78"/>
    <w:rsid w:val="00E667CC"/>
    <w:rsid w:val="00E847E3"/>
    <w:rsid w:val="00E92EAB"/>
    <w:rsid w:val="00E93C56"/>
    <w:rsid w:val="00EA1EA8"/>
    <w:rsid w:val="00EA4240"/>
    <w:rsid w:val="00EA5525"/>
    <w:rsid w:val="00EB33E4"/>
    <w:rsid w:val="00EB44D9"/>
    <w:rsid w:val="00EB57F9"/>
    <w:rsid w:val="00EB66E0"/>
    <w:rsid w:val="00EC0A33"/>
    <w:rsid w:val="00EC0A4E"/>
    <w:rsid w:val="00EE255F"/>
    <w:rsid w:val="00EE4297"/>
    <w:rsid w:val="00EE7962"/>
    <w:rsid w:val="00F032E7"/>
    <w:rsid w:val="00F0594E"/>
    <w:rsid w:val="00F138E4"/>
    <w:rsid w:val="00F14BB1"/>
    <w:rsid w:val="00F25F9A"/>
    <w:rsid w:val="00F30E61"/>
    <w:rsid w:val="00F355DD"/>
    <w:rsid w:val="00F4123C"/>
    <w:rsid w:val="00F44481"/>
    <w:rsid w:val="00F46870"/>
    <w:rsid w:val="00F46E4C"/>
    <w:rsid w:val="00F6189B"/>
    <w:rsid w:val="00F634DD"/>
    <w:rsid w:val="00F640CB"/>
    <w:rsid w:val="00F71B85"/>
    <w:rsid w:val="00F82954"/>
    <w:rsid w:val="00F87F86"/>
    <w:rsid w:val="00FA14FA"/>
    <w:rsid w:val="00FA2CB5"/>
    <w:rsid w:val="00FA4F4F"/>
    <w:rsid w:val="00FA74A9"/>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60"/>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60"/>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0680">
      <w:bodyDiv w:val="1"/>
      <w:marLeft w:val="0"/>
      <w:marRight w:val="0"/>
      <w:marTop w:val="0"/>
      <w:marBottom w:val="0"/>
      <w:divBdr>
        <w:top w:val="none" w:sz="0" w:space="0" w:color="auto"/>
        <w:left w:val="none" w:sz="0" w:space="0" w:color="auto"/>
        <w:bottom w:val="none" w:sz="0" w:space="0" w:color="auto"/>
        <w:right w:val="none" w:sz="0" w:space="0" w:color="auto"/>
      </w:divBdr>
    </w:div>
    <w:div w:id="1132944046">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11927</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14257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2013-08-26T23:42:00Z</cp:lastPrinted>
  <dcterms:created xsi:type="dcterms:W3CDTF">2014-02-27T01:45:00Z</dcterms:created>
  <dcterms:modified xsi:type="dcterms:W3CDTF">2014-02-27T01:45:00Z</dcterms:modified>
  <cp:category> </cp:category>
  <cp:contentStatus> </cp:contentStatus>
</cp:coreProperties>
</file>